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363" w:type="dxa"/>
        <w:tblInd w:w="9" w:type="dxa"/>
        <w:tblLook w:val="0000" w:firstRow="0" w:lastRow="0" w:firstColumn="0" w:lastColumn="0" w:noHBand="0" w:noVBand="0"/>
      </w:tblPr>
      <w:tblGrid>
        <w:gridCol w:w="8363"/>
      </w:tblGrid>
      <w:tr w:rsidR="0000468E" w:rsidTr="002E4331">
        <w:tc>
          <w:tcPr>
            <w:tcW w:w="7848" w:type="dxa"/>
          </w:tcPr>
          <w:p w:rsidR="0000468E" w:rsidRPr="00624A42" w:rsidRDefault="0000468E" w:rsidP="002E4331">
            <w:pPr>
              <w:pStyle w:val="FileNumber0"/>
              <w:rPr>
                <w:sz w:val="28"/>
                <w:u w:val="single"/>
                <w:rtl/>
              </w:rPr>
            </w:pPr>
            <w:r>
              <w:rPr>
                <w:u w:val="single"/>
                <w:rtl/>
              </w:rPr>
              <w:t>בבית המשפט העליון</w:t>
            </w:r>
          </w:p>
        </w:tc>
      </w:tr>
    </w:tbl>
    <w:p w:rsidR="0000468E" w:rsidRDefault="0000468E" w:rsidP="0000468E">
      <w:pPr>
        <w:jc w:val="right"/>
        <w:rPr>
          <w:rFonts w:cs="Miriam"/>
          <w:b/>
          <w:bCs/>
          <w:u w:val="single"/>
        </w:rPr>
      </w:pPr>
    </w:p>
    <w:tbl>
      <w:tblPr>
        <w:bidiVisual/>
        <w:tblW w:w="8363" w:type="dxa"/>
        <w:tblLook w:val="0000" w:firstRow="0" w:lastRow="0" w:firstColumn="0" w:lastColumn="0" w:noHBand="0" w:noVBand="0"/>
      </w:tblPr>
      <w:tblGrid>
        <w:gridCol w:w="8363"/>
      </w:tblGrid>
      <w:tr w:rsidR="0000468E" w:rsidTr="002E4331">
        <w:trPr>
          <w:trHeight w:val="342"/>
        </w:trPr>
        <w:tc>
          <w:tcPr>
            <w:tcW w:w="9828" w:type="dxa"/>
          </w:tcPr>
          <w:p w:rsidR="0000468E" w:rsidRPr="00810894" w:rsidRDefault="0000468E" w:rsidP="002E4331">
            <w:pPr>
              <w:pStyle w:val="FileNumber"/>
              <w:rPr>
                <w:sz w:val="28"/>
                <w:szCs w:val="28"/>
              </w:rPr>
            </w:pPr>
            <w:bookmarkStart w:id="0" w:name="casename_body"/>
            <w:r>
              <w:rPr>
                <w:sz w:val="28"/>
                <w:szCs w:val="28"/>
                <w:rtl/>
              </w:rPr>
              <w:t>דנ"א 6364/20</w:t>
            </w:r>
          </w:p>
        </w:tc>
      </w:tr>
      <w:bookmarkEnd w:id="0"/>
    </w:tbl>
    <w:p w:rsidR="0000468E" w:rsidRDefault="0000468E" w:rsidP="004C7127">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4C7127" w:rsidTr="00BA1299">
        <w:trPr>
          <w:trHeight w:val="287"/>
        </w:trPr>
        <w:tc>
          <w:tcPr>
            <w:tcW w:w="3261" w:type="dxa"/>
          </w:tcPr>
          <w:p w:rsidR="004C7127" w:rsidRDefault="004C7127" w:rsidP="00BA1299">
            <w:pPr>
              <w:pStyle w:val="BodyRuller"/>
              <w:rPr>
                <w:rFonts w:cs="Miriam"/>
                <w:b/>
                <w:bCs/>
                <w:u w:val="single"/>
              </w:rPr>
            </w:pPr>
            <w:r>
              <w:rPr>
                <w:rFonts w:hint="cs"/>
                <w:rtl/>
              </w:rPr>
              <w:t>ל</w:t>
            </w:r>
            <w:r>
              <w:rPr>
                <w:rtl/>
              </w:rPr>
              <w:t>פני:</w:t>
            </w:r>
            <w:r>
              <w:rPr>
                <w:rtl/>
              </w:rPr>
              <w:tab/>
            </w:r>
          </w:p>
        </w:tc>
        <w:tc>
          <w:tcPr>
            <w:tcW w:w="5239" w:type="dxa"/>
          </w:tcPr>
          <w:p w:rsidR="004C7127" w:rsidRDefault="004C7127" w:rsidP="00BA1299">
            <w:pPr>
              <w:pStyle w:val="BodyRuller"/>
            </w:pPr>
            <w:r>
              <w:rPr>
                <w:rtl/>
              </w:rPr>
              <w:t>כבוד הנשיאה א' חיות</w:t>
            </w:r>
          </w:p>
        </w:tc>
      </w:tr>
      <w:tr w:rsidR="004C7127" w:rsidTr="00BA1299">
        <w:trPr>
          <w:trHeight w:val="287"/>
        </w:trPr>
        <w:tc>
          <w:tcPr>
            <w:tcW w:w="3261" w:type="dxa"/>
          </w:tcPr>
          <w:p w:rsidR="004C7127" w:rsidRDefault="004C7127" w:rsidP="00BA1299">
            <w:pPr>
              <w:pStyle w:val="BodyRuller"/>
              <w:rPr>
                <w:rtl/>
              </w:rPr>
            </w:pPr>
          </w:p>
        </w:tc>
        <w:tc>
          <w:tcPr>
            <w:tcW w:w="5239" w:type="dxa"/>
          </w:tcPr>
          <w:p w:rsidR="004C7127" w:rsidRDefault="004C7127" w:rsidP="00BA1299">
            <w:pPr>
              <w:pStyle w:val="BodyRuller"/>
              <w:rPr>
                <w:rtl/>
              </w:rPr>
            </w:pPr>
            <w:r>
              <w:rPr>
                <w:rtl/>
              </w:rPr>
              <w:t xml:space="preserve">כבוד המשנה לנשיאה </w:t>
            </w:r>
            <w:r>
              <w:rPr>
                <w:rFonts w:hint="cs"/>
                <w:rtl/>
              </w:rPr>
              <w:t xml:space="preserve">(בדימ') </w:t>
            </w:r>
            <w:r>
              <w:rPr>
                <w:rtl/>
              </w:rPr>
              <w:t>נ' הנדל</w:t>
            </w:r>
          </w:p>
        </w:tc>
      </w:tr>
      <w:tr w:rsidR="004C7127" w:rsidTr="00BA1299">
        <w:trPr>
          <w:trHeight w:val="287"/>
        </w:trPr>
        <w:tc>
          <w:tcPr>
            <w:tcW w:w="3261" w:type="dxa"/>
          </w:tcPr>
          <w:p w:rsidR="004C7127" w:rsidRDefault="004C7127" w:rsidP="00BA1299">
            <w:pPr>
              <w:pStyle w:val="BodyRuller"/>
              <w:rPr>
                <w:rtl/>
              </w:rPr>
            </w:pPr>
          </w:p>
        </w:tc>
        <w:tc>
          <w:tcPr>
            <w:tcW w:w="5239" w:type="dxa"/>
          </w:tcPr>
          <w:p w:rsidR="004C7127" w:rsidRDefault="004C7127" w:rsidP="00BA1299">
            <w:pPr>
              <w:pStyle w:val="BodyRuller"/>
              <w:rPr>
                <w:rtl/>
              </w:rPr>
            </w:pPr>
            <w:r>
              <w:rPr>
                <w:rtl/>
              </w:rPr>
              <w:t xml:space="preserve">כבוד </w:t>
            </w:r>
            <w:r>
              <w:rPr>
                <w:rFonts w:hint="cs"/>
                <w:rtl/>
              </w:rPr>
              <w:t xml:space="preserve">המשנה לנשיאה </w:t>
            </w:r>
            <w:r>
              <w:rPr>
                <w:rtl/>
              </w:rPr>
              <w:t>ע' פוגלמן</w:t>
            </w:r>
          </w:p>
        </w:tc>
      </w:tr>
      <w:tr w:rsidR="004C7127" w:rsidTr="00BA1299">
        <w:trPr>
          <w:trHeight w:val="287"/>
        </w:trPr>
        <w:tc>
          <w:tcPr>
            <w:tcW w:w="3261" w:type="dxa"/>
          </w:tcPr>
          <w:p w:rsidR="004C7127" w:rsidRDefault="004C7127" w:rsidP="00BA1299">
            <w:pPr>
              <w:pStyle w:val="BodyRuller"/>
              <w:rPr>
                <w:rtl/>
              </w:rPr>
            </w:pPr>
          </w:p>
        </w:tc>
        <w:tc>
          <w:tcPr>
            <w:tcW w:w="5239" w:type="dxa"/>
          </w:tcPr>
          <w:p w:rsidR="004C7127" w:rsidRDefault="004C7127" w:rsidP="00BA1299">
            <w:pPr>
              <w:pStyle w:val="BodyRuller"/>
              <w:rPr>
                <w:rtl/>
              </w:rPr>
            </w:pPr>
            <w:r>
              <w:rPr>
                <w:rtl/>
              </w:rPr>
              <w:t>כבוד השופט י' עמית</w:t>
            </w:r>
          </w:p>
        </w:tc>
      </w:tr>
      <w:tr w:rsidR="004C7127" w:rsidTr="00BA1299">
        <w:trPr>
          <w:trHeight w:val="287"/>
        </w:trPr>
        <w:tc>
          <w:tcPr>
            <w:tcW w:w="3261" w:type="dxa"/>
          </w:tcPr>
          <w:p w:rsidR="004C7127" w:rsidRDefault="004C7127" w:rsidP="00BA1299">
            <w:pPr>
              <w:pStyle w:val="BodyRuller"/>
              <w:rPr>
                <w:rtl/>
              </w:rPr>
            </w:pPr>
          </w:p>
        </w:tc>
        <w:tc>
          <w:tcPr>
            <w:tcW w:w="5239" w:type="dxa"/>
          </w:tcPr>
          <w:p w:rsidR="004C7127" w:rsidRDefault="004C7127" w:rsidP="00BA1299">
            <w:pPr>
              <w:pStyle w:val="BodyRuller"/>
              <w:rPr>
                <w:rtl/>
              </w:rPr>
            </w:pPr>
            <w:r>
              <w:rPr>
                <w:rtl/>
              </w:rPr>
              <w:t>כבוד השופט נ' סולברג</w:t>
            </w:r>
          </w:p>
        </w:tc>
      </w:tr>
      <w:tr w:rsidR="004C7127" w:rsidTr="00BA1299">
        <w:trPr>
          <w:trHeight w:val="287"/>
        </w:trPr>
        <w:tc>
          <w:tcPr>
            <w:tcW w:w="3261" w:type="dxa"/>
          </w:tcPr>
          <w:p w:rsidR="004C7127" w:rsidRDefault="004C7127" w:rsidP="00BA1299">
            <w:pPr>
              <w:pStyle w:val="BodyRuller"/>
              <w:rPr>
                <w:rtl/>
              </w:rPr>
            </w:pPr>
          </w:p>
        </w:tc>
        <w:tc>
          <w:tcPr>
            <w:tcW w:w="5239" w:type="dxa"/>
          </w:tcPr>
          <w:p w:rsidR="004C7127" w:rsidRDefault="004C7127" w:rsidP="00BA1299">
            <w:pPr>
              <w:pStyle w:val="BodyRuller"/>
              <w:rPr>
                <w:rtl/>
              </w:rPr>
            </w:pPr>
            <w:r>
              <w:rPr>
                <w:rtl/>
              </w:rPr>
              <w:t>כבוד השופטת ד' ברק-ארז</w:t>
            </w:r>
          </w:p>
        </w:tc>
      </w:tr>
      <w:tr w:rsidR="004C7127" w:rsidTr="00BA1299">
        <w:trPr>
          <w:trHeight w:val="287"/>
        </w:trPr>
        <w:tc>
          <w:tcPr>
            <w:tcW w:w="3261" w:type="dxa"/>
          </w:tcPr>
          <w:p w:rsidR="004C7127" w:rsidRDefault="004C7127" w:rsidP="00BA1299">
            <w:pPr>
              <w:pStyle w:val="BodyRuller"/>
              <w:rPr>
                <w:rtl/>
              </w:rPr>
            </w:pPr>
          </w:p>
        </w:tc>
        <w:tc>
          <w:tcPr>
            <w:tcW w:w="5239" w:type="dxa"/>
          </w:tcPr>
          <w:p w:rsidR="004C7127" w:rsidRDefault="004C7127" w:rsidP="00BA1299">
            <w:pPr>
              <w:pStyle w:val="BodyRuller"/>
              <w:rPr>
                <w:rtl/>
              </w:rPr>
            </w:pPr>
            <w:r>
              <w:rPr>
                <w:rtl/>
              </w:rPr>
              <w:t>כבוד השופטת ע' ברון</w:t>
            </w:r>
          </w:p>
        </w:tc>
      </w:tr>
    </w:tbl>
    <w:p w:rsidR="004C7127" w:rsidRDefault="004C7127" w:rsidP="004C7127">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4C7127" w:rsidTr="00BA1299">
        <w:trPr>
          <w:trHeight w:val="287"/>
        </w:trPr>
        <w:tc>
          <w:tcPr>
            <w:tcW w:w="3261" w:type="dxa"/>
          </w:tcPr>
          <w:p w:rsidR="004C7127" w:rsidRPr="00E75223" w:rsidRDefault="004C7127" w:rsidP="00BA1299">
            <w:pPr>
              <w:pStyle w:val="BodyRuller"/>
              <w:rPr>
                <w:rFonts w:ascii="David" w:hAnsi="David"/>
              </w:rPr>
            </w:pPr>
            <w:r>
              <w:rPr>
                <w:rFonts w:ascii="David" w:hAnsi="David"/>
                <w:rtl/>
              </w:rPr>
              <w:t>המבקשים:</w:t>
            </w:r>
          </w:p>
        </w:tc>
        <w:tc>
          <w:tcPr>
            <w:tcW w:w="5239" w:type="dxa"/>
          </w:tcPr>
          <w:p w:rsidR="004C7127" w:rsidRDefault="004C7127" w:rsidP="00BA1299">
            <w:pPr>
              <w:pStyle w:val="BodyRuller"/>
            </w:pPr>
            <w:r>
              <w:rPr>
                <w:rtl/>
              </w:rPr>
              <w:t>1. שר הביטחון</w:t>
            </w:r>
          </w:p>
        </w:tc>
      </w:tr>
      <w:tr w:rsidR="004C7127" w:rsidTr="00BA1299">
        <w:trPr>
          <w:trHeight w:val="287"/>
        </w:trPr>
        <w:tc>
          <w:tcPr>
            <w:tcW w:w="3261" w:type="dxa"/>
          </w:tcPr>
          <w:p w:rsidR="004C7127" w:rsidRDefault="004C7127" w:rsidP="00BA1299">
            <w:pPr>
              <w:pStyle w:val="BodyRuller"/>
              <w:rPr>
                <w:rFonts w:ascii="David" w:hAnsi="David"/>
                <w:rtl/>
              </w:rPr>
            </w:pPr>
          </w:p>
        </w:tc>
        <w:tc>
          <w:tcPr>
            <w:tcW w:w="5239" w:type="dxa"/>
          </w:tcPr>
          <w:p w:rsidR="004C7127" w:rsidRDefault="004C7127" w:rsidP="00BA1299">
            <w:pPr>
              <w:pStyle w:val="BodyRuller"/>
              <w:rPr>
                <w:rtl/>
              </w:rPr>
            </w:pPr>
            <w:r>
              <w:rPr>
                <w:rtl/>
              </w:rPr>
              <w:t>2. המ</w:t>
            </w:r>
            <w:r>
              <w:rPr>
                <w:rFonts w:hint="cs"/>
                <w:rtl/>
              </w:rPr>
              <w:t>י</w:t>
            </w:r>
            <w:r>
              <w:rPr>
                <w:rtl/>
              </w:rPr>
              <w:t>נהל האזרחי ביהודה ושומרון</w:t>
            </w:r>
          </w:p>
        </w:tc>
      </w:tr>
      <w:tr w:rsidR="004C7127" w:rsidTr="00BA1299">
        <w:trPr>
          <w:trHeight w:val="287"/>
        </w:trPr>
        <w:tc>
          <w:tcPr>
            <w:tcW w:w="3261" w:type="dxa"/>
          </w:tcPr>
          <w:p w:rsidR="004C7127" w:rsidRDefault="004C7127" w:rsidP="00BA1299">
            <w:pPr>
              <w:pStyle w:val="BodyRuller"/>
              <w:rPr>
                <w:rFonts w:ascii="David" w:hAnsi="David"/>
                <w:rtl/>
              </w:rPr>
            </w:pPr>
          </w:p>
        </w:tc>
        <w:tc>
          <w:tcPr>
            <w:tcW w:w="5239" w:type="dxa"/>
          </w:tcPr>
          <w:p w:rsidR="004C7127" w:rsidRDefault="004C7127" w:rsidP="00BA1299">
            <w:pPr>
              <w:pStyle w:val="BodyRuller"/>
              <w:rPr>
                <w:rtl/>
              </w:rPr>
            </w:pPr>
            <w:r>
              <w:rPr>
                <w:rtl/>
              </w:rPr>
              <w:t>3. מפקד כוחות צה"ל באזור יהודה ושומרון</w:t>
            </w:r>
          </w:p>
        </w:tc>
      </w:tr>
      <w:tr w:rsidR="004C7127" w:rsidTr="00BA1299">
        <w:trPr>
          <w:trHeight w:val="287"/>
        </w:trPr>
        <w:tc>
          <w:tcPr>
            <w:tcW w:w="3261" w:type="dxa"/>
          </w:tcPr>
          <w:p w:rsidR="004C7127" w:rsidRDefault="004C7127" w:rsidP="00BA1299">
            <w:pPr>
              <w:pStyle w:val="BodyRuller"/>
              <w:rPr>
                <w:rFonts w:ascii="David" w:hAnsi="David"/>
                <w:rtl/>
              </w:rPr>
            </w:pPr>
          </w:p>
        </w:tc>
        <w:tc>
          <w:tcPr>
            <w:tcW w:w="5239" w:type="dxa"/>
          </w:tcPr>
          <w:p w:rsidR="004C7127" w:rsidRDefault="004C7127" w:rsidP="00BA1299">
            <w:pPr>
              <w:pStyle w:val="BodyRuller"/>
              <w:rPr>
                <w:rtl/>
              </w:rPr>
            </w:pPr>
            <w:r>
              <w:rPr>
                <w:rtl/>
              </w:rPr>
              <w:t>4. מפקד משטרת מחוז ש"י</w:t>
            </w:r>
          </w:p>
        </w:tc>
      </w:tr>
    </w:tbl>
    <w:p w:rsidR="004C7127" w:rsidRDefault="004C7127" w:rsidP="004C7127">
      <w:pPr>
        <w:pStyle w:val="Ruller3"/>
      </w:pPr>
    </w:p>
    <w:tbl>
      <w:tblPr>
        <w:bidiVisual/>
        <w:tblW w:w="8363" w:type="dxa"/>
        <w:tblLook w:val="0000" w:firstRow="0" w:lastRow="0" w:firstColumn="0" w:lastColumn="0" w:noHBand="0" w:noVBand="0"/>
      </w:tblPr>
      <w:tblGrid>
        <w:gridCol w:w="3222"/>
        <w:gridCol w:w="5141"/>
      </w:tblGrid>
      <w:tr w:rsidR="004C7127" w:rsidTr="00BA1299">
        <w:tc>
          <w:tcPr>
            <w:tcW w:w="3284" w:type="dxa"/>
          </w:tcPr>
          <w:p w:rsidR="004C7127" w:rsidRDefault="004C7127" w:rsidP="00BA1299">
            <w:pPr>
              <w:pStyle w:val="BodyRuller"/>
            </w:pPr>
          </w:p>
        </w:tc>
        <w:tc>
          <w:tcPr>
            <w:tcW w:w="5238" w:type="dxa"/>
          </w:tcPr>
          <w:p w:rsidR="004C7127" w:rsidRDefault="004C7127" w:rsidP="00BA1299">
            <w:pPr>
              <w:pStyle w:val="BodyRuller"/>
            </w:pPr>
            <w:r>
              <w:rPr>
                <w:rFonts w:hint="cs"/>
                <w:rtl/>
              </w:rPr>
              <w:t>נ</w:t>
            </w:r>
            <w:r>
              <w:t xml:space="preserve">  </w:t>
            </w:r>
            <w:r>
              <w:rPr>
                <w:rFonts w:hint="cs"/>
                <w:rtl/>
              </w:rPr>
              <w:t>ג</w:t>
            </w:r>
            <w:r>
              <w:t xml:space="preserve">  </w:t>
            </w:r>
            <w:r>
              <w:rPr>
                <w:rFonts w:hint="cs"/>
                <w:rtl/>
              </w:rPr>
              <w:t>ד</w:t>
            </w:r>
          </w:p>
        </w:tc>
      </w:tr>
    </w:tbl>
    <w:p w:rsidR="004C7127" w:rsidRDefault="004C7127" w:rsidP="004C7127">
      <w:pPr>
        <w:pStyle w:val="Ruller3"/>
        <w:rPr>
          <w:rtl/>
        </w:rPr>
      </w:pPr>
    </w:p>
    <w:tbl>
      <w:tblPr>
        <w:bidiVisual/>
        <w:tblW w:w="8364" w:type="dxa"/>
        <w:tblLayout w:type="fixed"/>
        <w:tblLook w:val="0000" w:firstRow="0" w:lastRow="0" w:firstColumn="0" w:lastColumn="0" w:noHBand="0" w:noVBand="0"/>
      </w:tblPr>
      <w:tblGrid>
        <w:gridCol w:w="3210"/>
        <w:gridCol w:w="5154"/>
      </w:tblGrid>
      <w:tr w:rsidR="004C7127" w:rsidTr="00BA1299">
        <w:trPr>
          <w:trHeight w:val="287"/>
        </w:trPr>
        <w:tc>
          <w:tcPr>
            <w:tcW w:w="3261" w:type="dxa"/>
          </w:tcPr>
          <w:p w:rsidR="004C7127" w:rsidRPr="00E75223" w:rsidRDefault="004C7127" w:rsidP="00BA1299">
            <w:pPr>
              <w:pStyle w:val="BodyRuller"/>
              <w:rPr>
                <w:rFonts w:ascii="David" w:hAnsi="David"/>
              </w:rPr>
            </w:pPr>
            <w:r>
              <w:rPr>
                <w:rFonts w:ascii="David" w:hAnsi="David"/>
                <w:rtl/>
              </w:rPr>
              <w:t>המשיבים:</w:t>
            </w:r>
          </w:p>
        </w:tc>
        <w:tc>
          <w:tcPr>
            <w:tcW w:w="5239" w:type="dxa"/>
          </w:tcPr>
          <w:p w:rsidR="004C7127" w:rsidRDefault="004C7127" w:rsidP="00BA1299">
            <w:pPr>
              <w:pStyle w:val="BodyRuller"/>
            </w:pPr>
            <w:r>
              <w:rPr>
                <w:rtl/>
              </w:rPr>
              <w:t>1. עבד אלפתאח סאלחה</w:t>
            </w:r>
          </w:p>
        </w:tc>
      </w:tr>
      <w:tr w:rsidR="004C7127" w:rsidTr="00BA1299">
        <w:trPr>
          <w:trHeight w:val="287"/>
        </w:trPr>
        <w:tc>
          <w:tcPr>
            <w:tcW w:w="3261" w:type="dxa"/>
          </w:tcPr>
          <w:p w:rsidR="004C7127" w:rsidRDefault="004C7127" w:rsidP="00BA1299">
            <w:pPr>
              <w:pStyle w:val="BodyRuller"/>
              <w:rPr>
                <w:rFonts w:ascii="David" w:hAnsi="David"/>
                <w:rtl/>
              </w:rPr>
            </w:pPr>
          </w:p>
        </w:tc>
        <w:tc>
          <w:tcPr>
            <w:tcW w:w="5239" w:type="dxa"/>
          </w:tcPr>
          <w:p w:rsidR="004C7127" w:rsidRDefault="004C7127" w:rsidP="00BA1299">
            <w:pPr>
              <w:pStyle w:val="BodyRuller"/>
              <w:rPr>
                <w:rtl/>
              </w:rPr>
            </w:pPr>
            <w:r>
              <w:rPr>
                <w:rtl/>
              </w:rPr>
              <w:t>2. דאוד אחמד עלי רביע</w:t>
            </w:r>
          </w:p>
        </w:tc>
      </w:tr>
      <w:tr w:rsidR="004C7127" w:rsidTr="00BA1299">
        <w:trPr>
          <w:trHeight w:val="287"/>
        </w:trPr>
        <w:tc>
          <w:tcPr>
            <w:tcW w:w="3261" w:type="dxa"/>
          </w:tcPr>
          <w:p w:rsidR="004C7127" w:rsidRDefault="004C7127" w:rsidP="00BA1299">
            <w:pPr>
              <w:pStyle w:val="BodyRuller"/>
              <w:rPr>
                <w:rFonts w:ascii="David" w:hAnsi="David"/>
                <w:rtl/>
              </w:rPr>
            </w:pPr>
          </w:p>
        </w:tc>
        <w:tc>
          <w:tcPr>
            <w:tcW w:w="5239" w:type="dxa"/>
          </w:tcPr>
          <w:p w:rsidR="004C7127" w:rsidRDefault="004C7127" w:rsidP="00BA1299">
            <w:pPr>
              <w:pStyle w:val="BodyRuller"/>
              <w:rPr>
                <w:rtl/>
              </w:rPr>
            </w:pPr>
            <w:r>
              <w:rPr>
                <w:rtl/>
              </w:rPr>
              <w:t>3. חאזם חסין מחמוד עג'אג'</w:t>
            </w:r>
          </w:p>
        </w:tc>
      </w:tr>
      <w:tr w:rsidR="004C7127" w:rsidTr="00BA1299">
        <w:trPr>
          <w:trHeight w:val="287"/>
        </w:trPr>
        <w:tc>
          <w:tcPr>
            <w:tcW w:w="3261" w:type="dxa"/>
          </w:tcPr>
          <w:p w:rsidR="004C7127" w:rsidRDefault="004C7127" w:rsidP="00BA1299">
            <w:pPr>
              <w:pStyle w:val="BodyRuller"/>
              <w:rPr>
                <w:rFonts w:ascii="David" w:hAnsi="David"/>
                <w:rtl/>
              </w:rPr>
            </w:pPr>
          </w:p>
        </w:tc>
        <w:tc>
          <w:tcPr>
            <w:tcW w:w="5239" w:type="dxa"/>
          </w:tcPr>
          <w:p w:rsidR="004C7127" w:rsidRDefault="004C7127" w:rsidP="00BA1299">
            <w:pPr>
              <w:pStyle w:val="BodyRuller"/>
              <w:rPr>
                <w:rtl/>
              </w:rPr>
            </w:pPr>
            <w:r>
              <w:rPr>
                <w:rFonts w:hint="cs"/>
                <w:rtl/>
              </w:rPr>
              <w:t>39-4</w:t>
            </w:r>
            <w:r>
              <w:rPr>
                <w:rtl/>
              </w:rPr>
              <w:t>. אנג'ל איציק ואח'</w:t>
            </w:r>
          </w:p>
        </w:tc>
      </w:tr>
      <w:tr w:rsidR="004C7127" w:rsidTr="00BA1299">
        <w:trPr>
          <w:trHeight w:val="287"/>
        </w:trPr>
        <w:tc>
          <w:tcPr>
            <w:tcW w:w="3261" w:type="dxa"/>
          </w:tcPr>
          <w:p w:rsidR="004C7127" w:rsidRDefault="004C7127" w:rsidP="00BA1299">
            <w:pPr>
              <w:pStyle w:val="BodyRuller"/>
              <w:rPr>
                <w:rFonts w:ascii="David" w:hAnsi="David"/>
                <w:rtl/>
              </w:rPr>
            </w:pPr>
          </w:p>
        </w:tc>
        <w:tc>
          <w:tcPr>
            <w:tcW w:w="5239" w:type="dxa"/>
          </w:tcPr>
          <w:p w:rsidR="004C7127" w:rsidRDefault="004C7127" w:rsidP="00BA1299">
            <w:pPr>
              <w:pStyle w:val="BodyRuller"/>
              <w:rPr>
                <w:rtl/>
              </w:rPr>
            </w:pPr>
            <w:r>
              <w:rPr>
                <w:rFonts w:hint="cs"/>
                <w:rtl/>
              </w:rPr>
              <w:t>40</w:t>
            </w:r>
            <w:r>
              <w:rPr>
                <w:rtl/>
              </w:rPr>
              <w:t>. ההסתדרות הציונית העולמית - החטיבה להתיישבות</w:t>
            </w:r>
          </w:p>
        </w:tc>
      </w:tr>
    </w:tbl>
    <w:p w:rsidR="004C7127" w:rsidRDefault="004C7127" w:rsidP="004C7127">
      <w:pPr>
        <w:pStyle w:val="Ruller3"/>
        <w:rPr>
          <w:rtl/>
        </w:rPr>
      </w:pPr>
    </w:p>
    <w:tbl>
      <w:tblPr>
        <w:bidiVisual/>
        <w:tblW w:w="8364" w:type="dxa"/>
        <w:tblLayout w:type="fixed"/>
        <w:tblLook w:val="0000" w:firstRow="0" w:lastRow="0" w:firstColumn="0" w:lastColumn="0" w:noHBand="0" w:noVBand="0"/>
      </w:tblPr>
      <w:tblGrid>
        <w:gridCol w:w="3210"/>
        <w:gridCol w:w="5154"/>
      </w:tblGrid>
      <w:tr w:rsidR="004C7127" w:rsidTr="00BA1299">
        <w:trPr>
          <w:trHeight w:val="287"/>
        </w:trPr>
        <w:tc>
          <w:tcPr>
            <w:tcW w:w="3261" w:type="dxa"/>
          </w:tcPr>
          <w:p w:rsidR="004C7127" w:rsidRDefault="004C7127" w:rsidP="00BA1299">
            <w:pPr>
              <w:pStyle w:val="BodyRuller"/>
              <w:rPr>
                <w:rFonts w:ascii="David" w:hAnsi="David"/>
                <w:rtl/>
              </w:rPr>
            </w:pPr>
            <w:r>
              <w:rPr>
                <w:rFonts w:ascii="David" w:hAnsi="David" w:hint="cs"/>
                <w:rtl/>
              </w:rPr>
              <w:t>המבקשים להצטרף כ"ידידי בית המשפט":</w:t>
            </w:r>
          </w:p>
        </w:tc>
        <w:tc>
          <w:tcPr>
            <w:tcW w:w="5239" w:type="dxa"/>
          </w:tcPr>
          <w:p w:rsidR="004C7127" w:rsidRDefault="004C7127" w:rsidP="00BA1299">
            <w:pPr>
              <w:pStyle w:val="BodyRuller"/>
              <w:rPr>
                <w:rtl/>
              </w:rPr>
            </w:pPr>
          </w:p>
          <w:p w:rsidR="004C7127" w:rsidRDefault="004C7127" w:rsidP="00BA1299">
            <w:pPr>
              <w:pStyle w:val="BodyRuller"/>
              <w:rPr>
                <w:rtl/>
              </w:rPr>
            </w:pPr>
            <w:r>
              <w:rPr>
                <w:rFonts w:hint="cs"/>
                <w:rtl/>
              </w:rPr>
              <w:t>1. שלום עכשיו ש.ע.ל מפעלים חינוכיים</w:t>
            </w:r>
          </w:p>
          <w:p w:rsidR="004C7127" w:rsidRDefault="004C7127" w:rsidP="00BA1299">
            <w:pPr>
              <w:pStyle w:val="BodyRuller"/>
              <w:rPr>
                <w:rtl/>
              </w:rPr>
            </w:pPr>
            <w:r>
              <w:rPr>
                <w:rFonts w:hint="cs"/>
                <w:rtl/>
              </w:rPr>
              <w:t xml:space="preserve">2. יש דין </w:t>
            </w:r>
            <w:r>
              <w:rPr>
                <w:rtl/>
              </w:rPr>
              <w:t>–</w:t>
            </w:r>
            <w:r>
              <w:rPr>
                <w:rFonts w:hint="cs"/>
                <w:rtl/>
              </w:rPr>
              <w:t xml:space="preserve"> ארגון מתנדבים לזכויות אדם</w:t>
            </w:r>
          </w:p>
          <w:p w:rsidR="004C7127" w:rsidRDefault="004C7127" w:rsidP="00BA1299">
            <w:pPr>
              <w:pStyle w:val="BodyRuller"/>
              <w:rPr>
                <w:rtl/>
              </w:rPr>
            </w:pPr>
            <w:r>
              <w:rPr>
                <w:rFonts w:hint="cs"/>
                <w:rtl/>
              </w:rPr>
              <w:t>3. האגודה לזכויות האזרח בישראל</w:t>
            </w:r>
          </w:p>
        </w:tc>
      </w:tr>
    </w:tbl>
    <w:p w:rsidR="004C7127" w:rsidRDefault="004C7127" w:rsidP="004C7127">
      <w:pPr>
        <w:pStyle w:val="Ruller3"/>
      </w:pPr>
    </w:p>
    <w:tbl>
      <w:tblPr>
        <w:bidiVisual/>
        <w:tblW w:w="0" w:type="auto"/>
        <w:tblInd w:w="3209" w:type="dxa"/>
        <w:tblLook w:val="0000" w:firstRow="0" w:lastRow="0" w:firstColumn="0" w:lastColumn="0" w:noHBand="0" w:noVBand="0"/>
      </w:tblPr>
      <w:tblGrid>
        <w:gridCol w:w="5103"/>
      </w:tblGrid>
      <w:tr w:rsidR="004C7127" w:rsidTr="00BA1299">
        <w:tc>
          <w:tcPr>
            <w:tcW w:w="5103" w:type="dxa"/>
          </w:tcPr>
          <w:p w:rsidR="004C7127" w:rsidRPr="00265F6E" w:rsidRDefault="004C7127" w:rsidP="00BA1299">
            <w:pPr>
              <w:pStyle w:val="BodyRuller"/>
              <w:jc w:val="both"/>
              <w:rPr>
                <w:sz w:val="24"/>
                <w:szCs w:val="24"/>
              </w:rPr>
            </w:pPr>
            <w:r>
              <w:rPr>
                <w:rFonts w:hint="cs"/>
                <w:sz w:val="24"/>
                <w:szCs w:val="24"/>
                <w:rtl/>
              </w:rPr>
              <w:t>דיון נוסף בפסק הדין של בית המשפט העליון (כב' הנשיאה א' חיות, המשנה לנשיאה ח' מלצר והשופט נ' הנדל) בע"א 7668/18 מיום 27.8.2020</w:t>
            </w:r>
          </w:p>
        </w:tc>
      </w:tr>
    </w:tbl>
    <w:p w:rsidR="004C7127" w:rsidRDefault="004C7127" w:rsidP="004C7127">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4C7127" w:rsidTr="00BA1299">
        <w:tc>
          <w:tcPr>
            <w:tcW w:w="3212" w:type="dxa"/>
            <w:tcBorders>
              <w:top w:val="nil"/>
              <w:left w:val="nil"/>
              <w:bottom w:val="nil"/>
              <w:right w:val="nil"/>
            </w:tcBorders>
          </w:tcPr>
          <w:p w:rsidR="004C7127" w:rsidRPr="00265F6E" w:rsidRDefault="004C7127" w:rsidP="00BA1299">
            <w:pPr>
              <w:pStyle w:val="BodyRuller"/>
              <w:rPr>
                <w:sz w:val="24"/>
                <w:szCs w:val="24"/>
              </w:rPr>
            </w:pPr>
            <w:r w:rsidRPr="00265F6E">
              <w:rPr>
                <w:sz w:val="24"/>
                <w:szCs w:val="24"/>
                <w:rtl/>
              </w:rPr>
              <w:t>תאריך הישיבה:</w:t>
            </w:r>
          </w:p>
        </w:tc>
        <w:tc>
          <w:tcPr>
            <w:tcW w:w="2409" w:type="dxa"/>
            <w:tcBorders>
              <w:top w:val="nil"/>
              <w:left w:val="nil"/>
              <w:bottom w:val="nil"/>
              <w:right w:val="nil"/>
            </w:tcBorders>
          </w:tcPr>
          <w:p w:rsidR="004C7127" w:rsidRDefault="004C7127" w:rsidP="00CF4F73">
            <w:pPr>
              <w:pStyle w:val="BodyRuller"/>
              <w:rPr>
                <w:rtl/>
              </w:rPr>
            </w:pPr>
            <w:r>
              <w:rPr>
                <w:sz w:val="24"/>
                <w:szCs w:val="24"/>
                <w:rtl/>
              </w:rPr>
              <w:t>כ"ז בתשרי התשפ"ב</w:t>
            </w:r>
            <w:r>
              <w:t xml:space="preserve"> </w:t>
            </w:r>
          </w:p>
        </w:tc>
        <w:tc>
          <w:tcPr>
            <w:tcW w:w="2694" w:type="dxa"/>
            <w:tcBorders>
              <w:top w:val="nil"/>
              <w:left w:val="nil"/>
              <w:bottom w:val="nil"/>
              <w:right w:val="nil"/>
            </w:tcBorders>
          </w:tcPr>
          <w:p w:rsidR="004C7127" w:rsidRDefault="004C7127" w:rsidP="00BA1299">
            <w:pPr>
              <w:pStyle w:val="BodyRuller"/>
              <w:rPr>
                <w:sz w:val="24"/>
                <w:szCs w:val="24"/>
                <w:rtl/>
              </w:rPr>
            </w:pPr>
            <w:r>
              <w:t xml:space="preserve">(3.10.2021) </w:t>
            </w:r>
          </w:p>
        </w:tc>
      </w:tr>
    </w:tbl>
    <w:p w:rsidR="004C7127" w:rsidRDefault="004C7127" w:rsidP="004C7127">
      <w:pPr>
        <w:pStyle w:val="Ruller3"/>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4C7127" w:rsidTr="00BA1299">
        <w:tc>
          <w:tcPr>
            <w:tcW w:w="3214" w:type="dxa"/>
            <w:tcBorders>
              <w:top w:val="nil"/>
              <w:left w:val="nil"/>
              <w:bottom w:val="nil"/>
              <w:right w:val="nil"/>
            </w:tcBorders>
          </w:tcPr>
          <w:p w:rsidR="004C7127" w:rsidRDefault="004C7127" w:rsidP="00BA1299">
            <w:pPr>
              <w:pStyle w:val="BodyRuller"/>
            </w:pPr>
            <w:r>
              <w:rPr>
                <w:rtl/>
              </w:rPr>
              <w:t>בשם המבקשים:</w:t>
            </w:r>
          </w:p>
        </w:tc>
        <w:tc>
          <w:tcPr>
            <w:tcW w:w="5149" w:type="dxa"/>
            <w:tcBorders>
              <w:top w:val="nil"/>
              <w:left w:val="nil"/>
              <w:bottom w:val="nil"/>
              <w:right w:val="nil"/>
            </w:tcBorders>
          </w:tcPr>
          <w:p w:rsidR="004C7127" w:rsidRDefault="004C7127" w:rsidP="00BA1299">
            <w:pPr>
              <w:pStyle w:val="BodyRuller"/>
            </w:pPr>
            <w:r>
              <w:rPr>
                <w:rtl/>
              </w:rPr>
              <w:t xml:space="preserve">עו"ד </w:t>
            </w:r>
            <w:r>
              <w:rPr>
                <w:rFonts w:hint="cs"/>
                <w:rtl/>
              </w:rPr>
              <w:t>אפי יגל</w:t>
            </w:r>
          </w:p>
        </w:tc>
      </w:tr>
    </w:tbl>
    <w:p w:rsidR="004C7127" w:rsidRDefault="004C7127" w:rsidP="004C7127">
      <w:pPr>
        <w:pStyle w:val="Ruller3"/>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4C7127" w:rsidTr="00BA1299">
        <w:tc>
          <w:tcPr>
            <w:tcW w:w="3214" w:type="dxa"/>
            <w:tcBorders>
              <w:top w:val="nil"/>
              <w:left w:val="nil"/>
              <w:bottom w:val="nil"/>
              <w:right w:val="nil"/>
            </w:tcBorders>
          </w:tcPr>
          <w:p w:rsidR="004C7127" w:rsidRDefault="004C7127" w:rsidP="00BA1299">
            <w:pPr>
              <w:pStyle w:val="BodyRuller"/>
            </w:pPr>
            <w:r>
              <w:rPr>
                <w:rtl/>
              </w:rPr>
              <w:t>בשם המשיבים</w:t>
            </w:r>
            <w:r>
              <w:rPr>
                <w:rFonts w:hint="cs"/>
                <w:rtl/>
              </w:rPr>
              <w:t xml:space="preserve"> 3-1:</w:t>
            </w:r>
          </w:p>
        </w:tc>
        <w:tc>
          <w:tcPr>
            <w:tcW w:w="5149" w:type="dxa"/>
            <w:tcBorders>
              <w:top w:val="nil"/>
              <w:left w:val="nil"/>
              <w:bottom w:val="nil"/>
              <w:right w:val="nil"/>
            </w:tcBorders>
          </w:tcPr>
          <w:p w:rsidR="004C7127" w:rsidRDefault="004C7127" w:rsidP="00BA1299">
            <w:pPr>
              <w:pStyle w:val="BodyRuller"/>
            </w:pPr>
            <w:r>
              <w:rPr>
                <w:rFonts w:hint="cs"/>
                <w:rtl/>
              </w:rPr>
              <w:t>עו"ד חוסאם יונס</w:t>
            </w:r>
          </w:p>
        </w:tc>
      </w:tr>
    </w:tbl>
    <w:p w:rsidR="004C7127" w:rsidRDefault="004C7127" w:rsidP="004C7127">
      <w:pPr>
        <w:tabs>
          <w:tab w:val="left" w:pos="2552"/>
        </w:tabs>
        <w:spacing w:line="360" w:lineRule="auto"/>
        <w:rPr>
          <w:rtl/>
        </w:rPr>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4C7127" w:rsidTr="00BA1299">
        <w:tc>
          <w:tcPr>
            <w:tcW w:w="3214" w:type="dxa"/>
            <w:tcBorders>
              <w:top w:val="nil"/>
              <w:left w:val="nil"/>
              <w:bottom w:val="nil"/>
              <w:right w:val="nil"/>
            </w:tcBorders>
          </w:tcPr>
          <w:p w:rsidR="004C7127" w:rsidRDefault="004C7127" w:rsidP="00BA1299">
            <w:pPr>
              <w:pStyle w:val="BodyRuller"/>
            </w:pPr>
            <w:r>
              <w:rPr>
                <w:rtl/>
              </w:rPr>
              <w:t>בשם המשיבים</w:t>
            </w:r>
            <w:r>
              <w:rPr>
                <w:rFonts w:hint="cs"/>
                <w:rtl/>
              </w:rPr>
              <w:t xml:space="preserve"> 23-4:</w:t>
            </w:r>
          </w:p>
        </w:tc>
        <w:tc>
          <w:tcPr>
            <w:tcW w:w="5149" w:type="dxa"/>
            <w:tcBorders>
              <w:top w:val="nil"/>
              <w:left w:val="nil"/>
              <w:bottom w:val="nil"/>
              <w:right w:val="nil"/>
            </w:tcBorders>
          </w:tcPr>
          <w:p w:rsidR="004C7127" w:rsidRDefault="004C7127" w:rsidP="00BA1299">
            <w:pPr>
              <w:pStyle w:val="BodyRuller"/>
            </w:pPr>
            <w:r>
              <w:rPr>
                <w:rFonts w:hint="cs"/>
                <w:rtl/>
              </w:rPr>
              <w:t>עו"ד ירון קוסטליץ; עו"ד אביעד שאולזון</w:t>
            </w:r>
          </w:p>
        </w:tc>
      </w:tr>
    </w:tbl>
    <w:p w:rsidR="004C7127" w:rsidRDefault="004C7127" w:rsidP="004C7127">
      <w:pPr>
        <w:tabs>
          <w:tab w:val="left" w:pos="2552"/>
        </w:tabs>
        <w:spacing w:line="360" w:lineRule="auto"/>
        <w:rPr>
          <w:rtl/>
        </w:rPr>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4C7127" w:rsidTr="00BA1299">
        <w:tc>
          <w:tcPr>
            <w:tcW w:w="3214" w:type="dxa"/>
            <w:tcBorders>
              <w:top w:val="nil"/>
              <w:left w:val="nil"/>
              <w:bottom w:val="nil"/>
              <w:right w:val="nil"/>
            </w:tcBorders>
          </w:tcPr>
          <w:p w:rsidR="004C7127" w:rsidRDefault="004C7127" w:rsidP="00BA1299">
            <w:pPr>
              <w:pStyle w:val="BodyRuller"/>
            </w:pPr>
            <w:r>
              <w:rPr>
                <w:rtl/>
              </w:rPr>
              <w:lastRenderedPageBreak/>
              <w:t>בשם המשיבים</w:t>
            </w:r>
            <w:r>
              <w:rPr>
                <w:rFonts w:hint="cs"/>
                <w:rtl/>
              </w:rPr>
              <w:t xml:space="preserve"> 39-24:</w:t>
            </w:r>
          </w:p>
        </w:tc>
        <w:tc>
          <w:tcPr>
            <w:tcW w:w="5149" w:type="dxa"/>
            <w:tcBorders>
              <w:top w:val="nil"/>
              <w:left w:val="nil"/>
              <w:bottom w:val="nil"/>
              <w:right w:val="nil"/>
            </w:tcBorders>
          </w:tcPr>
          <w:p w:rsidR="004C7127" w:rsidRDefault="004C7127" w:rsidP="00BA1299">
            <w:pPr>
              <w:pStyle w:val="BodyRuller"/>
            </w:pPr>
            <w:r>
              <w:rPr>
                <w:rFonts w:hint="cs"/>
                <w:rtl/>
              </w:rPr>
              <w:t>עו"ד הראל ארנון; עו"ד גלי פרלמן</w:t>
            </w:r>
          </w:p>
        </w:tc>
      </w:tr>
    </w:tbl>
    <w:p w:rsidR="004C7127" w:rsidRDefault="004C7127" w:rsidP="004C7127">
      <w:pPr>
        <w:tabs>
          <w:tab w:val="left" w:pos="2552"/>
        </w:tabs>
        <w:spacing w:line="360" w:lineRule="auto"/>
        <w:rPr>
          <w:rtl/>
        </w:rPr>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4C7127" w:rsidTr="00BA1299">
        <w:tc>
          <w:tcPr>
            <w:tcW w:w="3214" w:type="dxa"/>
            <w:tcBorders>
              <w:top w:val="nil"/>
              <w:left w:val="nil"/>
              <w:bottom w:val="nil"/>
              <w:right w:val="nil"/>
            </w:tcBorders>
          </w:tcPr>
          <w:p w:rsidR="004C7127" w:rsidRDefault="004C7127" w:rsidP="00BA1299">
            <w:pPr>
              <w:pStyle w:val="BodyRuller"/>
            </w:pPr>
            <w:r>
              <w:rPr>
                <w:rtl/>
              </w:rPr>
              <w:t xml:space="preserve">בשם </w:t>
            </w:r>
            <w:r>
              <w:rPr>
                <w:rFonts w:hint="cs"/>
                <w:rtl/>
              </w:rPr>
              <w:t>המשיבה 40:</w:t>
            </w:r>
          </w:p>
        </w:tc>
        <w:tc>
          <w:tcPr>
            <w:tcW w:w="5149" w:type="dxa"/>
            <w:tcBorders>
              <w:top w:val="nil"/>
              <w:left w:val="nil"/>
              <w:bottom w:val="nil"/>
              <w:right w:val="nil"/>
            </w:tcBorders>
          </w:tcPr>
          <w:p w:rsidR="004C7127" w:rsidRDefault="004C7127" w:rsidP="00BA1299">
            <w:pPr>
              <w:pStyle w:val="BodyRuller"/>
            </w:pPr>
            <w:r>
              <w:rPr>
                <w:rFonts w:hint="cs"/>
                <w:rtl/>
              </w:rPr>
              <w:t>עו"ד אהוד עינבר</w:t>
            </w:r>
          </w:p>
        </w:tc>
      </w:tr>
    </w:tbl>
    <w:p w:rsidR="004C7127" w:rsidRPr="007605C6" w:rsidRDefault="004C7127" w:rsidP="004C7127">
      <w:pPr>
        <w:tabs>
          <w:tab w:val="left" w:pos="2552"/>
        </w:tabs>
        <w:rPr>
          <w:rtl/>
        </w:rPr>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4C7127" w:rsidTr="00BA1299">
        <w:tc>
          <w:tcPr>
            <w:tcW w:w="3214" w:type="dxa"/>
            <w:tcBorders>
              <w:top w:val="nil"/>
              <w:left w:val="nil"/>
              <w:bottom w:val="nil"/>
              <w:right w:val="nil"/>
            </w:tcBorders>
          </w:tcPr>
          <w:p w:rsidR="004C7127" w:rsidRDefault="004C7127" w:rsidP="00BA1299">
            <w:pPr>
              <w:pStyle w:val="BodyRuller"/>
            </w:pPr>
            <w:r>
              <w:rPr>
                <w:rFonts w:hint="cs"/>
                <w:rtl/>
              </w:rPr>
              <w:t>בשם המבקשת להצטרף 1 כ"ידיד בית המשפט":</w:t>
            </w:r>
          </w:p>
        </w:tc>
        <w:tc>
          <w:tcPr>
            <w:tcW w:w="5149" w:type="dxa"/>
            <w:tcBorders>
              <w:top w:val="nil"/>
              <w:left w:val="nil"/>
              <w:bottom w:val="nil"/>
              <w:right w:val="nil"/>
            </w:tcBorders>
          </w:tcPr>
          <w:p w:rsidR="004C7127" w:rsidRDefault="004C7127" w:rsidP="00BA1299">
            <w:pPr>
              <w:pStyle w:val="BodyRuller"/>
              <w:rPr>
                <w:rtl/>
              </w:rPr>
            </w:pPr>
          </w:p>
          <w:p w:rsidR="004C7127" w:rsidRDefault="004C7127" w:rsidP="00BA1299">
            <w:pPr>
              <w:pStyle w:val="BodyRuller"/>
            </w:pPr>
            <w:r>
              <w:rPr>
                <w:rFonts w:hint="cs"/>
                <w:rtl/>
              </w:rPr>
              <w:t>עו"ד מיכאל ספרד</w:t>
            </w:r>
          </w:p>
        </w:tc>
      </w:tr>
    </w:tbl>
    <w:p w:rsidR="004C7127" w:rsidRPr="007605C6" w:rsidRDefault="004C7127" w:rsidP="004C7127">
      <w:pPr>
        <w:tabs>
          <w:tab w:val="left" w:pos="2552"/>
        </w:tabs>
        <w:spacing w:line="360" w:lineRule="auto"/>
        <w:rPr>
          <w:rtl/>
        </w:rPr>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4C7127" w:rsidTr="00BA1299">
        <w:tc>
          <w:tcPr>
            <w:tcW w:w="3214" w:type="dxa"/>
            <w:tcBorders>
              <w:top w:val="nil"/>
              <w:left w:val="nil"/>
              <w:bottom w:val="nil"/>
              <w:right w:val="nil"/>
            </w:tcBorders>
          </w:tcPr>
          <w:p w:rsidR="004C7127" w:rsidRDefault="004C7127" w:rsidP="00BA1299">
            <w:pPr>
              <w:pStyle w:val="BodyRuller"/>
            </w:pPr>
            <w:r>
              <w:rPr>
                <w:rFonts w:hint="cs"/>
                <w:rtl/>
              </w:rPr>
              <w:t>בשם המבקשים להצטרף 3-2 כ"ידידי בית המשפט":</w:t>
            </w:r>
          </w:p>
        </w:tc>
        <w:tc>
          <w:tcPr>
            <w:tcW w:w="5149" w:type="dxa"/>
            <w:tcBorders>
              <w:top w:val="nil"/>
              <w:left w:val="nil"/>
              <w:bottom w:val="nil"/>
              <w:right w:val="nil"/>
            </w:tcBorders>
          </w:tcPr>
          <w:p w:rsidR="004C7127" w:rsidRDefault="004C7127" w:rsidP="00BA1299">
            <w:pPr>
              <w:pStyle w:val="BodyRuller"/>
              <w:rPr>
                <w:rtl/>
              </w:rPr>
            </w:pPr>
          </w:p>
          <w:p w:rsidR="004C7127" w:rsidRDefault="004C7127" w:rsidP="00BA1299">
            <w:pPr>
              <w:pStyle w:val="BodyRuller"/>
              <w:jc w:val="both"/>
            </w:pPr>
            <w:r w:rsidRPr="00501A84">
              <w:rPr>
                <w:rtl/>
              </w:rPr>
              <w:t>עו"ד שלומי זכריה; עו"ד רוני פלי; עו"ד ליאור צור</w:t>
            </w:r>
          </w:p>
        </w:tc>
      </w:tr>
    </w:tbl>
    <w:p w:rsidR="004C7127" w:rsidRDefault="004C7127" w:rsidP="004C7127">
      <w:pPr>
        <w:tabs>
          <w:tab w:val="left" w:pos="2552"/>
        </w:tabs>
        <w:rPr>
          <w:rtl/>
        </w:rPr>
      </w:pPr>
    </w:p>
    <w:p w:rsidR="004C7127" w:rsidRPr="007605C6" w:rsidRDefault="004C7127" w:rsidP="004C7127">
      <w:pPr>
        <w:tabs>
          <w:tab w:val="left" w:pos="2552"/>
        </w:tabs>
      </w:pPr>
    </w:p>
    <w:tbl>
      <w:tblPr>
        <w:bidiVisual/>
        <w:tblW w:w="8363" w:type="dxa"/>
        <w:tblLook w:val="0000" w:firstRow="0" w:lastRow="0" w:firstColumn="0" w:lastColumn="0" w:noHBand="0" w:noVBand="0"/>
      </w:tblPr>
      <w:tblGrid>
        <w:gridCol w:w="8363"/>
      </w:tblGrid>
      <w:tr w:rsidR="004C7127" w:rsidTr="00BA1299">
        <w:tc>
          <w:tcPr>
            <w:tcW w:w="9837" w:type="dxa"/>
          </w:tcPr>
          <w:p w:rsidR="004C7127" w:rsidRDefault="004C7127" w:rsidP="00BA1299">
            <w:pPr>
              <w:pStyle w:val="DocumentHead"/>
            </w:pPr>
            <w:bookmarkStart w:id="1" w:name="secretary"/>
            <w:bookmarkStart w:id="2" w:name="BeginProtocol"/>
            <w:bookmarkEnd w:id="1"/>
            <w:bookmarkEnd w:id="2"/>
            <w:r>
              <w:rPr>
                <w:rFonts w:hint="cs"/>
                <w:rtl/>
              </w:rPr>
              <w:t>פסק-דין</w:t>
            </w:r>
          </w:p>
        </w:tc>
      </w:tr>
    </w:tbl>
    <w:p w:rsidR="004C7127" w:rsidRPr="003D5EDD" w:rsidRDefault="004C7127" w:rsidP="004C7127">
      <w:pPr>
        <w:pStyle w:val="BODYVERDICT"/>
        <w:spacing w:line="360" w:lineRule="auto"/>
        <w:jc w:val="both"/>
        <w:rPr>
          <w:rFonts w:ascii="Century" w:hAnsi="Century"/>
        </w:rPr>
      </w:pPr>
    </w:p>
    <w:p w:rsidR="004C7127" w:rsidRPr="00A56E77" w:rsidRDefault="004C7127" w:rsidP="00A56E77">
      <w:pPr>
        <w:pStyle w:val="1"/>
        <w:spacing w:before="0"/>
        <w:rPr>
          <w:rFonts w:ascii="Century" w:hAnsi="Century" w:cs="Miriam"/>
          <w:b/>
          <w:color w:val="auto"/>
          <w:spacing w:val="0"/>
          <w:sz w:val="22"/>
          <w:szCs w:val="24"/>
          <w:rtl/>
        </w:rPr>
      </w:pPr>
      <w:bookmarkStart w:id="3" w:name="Writer_Name"/>
      <w:bookmarkEnd w:id="3"/>
      <w:r w:rsidRPr="00A56E77">
        <w:rPr>
          <w:rFonts w:ascii="Century" w:hAnsi="Century" w:cs="Miriam" w:hint="cs"/>
          <w:b/>
          <w:color w:val="auto"/>
          <w:spacing w:val="0"/>
          <w:sz w:val="22"/>
          <w:szCs w:val="24"/>
          <w:u w:val="single"/>
          <w:rtl/>
        </w:rPr>
        <w:t>המשנה לנשיאה</w:t>
      </w:r>
      <w:r w:rsidRPr="00A56E77">
        <w:rPr>
          <w:rFonts w:ascii="Century" w:hAnsi="Century" w:cs="Miriam"/>
          <w:b/>
          <w:color w:val="auto"/>
          <w:spacing w:val="0"/>
          <w:sz w:val="22"/>
          <w:szCs w:val="24"/>
          <w:u w:val="single"/>
          <w:rtl/>
        </w:rPr>
        <w:t xml:space="preserve"> ע' פוגלמן</w:t>
      </w:r>
      <w:r w:rsidRPr="00A56E77">
        <w:rPr>
          <w:rFonts w:ascii="Century" w:hAnsi="Century" w:cs="Miriam"/>
          <w:b/>
          <w:color w:val="auto"/>
          <w:spacing w:val="0"/>
          <w:sz w:val="22"/>
          <w:szCs w:val="24"/>
          <w:rtl/>
        </w:rPr>
        <w:t>:</w:t>
      </w:r>
    </w:p>
    <w:p w:rsidR="004C7127" w:rsidRDefault="004C7127" w:rsidP="004C7127">
      <w:pPr>
        <w:pStyle w:val="Ruller4"/>
        <w:numPr>
          <w:ilvl w:val="0"/>
          <w:numId w:val="0"/>
        </w:numPr>
        <w:rPr>
          <w:rFonts w:ascii="Century" w:hAnsi="Century" w:cs="Miriam"/>
          <w:b/>
          <w:spacing w:val="0"/>
          <w:sz w:val="22"/>
          <w:szCs w:val="24"/>
          <w:rtl/>
        </w:rPr>
      </w:pPr>
      <w:bookmarkStart w:id="4" w:name="Start_Write"/>
      <w:bookmarkEnd w:id="4"/>
    </w:p>
    <w:p w:rsidR="004C7127" w:rsidRPr="00F661E4" w:rsidRDefault="004C7127" w:rsidP="00346C8E">
      <w:pPr>
        <w:pStyle w:val="Ruller4"/>
        <w:numPr>
          <w:ilvl w:val="0"/>
          <w:numId w:val="0"/>
        </w:numPr>
        <w:rPr>
          <w:rFonts w:ascii="Century" w:hAnsi="Century"/>
          <w:sz w:val="22"/>
          <w:rtl/>
        </w:rPr>
      </w:pPr>
      <w:r>
        <w:rPr>
          <w:rtl/>
        </w:rPr>
        <w:tab/>
      </w:r>
      <w:r>
        <w:rPr>
          <w:rFonts w:hint="cs"/>
          <w:rtl/>
        </w:rPr>
        <w:t>דיון נוסף בעקבות פסק דינו של בית משפט זה בע"א 7668/1</w:t>
      </w:r>
      <w:r w:rsidR="00346C8E">
        <w:rPr>
          <w:rFonts w:hint="cs"/>
          <w:rtl/>
        </w:rPr>
        <w:t>8</w:t>
      </w:r>
      <w:bookmarkStart w:id="5" w:name="_GoBack"/>
      <w:bookmarkEnd w:id="5"/>
      <w:r>
        <w:rPr>
          <w:rFonts w:hint="cs"/>
          <w:rtl/>
        </w:rPr>
        <w:t xml:space="preserve"> </w:t>
      </w:r>
      <w:r w:rsidRPr="00CC73B1">
        <w:rPr>
          <w:rFonts w:ascii="Century" w:hAnsi="Century" w:cs="Miriam" w:hint="cs"/>
          <w:b/>
          <w:spacing w:val="0"/>
          <w:sz w:val="22"/>
          <w:szCs w:val="24"/>
          <w:rtl/>
        </w:rPr>
        <w:t>סאלחה נ' אנג'ל</w:t>
      </w:r>
      <w:r w:rsidRPr="00CC73B1">
        <w:rPr>
          <w:rFonts w:ascii="Century" w:hAnsi="Century" w:hint="cs"/>
          <w:sz w:val="22"/>
          <w:rtl/>
        </w:rPr>
        <w:t xml:space="preserve"> </w:t>
      </w:r>
      <w:r>
        <w:rPr>
          <w:rFonts w:ascii="Century" w:hAnsi="Century" w:hint="cs"/>
          <w:sz w:val="22"/>
          <w:rtl/>
        </w:rPr>
        <w:t xml:space="preserve">מיום 27.8.2020 (הנשיאה </w:t>
      </w:r>
      <w:r>
        <w:rPr>
          <w:rFonts w:ascii="Century" w:hAnsi="Century" w:cs="Miriam" w:hint="cs"/>
          <w:b/>
          <w:spacing w:val="0"/>
          <w:sz w:val="22"/>
          <w:szCs w:val="24"/>
          <w:rtl/>
        </w:rPr>
        <w:t>א' חיות</w:t>
      </w:r>
      <w:r>
        <w:rPr>
          <w:rFonts w:ascii="Century" w:hAnsi="Century" w:hint="cs"/>
          <w:sz w:val="22"/>
          <w:rtl/>
        </w:rPr>
        <w:t xml:space="preserve">, המשנה לנשיאה </w:t>
      </w:r>
      <w:r>
        <w:rPr>
          <w:rFonts w:ascii="Century" w:hAnsi="Century" w:cs="Miriam" w:hint="cs"/>
          <w:b/>
          <w:spacing w:val="0"/>
          <w:sz w:val="22"/>
          <w:szCs w:val="24"/>
          <w:rtl/>
        </w:rPr>
        <w:t xml:space="preserve">ח' מלצר </w:t>
      </w:r>
      <w:r>
        <w:rPr>
          <w:rFonts w:ascii="Century" w:hAnsi="Century" w:hint="cs"/>
          <w:sz w:val="22"/>
          <w:rtl/>
        </w:rPr>
        <w:t xml:space="preserve">והשופט (כתוארו אז) </w:t>
      </w:r>
      <w:r>
        <w:rPr>
          <w:rFonts w:ascii="Century" w:hAnsi="Century" w:cs="Miriam" w:hint="cs"/>
          <w:b/>
          <w:spacing w:val="0"/>
          <w:sz w:val="22"/>
          <w:szCs w:val="24"/>
          <w:rtl/>
        </w:rPr>
        <w:t>נ' הנדל</w:t>
      </w:r>
      <w:r>
        <w:rPr>
          <w:rFonts w:ascii="Century" w:hAnsi="Century" w:hint="cs"/>
          <w:sz w:val="22"/>
          <w:rtl/>
        </w:rPr>
        <w:t xml:space="preserve">). במוקד הדיון השאלה אם החלקות שעליהן ממוקם היישוב מצפה כרמים הוקצו על ידי רשויות האזור להסתדרות הציונית, ואם התושבים הישראליים שמחזיקים במקרקעין לצרכי מגורים (להלן: </w:t>
      </w:r>
      <w:r>
        <w:rPr>
          <w:rFonts w:ascii="Century" w:hAnsi="Century" w:cs="Miriam" w:hint="cs"/>
          <w:b/>
          <w:spacing w:val="0"/>
          <w:sz w:val="22"/>
          <w:szCs w:val="24"/>
          <w:rtl/>
        </w:rPr>
        <w:t>המחזיקים</w:t>
      </w:r>
      <w:r>
        <w:rPr>
          <w:rFonts w:ascii="Century" w:hAnsi="Century" w:hint="cs"/>
          <w:sz w:val="22"/>
          <w:rtl/>
        </w:rPr>
        <w:t>), רשאים להמשיך לעשות כן. הדיון הנוסף תחום לשאלת אמות המידה המשפטיות לבחינת עקרון תום הלב בסעיף 5 לצו בדבר רכוש ממשלתי (</w:t>
      </w:r>
      <w:r w:rsidR="00680F83">
        <w:rPr>
          <w:rFonts w:ascii="Century" w:hAnsi="Century" w:hint="cs"/>
          <w:sz w:val="22"/>
          <w:rtl/>
        </w:rPr>
        <w:t>יהודה והשומרון</w:t>
      </w:r>
      <w:r>
        <w:rPr>
          <w:rFonts w:ascii="Century" w:hAnsi="Century" w:hint="cs"/>
          <w:sz w:val="22"/>
          <w:rtl/>
        </w:rPr>
        <w:t xml:space="preserve">) (מס' 59), התשכ"ז-1967 (להלן: </w:t>
      </w:r>
      <w:r>
        <w:rPr>
          <w:rFonts w:ascii="Century" w:hAnsi="Century" w:cs="Miriam" w:hint="cs"/>
          <w:b/>
          <w:spacing w:val="0"/>
          <w:sz w:val="22"/>
          <w:szCs w:val="24"/>
          <w:rtl/>
        </w:rPr>
        <w:t>הצו בדבר רכוש ממשלתי</w:t>
      </w:r>
      <w:r>
        <w:rPr>
          <w:rFonts w:ascii="Century" w:hAnsi="Century" w:hint="cs"/>
          <w:sz w:val="22"/>
          <w:rtl/>
        </w:rPr>
        <w:t xml:space="preserve"> או </w:t>
      </w:r>
      <w:r>
        <w:rPr>
          <w:rFonts w:ascii="Century" w:hAnsi="Century" w:cs="Miriam" w:hint="cs"/>
          <w:b/>
          <w:spacing w:val="0"/>
          <w:sz w:val="22"/>
          <w:szCs w:val="24"/>
          <w:rtl/>
        </w:rPr>
        <w:t>הצו</w:t>
      </w:r>
      <w:r>
        <w:rPr>
          <w:rFonts w:ascii="Century" w:hAnsi="Century" w:hint="cs"/>
          <w:sz w:val="22"/>
          <w:rtl/>
        </w:rPr>
        <w:t xml:space="preserve">), יישומן, ויישום יתר תנאי הסעיף האמור במקרה דנן. </w:t>
      </w:r>
    </w:p>
    <w:p w:rsidR="004C7127" w:rsidRPr="00E92AC2" w:rsidRDefault="004C7127" w:rsidP="004C7127">
      <w:pPr>
        <w:pStyle w:val="Ruller41"/>
        <w:rPr>
          <w:rFonts w:ascii="Century" w:hAnsi="Century"/>
          <w:rtl/>
        </w:rPr>
      </w:pPr>
    </w:p>
    <w:p w:rsidR="004C7127" w:rsidRPr="00F661E4" w:rsidRDefault="004C7127" w:rsidP="004C7127">
      <w:pPr>
        <w:pStyle w:val="1"/>
        <w:spacing w:before="0"/>
        <w:rPr>
          <w:rFonts w:ascii="Century" w:hAnsi="Century" w:cs="Miriam"/>
          <w:b/>
          <w:color w:val="auto"/>
          <w:spacing w:val="0"/>
          <w:sz w:val="22"/>
          <w:szCs w:val="24"/>
          <w:rtl/>
        </w:rPr>
      </w:pPr>
      <w:r w:rsidRPr="00F661E4">
        <w:rPr>
          <w:rFonts w:ascii="Century" w:hAnsi="Century" w:cs="Miriam" w:hint="cs"/>
          <w:b/>
          <w:color w:val="auto"/>
          <w:spacing w:val="0"/>
          <w:sz w:val="22"/>
          <w:szCs w:val="24"/>
          <w:rtl/>
        </w:rPr>
        <w:t xml:space="preserve">רקע עובדתי </w:t>
      </w:r>
      <w:r w:rsidRPr="00F661E4">
        <w:rPr>
          <w:rFonts w:ascii="Century" w:hAnsi="Century" w:cs="Miriam"/>
          <w:b/>
          <w:color w:val="auto"/>
          <w:spacing w:val="0"/>
          <w:sz w:val="22"/>
          <w:szCs w:val="24"/>
          <w:rtl/>
        </w:rPr>
        <w:t>–</w:t>
      </w:r>
      <w:r>
        <w:rPr>
          <w:rFonts w:ascii="Century" w:hAnsi="Century" w:cs="Miriam" w:hint="cs"/>
          <w:b/>
          <w:color w:val="auto"/>
          <w:spacing w:val="0"/>
          <w:sz w:val="22"/>
          <w:szCs w:val="24"/>
          <w:rtl/>
        </w:rPr>
        <w:t xml:space="preserve"> כוכב השחר ו</w:t>
      </w:r>
      <w:r w:rsidRPr="00F661E4">
        <w:rPr>
          <w:rFonts w:ascii="Century" w:hAnsi="Century" w:cs="Miriam" w:hint="cs"/>
          <w:b/>
          <w:color w:val="auto"/>
          <w:spacing w:val="0"/>
          <w:sz w:val="22"/>
          <w:szCs w:val="24"/>
          <w:rtl/>
        </w:rPr>
        <w:t>מצפה כרמים</w:t>
      </w:r>
    </w:p>
    <w:p w:rsidR="004C7127" w:rsidRDefault="004C7127" w:rsidP="004C7127">
      <w:pPr>
        <w:pStyle w:val="Ruller41"/>
        <w:rPr>
          <w:rtl/>
        </w:rPr>
      </w:pPr>
    </w:p>
    <w:p w:rsidR="004C7127" w:rsidRDefault="004C7127" w:rsidP="004C7127">
      <w:pPr>
        <w:pStyle w:val="Ruller4"/>
      </w:pPr>
      <w:r>
        <w:rPr>
          <w:rFonts w:hint="cs"/>
          <w:rtl/>
        </w:rPr>
        <w:t xml:space="preserve">את הרקע העובדתי שנוגע לענייננו יש לפתוח בהליכי הקמת היישוב הסמוך למצפה כרמים </w:t>
      </w:r>
      <w:r>
        <w:rPr>
          <w:rtl/>
        </w:rPr>
        <w:t>–</w:t>
      </w:r>
      <w:r>
        <w:rPr>
          <w:rFonts w:hint="cs"/>
          <w:rtl/>
        </w:rPr>
        <w:t xml:space="preserve"> כוכב השחר. בחודש מאי 1973 יזם הממונה על הרכוש הממשלתי (להלן: </w:t>
      </w:r>
      <w:r w:rsidRPr="00544E7E">
        <w:rPr>
          <w:rFonts w:ascii="Century" w:hAnsi="Century" w:cs="Miriam" w:hint="cs"/>
          <w:b/>
          <w:spacing w:val="0"/>
          <w:sz w:val="22"/>
          <w:szCs w:val="24"/>
          <w:rtl/>
        </w:rPr>
        <w:t>הממונה</w:t>
      </w:r>
      <w:r>
        <w:rPr>
          <w:rFonts w:hint="cs"/>
          <w:rtl/>
        </w:rPr>
        <w:t xml:space="preserve">) את הקמת היישוב "כוכב השחר", וזאת בהמשך לסקר בעלויות שביצע משרדו, ולאחר סיור שהתקיים בשטח בהשתתפות גורמי צבא והמחלקה להתיישבות בהסתדרות הציונית העולמית (פירוט הרקע העובדתי מבוסס בעיקרו על המסמכים שצירפה המדינה לתצהירו של סא"ל אביעד כספי בבית המשפט המחוזי; להלן: </w:t>
      </w:r>
      <w:r w:rsidRPr="00544E7E">
        <w:rPr>
          <w:rFonts w:ascii="Century" w:hAnsi="Century" w:cs="Miriam" w:hint="cs"/>
          <w:b/>
          <w:spacing w:val="0"/>
          <w:sz w:val="22"/>
          <w:szCs w:val="24"/>
          <w:rtl/>
        </w:rPr>
        <w:t>תצהיר כספי</w:t>
      </w:r>
      <w:r>
        <w:rPr>
          <w:rFonts w:hint="cs"/>
          <w:rtl/>
        </w:rPr>
        <w:t xml:space="preserve">). ביום 3.2.1975 הורה המפקד הצבאי לאזור יהודה ושומרון (להלן: </w:t>
      </w:r>
      <w:r w:rsidRPr="00544E7E">
        <w:rPr>
          <w:rFonts w:ascii="Century" w:hAnsi="Century" w:cs="Miriam" w:hint="cs"/>
          <w:b/>
          <w:spacing w:val="0"/>
          <w:sz w:val="22"/>
          <w:szCs w:val="24"/>
          <w:rtl/>
        </w:rPr>
        <w:t>האזור</w:t>
      </w:r>
      <w:r>
        <w:rPr>
          <w:rFonts w:hint="cs"/>
          <w:rtl/>
        </w:rPr>
        <w:t xml:space="preserve">), בהתאם להוראות סעיף 90 לצו בדבר הוראות בטחון (יהודה והשומרון) (מס' 378), התש"ל-1970 (להלן: </w:t>
      </w:r>
      <w:r w:rsidRPr="00544E7E">
        <w:rPr>
          <w:rFonts w:ascii="Century" w:hAnsi="Century" w:cs="Miriam" w:hint="cs"/>
          <w:b/>
          <w:spacing w:val="0"/>
          <w:sz w:val="22"/>
          <w:szCs w:val="24"/>
          <w:rtl/>
        </w:rPr>
        <w:t>הצו בדבר הוראות בטחון</w:t>
      </w:r>
      <w:r>
        <w:rPr>
          <w:rFonts w:hint="cs"/>
          <w:rtl/>
        </w:rPr>
        <w:t>), על סגירת שטח לצרכי אימונים (</w:t>
      </w:r>
      <w:r w:rsidRPr="00D55FFB">
        <w:rPr>
          <w:rFonts w:hint="cs"/>
          <w:rtl/>
        </w:rPr>
        <w:t xml:space="preserve">צו בדבר שטחים סגורים (שטח כ"ד) (יהודה והשומרון) (מס' 576), התשל"ה-1975 (להלן: </w:t>
      </w:r>
      <w:r w:rsidRPr="00D55FFB">
        <w:rPr>
          <w:rFonts w:ascii="Century" w:hAnsi="Century" w:cs="Miriam" w:hint="cs"/>
          <w:b/>
          <w:spacing w:val="0"/>
          <w:sz w:val="22"/>
          <w:szCs w:val="24"/>
          <w:rtl/>
        </w:rPr>
        <w:t>צו הסגירה</w:t>
      </w:r>
      <w:r w:rsidRPr="00D55FFB">
        <w:rPr>
          <w:rFonts w:hint="cs"/>
          <w:rtl/>
        </w:rPr>
        <w:t xml:space="preserve"> או </w:t>
      </w:r>
      <w:r w:rsidRPr="00D55FFB">
        <w:rPr>
          <w:rFonts w:ascii="Century" w:hAnsi="Century" w:cs="Miriam" w:hint="cs"/>
          <w:b/>
          <w:spacing w:val="0"/>
          <w:sz w:val="22"/>
          <w:szCs w:val="24"/>
          <w:rtl/>
        </w:rPr>
        <w:t>צו 576</w:t>
      </w:r>
      <w:r w:rsidRPr="00D55FFB">
        <w:rPr>
          <w:rFonts w:hint="cs"/>
          <w:rtl/>
        </w:rPr>
        <w:t>)</w:t>
      </w:r>
      <w:r>
        <w:rPr>
          <w:rFonts w:hint="cs"/>
          <w:rtl/>
        </w:rPr>
        <w:t xml:space="preserve">). לצו הסגירה צורפה מפה בקנה מידה </w:t>
      </w:r>
      <w:r w:rsidRPr="00A73D45">
        <w:rPr>
          <w:rFonts w:hint="cs"/>
          <w:rtl/>
        </w:rPr>
        <w:t>1:50,000</w:t>
      </w:r>
      <w:r>
        <w:rPr>
          <w:rFonts w:hint="cs"/>
          <w:rtl/>
        </w:rPr>
        <w:t xml:space="preserve"> וגבולותיו סומנו </w:t>
      </w:r>
      <w:r>
        <w:rPr>
          <w:rFonts w:hint="cs"/>
          <w:rtl/>
        </w:rPr>
        <w:lastRenderedPageBreak/>
        <w:t>במפה בקו שחור. סגירת השטח בצו הפכה את הכניסה אליו ואת היציאה ממנו בלא היתר לעבירה בהתאם לצו בדבר הוראות בטחון (</w:t>
      </w:r>
      <w:r w:rsidRPr="005838E5">
        <w:rPr>
          <w:rFonts w:hint="cs"/>
          <w:rtl/>
        </w:rPr>
        <w:t>סעיף 3</w:t>
      </w:r>
      <w:r>
        <w:rPr>
          <w:rFonts w:hint="cs"/>
          <w:rtl/>
        </w:rPr>
        <w:t xml:space="preserve"> לצו הסגירה). במסמך מיום 18.2.1975 שכותרתו "צו סגירת שטח בכוכב השחר" צוין כי הצו מלווה במפה לסגירת שטח של 1,000 דונם בכוכב השחר (למען שלמות התמונה יוער כי צו </w:t>
      </w:r>
      <w:r w:rsidRPr="00B13DC9">
        <w:rPr>
          <w:rFonts w:hint="cs"/>
          <w:rtl/>
        </w:rPr>
        <w:t>הסגירה בוטל בשנת 2009</w:t>
      </w:r>
      <w:r>
        <w:rPr>
          <w:rFonts w:hint="cs"/>
          <w:rtl/>
        </w:rPr>
        <w:t xml:space="preserve">; ראו צו סגירת שטחים "כוכב השחר" מס' 576/75/ס', התשל"ה-1975 (ביטול) התשס"ט-2009). לאחר הוצאת הצו הוחלט לסמן את גבולות השטח הסגור בחביות (ראו נספח 4 לתצהיר כספי; כן ראו: סעיף 5 ל"מיקום המאחז מצפה כרמים- כוכב השחר" חוות דעת של קמ"ט מדידות איו"ש, אבי פטיק, ואת העולה בחקירתו של פטיק בבית המשפט המחוזי, בעמ' 242, ש' 32-27, ובעמ' 243, ש' 23-1 לפרוטוקול הדיון בבית המשפט המחוזי). ביום 29.12.1975 דיווח הממונה לסגן מפקד האזור על סגירת השטח (בהיקף של כ-1,070 דונם) ופירט את הבעלות בקרקעות: 665 דונם הוגדרו כ"אדמות נוכחים"; 269 דונם כ"אדמות נפקדים" ו-136 דונם כאדמות מדינה. באותו דיווח ציין הממונה כי "מוצע למקם המאחז באדמות מדינה שהן טרשיות" (נספח 5 לתצהיר כספי). </w:t>
      </w:r>
    </w:p>
    <w:p w:rsidR="004C7127" w:rsidRDefault="004C7127" w:rsidP="004C7127">
      <w:pPr>
        <w:pStyle w:val="Ruller4"/>
        <w:numPr>
          <w:ilvl w:val="0"/>
          <w:numId w:val="0"/>
        </w:numPr>
      </w:pPr>
    </w:p>
    <w:p w:rsidR="004C7127" w:rsidRPr="00544E7E" w:rsidRDefault="004C7127" w:rsidP="004C7127">
      <w:pPr>
        <w:pStyle w:val="Ruller4"/>
      </w:pPr>
      <w:r>
        <w:rPr>
          <w:rFonts w:hint="cs"/>
          <w:rtl/>
        </w:rPr>
        <w:t xml:space="preserve">בשנת 1976 התקבלה החלטה הת/12 של הוועדה לעניני התיישבות המשותפת לממשלה ולהסתדרות הציונית "היאחזויות נח"ל" ולפיה מאחז כוכב השחר א' יהיה להיאחזות נח"ל (במסמך מזכירות הממשלה צוין כי "ההחלטה לא נרשמה בפרוטוקול הוועדה להתיישבות מפאת אופיה הסודי"). בשנת 1979 החליטה ועדה זו על אזרוח היאחזות הנח"ל בכוכב השחר (החלטה הת/19 "ההתיישבות החדשה </w:t>
      </w:r>
      <w:r>
        <w:rPr>
          <w:rtl/>
        </w:rPr>
        <w:t>–</w:t>
      </w:r>
      <w:r>
        <w:rPr>
          <w:rFonts w:hint="cs"/>
          <w:rtl/>
        </w:rPr>
        <w:t xml:space="preserve"> איזרוח היאחזויות נח"ל"). בהמשך לכך, במכתבו של ראש ענף נכו"מ (נכסים ומחנות) במפקדת האזור מיום 8.7.1980, צוין כי "בכוונת המטכ"ל לבחון אפשרות לשנות את צו הסגירה לצו תפיסה"; כי הכוונה היא "לאפשר להסתדרות הציונית העולמית להוסיף מבנים בכוכב השחר כדי לאזרח ולאכלס הישוב"; כי הקמת המבנים תתאפשר "אך ורק" בתחום שטח הסגירה; וכי ההסתדרות הציונית העולמית (היא המשיבה 40 בדיון נוסף זה; להלן: </w:t>
      </w:r>
      <w:r>
        <w:rPr>
          <w:rFonts w:ascii="Century" w:hAnsi="Century" w:cs="Miriam" w:hint="cs"/>
          <w:b/>
          <w:spacing w:val="0"/>
          <w:sz w:val="22"/>
          <w:szCs w:val="24"/>
          <w:rtl/>
        </w:rPr>
        <w:t>ההסתדרות הציונית</w:t>
      </w:r>
      <w:r>
        <w:rPr>
          <w:rFonts w:hint="cs"/>
          <w:rtl/>
        </w:rPr>
        <w:t xml:space="preserve">) "תוודא אי חריגה מתחומי השטח הסגור" על פי מפת צו הסגירה. ביום 29.7.1980 חתם מפקד האזור על צו בדבר תפיסת מקרקעין מס' 18/80/ת (יהודה והשומרון), התש"ם-1980 (להלן: </w:t>
      </w:r>
      <w:r w:rsidRPr="00E4571B">
        <w:rPr>
          <w:rFonts w:ascii="Century" w:hAnsi="Century" w:cs="Miriam" w:hint="cs"/>
          <w:b/>
          <w:spacing w:val="0"/>
          <w:sz w:val="22"/>
          <w:szCs w:val="24"/>
          <w:rtl/>
        </w:rPr>
        <w:t xml:space="preserve">צו </w:t>
      </w:r>
      <w:r>
        <w:rPr>
          <w:rFonts w:ascii="Century" w:hAnsi="Century" w:cs="Miriam" w:hint="cs"/>
          <w:b/>
          <w:spacing w:val="0"/>
          <w:sz w:val="22"/>
          <w:szCs w:val="24"/>
          <w:rtl/>
        </w:rPr>
        <w:t>התפיסה</w:t>
      </w:r>
      <w:r>
        <w:rPr>
          <w:rFonts w:hint="cs"/>
          <w:rtl/>
        </w:rPr>
        <w:t xml:space="preserve">; יוער כי מספר חודשים קודם לכן ניתן פסק הדין בבג"ץ 390/79 </w:t>
      </w:r>
      <w:r>
        <w:rPr>
          <w:rFonts w:ascii="Century" w:hAnsi="Century" w:cs="Miriam" w:hint="cs"/>
          <w:b/>
          <w:spacing w:val="0"/>
          <w:sz w:val="22"/>
          <w:szCs w:val="24"/>
          <w:rtl/>
        </w:rPr>
        <w:t>דויקאת נ' ממשלת ישראל</w:t>
      </w:r>
      <w:r>
        <w:rPr>
          <w:rFonts w:ascii="Century" w:hAnsi="Century" w:hint="cs"/>
          <w:sz w:val="22"/>
          <w:rtl/>
        </w:rPr>
        <w:t xml:space="preserve">, פ"ד לד(1) 1 (1979) (להלן: עניין </w:t>
      </w:r>
      <w:r>
        <w:rPr>
          <w:rFonts w:ascii="Century" w:hAnsi="Century" w:cs="Miriam" w:hint="cs"/>
          <w:b/>
          <w:spacing w:val="0"/>
          <w:sz w:val="22"/>
          <w:szCs w:val="24"/>
          <w:rtl/>
        </w:rPr>
        <w:t>אלון מורה</w:t>
      </w:r>
      <w:r>
        <w:rPr>
          <w:rFonts w:ascii="Century" w:hAnsi="Century" w:hint="cs"/>
          <w:sz w:val="22"/>
          <w:rtl/>
        </w:rPr>
        <w:t>) והתקבלה החלטה 145 של הממשלה ה-18 (11.11.1979)</w:t>
      </w:r>
      <w:r>
        <w:rPr>
          <w:rFonts w:hint="cs"/>
          <w:rtl/>
        </w:rPr>
        <w:t xml:space="preserve"> שלאחריהם נפסקה כמעט לחלוטין הפרקטיקה של הקמת יישובים על שטח שנתפס לצרכים צבאיים). בצו צוין כי השטח שנתפס נועד לצרכים צבאיים והוא סומן במפה שצורפה לצו (בקנה מידה 1:20,000). כעולה מהמכתב הנלווה לצו התפיסה מיום 30.7.1980, הוא "נמצא בתחום" צו הסגירה; הוא אינו חופף </w:t>
      </w:r>
      <w:r w:rsidRPr="00544E7E">
        <w:rPr>
          <w:rFonts w:hint="cs"/>
          <w:rtl/>
        </w:rPr>
        <w:t xml:space="preserve">אותו במלואו; והוא קטן יותר וגודלו 850 דונם. עוד צוין </w:t>
      </w:r>
      <w:r w:rsidRPr="00544E7E">
        <w:rPr>
          <w:rFonts w:hint="cs"/>
          <w:rtl/>
        </w:rPr>
        <w:lastRenderedPageBreak/>
        <w:t xml:space="preserve">במכתב הנלווה כי ההסתדרות הציונית "תוודא אי חריגה" מהצו בעבודות המימוש וכן תוודא העברת תכניות מתאר לאישור לשכת התכנון העליונה. </w:t>
      </w:r>
    </w:p>
    <w:p w:rsidR="004C7127" w:rsidRDefault="004C7127" w:rsidP="004C7127">
      <w:pPr>
        <w:pStyle w:val="Ruller4"/>
        <w:numPr>
          <w:ilvl w:val="0"/>
          <w:numId w:val="0"/>
        </w:numPr>
      </w:pPr>
    </w:p>
    <w:p w:rsidR="004C7127" w:rsidRDefault="004C7127" w:rsidP="004C7127">
      <w:pPr>
        <w:pStyle w:val="Ruller4"/>
      </w:pPr>
      <w:r>
        <w:rPr>
          <w:rFonts w:hint="cs"/>
          <w:rtl/>
        </w:rPr>
        <w:t xml:space="preserve">בחודש אוגוסט 1980 אוזרחה היאחזות הנח"ל על ידי גרעין מ"גוש אמונים". </w:t>
      </w:r>
      <w:r w:rsidRPr="000F451D">
        <w:rPr>
          <w:rFonts w:hint="cs"/>
          <w:rtl/>
        </w:rPr>
        <w:t>ביום</w:t>
      </w:r>
      <w:r>
        <w:rPr>
          <w:rFonts w:hint="cs"/>
          <w:rtl/>
        </w:rPr>
        <w:t xml:space="preserve"> 23.2.1981 נחתם בין הממונה לבין ההסתדרות הציונית "הסכם הרשאה" לפרק זמן של כ-5 שנים (להלן: </w:t>
      </w:r>
      <w:r>
        <w:rPr>
          <w:rFonts w:ascii="Century" w:hAnsi="Century" w:cs="Miriam" w:hint="cs"/>
          <w:b/>
          <w:spacing w:val="0"/>
          <w:sz w:val="22"/>
          <w:szCs w:val="24"/>
          <w:rtl/>
        </w:rPr>
        <w:t>הסכם ההרשאה הראשון</w:t>
      </w:r>
      <w:r>
        <w:rPr>
          <w:rFonts w:ascii="Century" w:hAnsi="Century" w:hint="cs"/>
          <w:sz w:val="22"/>
          <w:rtl/>
        </w:rPr>
        <w:t>). כעולה מהסכם זה, ההסתדרות הציונית "מעוניינת לקבל מהממונה את החזקה בשטח הנמצא ב-ה</w:t>
      </w:r>
      <w:r>
        <w:rPr>
          <w:rFonts w:hint="cs"/>
          <w:rtl/>
        </w:rPr>
        <w:t>אחזות נחל כוכב השחר והכולל 1071 דונם המסומן בקו אדום על גבי המפה המצורפת להסכם זה [...] לצורך הקמת ישוב ובסוסו". במסגרת ההסכם הצהירו הצדדים כי "</w:t>
      </w:r>
      <w:r w:rsidRPr="00053740">
        <w:rPr>
          <w:rFonts w:hint="eastAsia"/>
          <w:rtl/>
        </w:rPr>
        <w:t>ידוע</w:t>
      </w:r>
      <w:r w:rsidRPr="00053740">
        <w:rPr>
          <w:rtl/>
        </w:rPr>
        <w:t xml:space="preserve"> </w:t>
      </w:r>
      <w:r w:rsidRPr="00053740">
        <w:rPr>
          <w:rFonts w:hint="eastAsia"/>
          <w:rtl/>
        </w:rPr>
        <w:t>להם</w:t>
      </w:r>
      <w:r w:rsidRPr="00053740">
        <w:rPr>
          <w:rtl/>
        </w:rPr>
        <w:t xml:space="preserve"> </w:t>
      </w:r>
      <w:r w:rsidRPr="00053740">
        <w:rPr>
          <w:rFonts w:hint="eastAsia"/>
          <w:rtl/>
        </w:rPr>
        <w:t>כי</w:t>
      </w:r>
      <w:r w:rsidRPr="00053740">
        <w:rPr>
          <w:rtl/>
        </w:rPr>
        <w:t xml:space="preserve"> </w:t>
      </w:r>
      <w:r w:rsidRPr="00053740">
        <w:rPr>
          <w:rFonts w:hint="eastAsia"/>
          <w:rtl/>
        </w:rPr>
        <w:t>גבולות</w:t>
      </w:r>
      <w:r w:rsidRPr="00053740">
        <w:rPr>
          <w:rtl/>
        </w:rPr>
        <w:t xml:space="preserve"> </w:t>
      </w:r>
      <w:r w:rsidRPr="00053740">
        <w:rPr>
          <w:rFonts w:hint="eastAsia"/>
          <w:rtl/>
        </w:rPr>
        <w:t>המשבצת</w:t>
      </w:r>
      <w:r w:rsidRPr="00053740">
        <w:rPr>
          <w:rtl/>
        </w:rPr>
        <w:t xml:space="preserve"> </w:t>
      </w:r>
      <w:r w:rsidRPr="00053740">
        <w:rPr>
          <w:rFonts w:hint="eastAsia"/>
          <w:rtl/>
        </w:rPr>
        <w:t>טרם</w:t>
      </w:r>
      <w:r w:rsidRPr="00053740">
        <w:rPr>
          <w:rtl/>
        </w:rPr>
        <w:t xml:space="preserve"> </w:t>
      </w:r>
      <w:r w:rsidRPr="00053740">
        <w:rPr>
          <w:rFonts w:hint="eastAsia"/>
          <w:rtl/>
        </w:rPr>
        <w:t>נמדדו</w:t>
      </w:r>
      <w:r w:rsidRPr="00053740">
        <w:rPr>
          <w:rtl/>
        </w:rPr>
        <w:t xml:space="preserve"> </w:t>
      </w:r>
      <w:r w:rsidRPr="00053740">
        <w:rPr>
          <w:rFonts w:hint="eastAsia"/>
          <w:rtl/>
        </w:rPr>
        <w:t>וגבולותיה</w:t>
      </w:r>
      <w:r w:rsidRPr="00053740">
        <w:rPr>
          <w:rtl/>
        </w:rPr>
        <w:t xml:space="preserve"> </w:t>
      </w:r>
      <w:r w:rsidRPr="00053740">
        <w:rPr>
          <w:rFonts w:hint="eastAsia"/>
          <w:rtl/>
        </w:rPr>
        <w:t>המדוי</w:t>
      </w:r>
      <w:r>
        <w:rPr>
          <w:rFonts w:hint="cs"/>
          <w:rtl/>
        </w:rPr>
        <w:t>י</w:t>
      </w:r>
      <w:r w:rsidRPr="00053740">
        <w:rPr>
          <w:rFonts w:hint="eastAsia"/>
          <w:rtl/>
        </w:rPr>
        <w:t>קים</w:t>
      </w:r>
      <w:r w:rsidRPr="00053740">
        <w:rPr>
          <w:rtl/>
        </w:rPr>
        <w:t xml:space="preserve"> </w:t>
      </w:r>
      <w:r w:rsidRPr="00053740">
        <w:rPr>
          <w:rFonts w:hint="eastAsia"/>
          <w:rtl/>
        </w:rPr>
        <w:t>טרם</w:t>
      </w:r>
      <w:r w:rsidRPr="00053740">
        <w:rPr>
          <w:rtl/>
        </w:rPr>
        <w:t xml:space="preserve"> </w:t>
      </w:r>
      <w:r w:rsidRPr="00053740">
        <w:rPr>
          <w:rFonts w:hint="eastAsia"/>
          <w:rtl/>
        </w:rPr>
        <w:t>נקבעו</w:t>
      </w:r>
      <w:r w:rsidRPr="00053740">
        <w:rPr>
          <w:rtl/>
        </w:rPr>
        <w:t xml:space="preserve"> </w:t>
      </w:r>
      <w:r w:rsidRPr="00053740">
        <w:rPr>
          <w:rFonts w:hint="eastAsia"/>
          <w:rtl/>
        </w:rPr>
        <w:t>סופית</w:t>
      </w:r>
      <w:r w:rsidRPr="00053740">
        <w:rPr>
          <w:rtl/>
        </w:rPr>
        <w:t xml:space="preserve">, </w:t>
      </w:r>
      <w:r w:rsidRPr="00053740">
        <w:rPr>
          <w:rFonts w:hint="eastAsia"/>
          <w:rtl/>
        </w:rPr>
        <w:t>ולממונה</w:t>
      </w:r>
      <w:r w:rsidRPr="00053740">
        <w:rPr>
          <w:rtl/>
        </w:rPr>
        <w:t xml:space="preserve"> </w:t>
      </w:r>
      <w:r w:rsidRPr="00053740">
        <w:rPr>
          <w:rFonts w:hint="eastAsia"/>
          <w:rtl/>
        </w:rPr>
        <w:t>הזכות</w:t>
      </w:r>
      <w:r w:rsidRPr="00053740">
        <w:rPr>
          <w:rtl/>
        </w:rPr>
        <w:t xml:space="preserve"> </w:t>
      </w:r>
      <w:r w:rsidRPr="00053740">
        <w:rPr>
          <w:rFonts w:hint="eastAsia"/>
          <w:rtl/>
        </w:rPr>
        <w:t>לשנותם</w:t>
      </w:r>
      <w:r>
        <w:rPr>
          <w:rFonts w:hint="cs"/>
          <w:rtl/>
        </w:rPr>
        <w:t xml:space="preserve">" (סעיף 2.ג להסכם). המפה שצורפה להסכם הייתה מפת </w:t>
      </w:r>
      <w:r>
        <w:rPr>
          <w:rFonts w:ascii="Century" w:hAnsi="Century" w:cs="Miriam" w:hint="cs"/>
          <w:b/>
          <w:spacing w:val="0"/>
          <w:sz w:val="22"/>
          <w:szCs w:val="24"/>
          <w:rtl/>
        </w:rPr>
        <w:t xml:space="preserve">צו הסגירה </w:t>
      </w:r>
      <w:r>
        <w:rPr>
          <w:rFonts w:ascii="Century" w:hAnsi="Century" w:hint="cs"/>
          <w:sz w:val="22"/>
          <w:rtl/>
        </w:rPr>
        <w:t xml:space="preserve">ועל גביה נכתב "כוכב השחר צו תפיסה: 576 כד' שטח כ-1071 ד'". יושם אל לב כבר עתה כי הגם שנכתב על המפה המונח "צו תפיסה", היקף השטחים בהסכם ההרשאה דומה להיקף השטחים שדווח שנסגרו בצו הסגירה; ועל המפה הנלווית להסכם צוינו נתונים שתואמים את צו הסגירה (היקף השטח והמספר 576 כד', מספר צו הסגירה). על המפה האמורה חתומים הצדדים ובהם </w:t>
      </w:r>
      <w:r>
        <w:rPr>
          <w:rFonts w:hint="cs"/>
          <w:rtl/>
        </w:rPr>
        <w:t xml:space="preserve">יהודה נהרי, הממונה בשעתו (להלן גם: </w:t>
      </w:r>
      <w:r>
        <w:rPr>
          <w:rFonts w:ascii="Century" w:hAnsi="Century" w:cs="Miriam" w:hint="cs"/>
          <w:b/>
          <w:spacing w:val="0"/>
          <w:sz w:val="22"/>
          <w:szCs w:val="24"/>
          <w:rtl/>
        </w:rPr>
        <w:t>נהרי</w:t>
      </w:r>
      <w:r>
        <w:rPr>
          <w:rFonts w:ascii="Century" w:hAnsi="Century" w:hint="cs"/>
          <w:sz w:val="22"/>
          <w:rtl/>
        </w:rPr>
        <w:t xml:space="preserve">). </w:t>
      </w:r>
      <w:r>
        <w:rPr>
          <w:rFonts w:hint="cs"/>
          <w:rtl/>
        </w:rPr>
        <w:t xml:space="preserve">כעולה מהמסמכים שהובאו בהליכים שיתוארו להלן, הסכם ההרשאה חודש בשנים 1990, 1995 ו-1997 (תוקפו של ההסכם האחרון הוא ל-49 שנים; יוער כי הסכם הרשאה משנת 1985 לא צורף), בכולם צוין היקף השטח שצוין בהסכם ההרשאה הראשון, אך במפות שמצורפות לכל ההסכמים המאוחרים נמחקה המילה "תפיסה" (כך שכתוב עליהם "צו [מחוק </w:t>
      </w:r>
      <w:r>
        <w:rPr>
          <w:rtl/>
        </w:rPr>
        <w:t>–</w:t>
      </w:r>
      <w:r>
        <w:rPr>
          <w:rFonts w:hint="cs"/>
          <w:rtl/>
        </w:rPr>
        <w:t xml:space="preserve"> ע' פ'] 576 כד'").</w:t>
      </w:r>
    </w:p>
    <w:p w:rsidR="004C7127" w:rsidRPr="00B926F3" w:rsidRDefault="004C7127" w:rsidP="004C7127">
      <w:pPr>
        <w:pStyle w:val="Ruller4"/>
        <w:numPr>
          <w:ilvl w:val="0"/>
          <w:numId w:val="0"/>
        </w:numPr>
      </w:pPr>
    </w:p>
    <w:p w:rsidR="004C7127" w:rsidRDefault="004C7127" w:rsidP="004C7127">
      <w:pPr>
        <w:pStyle w:val="Ruller4"/>
      </w:pPr>
      <w:r>
        <w:rPr>
          <w:rFonts w:hint="cs"/>
          <w:rtl/>
        </w:rPr>
        <w:t>בכל הנוגע למישור התכנוני, ביום 17.1.1982 אושרה להפקדה תכנית מתאר מפורטת 223 "ישוב קהילתי כוכב השחר" (</w:t>
      </w:r>
      <w:r w:rsidRPr="005D259C">
        <w:rPr>
          <w:rFonts w:hint="cs"/>
          <w:rtl/>
        </w:rPr>
        <w:t xml:space="preserve">1982) (להלן: </w:t>
      </w:r>
      <w:r w:rsidRPr="005D259C">
        <w:rPr>
          <w:rFonts w:ascii="Century" w:hAnsi="Century" w:cs="Miriam" w:hint="cs"/>
          <w:b/>
          <w:spacing w:val="0"/>
          <w:sz w:val="22"/>
          <w:szCs w:val="24"/>
          <w:rtl/>
        </w:rPr>
        <w:t>תכנית 223</w:t>
      </w:r>
      <w:r w:rsidRPr="005D259C">
        <w:rPr>
          <w:rFonts w:hint="cs"/>
          <w:rtl/>
        </w:rPr>
        <w:t>; ראו גם הגדרת המונח "מערכת הנחיות", בתקנה 1 לתקנות בדבר מתן היתרים לעבודות בשטחים תפוסים לצרכים צבאיים (יהודה והשומרון), התשמ"ה-1985</w:t>
      </w:r>
      <w:r w:rsidRPr="005D259C">
        <w:rPr>
          <w:rtl/>
        </w:rPr>
        <w:t>)</w:t>
      </w:r>
      <w:r w:rsidRPr="005D259C">
        <w:rPr>
          <w:rFonts w:hint="cs"/>
          <w:rtl/>
        </w:rPr>
        <w:t>). התכנית הוכנה על ידי ההסתדרות הציונית (כפי שנקבע במסגרת צו התפיסה) ועל התכנית (כפי</w:t>
      </w:r>
      <w:r>
        <w:rPr>
          <w:rFonts w:hint="cs"/>
          <w:rtl/>
        </w:rPr>
        <w:t xml:space="preserve"> שצורפה) חתום הממונה מכוח ה</w:t>
      </w:r>
      <w:r w:rsidRPr="009F549F">
        <w:rPr>
          <w:rFonts w:hint="eastAsia"/>
          <w:rtl/>
        </w:rPr>
        <w:t>צו</w:t>
      </w:r>
      <w:r w:rsidRPr="009F549F">
        <w:rPr>
          <w:rtl/>
        </w:rPr>
        <w:t xml:space="preserve"> </w:t>
      </w:r>
      <w:r w:rsidRPr="009F549F">
        <w:rPr>
          <w:rFonts w:hint="eastAsia"/>
          <w:rtl/>
        </w:rPr>
        <w:t>בדבר</w:t>
      </w:r>
      <w:r w:rsidRPr="009F549F">
        <w:rPr>
          <w:rtl/>
        </w:rPr>
        <w:t xml:space="preserve"> </w:t>
      </w:r>
      <w:r w:rsidRPr="009F549F">
        <w:rPr>
          <w:rFonts w:hint="eastAsia"/>
          <w:rtl/>
        </w:rPr>
        <w:t>מתן</w:t>
      </w:r>
      <w:r w:rsidRPr="009F549F">
        <w:rPr>
          <w:rtl/>
        </w:rPr>
        <w:t xml:space="preserve"> </w:t>
      </w:r>
      <w:r w:rsidRPr="009F549F">
        <w:rPr>
          <w:rFonts w:hint="eastAsia"/>
          <w:rtl/>
        </w:rPr>
        <w:t>היתרים</w:t>
      </w:r>
      <w:r w:rsidRPr="009F549F">
        <w:rPr>
          <w:rtl/>
        </w:rPr>
        <w:t xml:space="preserve"> </w:t>
      </w:r>
      <w:r w:rsidRPr="009F549F">
        <w:rPr>
          <w:rFonts w:hint="eastAsia"/>
          <w:rtl/>
        </w:rPr>
        <w:t>לעבודות</w:t>
      </w:r>
      <w:r w:rsidRPr="009F549F">
        <w:rPr>
          <w:rtl/>
        </w:rPr>
        <w:t xml:space="preserve"> </w:t>
      </w:r>
      <w:r w:rsidRPr="009F549F">
        <w:rPr>
          <w:rFonts w:hint="eastAsia"/>
          <w:rtl/>
        </w:rPr>
        <w:t>בשטחים</w:t>
      </w:r>
      <w:r w:rsidRPr="009F549F">
        <w:rPr>
          <w:rtl/>
        </w:rPr>
        <w:t xml:space="preserve"> </w:t>
      </w:r>
      <w:r w:rsidRPr="009F549F">
        <w:rPr>
          <w:rFonts w:hint="eastAsia"/>
          <w:rtl/>
        </w:rPr>
        <w:t>תפוסים</w:t>
      </w:r>
      <w:r w:rsidRPr="009F549F">
        <w:rPr>
          <w:rtl/>
        </w:rPr>
        <w:t xml:space="preserve"> </w:t>
      </w:r>
      <w:r w:rsidRPr="009F549F">
        <w:rPr>
          <w:rFonts w:hint="eastAsia"/>
          <w:rtl/>
        </w:rPr>
        <w:t>לצרכים</w:t>
      </w:r>
      <w:r w:rsidRPr="009F549F">
        <w:rPr>
          <w:rtl/>
        </w:rPr>
        <w:t xml:space="preserve"> </w:t>
      </w:r>
      <w:r w:rsidRPr="009F549F">
        <w:rPr>
          <w:rFonts w:hint="eastAsia"/>
          <w:rtl/>
        </w:rPr>
        <w:t>צבאיים</w:t>
      </w:r>
      <w:r w:rsidRPr="009F549F">
        <w:rPr>
          <w:rtl/>
        </w:rPr>
        <w:t xml:space="preserve"> (</w:t>
      </w:r>
      <w:r w:rsidRPr="009F549F">
        <w:rPr>
          <w:rFonts w:hint="eastAsia"/>
          <w:rtl/>
        </w:rPr>
        <w:t>יהודה</w:t>
      </w:r>
      <w:r w:rsidRPr="009F549F">
        <w:rPr>
          <w:rtl/>
        </w:rPr>
        <w:t xml:space="preserve"> </w:t>
      </w:r>
      <w:r w:rsidRPr="009F549F">
        <w:rPr>
          <w:rFonts w:hint="eastAsia"/>
          <w:rtl/>
        </w:rPr>
        <w:t>והשומרון</w:t>
      </w:r>
      <w:r w:rsidRPr="009F549F">
        <w:rPr>
          <w:rtl/>
        </w:rPr>
        <w:t>) (</w:t>
      </w:r>
      <w:r w:rsidRPr="009F549F">
        <w:rPr>
          <w:rFonts w:hint="eastAsia"/>
          <w:rtl/>
        </w:rPr>
        <w:t>מס</w:t>
      </w:r>
      <w:r w:rsidRPr="009F549F">
        <w:rPr>
          <w:rtl/>
        </w:rPr>
        <w:t xml:space="preserve">' 997), </w:t>
      </w:r>
      <w:r w:rsidRPr="009F549F">
        <w:rPr>
          <w:rFonts w:hint="eastAsia"/>
          <w:rtl/>
        </w:rPr>
        <w:t>התשמ</w:t>
      </w:r>
      <w:r w:rsidRPr="009F549F">
        <w:rPr>
          <w:rtl/>
        </w:rPr>
        <w:t>"</w:t>
      </w:r>
      <w:r w:rsidRPr="009F549F">
        <w:rPr>
          <w:rFonts w:hint="eastAsia"/>
          <w:rtl/>
        </w:rPr>
        <w:t>ב</w:t>
      </w:r>
      <w:r w:rsidRPr="009F549F">
        <w:rPr>
          <w:rtl/>
        </w:rPr>
        <w:t>-1982 (</w:t>
      </w:r>
      <w:r w:rsidRPr="009F549F">
        <w:rPr>
          <w:rFonts w:hint="eastAsia"/>
          <w:rtl/>
        </w:rPr>
        <w:t>להלן</w:t>
      </w:r>
      <w:r w:rsidRPr="009F549F">
        <w:rPr>
          <w:rtl/>
        </w:rPr>
        <w:t xml:space="preserve">: </w:t>
      </w:r>
      <w:r w:rsidRPr="006803B4">
        <w:rPr>
          <w:rFonts w:ascii="Century" w:hAnsi="Century" w:cs="Miriam" w:hint="eastAsia"/>
          <w:b/>
          <w:spacing w:val="0"/>
          <w:sz w:val="22"/>
          <w:szCs w:val="24"/>
          <w:rtl/>
        </w:rPr>
        <w:t>הצו</w:t>
      </w:r>
      <w:r w:rsidRPr="006803B4">
        <w:rPr>
          <w:rFonts w:ascii="Century" w:hAnsi="Century" w:cs="Miriam"/>
          <w:b/>
          <w:spacing w:val="0"/>
          <w:sz w:val="22"/>
          <w:szCs w:val="24"/>
          <w:rtl/>
        </w:rPr>
        <w:t xml:space="preserve"> </w:t>
      </w:r>
      <w:r w:rsidRPr="006803B4">
        <w:rPr>
          <w:rFonts w:ascii="Century" w:hAnsi="Century" w:cs="Miriam" w:hint="eastAsia"/>
          <w:b/>
          <w:spacing w:val="0"/>
          <w:sz w:val="22"/>
          <w:szCs w:val="24"/>
          <w:rtl/>
        </w:rPr>
        <w:t>בדבר</w:t>
      </w:r>
      <w:r w:rsidRPr="006803B4">
        <w:rPr>
          <w:rFonts w:ascii="Century" w:hAnsi="Century" w:cs="Miriam"/>
          <w:b/>
          <w:spacing w:val="0"/>
          <w:sz w:val="22"/>
          <w:szCs w:val="24"/>
          <w:rtl/>
        </w:rPr>
        <w:t xml:space="preserve"> </w:t>
      </w:r>
      <w:r w:rsidRPr="006803B4">
        <w:rPr>
          <w:rFonts w:ascii="Century" w:hAnsi="Century" w:cs="Miriam" w:hint="eastAsia"/>
          <w:b/>
          <w:spacing w:val="0"/>
          <w:sz w:val="22"/>
          <w:szCs w:val="24"/>
          <w:rtl/>
        </w:rPr>
        <w:t>מתן</w:t>
      </w:r>
      <w:r w:rsidRPr="006803B4">
        <w:rPr>
          <w:rFonts w:ascii="Century" w:hAnsi="Century" w:cs="Miriam"/>
          <w:b/>
          <w:spacing w:val="0"/>
          <w:sz w:val="22"/>
          <w:szCs w:val="24"/>
          <w:rtl/>
        </w:rPr>
        <w:t xml:space="preserve"> </w:t>
      </w:r>
      <w:r w:rsidRPr="006803B4">
        <w:rPr>
          <w:rFonts w:ascii="Century" w:hAnsi="Century" w:cs="Miriam" w:hint="eastAsia"/>
          <w:b/>
          <w:spacing w:val="0"/>
          <w:sz w:val="22"/>
          <w:szCs w:val="24"/>
          <w:rtl/>
        </w:rPr>
        <w:t>היתרים</w:t>
      </w:r>
      <w:r w:rsidRPr="006803B4">
        <w:rPr>
          <w:rFonts w:ascii="Century" w:hAnsi="Century" w:cs="Miriam"/>
          <w:b/>
          <w:spacing w:val="0"/>
          <w:sz w:val="22"/>
          <w:szCs w:val="24"/>
          <w:rtl/>
        </w:rPr>
        <w:t xml:space="preserve"> </w:t>
      </w:r>
      <w:r w:rsidRPr="006803B4">
        <w:rPr>
          <w:rFonts w:ascii="Century" w:hAnsi="Century" w:cs="Miriam" w:hint="eastAsia"/>
          <w:b/>
          <w:spacing w:val="0"/>
          <w:sz w:val="22"/>
          <w:szCs w:val="24"/>
          <w:rtl/>
        </w:rPr>
        <w:t>לעבודות</w:t>
      </w:r>
      <w:r w:rsidRPr="006803B4">
        <w:rPr>
          <w:rFonts w:ascii="Century" w:hAnsi="Century" w:cs="Miriam"/>
          <w:b/>
          <w:spacing w:val="0"/>
          <w:sz w:val="22"/>
          <w:szCs w:val="24"/>
          <w:rtl/>
        </w:rPr>
        <w:t xml:space="preserve"> </w:t>
      </w:r>
      <w:r w:rsidRPr="006803B4">
        <w:rPr>
          <w:rFonts w:ascii="Century" w:hAnsi="Century" w:cs="Miriam" w:hint="eastAsia"/>
          <w:b/>
          <w:spacing w:val="0"/>
          <w:sz w:val="22"/>
          <w:szCs w:val="24"/>
          <w:rtl/>
        </w:rPr>
        <w:t>בשטחים</w:t>
      </w:r>
      <w:r w:rsidRPr="006803B4">
        <w:rPr>
          <w:rFonts w:ascii="Century" w:hAnsi="Century" w:cs="Miriam"/>
          <w:b/>
          <w:spacing w:val="0"/>
          <w:sz w:val="22"/>
          <w:szCs w:val="24"/>
          <w:rtl/>
        </w:rPr>
        <w:t xml:space="preserve"> </w:t>
      </w:r>
      <w:r w:rsidRPr="006803B4">
        <w:rPr>
          <w:rFonts w:ascii="Century" w:hAnsi="Century" w:cs="Miriam" w:hint="eastAsia"/>
          <w:b/>
          <w:spacing w:val="0"/>
          <w:sz w:val="22"/>
          <w:szCs w:val="24"/>
          <w:rtl/>
        </w:rPr>
        <w:t>תפוסים</w:t>
      </w:r>
      <w:r w:rsidRPr="006803B4">
        <w:rPr>
          <w:rtl/>
        </w:rPr>
        <w:t xml:space="preserve"> </w:t>
      </w:r>
      <w:r w:rsidRPr="009F549F">
        <w:rPr>
          <w:rFonts w:hint="eastAsia"/>
          <w:rtl/>
        </w:rPr>
        <w:t>או</w:t>
      </w:r>
      <w:r w:rsidRPr="009F549F">
        <w:rPr>
          <w:rtl/>
        </w:rPr>
        <w:t xml:space="preserve"> </w:t>
      </w:r>
      <w:r w:rsidRPr="009F549F">
        <w:rPr>
          <w:rFonts w:ascii="Century" w:hAnsi="Century" w:cs="Miriam" w:hint="eastAsia"/>
          <w:b/>
          <w:spacing w:val="0"/>
          <w:sz w:val="22"/>
          <w:szCs w:val="24"/>
          <w:rtl/>
        </w:rPr>
        <w:t>צו</w:t>
      </w:r>
      <w:r w:rsidRPr="009F549F">
        <w:rPr>
          <w:rFonts w:ascii="Century" w:hAnsi="Century" w:cs="Miriam"/>
          <w:b/>
          <w:spacing w:val="0"/>
          <w:sz w:val="22"/>
          <w:szCs w:val="24"/>
          <w:rtl/>
        </w:rPr>
        <w:t xml:space="preserve"> 997</w:t>
      </w:r>
      <w:r>
        <w:rPr>
          <w:rFonts w:hint="cs"/>
          <w:rtl/>
        </w:rPr>
        <w:t>; ו-</w:t>
      </w:r>
      <w:r>
        <w:rPr>
          <w:rFonts w:ascii="Century" w:hAnsi="Century" w:cs="Miriam" w:hint="cs"/>
          <w:b/>
          <w:spacing w:val="0"/>
          <w:sz w:val="22"/>
          <w:szCs w:val="24"/>
          <w:rtl/>
        </w:rPr>
        <w:t>הממונה מכוח צו 997</w:t>
      </w:r>
      <w:r>
        <w:rPr>
          <w:rFonts w:hint="cs"/>
          <w:rtl/>
        </w:rPr>
        <w:t xml:space="preserve">, בהתאמה). יוער כי לא ברורה נקודת הזמן שבה חתם הממונה מכוח צו 997 על התכנית, וברי כי הדבר לא נעשה במועד אישורה להפקדה (מאחר שבשלב זה טרם נחקק צו 997). במשבצת "בעל הקרקע" חתום הממונה דאז, נהרי. כעולה מהתכנית, היא נערכה על ידי "הסוכנות היהודית </w:t>
      </w:r>
      <w:r>
        <w:rPr>
          <w:rtl/>
        </w:rPr>
        <w:t>–</w:t>
      </w:r>
      <w:r>
        <w:rPr>
          <w:rFonts w:hint="cs"/>
          <w:rtl/>
        </w:rPr>
        <w:t xml:space="preserve"> המחלקה להתיישבות" ושטחה 1,416 דונם (דהיינו, שטחה גדול במאות דונמים משטח צו הסגירה </w:t>
      </w:r>
      <w:r>
        <w:rPr>
          <w:rFonts w:hint="cs"/>
          <w:rtl/>
        </w:rPr>
        <w:lastRenderedPageBreak/>
        <w:t xml:space="preserve">ומשטח צו התפיסה). כעולה מפרק ג' של התכנית, רק 423 דונם משטח התכנית אושרו לבינוי ולפיתוח (שטחים אלה נמצאים בתחום צו התפיסה; ראו סיכומי המדינה בהליך בבית המשפט המחוזי שיתואר להלן, סעיף 15). יתר 993 דונמים משטח התכנית סווגו כ"שטח שייעודו ייקבע בעתיד", וצוין לגביו כי הייעוד ייקבע לאחר שיתבהרו "אפשרויות הרחבת גבולות היישוב" וכי "כל בניה לא תותר בשטח עד לאישור תוכנית מפורטת שתקבע ייעודו" (סעיף 10 לתכנית). יוער כבר עתה שבשטח זה, נמצאים המקרקעין נושא ההליך (שבהם ממוקם היישוב מצפה כרמים), מחוץ לצו הסגירה ומחוץ לצו התפיסה. הודעה על הפקדת התכנית נמסרה ביום 28.6.1983 (נספח 16 לתצהיר כספי). </w:t>
      </w:r>
    </w:p>
    <w:p w:rsidR="004C7127" w:rsidRDefault="004C7127" w:rsidP="004C7127">
      <w:pPr>
        <w:pStyle w:val="Ruller4"/>
        <w:numPr>
          <w:ilvl w:val="0"/>
          <w:numId w:val="0"/>
        </w:numPr>
      </w:pPr>
    </w:p>
    <w:p w:rsidR="004C7127" w:rsidRDefault="004C7127" w:rsidP="004C7127">
      <w:pPr>
        <w:pStyle w:val="Ruller4"/>
      </w:pPr>
      <w:r>
        <w:rPr>
          <w:rFonts w:hint="cs"/>
          <w:rtl/>
        </w:rPr>
        <w:t xml:space="preserve">ביום 17.5.1990 שלח שלמה מושקוביץ, הממונה על מתן היתרים לעבודות בשטחים תפוסים לצרכים צבאיים (הוא הממונה מכוח צו 997; להלן: </w:t>
      </w:r>
      <w:r>
        <w:rPr>
          <w:rFonts w:ascii="Century" w:hAnsi="Century" w:cs="Miriam" w:hint="cs"/>
          <w:b/>
          <w:spacing w:val="0"/>
          <w:sz w:val="22"/>
          <w:szCs w:val="24"/>
          <w:rtl/>
        </w:rPr>
        <w:t>מושקוביץ</w:t>
      </w:r>
      <w:r>
        <w:rPr>
          <w:rFonts w:hint="cs"/>
          <w:rtl/>
        </w:rPr>
        <w:t xml:space="preserve">), מכתב למשרד הבינוי והשיכון ובו התריע כי חלק מהמגרשים בתכנית 223 "נמצאים מחוץ לגבולות התפיסה בפועל (מחוץ לגדר הישוב)" וכי לפיכך "יש להימנע מלקחת בחשבון מגרשים אלה וכל שטח אחר שמחוץ לגבול התפיסה הצבאית בפועל בתהליך התיכנון והבינוי כל עוד לא אושרו ע"י המנהל האזרחי גבולות שונים". כחודש לאחר מכן התריע גם ע' רע"ן תשתית במנהל האזרחי, רב סרן יאיר בלומנטל (להלן: </w:t>
      </w:r>
      <w:r>
        <w:rPr>
          <w:rFonts w:ascii="Century" w:hAnsi="Century" w:cs="Miriam" w:hint="cs"/>
          <w:b/>
          <w:spacing w:val="0"/>
          <w:sz w:val="22"/>
          <w:szCs w:val="24"/>
          <w:rtl/>
        </w:rPr>
        <w:t>בלומנטל</w:t>
      </w:r>
      <w:r>
        <w:rPr>
          <w:rFonts w:hint="cs"/>
          <w:rtl/>
        </w:rPr>
        <w:t xml:space="preserve">), כי "אין כל בסיס משפטי" שיכול לאשר בינוי במגרשים שמחוץ "לגדר המקורית של צו התפיסה" וכי צו התפיסה "עפ"י </w:t>
      </w:r>
      <w:r w:rsidRPr="007E400D">
        <w:rPr>
          <w:rFonts w:hint="cs"/>
          <w:u w:val="single"/>
          <w:rtl/>
        </w:rPr>
        <w:t>מימושו בפועל</w:t>
      </w:r>
      <w:r>
        <w:rPr>
          <w:rFonts w:hint="cs"/>
          <w:rtl/>
        </w:rPr>
        <w:t xml:space="preserve"> לא חל על מגרשים אלו" (ההדגשה במקור </w:t>
      </w:r>
      <w:r>
        <w:rPr>
          <w:rtl/>
        </w:rPr>
        <w:t>–</w:t>
      </w:r>
      <w:r>
        <w:rPr>
          <w:rFonts w:hint="cs"/>
          <w:rtl/>
        </w:rPr>
        <w:t xml:space="preserve"> ע' פ'; ראו גם מכתב מראש מדור תכנון ומדידות במינהל האזרחי מיום 8.11.1994 שממנו עולה שיש צורך לערוך שינוי במפת הסכם ההרשאה "תוך הכנת מיפוי מתאים של הישוב עפ"י גבול התפיסה בפועל קרי הגידור הקיים"; נספח 22 לתצהיר כספי). חרף הצפת קשיים אלה בעניין גבול היישוב, אושרה בשנת 1995 תכנית מתאר מפורטת 223/1 "שינוי לתכנית מתאר מפורטת מס' 223 לישוב קהילת כוכב השחר" (1995) (להלן: </w:t>
      </w:r>
      <w:r>
        <w:rPr>
          <w:rFonts w:ascii="Century" w:hAnsi="Century" w:cs="Miriam" w:hint="cs"/>
          <w:b/>
          <w:spacing w:val="0"/>
          <w:sz w:val="22"/>
          <w:szCs w:val="24"/>
          <w:rtl/>
        </w:rPr>
        <w:t>תכנית 223/1</w:t>
      </w:r>
      <w:r>
        <w:rPr>
          <w:rFonts w:hint="cs"/>
          <w:rtl/>
        </w:rPr>
        <w:t xml:space="preserve">) שלא שינתה באורח ממשי את גבולות תכנית 223 (ביחס לשטח תכנית 223 נוספו לתכנית 4 דונם, כך ששטחה הכולל 1,420 דונם). לענייננו, רלוונטי בעיקר שינוי יעוד המקרקעין שבהם ממוקם היום היישוב מצפה כרמים לייעוד חקלאי. במכתב נוסף מאת ראש מדור תכנון ומדידות מיום 7.12.1995 </w:t>
      </w:r>
      <w:r>
        <w:rPr>
          <w:rtl/>
        </w:rPr>
        <w:t>–</w:t>
      </w:r>
      <w:r>
        <w:rPr>
          <w:rFonts w:hint="cs"/>
          <w:rtl/>
        </w:rPr>
        <w:t xml:space="preserve"> לאחר אישור תכנית 223/1 </w:t>
      </w:r>
      <w:r>
        <w:rPr>
          <w:rtl/>
        </w:rPr>
        <w:t>–</w:t>
      </w:r>
      <w:r>
        <w:rPr>
          <w:rFonts w:hint="cs"/>
          <w:rtl/>
        </w:rPr>
        <w:t xml:space="preserve"> צוין כי למרות האמור במכתבה, אושרה התכנית על בסיס הגבולות הישנים (גבולות תכנית 223). </w:t>
      </w:r>
    </w:p>
    <w:p w:rsidR="004C7127" w:rsidRDefault="004C7127" w:rsidP="004C7127">
      <w:pPr>
        <w:pStyle w:val="Ruller4"/>
        <w:numPr>
          <w:ilvl w:val="0"/>
          <w:numId w:val="0"/>
        </w:numPr>
      </w:pPr>
    </w:p>
    <w:p w:rsidR="004C7127" w:rsidRDefault="004C7127" w:rsidP="004C7127">
      <w:pPr>
        <w:pStyle w:val="Ruller4"/>
      </w:pPr>
      <w:r>
        <w:rPr>
          <w:rFonts w:hint="cs"/>
          <w:rtl/>
        </w:rPr>
        <w:t xml:space="preserve">עד כה עמדתי על הליכי הקמת היישוב כוכב השחר, אך כאמור עניינו של הדיון הנוסף במצפה כרמים, ועל כן נפנה לבחון כיצד הוקם היישוב מצפה כרמים. עובר לשנת 1999 היה ממוקם מדרום מערב לכוכב השחר היישוב "מעלה שלמה" (שכונה אף הוא </w:t>
      </w:r>
      <w:r>
        <w:rPr>
          <w:rFonts w:hint="cs"/>
          <w:rtl/>
        </w:rPr>
        <w:lastRenderedPageBreak/>
        <w:t xml:space="preserve">"מצפה כרמים"; להלן: </w:t>
      </w:r>
      <w:r>
        <w:rPr>
          <w:rFonts w:ascii="Century" w:hAnsi="Century" w:cs="Miriam" w:hint="cs"/>
          <w:b/>
          <w:spacing w:val="0"/>
          <w:sz w:val="22"/>
          <w:szCs w:val="24"/>
          <w:rtl/>
        </w:rPr>
        <w:t>מצפה כרמים הישן</w:t>
      </w:r>
      <w:r>
        <w:rPr>
          <w:rFonts w:hint="cs"/>
          <w:rtl/>
        </w:rPr>
        <w:t xml:space="preserve">). ביום 28.10.1999 ניתן תוקף של החלטת ממשלה להחלטה הח/2 של ועדת השרים לעניין התיישבות ביהודה, שומרון וחבל עזה (יש"ע) מיום 10.10.1999 (החלטה 471 (הת/2) של הממשלה ה-28). במסגרת ההחלטה נקבע כי ראש הממשלה ושר הביטחון יוסמך לפעול "על פי סמכותו ושיקול דעתו בכל הקשור לנקודות התיישבות/מאחזים מבודדים שלא ברצף לשטח מבונה של ישובים קיימים ביהודה ושומרון שהוקמו באזור יהודה ושומרון, בהתחשב ובהתבסס, בין היתר, על ההיבטים הבטחוניים והמשפטיים הרלבנטיים". בהמשך להחלטה זו, התקיימה ביום 12.10.1999 ישיבה בין ראש הממשלה ושר הביטחון (דאז), אהוד ברק, לבין ראשי מועצת יש"ע. במסגרת אותה פגישה הוצגה רשימה של 42 ישובים ("נקודות") שחלקם יפונו, בחלקם יוקפא התכנון ואחרים ש"יוסרו" </w:t>
      </w:r>
      <w:r>
        <w:rPr>
          <w:rtl/>
        </w:rPr>
        <w:t>–</w:t>
      </w:r>
      <w:r>
        <w:rPr>
          <w:rFonts w:hint="cs"/>
          <w:rtl/>
        </w:rPr>
        <w:t xml:space="preserve"> במסגרת גיבוש "הסכם המאחזים". בעניין מצפה כרמים הישן הוחלט על פינויו והדרג המדיני החליט "לאשר לקדם הליכי תכנון לתב"ע שתוגש בתחום שיפוט כוכב השחר, עבור 10 קרוואנים בתחום קו כחול של תב"ע מס' 223/1 שבתוקף. כן מאושר לבצע עבודות הכנה לקליטת הקרוואנים בתחום תב"ע זו במקביל להליכי התכנון" (מכתבו של בלומנטל מיום 21.10.1999, נספח 38 לתצהיר כספי). במכתב מיום 22.10.1999 עדכן עוזר המזכיר הצבאי לשר הביטחון שהקרוונים מ"מאחז כרמים" יפונו לתחום "תוכנית המתאר של כוכב השחר שבתוקף. יש להשלים את אישור תוכנית ההצבה עבור הקרוונים". </w:t>
      </w:r>
    </w:p>
    <w:p w:rsidR="004C7127" w:rsidRDefault="004C7127" w:rsidP="004C7127">
      <w:pPr>
        <w:pStyle w:val="Ruller4"/>
        <w:numPr>
          <w:ilvl w:val="0"/>
          <w:numId w:val="0"/>
        </w:numPr>
      </w:pPr>
    </w:p>
    <w:p w:rsidR="004C7127" w:rsidRDefault="004C7127" w:rsidP="004C7127">
      <w:pPr>
        <w:pStyle w:val="Ruller4"/>
      </w:pPr>
      <w:r>
        <w:rPr>
          <w:rFonts w:hint="cs"/>
          <w:rtl/>
        </w:rPr>
        <w:t xml:space="preserve">ואכן, מספר ימים לאחר מכן, ביום 25.10.1999, יזמה הוועדה המיוחדת לתכנון ובניה מועצה אזורית מטה בנימין את תכנית מתאר מפורטת 223/1/5 שתכליתה שינוי ייעוד של 14.4 דונם בשטח תכנית 223/1 מייעוד חקלאי למגורים (להלן: </w:t>
      </w:r>
      <w:r>
        <w:rPr>
          <w:rFonts w:ascii="Century" w:hAnsi="Century" w:cs="Miriam" w:hint="cs"/>
          <w:b/>
          <w:spacing w:val="0"/>
          <w:sz w:val="22"/>
          <w:szCs w:val="24"/>
          <w:rtl/>
        </w:rPr>
        <w:t>תכנית 223/1/5</w:t>
      </w:r>
      <w:r>
        <w:rPr>
          <w:rFonts w:hint="cs"/>
          <w:rtl/>
        </w:rPr>
        <w:t xml:space="preserve">). הקרוואנים יועדו לעבור לשטח זה. בדיון בוועדת המשנה להתיישבות של מועצת התכנון העליונה בשבתה כוועדה מייעצת לממונה, הועלה כי התכנית מצויה בתחום צו סגירה של שטח אש 906 (צו סגירת שטח מס': 4/99 /ס', התשנ"ט 1999; להלן: </w:t>
      </w:r>
      <w:r>
        <w:rPr>
          <w:rFonts w:ascii="Century" w:hAnsi="Century" w:cs="Miriam" w:hint="cs"/>
          <w:b/>
          <w:spacing w:val="0"/>
          <w:sz w:val="22"/>
          <w:szCs w:val="24"/>
          <w:rtl/>
        </w:rPr>
        <w:t>צו סגירת שטח אש 906</w:t>
      </w:r>
      <w:r>
        <w:rPr>
          <w:rFonts w:hint="cs"/>
          <w:rtl/>
        </w:rPr>
        <w:t xml:space="preserve">) ונקבע כי "התכנית שהוגשה אינה בשלה לחתימתו של הממונה" (פרוטוקול מס' 14/99 מיום 27.10.1999; נספח 42 לתצהיר כספי). בהמשך, ביום 7.11.1999, נערך דיון בראשות אלוף פיקוד המרכז דאז, משה יעלון (להלן: </w:t>
      </w:r>
      <w:r>
        <w:rPr>
          <w:rFonts w:ascii="Century" w:hAnsi="Century" w:cs="Miriam" w:hint="cs"/>
          <w:b/>
          <w:spacing w:val="0"/>
          <w:sz w:val="22"/>
          <w:szCs w:val="24"/>
          <w:rtl/>
        </w:rPr>
        <w:t>יעלון</w:t>
      </w:r>
      <w:r>
        <w:rPr>
          <w:rFonts w:hint="cs"/>
          <w:rtl/>
        </w:rPr>
        <w:t xml:space="preserve">), בעניין תכנית 223/1/5. במסגרת הדיון התברר כי המיקום שמוצע לקרוואנים מצוי בשולי "משפך בטיחות" של אזור מטווחי טנקים. כעולה מסיכום הדיון, עמדת יעלון הייתה כי עבודת המטה בעניין העברת מצפה כרמים הישן הייתה לקויה; כי מיקום הקרוואנים פוגע בשטח אש; וכי יש לערוך בדיקה "מדוקדקת" להשפעת מיקום הקרוואנים על משפכי הבטיחות עובר להעברתם. בדיון שנערך ביום 17.1.2000 הוחלט כי המינהל האזרחי יעצור את ההליך התכנוני ובכלל זאת את תכנית 223/1/5. </w:t>
      </w:r>
    </w:p>
    <w:p w:rsidR="004C7127" w:rsidRDefault="004C7127" w:rsidP="004C7127">
      <w:pPr>
        <w:pStyle w:val="Ruller4"/>
        <w:numPr>
          <w:ilvl w:val="0"/>
          <w:numId w:val="0"/>
        </w:numPr>
      </w:pPr>
    </w:p>
    <w:p w:rsidR="004C7127" w:rsidRDefault="004C7127" w:rsidP="004C7127">
      <w:pPr>
        <w:pStyle w:val="Ruller4"/>
        <w:rPr>
          <w:rtl/>
        </w:rPr>
      </w:pPr>
      <w:r>
        <w:rPr>
          <w:rFonts w:hint="cs"/>
          <w:rtl/>
        </w:rPr>
        <w:t>ביום 27.1.2000 דיווחה היחידה המרכזית לפיקוח באזור יהודה על עליית מצפה כרמים לשטח. דווח כי "באתר יש 15 קראוונים ועוד 2 יבילים קטנים, 9 מאוכלסים [...] כל הקראוונים מחוברים לתשתיות ולאתר נסללה דרך ביום 26 ינו' 2000". אעיר כבר בשלב זה שאין מסמך שמבהיר מדוע מוקמו הקרוואנים היכן שמוקמו, ואם נוהל הליך מסודר לבחירת מיקום זה. כמו כן, אין תיעוד להעברת הקרוואנים, כך שאין אנו יודעים באיזה תאריך בוצעה ההעברה. במסגרת ההליך בבית המשפט המחוזי (שיתואר להלן), ציין אלוף הפיקוד דאז, יעלון, שהוא ליווה את עליית תושבי מצפה כרמים למקום (אך בהמשך דבריו בבית המשפט המחוזי שינה מדבריו; להרחבה, ראו בהמשך דבריי). הקרוואנים מוקמו על מקרקעין מוסדרים בבעלות פרטית פלסטינית, בשטח שאינו שטח תכנית 223/1/5, ובתוך צו סגירת שטח אש 906. לימים, ניתנה למצפה כרמים הכרה כישוב עצמאי (מכתב עוזר שר הביטחון להתיישבות מיום 9.2.2003). במכתב מאת רכזת תכנון מיפוי ומדידות מיום 11.5.2003 התבקשה עמדת היועץ המשפטי לאזור בבקשה ליתן חוות דעת לכך שגבול תכנית 223/1 חורג מצו התפיסה. עוד עולה מהמכתב שבשנת 2001 "תוקן" במסגרת תכנית 223/4 (שלא צורפה בהליך דנן) גבול התכנית לגבול צו התפיסה.</w:t>
      </w:r>
    </w:p>
    <w:p w:rsidR="004C7127" w:rsidRDefault="004C7127" w:rsidP="004C7127">
      <w:pPr>
        <w:pStyle w:val="Ruller41"/>
        <w:rPr>
          <w:rtl/>
        </w:rPr>
      </w:pPr>
    </w:p>
    <w:p w:rsidR="004C7127" w:rsidRDefault="004C7127" w:rsidP="004C7127">
      <w:pPr>
        <w:pStyle w:val="Ruller4"/>
        <w:rPr>
          <w:rtl/>
        </w:rPr>
      </w:pPr>
      <w:r>
        <w:rPr>
          <w:rFonts w:hint="cs"/>
          <w:rtl/>
        </w:rPr>
        <w:t xml:space="preserve">אם נסכם את הדברים עד לנקודה זו: במסגרת הסכם המאחזים הוחלט על העברת המבנים בישוב מצפה כרמים הישן ממיקומם. כחלק מקידום העברת היישוב התנהל הליך תכנוני שתכליתו העברת הקרוואנים לשטח תכנית 223, אך הליך זה לא נשא פרי (תכנית 223/1/5). בראשית שנת 2000 </w:t>
      </w:r>
      <w:r>
        <w:rPr>
          <w:rtl/>
        </w:rPr>
        <w:t>–</w:t>
      </w:r>
      <w:r>
        <w:rPr>
          <w:rFonts w:hint="cs"/>
          <w:rtl/>
        </w:rPr>
        <w:t xml:space="preserve"> ובנסיבות שלא התבררו עד תום </w:t>
      </w:r>
      <w:r>
        <w:rPr>
          <w:rtl/>
        </w:rPr>
        <w:t>–</w:t>
      </w:r>
      <w:r>
        <w:rPr>
          <w:rFonts w:hint="cs"/>
          <w:rtl/>
        </w:rPr>
        <w:t xml:space="preserve"> עלה על הקרקע מצפה כרמים במיקומו הנוכחי, מחוץ לשטח צו הסגירה, מחוץ לשטח צו התפיסה, בתוך שטח תכניות 223 ו-223/1 (בשטח שסווג בתכנית 223 כ"שטח שייעודו ייקבע בעתיד" ובתכנית 223/1 כשטח חקלאי) ובתוך שטח צו סגירת שטח אש 906. היישוב הוצב במקרקעין מוסדרים ורובו ניצב על חלקות בבעלות גורמים פלסטיניים פרטיים שונים (כפי שיתואר להלן). </w:t>
      </w:r>
    </w:p>
    <w:p w:rsidR="004C7127" w:rsidRDefault="004C7127" w:rsidP="004C7127">
      <w:pPr>
        <w:pStyle w:val="Ruller41"/>
        <w:rPr>
          <w:rtl/>
        </w:rPr>
      </w:pPr>
    </w:p>
    <w:p w:rsidR="004C7127" w:rsidRPr="008107AF" w:rsidRDefault="004C7127" w:rsidP="004C7127">
      <w:pPr>
        <w:pStyle w:val="1"/>
        <w:spacing w:before="0"/>
        <w:rPr>
          <w:rFonts w:ascii="Century" w:hAnsi="Century" w:cs="Miriam"/>
          <w:b/>
          <w:color w:val="auto"/>
          <w:spacing w:val="0"/>
          <w:sz w:val="22"/>
          <w:szCs w:val="24"/>
          <w:rtl/>
        </w:rPr>
      </w:pPr>
      <w:r w:rsidRPr="008107AF">
        <w:rPr>
          <w:rFonts w:ascii="Century" w:hAnsi="Century" w:cs="Miriam" w:hint="cs"/>
          <w:b/>
          <w:color w:val="auto"/>
          <w:spacing w:val="0"/>
          <w:sz w:val="22"/>
          <w:szCs w:val="24"/>
          <w:rtl/>
        </w:rPr>
        <w:t xml:space="preserve">ההליכים המשפטיים </w:t>
      </w:r>
    </w:p>
    <w:p w:rsidR="004C7127" w:rsidRPr="00B73B21" w:rsidRDefault="004C7127" w:rsidP="004C7127">
      <w:pPr>
        <w:pStyle w:val="Ruller41"/>
        <w:rPr>
          <w:rFonts w:ascii="Century" w:hAnsi="Century" w:cs="Miriam"/>
          <w:b/>
          <w:spacing w:val="0"/>
          <w:szCs w:val="24"/>
          <w:rtl/>
        </w:rPr>
      </w:pPr>
    </w:p>
    <w:p w:rsidR="004C7127" w:rsidRPr="003530BC" w:rsidRDefault="004C7127" w:rsidP="004C7127">
      <w:pPr>
        <w:pStyle w:val="Ruller4"/>
      </w:pPr>
      <w:r>
        <w:rPr>
          <w:rFonts w:hint="cs"/>
          <w:rtl/>
        </w:rPr>
        <w:t>בשנת 2011 הגישו המשיבים 3-1 עתירה לבית משפט זה בשבתו כבית משפט גבוה לצדק</w:t>
      </w:r>
      <w:r w:rsidRPr="001776F1">
        <w:rPr>
          <w:rFonts w:hint="cs"/>
          <w:rtl/>
        </w:rPr>
        <w:t>, בטענה כי המשיבים 3-2 הם הבעלים החוקיים (שאינם רשומים) של חלקות 13 ו-23</w:t>
      </w:r>
      <w:r>
        <w:rPr>
          <w:rFonts w:hint="cs"/>
          <w:rtl/>
        </w:rPr>
        <w:t xml:space="preserve"> בגוש 19 (הן שתיים מתוך החלקות שעליהן מצוי היישוב מצפה כרמים); כי הבנייה בחלקות אלו נעשתה שלא כדין; וכי משכך יש לפנות את הבינוי ולסלק את הפולשים (בג"ץ 953/11 </w:t>
      </w:r>
      <w:r>
        <w:rPr>
          <w:rFonts w:ascii="Century" w:hAnsi="Century" w:cs="Miriam" w:hint="cs"/>
          <w:b/>
          <w:spacing w:val="0"/>
          <w:sz w:val="22"/>
          <w:szCs w:val="24"/>
          <w:rtl/>
        </w:rPr>
        <w:t>סאלחה נ' שר הביטחון</w:t>
      </w:r>
      <w:r w:rsidRPr="00B26330">
        <w:rPr>
          <w:rFonts w:ascii="Century" w:hAnsi="Century" w:hint="cs"/>
          <w:sz w:val="22"/>
          <w:rtl/>
        </w:rPr>
        <w:t>; להלן</w:t>
      </w:r>
      <w:r>
        <w:rPr>
          <w:rFonts w:ascii="Century" w:hAnsi="Century" w:hint="cs"/>
          <w:sz w:val="22"/>
          <w:rtl/>
        </w:rPr>
        <w:t>:</w:t>
      </w:r>
      <w:r>
        <w:rPr>
          <w:rFonts w:hint="cs"/>
          <w:rtl/>
        </w:rPr>
        <w:t xml:space="preserve"> </w:t>
      </w:r>
      <w:r w:rsidRPr="00B26330">
        <w:rPr>
          <w:rFonts w:ascii="Century" w:hAnsi="Century" w:cs="Miriam" w:hint="cs"/>
          <w:b/>
          <w:spacing w:val="0"/>
          <w:sz w:val="22"/>
          <w:szCs w:val="24"/>
          <w:rtl/>
        </w:rPr>
        <w:t>בג"ץ 953/11</w:t>
      </w:r>
      <w:r>
        <w:rPr>
          <w:rFonts w:hint="cs"/>
          <w:rtl/>
        </w:rPr>
        <w:t xml:space="preserve"> או </w:t>
      </w:r>
      <w:r>
        <w:rPr>
          <w:rFonts w:ascii="Century" w:hAnsi="Century" w:cs="Miriam" w:hint="cs"/>
          <w:b/>
          <w:spacing w:val="0"/>
          <w:sz w:val="22"/>
          <w:szCs w:val="24"/>
          <w:rtl/>
        </w:rPr>
        <w:t>העתירה</w:t>
      </w:r>
      <w:r>
        <w:rPr>
          <w:rFonts w:hint="cs"/>
          <w:rtl/>
        </w:rPr>
        <w:t>).</w:t>
      </w:r>
      <w:r w:rsidRPr="003530BC">
        <w:rPr>
          <w:rFonts w:ascii="Century" w:hAnsi="Century" w:hint="cs"/>
          <w:sz w:val="22"/>
          <w:rtl/>
        </w:rPr>
        <w:t xml:space="preserve"> </w:t>
      </w:r>
      <w:r>
        <w:rPr>
          <w:rFonts w:ascii="Century" w:hAnsi="Century" w:hint="cs"/>
          <w:sz w:val="22"/>
          <w:rtl/>
        </w:rPr>
        <w:t xml:space="preserve">צו </w:t>
      </w:r>
      <w:r>
        <w:rPr>
          <w:rFonts w:ascii="Century" w:hAnsi="Century" w:hint="cs"/>
          <w:sz w:val="22"/>
          <w:rtl/>
        </w:rPr>
        <w:lastRenderedPageBreak/>
        <w:t xml:space="preserve">ביניים שאוסר על בנייה נוספת בחלקות ניתן ביום 11.3.2013. </w:t>
      </w:r>
      <w:r>
        <w:rPr>
          <w:rFonts w:hint="cs"/>
          <w:rtl/>
        </w:rPr>
        <w:t xml:space="preserve">כחלק מגיבוש תגובת המדינה לעתירה התברר כי השטח שבו ממוקם היישוב מצפה כרמים כמו גם חלק מהשטח בתכנית 223/1 אינו בתוך צו התפיסה. המדינה טענה אפוא כי הממונה </w:t>
      </w:r>
      <w:r>
        <w:rPr>
          <w:rFonts w:ascii="Century" w:hAnsi="Century" w:hint="cs"/>
          <w:sz w:val="22"/>
          <w:rtl/>
        </w:rPr>
        <w:t>לא יכול היה להקצות את חלקות 13 ו-23 להסתדרות הציונית.</w:t>
      </w:r>
    </w:p>
    <w:p w:rsidR="004C7127" w:rsidRPr="003530BC" w:rsidRDefault="004C7127" w:rsidP="004C7127">
      <w:pPr>
        <w:pStyle w:val="Ruller4"/>
        <w:numPr>
          <w:ilvl w:val="0"/>
          <w:numId w:val="0"/>
        </w:numPr>
      </w:pPr>
    </w:p>
    <w:p w:rsidR="004C7127" w:rsidRDefault="004C7127" w:rsidP="004C7127">
      <w:pPr>
        <w:pStyle w:val="Ruller4"/>
      </w:pPr>
      <w:r>
        <w:rPr>
          <w:rFonts w:ascii="Century" w:hAnsi="Century" w:hint="cs"/>
          <w:sz w:val="22"/>
          <w:rtl/>
        </w:rPr>
        <w:t xml:space="preserve"> </w:t>
      </w:r>
      <w:r>
        <w:rPr>
          <w:rFonts w:hint="cs"/>
          <w:rtl/>
        </w:rPr>
        <w:t xml:space="preserve">בעקבות הגשת העתירה הגישה בחודש נובמבר 2013 קבוצת תושבי מצפה כרמים (להלן גם: </w:t>
      </w:r>
      <w:r w:rsidRPr="00383372">
        <w:rPr>
          <w:rFonts w:ascii="Century" w:hAnsi="Century" w:cs="Miriam" w:hint="cs"/>
          <w:b/>
          <w:spacing w:val="0"/>
          <w:sz w:val="22"/>
          <w:szCs w:val="24"/>
          <w:rtl/>
        </w:rPr>
        <w:t>התובעים</w:t>
      </w:r>
      <w:r>
        <w:rPr>
          <w:rFonts w:hint="cs"/>
          <w:rtl/>
        </w:rPr>
        <w:t xml:space="preserve">) תובענה לבית המשפט המחוזי בירושלים, שבגדרה התבקש בית המשפט להצהיר כי הם בעלי הזכות הקניינית בשטח וכי המקרקעין הוקצו כדין על ידי הממונה (יוער כי התביעה נגעה תחילה רק לחלקות 13 ו-23, שאליהן כוונה גם העתירה, אך בהמשך הוגש כתב תביעה מתוקן </w:t>
      </w:r>
      <w:r w:rsidRPr="003530BC">
        <w:rPr>
          <w:rFonts w:hint="cs"/>
          <w:rtl/>
        </w:rPr>
        <w:t xml:space="preserve">שנוגע לחלקות 16-11 ו-23; כן יוער כי כעולה מטענות המדינה, חלקה 16 בגוש 19 רשומה כאדמת מדינה; הליך זה יכונה להלן: </w:t>
      </w:r>
      <w:r w:rsidRPr="003530BC">
        <w:rPr>
          <w:rFonts w:ascii="Century" w:hAnsi="Century" w:cs="Miriam" w:hint="cs"/>
          <w:b/>
          <w:spacing w:val="0"/>
          <w:sz w:val="22"/>
          <w:szCs w:val="24"/>
          <w:rtl/>
        </w:rPr>
        <w:t>ההליך האזרחי</w:t>
      </w:r>
      <w:r w:rsidRPr="003530BC">
        <w:rPr>
          <w:rFonts w:hint="cs"/>
          <w:rtl/>
        </w:rPr>
        <w:t>).</w:t>
      </w:r>
      <w:r>
        <w:rPr>
          <w:rFonts w:hint="cs"/>
          <w:rtl/>
        </w:rPr>
        <w:t xml:space="preserve"> במוקדו של ההליך האזרחי הוצבה השאלה אם לתובעים זכויות במקרקעין שבמחלוקת מכוח סעיף 5 לצו בדבר רכוש ממשלתי, שקובע, בתמצית, שעסקה שנעשתה בתום לב בין הממונה לבין אדם אחר בכל נכס שהממונה חשבו בשעת העסקה לרכוש ממשלתי, לא תיפסל גם אם יוכח שהנכס לא היה אותה שעה רכוש ממשלתי (הסעיף עומד במוקד הדיון הנוסף ויובא כלשונו בהמשך). המינהל האזרחי היה המשיב 4 לתביעה זו, ותחילה עמדתו הייתה זהה לעמדה שהובאה לפני בית משפט זה במסגרת בג"ץ 953/11 (בהמשך, חל שינוי בעמדה זו, כפי שיתואר גם להלן). </w:t>
      </w:r>
    </w:p>
    <w:p w:rsidR="004C7127" w:rsidRDefault="004C7127" w:rsidP="004C7127">
      <w:pPr>
        <w:pStyle w:val="Ruller4"/>
        <w:numPr>
          <w:ilvl w:val="0"/>
          <w:numId w:val="0"/>
        </w:numPr>
      </w:pPr>
    </w:p>
    <w:p w:rsidR="004C7127" w:rsidRPr="003336E7" w:rsidRDefault="004C7127" w:rsidP="004C7127">
      <w:pPr>
        <w:pStyle w:val="Ruller4"/>
      </w:pPr>
      <w:r>
        <w:rPr>
          <w:rFonts w:hint="cs"/>
          <w:rtl/>
        </w:rPr>
        <w:t xml:space="preserve">בג"ץ 953/11 וההליך האזרחי התנהלו משך זמן מה במקביל, וביום </w:t>
      </w:r>
      <w:r w:rsidRPr="007B6745">
        <w:rPr>
          <w:rFonts w:ascii="Century" w:hAnsi="Century" w:hint="cs"/>
          <w:sz w:val="22"/>
          <w:rtl/>
        </w:rPr>
        <w:t>9.11.2014 ניתן צו על תנאי בעתירה ונקבע בו כי על המשיבים ליתן טעם:</w:t>
      </w:r>
    </w:p>
    <w:p w:rsidR="004C7127" w:rsidRDefault="004C7127" w:rsidP="004C7127">
      <w:pPr>
        <w:pStyle w:val="Ruller5"/>
        <w:rPr>
          <w:rtl/>
        </w:rPr>
      </w:pPr>
    </w:p>
    <w:p w:rsidR="004C7127" w:rsidRDefault="004C7127" w:rsidP="004C7127">
      <w:pPr>
        <w:pStyle w:val="Ruller5"/>
        <w:rPr>
          <w:rtl/>
        </w:rPr>
      </w:pPr>
      <w:r>
        <w:rPr>
          <w:rFonts w:hint="cs"/>
          <w:rtl/>
        </w:rPr>
        <w:t>"א.</w:t>
      </w:r>
      <w:r>
        <w:rPr>
          <w:rFonts w:hint="cs"/>
          <w:rtl/>
        </w:rPr>
        <w:tab/>
        <w:t xml:space="preserve">מדוע לא תופסק כל פעילות בנייה והכשרת הקרקע בחלקות 13 ו-23 בגוש מס' 19 באדמות הכפר דיר ג'ריר, ומדוע לא תימנע הקמתם של מבנים בלתי חוקיים במקום. </w:t>
      </w:r>
    </w:p>
    <w:p w:rsidR="004C7127" w:rsidRDefault="004C7127" w:rsidP="004C7127">
      <w:pPr>
        <w:pStyle w:val="Ruller5"/>
        <w:rPr>
          <w:rtl/>
        </w:rPr>
      </w:pPr>
    </w:p>
    <w:p w:rsidR="004C7127" w:rsidRDefault="004C7127" w:rsidP="004C7127">
      <w:pPr>
        <w:pStyle w:val="Ruller5"/>
        <w:rPr>
          <w:rtl/>
        </w:rPr>
      </w:pPr>
      <w:r>
        <w:rPr>
          <w:rFonts w:hint="cs"/>
          <w:rtl/>
        </w:rPr>
        <w:t>ב.</w:t>
      </w:r>
      <w:r>
        <w:rPr>
          <w:rFonts w:hint="cs"/>
          <w:rtl/>
        </w:rPr>
        <w:tab/>
        <w:t xml:space="preserve">מדוע לא יפונו המבנים המצויים בחלקות האמורות, שנבנו בהן שלא כדין. </w:t>
      </w:r>
    </w:p>
    <w:p w:rsidR="004C7127" w:rsidRDefault="004C7127" w:rsidP="004C7127">
      <w:pPr>
        <w:pStyle w:val="Ruller5"/>
        <w:rPr>
          <w:rtl/>
        </w:rPr>
      </w:pPr>
    </w:p>
    <w:p w:rsidR="004C7127" w:rsidRDefault="004C7127" w:rsidP="004C7127">
      <w:pPr>
        <w:pStyle w:val="Ruller5"/>
        <w:rPr>
          <w:rtl/>
        </w:rPr>
      </w:pPr>
      <w:r>
        <w:rPr>
          <w:rFonts w:hint="cs"/>
          <w:rtl/>
        </w:rPr>
        <w:t>ג.</w:t>
      </w:r>
      <w:r>
        <w:rPr>
          <w:rFonts w:hint="cs"/>
          <w:rtl/>
        </w:rPr>
        <w:tab/>
        <w:t xml:space="preserve">מדוע לא תבוטל מערכת ההנחיות 223/1". </w:t>
      </w:r>
    </w:p>
    <w:p w:rsidR="004C7127" w:rsidRDefault="004C7127" w:rsidP="004C7127">
      <w:pPr>
        <w:pStyle w:val="Ruller4"/>
        <w:numPr>
          <w:ilvl w:val="0"/>
          <w:numId w:val="0"/>
        </w:numPr>
        <w:rPr>
          <w:rtl/>
        </w:rPr>
      </w:pPr>
    </w:p>
    <w:p w:rsidR="004C7127" w:rsidRPr="00033461" w:rsidRDefault="004C7127" w:rsidP="004C7127">
      <w:pPr>
        <w:pStyle w:val="Ruller4"/>
        <w:numPr>
          <w:ilvl w:val="0"/>
          <w:numId w:val="0"/>
        </w:numPr>
        <w:rPr>
          <w:rtl/>
        </w:rPr>
      </w:pPr>
      <w:r>
        <w:rPr>
          <w:rtl/>
        </w:rPr>
        <w:tab/>
      </w:r>
      <w:r>
        <w:rPr>
          <w:rFonts w:hint="cs"/>
          <w:rtl/>
        </w:rPr>
        <w:t>לאחר שהוגשו תצהירי תשובה, התקיים דיון בבג"ץ 953/11 ולאחריו נקבע ביום 16.11.2015 כי "</w:t>
      </w:r>
      <w:r w:rsidRPr="00171858">
        <w:rPr>
          <w:rFonts w:hint="eastAsia"/>
          <w:rtl/>
        </w:rPr>
        <w:t>בנסיבות</w:t>
      </w:r>
      <w:r w:rsidRPr="00171858">
        <w:rPr>
          <w:rtl/>
        </w:rPr>
        <w:t xml:space="preserve"> </w:t>
      </w:r>
      <w:r w:rsidRPr="00171858">
        <w:rPr>
          <w:rFonts w:hint="eastAsia"/>
          <w:rtl/>
        </w:rPr>
        <w:t>החריגות</w:t>
      </w:r>
      <w:r w:rsidRPr="00171858">
        <w:rPr>
          <w:rtl/>
        </w:rPr>
        <w:t xml:space="preserve"> </w:t>
      </w:r>
      <w:r w:rsidRPr="00171858">
        <w:rPr>
          <w:rFonts w:hint="eastAsia"/>
          <w:rtl/>
        </w:rPr>
        <w:t>של</w:t>
      </w:r>
      <w:r w:rsidRPr="00171858">
        <w:rPr>
          <w:rtl/>
        </w:rPr>
        <w:t xml:space="preserve"> </w:t>
      </w:r>
      <w:r w:rsidRPr="00171858">
        <w:rPr>
          <w:rFonts w:hint="eastAsia"/>
          <w:rtl/>
        </w:rPr>
        <w:t>פרשה</w:t>
      </w:r>
      <w:r w:rsidRPr="00171858">
        <w:rPr>
          <w:rtl/>
        </w:rPr>
        <w:t xml:space="preserve"> </w:t>
      </w:r>
      <w:r w:rsidRPr="00171858">
        <w:rPr>
          <w:rFonts w:hint="eastAsia"/>
          <w:rtl/>
        </w:rPr>
        <w:t>זו</w:t>
      </w:r>
      <w:r w:rsidRPr="00171858">
        <w:rPr>
          <w:rtl/>
        </w:rPr>
        <w:t xml:space="preserve"> </w:t>
      </w:r>
      <w:r w:rsidRPr="00171858">
        <w:rPr>
          <w:rFonts w:hint="eastAsia"/>
          <w:rtl/>
        </w:rPr>
        <w:t>יש</w:t>
      </w:r>
      <w:r w:rsidRPr="00171858">
        <w:rPr>
          <w:rtl/>
        </w:rPr>
        <w:t xml:space="preserve"> </w:t>
      </w:r>
      <w:r w:rsidRPr="00171858">
        <w:rPr>
          <w:rFonts w:hint="eastAsia"/>
          <w:rtl/>
        </w:rPr>
        <w:t>להמתין</w:t>
      </w:r>
      <w:r w:rsidRPr="00171858">
        <w:rPr>
          <w:rtl/>
        </w:rPr>
        <w:t xml:space="preserve"> </w:t>
      </w:r>
      <w:r w:rsidRPr="00171858">
        <w:rPr>
          <w:rFonts w:hint="eastAsia"/>
          <w:rtl/>
        </w:rPr>
        <w:t>זמן</w:t>
      </w:r>
      <w:r w:rsidRPr="00171858">
        <w:rPr>
          <w:rtl/>
        </w:rPr>
        <w:t xml:space="preserve"> </w:t>
      </w:r>
      <w:r w:rsidRPr="00794264">
        <w:rPr>
          <w:rFonts w:ascii="Century" w:hAnsi="Century" w:cs="Miriam" w:hint="eastAsia"/>
          <w:b/>
          <w:spacing w:val="0"/>
          <w:sz w:val="22"/>
          <w:szCs w:val="24"/>
          <w:rtl/>
        </w:rPr>
        <w:t>סביר</w:t>
      </w:r>
      <w:r w:rsidRPr="00794264">
        <w:rPr>
          <w:rtl/>
        </w:rPr>
        <w:t xml:space="preserve"> </w:t>
      </w:r>
      <w:r w:rsidRPr="00171858">
        <w:rPr>
          <w:rFonts w:hint="eastAsia"/>
          <w:rtl/>
        </w:rPr>
        <w:t>להכרעה</w:t>
      </w:r>
      <w:r>
        <w:rPr>
          <w:rFonts w:hint="cs"/>
          <w:rtl/>
        </w:rPr>
        <w:t xml:space="preserve"> [בהליך האזרחי </w:t>
      </w:r>
      <w:r>
        <w:rPr>
          <w:rtl/>
        </w:rPr>
        <w:t>–</w:t>
      </w:r>
      <w:r>
        <w:rPr>
          <w:rFonts w:hint="cs"/>
          <w:rtl/>
        </w:rPr>
        <w:t xml:space="preserve"> ע' פ']" (ההדגשה במקור </w:t>
      </w:r>
      <w:r>
        <w:rPr>
          <w:rtl/>
        </w:rPr>
        <w:t>–</w:t>
      </w:r>
      <w:r>
        <w:rPr>
          <w:rFonts w:hint="cs"/>
          <w:rtl/>
        </w:rPr>
        <w:t xml:space="preserve"> ע' פ'). עוד באותה החלטה הוצא צו שהורה על הקפאת המצב הקיים ואסר על בניה בחלקות.</w:t>
      </w:r>
    </w:p>
    <w:p w:rsidR="004C7127" w:rsidRDefault="004C7127" w:rsidP="004C7127">
      <w:pPr>
        <w:pStyle w:val="Ruller41"/>
        <w:rPr>
          <w:rtl/>
        </w:rPr>
      </w:pPr>
    </w:p>
    <w:p w:rsidR="004C7127" w:rsidRPr="00F32E52" w:rsidRDefault="004C7127" w:rsidP="004C7127">
      <w:pPr>
        <w:pStyle w:val="1"/>
        <w:spacing w:before="0"/>
        <w:rPr>
          <w:rFonts w:ascii="Century" w:hAnsi="Century" w:cs="Miriam"/>
          <w:b/>
          <w:color w:val="auto"/>
          <w:spacing w:val="0"/>
          <w:sz w:val="22"/>
          <w:szCs w:val="24"/>
          <w:rtl/>
        </w:rPr>
      </w:pPr>
      <w:r>
        <w:rPr>
          <w:rFonts w:ascii="Century" w:hAnsi="Century" w:cs="Miriam" w:hint="cs"/>
          <w:b/>
          <w:color w:val="auto"/>
          <w:spacing w:val="0"/>
          <w:sz w:val="22"/>
          <w:szCs w:val="24"/>
          <w:rtl/>
        </w:rPr>
        <w:lastRenderedPageBreak/>
        <w:t>פסק הדין בהליך האזרחי</w:t>
      </w:r>
    </w:p>
    <w:p w:rsidR="004C7127" w:rsidRDefault="004C7127" w:rsidP="004C7127">
      <w:pPr>
        <w:pStyle w:val="Ruller41"/>
        <w:rPr>
          <w:rtl/>
        </w:rPr>
      </w:pPr>
    </w:p>
    <w:p w:rsidR="004C7127" w:rsidRDefault="004C7127" w:rsidP="004C7127">
      <w:pPr>
        <w:pStyle w:val="Ruller4"/>
      </w:pPr>
      <w:r>
        <w:rPr>
          <w:rFonts w:hint="cs"/>
          <w:rtl/>
        </w:rPr>
        <w:t xml:space="preserve">ביום 28.8.2018 קיבל בית המשפט המחוזי בירושלים (כב' השופט </w:t>
      </w:r>
      <w:r>
        <w:rPr>
          <w:rFonts w:ascii="Century" w:hAnsi="Century" w:cs="Miriam" w:hint="cs"/>
          <w:b/>
          <w:spacing w:val="0"/>
          <w:sz w:val="22"/>
          <w:szCs w:val="24"/>
          <w:rtl/>
        </w:rPr>
        <w:t>א' דראל</w:t>
      </w:r>
      <w:r>
        <w:rPr>
          <w:rFonts w:hint="cs"/>
          <w:rtl/>
        </w:rPr>
        <w:t xml:space="preserve">) את תביעת המחזיקים. בית המשפט נתן פסק דן הצהרתי שלפיו חלקות 16-11 ו-23 בגוש 19 הוקצו להסתדרות הציונית על ידי המנהל האזרחי בהסכם ההרשאה; כי למחזיקים זכויות בר רשות במקרקעין האמורים; וכי למשיבים 3-1 אין זכות לסלק את ידם של חלק מהתובעים מחלקות 13 ו-23 (הן, כזכור, החלקות שבעניינן התנהל בג"ץ 953/11). תחילה, דחה בית המשפט את טענת התובעים שלפיה שטח צו התפיסה לא מוגבל לגבולות שנקבעו בו, אלא כולל את כלל השטחים שעליהם חלה תכנית 223 (ומשכך, גם את המקרקעין שבו נמצאת מצפה כרמים). נקבע כי לא הונחה תשתית ראייתית לקביעה כי הגדר בשטח הייתה ממוקמת באופן שכולל את כלל השטחים בתכנית 223. עוד ציין בית המשפט כי לא הוכח שבהוצאת צו התפיסה התכוון מפקד האזור לחרוג מתחומי צו הסגירה, ואף נהפוך הוא </w:t>
      </w:r>
      <w:r>
        <w:rPr>
          <w:rtl/>
        </w:rPr>
        <w:t>–</w:t>
      </w:r>
      <w:r>
        <w:rPr>
          <w:rFonts w:hint="cs"/>
          <w:rtl/>
        </w:rPr>
        <w:t xml:space="preserve"> הוכח שהכוונה בצו התפיסה הייתה לצמצם את היקף השטחים שיתפסו.</w:t>
      </w:r>
    </w:p>
    <w:p w:rsidR="004C7127" w:rsidRDefault="004C7127" w:rsidP="004C7127">
      <w:pPr>
        <w:pStyle w:val="Ruller4"/>
        <w:numPr>
          <w:ilvl w:val="0"/>
          <w:numId w:val="0"/>
        </w:numPr>
      </w:pPr>
    </w:p>
    <w:p w:rsidR="004C7127" w:rsidRDefault="004C7127" w:rsidP="004C7127">
      <w:pPr>
        <w:pStyle w:val="Ruller4"/>
        <w:rPr>
          <w:rtl/>
        </w:rPr>
      </w:pPr>
      <w:r>
        <w:rPr>
          <w:rFonts w:hint="cs"/>
          <w:rtl/>
        </w:rPr>
        <w:t xml:space="preserve">הגם שכך, מצא בית המשפט כי פרשנות הסכם ההרשאה מוליכה למסקנה כי הוא חל על כל השטח שעליו חלות תכניות 223 ו-223/1. בית המשפט קבע כי כוונת הצדדים בהסכם ההרשאה הייתה להותיר את שטח ההקצאה "לקביעה עתידית", וזאת בהישען בין היתר על סעיף בהסכם שמפנה לאפשרות לשנות בעתיד את גבולות המשבצת ועל העובדה שהשרטוט שצורף להסכם נעדר קנה מידה, ושורטט בטוש עבה, מבלי לציין קואורדינטות או "כל מידע ברור אחר באשר לשטח שאותו הממונה מקצה" (סעיף 131 לפסק הדין). מסקנה זו נתמכת, קבע בית המשפט המחוזי, גם באישור תכנית 223 כשנה לאחר הסכם ההרשאה הראשון, תכנית שאושרה על יסוד הנחה (גם אם מוטעית) שהשטח המאושר הוא שטח שנתפס מכוח צו תפיסה. עוד ציין בית המשפט כי מתוך הראיות עלתה כוונה אמיתית להסדיר את המאחזים באופן קבוע לאחר העתקתם, ולכן העברת מצפה כרמים לא הייתה מאושרת אלמלא חשבו הגורמים המיישבים כי השטח האמור מצוי בתוך שטח התפיסה ובתוך השטח שעליו חל הסכם ההרשאה. עוד נקבע כי גם התנהגות הצדדים במשך השנים, תומכת במסקנה זו. בית המשפט המחוזי לא סבר שניתן ללמוד על אומד דעת הצדדים מכך שמכתבים מאוחרים להסכם ההרשאה לימדו שקיימים מגרשים שלא נמצאים בשטח צו התפיסה; מכך שבהסכמי ההרשאה הנוספים לא "תוקן הליקוי" ביחס להיקף השטח שהוקצה; מכך שהשטח שעליו ממוקמת מצפה כרמים אינו מיועד למגורים; ומכך שניסיון להסדרת הייעוד בתכנית 223/1/5 לא צלח. </w:t>
      </w:r>
    </w:p>
    <w:p w:rsidR="004C7127" w:rsidRPr="004E683E" w:rsidRDefault="004C7127" w:rsidP="004C7127">
      <w:pPr>
        <w:pStyle w:val="Ruller41"/>
      </w:pPr>
    </w:p>
    <w:p w:rsidR="004C7127" w:rsidRDefault="004C7127" w:rsidP="004C7127">
      <w:pPr>
        <w:pStyle w:val="Ruller4"/>
        <w:rPr>
          <w:rtl/>
        </w:rPr>
      </w:pPr>
      <w:r>
        <w:rPr>
          <w:rFonts w:hint="cs"/>
          <w:rtl/>
        </w:rPr>
        <w:lastRenderedPageBreak/>
        <w:t xml:space="preserve">נוכח הכרעתו כי המקרקעין שעליהם מוקם היישוב מצפה כרמים נכללים בשטח שהוקצה להסתדרות הציונית, פנה בית המשפט לדון בסוגיה שניצבת (בחלקה) בליבו של הדיון הנוסף שלפנינו והיא </w:t>
      </w:r>
      <w:r>
        <w:rPr>
          <w:rtl/>
        </w:rPr>
        <w:t>–</w:t>
      </w:r>
      <w:r>
        <w:rPr>
          <w:rFonts w:hint="cs"/>
          <w:rtl/>
        </w:rPr>
        <w:t xml:space="preserve"> האם יש בענייננו תחולה לסעיף 5 לצו בדבר רכוש ממשלתי. בית המשפט קבע כי סעיף 5 קובע הסדר של תקנת שוק במקרקעין באזור יהודה ושומרון, שבאמצעותו ניתן להכשיר עסקאות שנעשו עם הממונה להעברתו של רכוש שבשעתו חשב הממונה שהוא בניהולו. בדומה להסדרי תקנת שוק אחרים, נקבע כי ההסדר מעדיף את הקונה המאוחר על בעל הרכוש, בכפוף להתקיימותם של שלושה יסודות: קיומה של עסקה במקרקעין; תום לב; וסיווגם של המקרקעין כרכוש ממשלתי. </w:t>
      </w:r>
    </w:p>
    <w:p w:rsidR="004C7127" w:rsidRDefault="004C7127" w:rsidP="004C7127">
      <w:pPr>
        <w:pStyle w:val="Ruller41"/>
        <w:rPr>
          <w:rtl/>
        </w:rPr>
      </w:pPr>
    </w:p>
    <w:p w:rsidR="004C7127" w:rsidRDefault="004C7127" w:rsidP="004C7127">
      <w:pPr>
        <w:pStyle w:val="Ruller41"/>
        <w:rPr>
          <w:rtl/>
        </w:rPr>
      </w:pPr>
      <w:r>
        <w:rPr>
          <w:rtl/>
        </w:rPr>
        <w:tab/>
      </w:r>
      <w:r>
        <w:rPr>
          <w:rFonts w:hint="cs"/>
          <w:rtl/>
        </w:rPr>
        <w:t xml:space="preserve">אשר ליסוד העסקה, קבע בית המשפט כי הסכם ההרשאה הוא עסקה לכל דבר, וכי יש לראות בהסתדרות הציונית "אדם אחר" כלשון הסעיף. מדובר, כך נקבע, בעסקה למתן זכות "בר רשות" במקרקעין שעליהם חלה תכנית 223. אשר לאופן בחינת יסוד תום הלב, קבע בית המשפט כי יש לבחון את אמונתו הסובייקטיבית של בעל הסמכות, כי אמונתו תהיה "כנה והגיונית" גם אם מוטעית וגם אם הטעות נבעה מרשלנות. בקביעה זו, הקיש בית המשפט מהסדר תקנת השוק שקיים בסעיף 17 לחוק נכסי נפקדים, התש"י-1950 (להלן: </w:t>
      </w:r>
      <w:r>
        <w:rPr>
          <w:rFonts w:ascii="Century" w:hAnsi="Century" w:cs="Miriam" w:hint="cs"/>
          <w:b/>
          <w:spacing w:val="0"/>
          <w:szCs w:val="24"/>
          <w:rtl/>
        </w:rPr>
        <w:t>חוק נכסי נפקדים</w:t>
      </w:r>
      <w:r>
        <w:rPr>
          <w:rFonts w:hint="cs"/>
          <w:rtl/>
        </w:rPr>
        <w:t>) ומהפסיקה שפירשה אותו. בית המשפט קבע כי לא הונח בסיס לפקפק בתום לבו של הממונה בהתקשרותו עם ההסתדרות הציונית ובהקצאת השטח. זאת, מאחר שהוא סבר, גם אם בטעות, כי צו התפיסה חל על מלוא השטח. לבסוף, קבע בית המשפט כי המונח "רכוש ממשלתי" יכול לחול, לצרכי סעיף 5, גם על מקרקעין שהחזקה בהם הושגה באמצעות צו תפיסה (שלא מפקיע את הבעלות אך מפקיע זכויות שנובעות מהבעלות).</w:t>
      </w:r>
    </w:p>
    <w:p w:rsidR="004C7127" w:rsidRDefault="004C7127" w:rsidP="004C7127">
      <w:pPr>
        <w:pStyle w:val="Ruller41"/>
        <w:rPr>
          <w:rtl/>
        </w:rPr>
      </w:pPr>
    </w:p>
    <w:p w:rsidR="004C7127" w:rsidRDefault="004C7127" w:rsidP="004C7127">
      <w:pPr>
        <w:pStyle w:val="Ruller4"/>
      </w:pPr>
      <w:r>
        <w:rPr>
          <w:rtl/>
        </w:rPr>
        <w:tab/>
      </w:r>
      <w:r>
        <w:rPr>
          <w:rFonts w:hint="cs"/>
          <w:rtl/>
        </w:rPr>
        <w:t xml:space="preserve">ביום 28.10.2018 הגישו המשיבים 3-1 ערעור על פסק הדין (להלן: </w:t>
      </w:r>
      <w:r>
        <w:rPr>
          <w:rFonts w:ascii="Century" w:hAnsi="Century" w:cs="Miriam" w:hint="cs"/>
          <w:b/>
          <w:spacing w:val="0"/>
          <w:sz w:val="22"/>
          <w:szCs w:val="24"/>
          <w:rtl/>
        </w:rPr>
        <w:t>הערעור</w:t>
      </w:r>
      <w:r>
        <w:rPr>
          <w:rFonts w:hint="cs"/>
          <w:rtl/>
        </w:rPr>
        <w:t>), וביום 16.12.2018 הוחלט כי הערעור ישמע בצוותא חדא עם בג"ץ 953/11. ההכרעה בשני התיקים עוכבה עד להכרעה בעתירות שכוונו לחוקיותו של ה</w:t>
      </w:r>
      <w:r w:rsidRPr="00434CAF">
        <w:rPr>
          <w:rFonts w:hint="eastAsia"/>
          <w:rtl/>
        </w:rPr>
        <w:t>חוק</w:t>
      </w:r>
      <w:r w:rsidRPr="00434CAF">
        <w:rPr>
          <w:rtl/>
        </w:rPr>
        <w:t xml:space="preserve"> </w:t>
      </w:r>
      <w:r w:rsidRPr="00434CAF">
        <w:rPr>
          <w:rFonts w:hint="eastAsia"/>
          <w:rtl/>
        </w:rPr>
        <w:t>להסדרת</w:t>
      </w:r>
      <w:r w:rsidRPr="00434CAF">
        <w:rPr>
          <w:rtl/>
        </w:rPr>
        <w:t xml:space="preserve"> </w:t>
      </w:r>
      <w:r w:rsidRPr="00434CAF">
        <w:rPr>
          <w:rFonts w:hint="eastAsia"/>
          <w:rtl/>
        </w:rPr>
        <w:t>ההתיישבות</w:t>
      </w:r>
      <w:r w:rsidRPr="00434CAF">
        <w:rPr>
          <w:rtl/>
        </w:rPr>
        <w:t xml:space="preserve"> </w:t>
      </w:r>
      <w:r w:rsidRPr="00434CAF">
        <w:rPr>
          <w:rFonts w:hint="eastAsia"/>
          <w:rtl/>
        </w:rPr>
        <w:t>ביהודה</w:t>
      </w:r>
      <w:r w:rsidRPr="00434CAF">
        <w:rPr>
          <w:rtl/>
        </w:rPr>
        <w:t xml:space="preserve"> </w:t>
      </w:r>
      <w:r w:rsidRPr="00434CAF">
        <w:rPr>
          <w:rFonts w:hint="eastAsia"/>
          <w:rtl/>
        </w:rPr>
        <w:t>והשומרון</w:t>
      </w:r>
      <w:r w:rsidRPr="00434CAF">
        <w:rPr>
          <w:rtl/>
        </w:rPr>
        <w:t xml:space="preserve">, </w:t>
      </w:r>
      <w:r w:rsidRPr="00434CAF">
        <w:rPr>
          <w:rFonts w:hint="eastAsia"/>
          <w:rtl/>
        </w:rPr>
        <w:t>התשע</w:t>
      </w:r>
      <w:r w:rsidRPr="00434CAF">
        <w:rPr>
          <w:rtl/>
        </w:rPr>
        <w:t>"</w:t>
      </w:r>
      <w:r w:rsidRPr="00434CAF">
        <w:rPr>
          <w:rFonts w:hint="eastAsia"/>
          <w:rtl/>
        </w:rPr>
        <w:t>ז</w:t>
      </w:r>
      <w:r w:rsidRPr="00434CAF">
        <w:rPr>
          <w:rtl/>
        </w:rPr>
        <w:t>-2017</w:t>
      </w:r>
      <w:r>
        <w:rPr>
          <w:rFonts w:hint="cs"/>
          <w:rtl/>
        </w:rPr>
        <w:t xml:space="preserve"> (בג"ץ 1308/17 </w:t>
      </w:r>
      <w:r>
        <w:rPr>
          <w:rFonts w:ascii="Century" w:hAnsi="Century" w:cs="Miriam" w:hint="cs"/>
          <w:b/>
          <w:spacing w:val="0"/>
          <w:sz w:val="22"/>
          <w:szCs w:val="24"/>
          <w:rtl/>
        </w:rPr>
        <w:t>עיריית סלואד נ' הכנסת</w:t>
      </w:r>
      <w:r>
        <w:rPr>
          <w:rFonts w:ascii="Century" w:hAnsi="Century" w:hint="cs"/>
          <w:sz w:val="22"/>
          <w:rtl/>
        </w:rPr>
        <w:t xml:space="preserve">; להלן: </w:t>
      </w:r>
      <w:r>
        <w:rPr>
          <w:rFonts w:ascii="Century" w:hAnsi="Century" w:cs="Miriam" w:hint="cs"/>
          <w:b/>
          <w:spacing w:val="0"/>
          <w:sz w:val="22"/>
          <w:szCs w:val="24"/>
          <w:rtl/>
        </w:rPr>
        <w:t xml:space="preserve">חוק ההסדרה </w:t>
      </w:r>
      <w:r>
        <w:rPr>
          <w:rFonts w:ascii="Century" w:hAnsi="Century" w:hint="cs"/>
          <w:sz w:val="22"/>
          <w:rtl/>
        </w:rPr>
        <w:t xml:space="preserve">ועניין </w:t>
      </w:r>
      <w:r>
        <w:rPr>
          <w:rFonts w:ascii="Century" w:hAnsi="Century" w:cs="Miriam" w:hint="cs"/>
          <w:b/>
          <w:spacing w:val="0"/>
          <w:sz w:val="22"/>
          <w:szCs w:val="24"/>
          <w:rtl/>
        </w:rPr>
        <w:t>סלואד</w:t>
      </w:r>
      <w:r>
        <w:rPr>
          <w:rFonts w:hint="cs"/>
          <w:rtl/>
        </w:rPr>
        <w:t xml:space="preserve">), וזאת מאחר שמצפה כרמים נמנתה על היישובים שנקבעו בתוספת לחוק זה. ביום 9.6.2020 ניתן פסק הדין בעניין </w:t>
      </w:r>
      <w:r>
        <w:rPr>
          <w:rFonts w:ascii="Century" w:hAnsi="Century" w:cs="Miriam" w:hint="cs"/>
          <w:b/>
          <w:spacing w:val="0"/>
          <w:sz w:val="22"/>
          <w:szCs w:val="24"/>
          <w:rtl/>
        </w:rPr>
        <w:t>סילואד</w:t>
      </w:r>
      <w:r>
        <w:rPr>
          <w:rFonts w:ascii="Century" w:hAnsi="Century" w:hint="cs"/>
          <w:sz w:val="22"/>
          <w:rtl/>
        </w:rPr>
        <w:t xml:space="preserve"> ובו הוכרזה בטלותו של חוק ההסדרה, וביום 27.8.2020 ניתן פסק הדין נושא הדיון הנוסף. </w:t>
      </w:r>
    </w:p>
    <w:p w:rsidR="001446DB" w:rsidRDefault="001446DB" w:rsidP="00A30FB9">
      <w:pPr>
        <w:overflowPunct/>
        <w:autoSpaceDE/>
        <w:autoSpaceDN/>
        <w:bidi w:val="0"/>
        <w:adjustRightInd/>
        <w:spacing w:line="360" w:lineRule="auto"/>
        <w:textAlignment w:val="auto"/>
        <w:rPr>
          <w:rFonts w:ascii="Century" w:eastAsiaTheme="majorEastAsia" w:hAnsi="Century" w:cs="Miriam"/>
          <w:b/>
          <w:sz w:val="22"/>
          <w:rtl/>
        </w:rPr>
      </w:pPr>
    </w:p>
    <w:p w:rsidR="004C7127" w:rsidRPr="006F7A08" w:rsidRDefault="004C7127" w:rsidP="004C7127">
      <w:pPr>
        <w:pStyle w:val="1"/>
        <w:spacing w:before="0"/>
        <w:rPr>
          <w:rFonts w:ascii="Century" w:hAnsi="Century" w:cs="Miriam"/>
          <w:b/>
          <w:color w:val="auto"/>
          <w:spacing w:val="0"/>
          <w:sz w:val="22"/>
          <w:szCs w:val="24"/>
          <w:rtl/>
        </w:rPr>
      </w:pPr>
      <w:r w:rsidRPr="006F7A08">
        <w:rPr>
          <w:rFonts w:ascii="Century" w:hAnsi="Century" w:cs="Miriam" w:hint="cs"/>
          <w:b/>
          <w:color w:val="auto"/>
          <w:spacing w:val="0"/>
          <w:sz w:val="22"/>
          <w:szCs w:val="24"/>
          <w:rtl/>
        </w:rPr>
        <w:t>פסק הדין נושא הדיון הנוסף</w:t>
      </w:r>
    </w:p>
    <w:p w:rsidR="004C7127" w:rsidRDefault="004C7127" w:rsidP="004C7127">
      <w:pPr>
        <w:pStyle w:val="Ruller4"/>
        <w:numPr>
          <w:ilvl w:val="0"/>
          <w:numId w:val="0"/>
        </w:numPr>
      </w:pPr>
    </w:p>
    <w:p w:rsidR="004C7127" w:rsidRDefault="004C7127" w:rsidP="004C7127">
      <w:pPr>
        <w:pStyle w:val="Ruller4"/>
        <w:rPr>
          <w:rtl/>
        </w:rPr>
      </w:pPr>
      <w:r>
        <w:rPr>
          <w:rFonts w:hint="cs"/>
          <w:rtl/>
        </w:rPr>
        <w:t xml:space="preserve">פסק הדין נושא הדיון הנוסף קבע (בדעת רוב) שסעיף 5 לא חל בנסיבות המקרה דנן. בהמשך להכרעה בסוגיה זו, נקבע בכל הנוגע לבג"ץ 953/11 כי המבנים בחלקות </w:t>
      </w:r>
      <w:r>
        <w:rPr>
          <w:rFonts w:hint="cs"/>
          <w:rtl/>
        </w:rPr>
        <w:lastRenderedPageBreak/>
        <w:t>13 ו-23 יפונו לאחר שיימצא למחזיקים מענה חלופי ראוי והולם בדרך של הקצאת קרקע ומבנים חליפים או העתקת המבנים הקיימים, וזאת בתוך 36 חודשים. דעות השופטים נחלקו בעיקרם של דברים בשאלת ניתוחו של סעיף 5 לצו ויישומו בנסיבות המקרה דנן. אפרט עמדות אלו כעת.</w:t>
      </w:r>
    </w:p>
    <w:p w:rsidR="004C7127" w:rsidRPr="00C11570" w:rsidRDefault="004C7127" w:rsidP="004C7127">
      <w:pPr>
        <w:pStyle w:val="Ruller41"/>
      </w:pPr>
    </w:p>
    <w:p w:rsidR="004C7127" w:rsidRDefault="004C7127" w:rsidP="004C7127">
      <w:pPr>
        <w:pStyle w:val="Ruller4"/>
        <w:rPr>
          <w:rtl/>
        </w:rPr>
      </w:pPr>
      <w:r>
        <w:rPr>
          <w:rFonts w:hint="cs"/>
          <w:rtl/>
        </w:rPr>
        <w:t xml:space="preserve">בפתח פסק דינה, דנה הנשיאה </w:t>
      </w:r>
      <w:r>
        <w:rPr>
          <w:rFonts w:cs="Miriam" w:hint="cs"/>
          <w:b/>
          <w:spacing w:val="0"/>
          <w:szCs w:val="24"/>
          <w:rtl/>
        </w:rPr>
        <w:t>א' חיות</w:t>
      </w:r>
      <w:r>
        <w:rPr>
          <w:rFonts w:hint="cs"/>
          <w:rtl/>
        </w:rPr>
        <w:t xml:space="preserve"> בשאלת נפקותו המשפטית של סעיף 5 לצו בדבר רכוש ממשלתי. נקבע, כי לשונו של סעיף 5 משמיעה, על פני הדברים, הסדר מסוג תקנת שוק שבהתקיים התנאים שקבועים בו עסקה לא תיפסל ותעמוד בתוקפה גם כאשר המקרקעין אינם בבחינת רכוש ממשלתי, תוך השוואה להסדרי תקנת שוק בחוקים אחרים: </w:t>
      </w:r>
      <w:r w:rsidRPr="00790674">
        <w:rPr>
          <w:rFonts w:hint="cs"/>
          <w:rtl/>
        </w:rPr>
        <w:t xml:space="preserve">בסעיף 17(א) לחוק נכסי נפקדים; ובסעיף 16 לחוק האפוטרופוס הכללי, התשל"ח-1978 (להלן: </w:t>
      </w:r>
      <w:r w:rsidRPr="00790674">
        <w:rPr>
          <w:rFonts w:ascii="Century" w:hAnsi="Century" w:cs="Miriam" w:hint="cs"/>
          <w:b/>
          <w:spacing w:val="0"/>
          <w:sz w:val="22"/>
          <w:szCs w:val="24"/>
          <w:rtl/>
        </w:rPr>
        <w:t>חוק האפוטרופוס הכללי</w:t>
      </w:r>
      <w:r w:rsidRPr="00790674">
        <w:rPr>
          <w:rFonts w:hint="cs"/>
          <w:rtl/>
        </w:rPr>
        <w:t xml:space="preserve">). </w:t>
      </w:r>
      <w:r w:rsidRPr="00790674">
        <w:rPr>
          <w:rFonts w:hint="eastAsia"/>
          <w:rtl/>
        </w:rPr>
        <w:t>זאת</w:t>
      </w:r>
      <w:r w:rsidRPr="00790674">
        <w:rPr>
          <w:rtl/>
        </w:rPr>
        <w:t xml:space="preserve">, </w:t>
      </w:r>
      <w:r w:rsidRPr="00790674">
        <w:rPr>
          <w:rFonts w:hint="eastAsia"/>
          <w:rtl/>
        </w:rPr>
        <w:t>הגם</w:t>
      </w:r>
      <w:r w:rsidRPr="00790674">
        <w:rPr>
          <w:rtl/>
        </w:rPr>
        <w:t xml:space="preserve"> </w:t>
      </w:r>
      <w:r w:rsidRPr="00790674">
        <w:rPr>
          <w:rFonts w:hint="eastAsia"/>
          <w:rtl/>
        </w:rPr>
        <w:t>שבשונה</w:t>
      </w:r>
      <w:r w:rsidRPr="00790674">
        <w:rPr>
          <w:rtl/>
        </w:rPr>
        <w:t xml:space="preserve"> </w:t>
      </w:r>
      <w:r w:rsidRPr="00790674">
        <w:rPr>
          <w:rFonts w:hint="eastAsia"/>
          <w:rtl/>
        </w:rPr>
        <w:t>מהסדרים</w:t>
      </w:r>
      <w:r w:rsidRPr="00790674">
        <w:rPr>
          <w:rtl/>
        </w:rPr>
        <w:t xml:space="preserve"> </w:t>
      </w:r>
      <w:r w:rsidRPr="00790674">
        <w:rPr>
          <w:rFonts w:hint="eastAsia"/>
          <w:rtl/>
        </w:rPr>
        <w:t>אלה</w:t>
      </w:r>
      <w:r w:rsidRPr="00790674">
        <w:rPr>
          <w:rtl/>
        </w:rPr>
        <w:t xml:space="preserve">, </w:t>
      </w:r>
      <w:r w:rsidRPr="00790674">
        <w:rPr>
          <w:rFonts w:hint="eastAsia"/>
          <w:rtl/>
        </w:rPr>
        <w:t>בסעיף</w:t>
      </w:r>
      <w:r w:rsidRPr="00790674">
        <w:rPr>
          <w:rtl/>
        </w:rPr>
        <w:t xml:space="preserve"> 5 </w:t>
      </w:r>
      <w:r w:rsidRPr="00790674">
        <w:rPr>
          <w:rFonts w:hint="eastAsia"/>
          <w:rtl/>
        </w:rPr>
        <w:t>לא</w:t>
      </w:r>
      <w:r w:rsidRPr="00790674">
        <w:rPr>
          <w:rtl/>
        </w:rPr>
        <w:t xml:space="preserve"> </w:t>
      </w:r>
      <w:r w:rsidRPr="00790674">
        <w:rPr>
          <w:rFonts w:hint="eastAsia"/>
          <w:rtl/>
        </w:rPr>
        <w:t>קיימת</w:t>
      </w:r>
      <w:r w:rsidRPr="00790674">
        <w:rPr>
          <w:rtl/>
        </w:rPr>
        <w:t xml:space="preserve"> </w:t>
      </w:r>
      <w:r w:rsidRPr="00790674">
        <w:rPr>
          <w:rFonts w:hint="eastAsia"/>
          <w:rtl/>
        </w:rPr>
        <w:t>הגנה</w:t>
      </w:r>
      <w:r w:rsidRPr="00790674">
        <w:rPr>
          <w:rFonts w:hint="cs"/>
          <w:rtl/>
        </w:rPr>
        <w:t xml:space="preserve"> דיונית (בדמות ביקורת חיצונית)</w:t>
      </w:r>
      <w:r w:rsidRPr="00790674">
        <w:rPr>
          <w:rtl/>
        </w:rPr>
        <w:t xml:space="preserve"> </w:t>
      </w:r>
      <w:r w:rsidRPr="00790674">
        <w:rPr>
          <w:rFonts w:hint="eastAsia"/>
          <w:rtl/>
        </w:rPr>
        <w:t>על</w:t>
      </w:r>
      <w:r w:rsidRPr="00790674">
        <w:rPr>
          <w:rtl/>
        </w:rPr>
        <w:t xml:space="preserve"> </w:t>
      </w:r>
      <w:r w:rsidRPr="00790674">
        <w:rPr>
          <w:rFonts w:hint="eastAsia"/>
          <w:rtl/>
        </w:rPr>
        <w:t>בעל</w:t>
      </w:r>
      <w:r w:rsidRPr="00790674">
        <w:rPr>
          <w:rtl/>
        </w:rPr>
        <w:t xml:space="preserve"> </w:t>
      </w:r>
      <w:r w:rsidRPr="00790674">
        <w:rPr>
          <w:rFonts w:hint="eastAsia"/>
          <w:rtl/>
        </w:rPr>
        <w:t>הזכות</w:t>
      </w:r>
      <w:r w:rsidRPr="00790674">
        <w:rPr>
          <w:rtl/>
        </w:rPr>
        <w:t xml:space="preserve"> </w:t>
      </w:r>
      <w:r w:rsidRPr="00790674">
        <w:rPr>
          <w:rFonts w:hint="eastAsia"/>
          <w:rtl/>
        </w:rPr>
        <w:t>המקורית</w:t>
      </w:r>
      <w:r>
        <w:rPr>
          <w:rFonts w:hint="cs"/>
          <w:rtl/>
        </w:rPr>
        <w:t xml:space="preserve"> </w:t>
      </w:r>
      <w:r w:rsidRPr="00790674">
        <w:rPr>
          <w:rFonts w:hint="cs"/>
          <w:rtl/>
        </w:rPr>
        <w:t xml:space="preserve">(כפי שיפורט להלן). בהיבט תכלית החקיקה, עמדה הנשיאה </w:t>
      </w:r>
      <w:r w:rsidRPr="00790674">
        <w:rPr>
          <w:rFonts w:cs="Miriam" w:hint="cs"/>
          <w:b/>
          <w:spacing w:val="0"/>
          <w:szCs w:val="24"/>
          <w:rtl/>
        </w:rPr>
        <w:t xml:space="preserve">חיות </w:t>
      </w:r>
      <w:r w:rsidRPr="00790674">
        <w:rPr>
          <w:rFonts w:hint="cs"/>
          <w:rtl/>
        </w:rPr>
        <w:t>על כך שהסעיף נועד לאפשר לממונה לנהל את הנכסים שהוכרזו כרכוש ממשלתי תוך הגנה על אינטרס ההסתמכות של הצדדים שהתקשרו עמו</w:t>
      </w:r>
      <w:r>
        <w:rPr>
          <w:rFonts w:hint="cs"/>
          <w:rtl/>
        </w:rPr>
        <w:t xml:space="preserve">. נקבע כי תכלית זו עולה בקנה אחד עם הוראות הדין הבינלאומי שחלות על המפקד הצבאי. עם זאת, צוין כי בחינת הקצאת השטחים שהוכרזו "רכוש ממשלתי" בפועל מלמדת כי הרוב המכריע הוקצה לטובת התיישבות ישראלית באזור. משכך, רוב מכריע של מי שיוכל ליהנות מהמנגנון שקבוע בסעיף 5 הם תושבי האזור הישראלים, תוך פגיעה בזכות לקניין של התושבים הפלסטיניים, תושבים מוגנים על פי דיני התפיסה הלוחמתית. בכך, נקבע, מעוררת ההתייחסות לסעיף 5 כהסדר תקנת שוק שאלות מורכבות בכל הנוגע להתאמה בין הדין שחל באזור לבין כללי המשפט הבינלאומי. הגם שכך, נפסק כי אין בקשיים אלה כדי להצדיק את ריקונו מתוכן של הסעיף ולכן יש לראות בסעיף 5 "הסדר של </w:t>
      </w:r>
      <w:r>
        <w:rPr>
          <w:rFonts w:cs="Miriam" w:hint="cs"/>
          <w:b/>
          <w:spacing w:val="0"/>
          <w:szCs w:val="24"/>
          <w:rtl/>
        </w:rPr>
        <w:t xml:space="preserve">מעין </w:t>
      </w:r>
      <w:r>
        <w:rPr>
          <w:rFonts w:hint="cs"/>
          <w:rtl/>
        </w:rPr>
        <w:t xml:space="preserve">תקנת שוק, בהבדלים המתחייבים מן המצב המשפטי הייחודי באזור [...]. אחד ההבדלים הבולטים בהקשר זה נובע מן העובדה שסעיף 5 לצו </w:t>
      </w:r>
      <w:r>
        <w:rPr>
          <w:rFonts w:cs="Miriam" w:hint="cs"/>
          <w:b/>
          <w:spacing w:val="0"/>
          <w:szCs w:val="24"/>
          <w:rtl/>
        </w:rPr>
        <w:t xml:space="preserve">אינו </w:t>
      </w:r>
      <w:r>
        <w:rPr>
          <w:rFonts w:hint="cs"/>
          <w:rtl/>
        </w:rPr>
        <w:t xml:space="preserve">מעביר את זכות הבעלות בנכסים, אלא זכויות פחותות מכך" (פסקה 37 לפסק דינה; ההדגשה במקור </w:t>
      </w:r>
      <w:r>
        <w:rPr>
          <w:rtl/>
        </w:rPr>
        <w:t>–</w:t>
      </w:r>
      <w:r>
        <w:rPr>
          <w:rFonts w:hint="cs"/>
          <w:rtl/>
        </w:rPr>
        <w:t xml:space="preserve"> ע' פ'). </w:t>
      </w:r>
    </w:p>
    <w:p w:rsidR="004C7127" w:rsidRDefault="004C7127" w:rsidP="004C7127">
      <w:pPr>
        <w:pStyle w:val="Ruller41"/>
        <w:rPr>
          <w:rFonts w:ascii="Century" w:hAnsi="Century"/>
          <w:rtl/>
        </w:rPr>
      </w:pPr>
    </w:p>
    <w:p w:rsidR="004C7127" w:rsidRDefault="004C7127" w:rsidP="004C7127">
      <w:pPr>
        <w:pStyle w:val="Ruller41"/>
        <w:rPr>
          <w:rFonts w:ascii="Century" w:hAnsi="Century"/>
          <w:rtl/>
        </w:rPr>
      </w:pPr>
      <w:r>
        <w:rPr>
          <w:rFonts w:ascii="Century" w:hAnsi="Century" w:hint="cs"/>
          <w:rtl/>
        </w:rPr>
        <w:tab/>
        <w:t xml:space="preserve">בנקודה זו פנתה הנשיאה ליישום תנאי סעיף 5 בענייננו. אשר ליסוד העסקה, נקבע כי אף מבלי להכריע בשאלות המשפטיות שמתעוררות בשאלה אם במקרה דנן מדובר בעסקה עם "אדם אחר", די בקשיים אחרים שמעוררת העסקה כדי להביא למסקנה שאין לסעיף תחולה בענייננו. צוין כי יש קושי באימוץ הטענה שהסכם ההרשאה הראשון היה מסוים דיו ושניתן להשלימו באמצעות תכנית 223. חרף קושי זה, פנתה הנשיאה לתנאי השני בסעיף 5 </w:t>
      </w:r>
      <w:r>
        <w:rPr>
          <w:rFonts w:ascii="Century" w:hAnsi="Century"/>
          <w:rtl/>
        </w:rPr>
        <w:t>–</w:t>
      </w:r>
      <w:r>
        <w:rPr>
          <w:rFonts w:ascii="Century" w:hAnsi="Century" w:hint="cs"/>
          <w:rtl/>
        </w:rPr>
        <w:t xml:space="preserve"> תנאי תום הלב. בנוגע לתנאי זה קבעה הנשיאה שבית המשפט המחוזי שגה באמות המידה המשפטיות לבחינתו. נקבע כי את תום הלב יש לבחון באמת </w:t>
      </w:r>
      <w:r>
        <w:rPr>
          <w:rFonts w:ascii="Century" w:hAnsi="Century" w:hint="cs"/>
          <w:rtl/>
        </w:rPr>
        <w:lastRenderedPageBreak/>
        <w:t xml:space="preserve">מידה קפדנית, נוכח הפגיעה בזכויות הקניין ובשל העובדה שמדובר במקרקעין המצויים בשטח הנתון לתפיסה לוחמתית. עוד נקבע כי מקום שבו התקיימו סימני אזהרה מחשידים ובעל הסמכות עצם את עיניו מלראותם, לא ניתן לומר שהוא צלח את מבחן תום הלב. בענייננו, עמדה הנשיאה </w:t>
      </w:r>
      <w:r>
        <w:rPr>
          <w:rFonts w:ascii="Century" w:hAnsi="Century" w:cs="Miriam" w:hint="cs"/>
          <w:b/>
          <w:spacing w:val="0"/>
          <w:szCs w:val="24"/>
          <w:rtl/>
        </w:rPr>
        <w:t xml:space="preserve">חיות </w:t>
      </w:r>
      <w:r>
        <w:rPr>
          <w:rFonts w:ascii="Century" w:hAnsi="Century" w:hint="cs"/>
          <w:rtl/>
        </w:rPr>
        <w:t xml:space="preserve">על כך שהממונה נהרי עצם את עיניו מלראות את סימני האזהרה המרובים שהיו לפניו בעת חתימת הסכם ההרשאה הראשון ובכלל זאת חוסר ההתאמה הבולט בין שטח צו התפיסה לבין שטח תכנית 223. משכך, נקבע כי הממונה לא צלח את דרישת תום הלב. אשר לרוכשת הזכויות, ההסתדרות הציונית, נקבע כי אף היא לא עמדה בדרישת תום הלב של הסעיף. </w:t>
      </w:r>
    </w:p>
    <w:p w:rsidR="004C7127" w:rsidRDefault="004C7127" w:rsidP="004C7127">
      <w:pPr>
        <w:pStyle w:val="Ruller41"/>
        <w:rPr>
          <w:rFonts w:ascii="Century" w:hAnsi="Century"/>
          <w:rtl/>
        </w:rPr>
      </w:pPr>
    </w:p>
    <w:p w:rsidR="004C7127" w:rsidRDefault="004C7127" w:rsidP="004C7127">
      <w:pPr>
        <w:pStyle w:val="Ruller41"/>
        <w:rPr>
          <w:rFonts w:ascii="Century" w:hAnsi="Century"/>
          <w:rtl/>
        </w:rPr>
      </w:pPr>
      <w:r>
        <w:rPr>
          <w:rFonts w:ascii="Century" w:hAnsi="Century"/>
          <w:rtl/>
        </w:rPr>
        <w:tab/>
      </w:r>
      <w:r>
        <w:rPr>
          <w:rFonts w:ascii="Century" w:hAnsi="Century" w:hint="cs"/>
          <w:rtl/>
        </w:rPr>
        <w:t>בבחינת למעלה מן הצורך, התייחסה הנשיאה גם לתנאי השלישי של הסעיף. נקבע כי הגם שאין מקום להתערב בקביעה העובדתית שהגורמים המיישבים סברו שהשטח במקרה דנן מצוי בתחום התפיסה, אין המונח "רכוש ממשלתי" מתפרס גם על שטח שנתפס בצו תפיסה לצרכים צבאיים. נפסק שאין לראות בתפיסת מקרקעין בצו תפיסה משום רכישה לצרכי ציבור (החלופה שקבועה בסעיף 1(2) לצו בדבר רכוש ממשלתי) או כרכוש שבעליו ביקש מאת הממונה לנהל אותו (החלופה שקבועה בסעיף 1(3) לצו בדבר רכוש ממשלתי). נוכח האמור לעיל, ובהעדר תחולה להוראות סעיף 5 לצו בנסיבות המקרה, קבעה הנשיאה כי יש לקבל את הערעור, ולהורות על ביטול קביעותיו של בית המשפט המחוזי שלפיהן למחזיקים זכויות "בני רשות במקרקעין".</w:t>
      </w:r>
    </w:p>
    <w:p w:rsidR="004C7127" w:rsidRDefault="004C7127" w:rsidP="004C7127">
      <w:pPr>
        <w:pStyle w:val="Ruller41"/>
        <w:rPr>
          <w:rFonts w:ascii="Century" w:hAnsi="Century"/>
          <w:rtl/>
        </w:rPr>
      </w:pPr>
    </w:p>
    <w:p w:rsidR="004C7127" w:rsidRDefault="004C7127" w:rsidP="004C7127">
      <w:pPr>
        <w:pStyle w:val="Ruller41"/>
        <w:rPr>
          <w:rFonts w:ascii="Century" w:hAnsi="Century"/>
          <w:rtl/>
        </w:rPr>
      </w:pPr>
      <w:r>
        <w:rPr>
          <w:rFonts w:ascii="Century" w:hAnsi="Century"/>
          <w:rtl/>
        </w:rPr>
        <w:tab/>
      </w:r>
      <w:r>
        <w:rPr>
          <w:rFonts w:ascii="Century" w:hAnsi="Century" w:hint="cs"/>
          <w:rtl/>
        </w:rPr>
        <w:t xml:space="preserve">אשר לבג"ץ 953/11, ציינה הנשיאה כי הבנייה בחלקות 13 ו-23 היא בלתי חוקית ובקרקע פרטית, ומשכך "במצב הדברים הרגיל", ניתן היה להורות על סילוק יד ופינוי הבנייה הבלתי חוקית בהקדם. עם זאת, הוסף כי בענייננו מתקיימות נסיבות חריגות. בכלל זאת, עמדה הנשיאה על התנהלות המדינה הרשלנית בפרשה (התנהלות שאעמוד עליה בהרחבה בהמשך), בין היתר בניסיון להעביר את מצפה כרמים למיקום חלופי. התנהלות רשלנית זו, כך נקבע, לא עולה בקנה אחד עם חובתן של רשויות האזור לפעול בהתאם לכללי המשפט המינהלי. לכך הוסיפה הנשיאה את התנהלות משיבי המדינה בהליכים שתוארו, שדיברו ב"שני קולות" בהליכים שהתנהלו כאמור במקביל. התנהלות המדינה מוליכה למסקנה כי "מוטלת על המדינה החובה למצוא למתיישבי מצפה כרמים פתרון חלופי" (פסקה 66 לפסק דינה). משכך, הציעה הנשיאה ליתן צו מוחלט שיורה על הפסקת כל פעילות בניה והכשרת קרקעות בחלקות 13 ו-23; שיורה שהמבנים בחלקות אלו יפונו לאחר שיימצא למחזיקים בתוך 36 חודשים מענה חלופי ראוי והולם; וכי על המדינה לפעול בתוך 6 חודשים לקידום אישורה של מערכת הנחיות חדשה במקום תכניות 223 ו-223/1 (בגין חריגתן משטח צו התפיסה). </w:t>
      </w:r>
    </w:p>
    <w:p w:rsidR="004C7127" w:rsidRDefault="004C7127" w:rsidP="004C7127">
      <w:pPr>
        <w:pStyle w:val="Ruller41"/>
        <w:rPr>
          <w:rFonts w:ascii="Century" w:hAnsi="Century"/>
          <w:rtl/>
        </w:rPr>
      </w:pPr>
    </w:p>
    <w:p w:rsidR="004C7127" w:rsidRDefault="004C7127" w:rsidP="004C7127">
      <w:pPr>
        <w:pStyle w:val="Ruller4"/>
        <w:rPr>
          <w:rFonts w:ascii="Century" w:hAnsi="Century"/>
          <w:sz w:val="22"/>
          <w:rtl/>
        </w:rPr>
      </w:pPr>
      <w:r>
        <w:rPr>
          <w:rFonts w:hint="cs"/>
          <w:rtl/>
        </w:rPr>
        <w:lastRenderedPageBreak/>
        <w:t xml:space="preserve">המשנה לנשיאה </w:t>
      </w:r>
      <w:r>
        <w:rPr>
          <w:rFonts w:ascii="Century" w:hAnsi="Century" w:cs="Miriam" w:hint="cs"/>
          <w:b/>
          <w:spacing w:val="0"/>
          <w:sz w:val="22"/>
          <w:szCs w:val="24"/>
          <w:rtl/>
        </w:rPr>
        <w:t xml:space="preserve">ח' מלצר </w:t>
      </w:r>
      <w:r>
        <w:rPr>
          <w:rFonts w:ascii="Century" w:hAnsi="Century" w:hint="cs"/>
          <w:sz w:val="22"/>
          <w:rtl/>
        </w:rPr>
        <w:t xml:space="preserve">הצטרף לפסק דינה של הנשיאה, והוסיף כי עמדתם הראשונית של משיבי הממשלה הייתה כי הממונה לא יכול היה להקצות את החלקות להסתדרות הציונית והיא בתורה לא יכלה להתקשר עם המחזיקים בהסכמי בר רשות ביחס לחלקות אלו. המשנה לנשיאה ציין כי לשינוי שחל בעמדת המדינה בהמשך לא ניתן הסבר שעומד במבחני הפסיקה, במישור המשפטי או העובדתי. </w:t>
      </w:r>
    </w:p>
    <w:p w:rsidR="004C7127" w:rsidRDefault="004C7127" w:rsidP="004C7127">
      <w:pPr>
        <w:pStyle w:val="Ruller41"/>
        <w:rPr>
          <w:rtl/>
        </w:rPr>
      </w:pPr>
    </w:p>
    <w:p w:rsidR="004C7127" w:rsidRDefault="004C7127" w:rsidP="004C7127">
      <w:pPr>
        <w:pStyle w:val="Ruller4"/>
      </w:pPr>
      <w:r>
        <w:rPr>
          <w:rFonts w:hint="cs"/>
          <w:rtl/>
        </w:rPr>
        <w:t xml:space="preserve">בדעת המיעוט, קבע השופט (כתוארו אז) </w:t>
      </w:r>
      <w:r>
        <w:rPr>
          <w:rFonts w:ascii="Century" w:hAnsi="Century" w:cs="Miriam" w:hint="cs"/>
          <w:b/>
          <w:spacing w:val="0"/>
          <w:sz w:val="22"/>
          <w:szCs w:val="24"/>
          <w:rtl/>
        </w:rPr>
        <w:t xml:space="preserve">נ' הנדל </w:t>
      </w:r>
      <w:r>
        <w:rPr>
          <w:rFonts w:ascii="Century" w:hAnsi="Century" w:hint="cs"/>
          <w:sz w:val="22"/>
          <w:rtl/>
        </w:rPr>
        <w:t>כי דין הערעור להידחות ודין העתירה להימחק</w:t>
      </w:r>
      <w:r w:rsidRPr="001C3919">
        <w:rPr>
          <w:rFonts w:ascii="Century" w:hAnsi="Century" w:hint="cs"/>
          <w:sz w:val="22"/>
          <w:rtl/>
        </w:rPr>
        <w:t>.</w:t>
      </w:r>
      <w:r>
        <w:rPr>
          <w:rFonts w:ascii="Century" w:hAnsi="Century" w:cs="Miriam" w:hint="cs"/>
          <w:b/>
          <w:spacing w:val="0"/>
          <w:sz w:val="22"/>
          <w:szCs w:val="24"/>
          <w:rtl/>
        </w:rPr>
        <w:t xml:space="preserve"> </w:t>
      </w:r>
      <w:r>
        <w:rPr>
          <w:rFonts w:ascii="Century" w:hAnsi="Century" w:hint="cs"/>
          <w:sz w:val="22"/>
          <w:rtl/>
        </w:rPr>
        <w:t>תחילה, נקבע כי הסכם ההרשאה חל גם על המקרקעין שעליהם מצוי מצפה כרמים היום.</w:t>
      </w:r>
      <w:r>
        <w:rPr>
          <w:rFonts w:hint="cs"/>
          <w:rtl/>
        </w:rPr>
        <w:t xml:space="preserve"> לעמדתו, אין מדובר במקרה טיפוסי של פרשנות חוזה, מאחר שבשלב הדיוני הנוכחי הצדדים שניהם מסכימים על דרך פרשנותו. נקבע כי יש לבחון אפוא אם בכוח הראיות שהוצגו לסתור את עמדת הצדדים לחוזה בשלב הנוכחי. נקבע בהקשר זה שבשנת 1997, בעת חתימת הסכם ההרשאה שעומד בתוקף גם היום, סברו הצדדים כי המקרקעין שנכללו בתכנית 223 נתפסו בידי המפקד הצבאי והתכוונו לכלול גם אותם בהסכם ההרשאה. מכאן, פנה השופט (כתוארו אז) </w:t>
      </w:r>
      <w:r w:rsidRPr="00D849CB">
        <w:rPr>
          <w:rFonts w:ascii="Century" w:hAnsi="Century" w:cs="Miriam" w:hint="cs"/>
          <w:b/>
          <w:spacing w:val="0"/>
          <w:sz w:val="22"/>
          <w:szCs w:val="24"/>
          <w:rtl/>
        </w:rPr>
        <w:t>הנדל</w:t>
      </w:r>
      <w:r>
        <w:rPr>
          <w:rFonts w:ascii="Century" w:hAnsi="Century" w:cs="Miriam" w:hint="cs"/>
          <w:b/>
          <w:spacing w:val="0"/>
          <w:sz w:val="22"/>
          <w:szCs w:val="24"/>
          <w:rtl/>
        </w:rPr>
        <w:t xml:space="preserve"> </w:t>
      </w:r>
      <w:r>
        <w:rPr>
          <w:rFonts w:ascii="Century" w:hAnsi="Century" w:hint="cs"/>
          <w:sz w:val="22"/>
          <w:rtl/>
        </w:rPr>
        <w:t>לבחינת התקיימות תנאי סעיף 5 לצו. ביחס לתנאי שעניינו עסקה בין הממונה לבין אדם אחר, נקבע כי בשים לב להסתמכות המחזיקים על הסכם ההרשאה ולמעורבות גורמי המדינה בהליכי העברת היישוב מצפה כרמים למקומו, ניתן לקבוע שבוצעה עסקה בין הממונה לאדם אחר, ואין צורך להכריע בשאלה אם הסכם "ערטילאי" בין הממונה לבין ההסתדרות הציונית (שאינו כולל גורם שלישי שהתקשר עם ההסתדרות הציונית) עונה על תנאי זה. נקבע בנוסף כי ה</w:t>
      </w:r>
      <w:r>
        <w:rPr>
          <w:rFonts w:hint="cs"/>
          <w:rtl/>
        </w:rPr>
        <w:t xml:space="preserve">תנאי בדבר היות המקרקעין "רכוש ממשלתי" מתקיים, מאחר שאת הגדרת מונח זה בסעיף 5, יש לבחון בנפרד מהגדרת המונח בצו. צוין כי השאלה שיש לבחון היא אם הממונה חשב שמדובר ברכוש ממשלתי, "ולא במעמדו של הרכוש מבחינת האמת המשפטית" (פסקה 10 לפסק דינו). נוכח תכליות סעיף 5 ובהן הצורך להקל על ביצוע עסקאות עם הממונה וליצור ודאות, יש לראות גם במקרקעין תפוסים שהועברו מהמפקד הצבאי לניהולו של הממונה לשם עריכת עסקאות כ"רכוש ממשלתי" לצורך סעיף 5. </w:t>
      </w:r>
    </w:p>
    <w:p w:rsidR="004C7127" w:rsidRDefault="004C7127" w:rsidP="004C7127">
      <w:pPr>
        <w:pStyle w:val="Ruller4"/>
        <w:numPr>
          <w:ilvl w:val="0"/>
          <w:numId w:val="0"/>
        </w:numPr>
        <w:rPr>
          <w:rtl/>
        </w:rPr>
      </w:pPr>
    </w:p>
    <w:p w:rsidR="004C7127" w:rsidRDefault="004C7127" w:rsidP="004C7127">
      <w:pPr>
        <w:pStyle w:val="Ruller4"/>
        <w:numPr>
          <w:ilvl w:val="0"/>
          <w:numId w:val="0"/>
        </w:numPr>
        <w:rPr>
          <w:rtl/>
        </w:rPr>
      </w:pPr>
      <w:r>
        <w:rPr>
          <w:rtl/>
        </w:rPr>
        <w:tab/>
      </w:r>
      <w:r>
        <w:rPr>
          <w:rFonts w:hint="cs"/>
          <w:rtl/>
        </w:rPr>
        <w:t xml:space="preserve">אשר לדרישת תום הלב, נקבע כי תקנת השוק מאפשרת לרוכש הזכות להסתמך ככלל על עמדת הממונה מבלי לערוך חקירות מורכבות. לצד זאת נקבע כי אין די באמונה כנה של רוכש הזכות וכי במקרים מסוימים נתונים מחשידים והימנעות מבירורם יוליכו למסקנה שיסוד תום הלב לא מתקיים. בדומה, נפסק בכל הנוגע לתום הלב הנדרש מהממונה כי זה "יקפיד בבדיקותיו", ויברר כראוי נתונים מחשידים. בשאלת היקף הבדיקות שבהן מחויב הממונה, צוין כי הטלת נטל בירור כבד מדי תפגע ביכולתו של רוכש הזכות להסתמך על עמדת הממונה. בכל הנוגע ליישום הדברים בענייננו, ציין השופט (כתוארו אז) </w:t>
      </w:r>
      <w:r>
        <w:rPr>
          <w:rFonts w:ascii="Century" w:hAnsi="Century" w:cs="Miriam" w:hint="cs"/>
          <w:b/>
          <w:spacing w:val="0"/>
          <w:sz w:val="22"/>
          <w:szCs w:val="24"/>
          <w:rtl/>
        </w:rPr>
        <w:t>הנדל</w:t>
      </w:r>
      <w:r>
        <w:rPr>
          <w:rFonts w:ascii="Century" w:hAnsi="Century" w:hint="cs"/>
          <w:sz w:val="22"/>
          <w:rtl/>
        </w:rPr>
        <w:t xml:space="preserve"> כי הצדדים לא התעלמו מהפער שבין המפות שצורפו להסכם </w:t>
      </w:r>
      <w:r>
        <w:rPr>
          <w:rFonts w:ascii="Century" w:hAnsi="Century" w:hint="cs"/>
          <w:sz w:val="22"/>
          <w:rtl/>
        </w:rPr>
        <w:lastRenderedPageBreak/>
        <w:t>ההרשאה לבין תכנית המתאר, אלא סברו כי המקרקעין בתכנית נתפסו בפועל, גם אם אין חפיפה למפות. כן צוין כי כעולה מעדות בלומנטל בבית המשפט המחוזי, בשטח היו סימונים שמעידים על כך שהתפיסה בפועל כוללת את המקרקעין נושא המחלוקת.</w:t>
      </w:r>
      <w:r>
        <w:rPr>
          <w:rFonts w:hint="cs"/>
          <w:rtl/>
        </w:rPr>
        <w:t xml:space="preserve"> כמו כן, הישענות גורמי המדינה על תכנית 223 כמעידה על כך שמדובר בשטח תפוס, מלמדת ש"לא ניתן לומר שלא נערך בירור של הנתון החשוד" (פסקה 20). נקבע כי בירורים אלה מסירים את עננת עצימת העיניים מעל הצדדים להסכם. עוד נפסק כי הממונה פעל מתוך מודעות לתפקיד ורצון לפעול במסגרת גבולות המקרקעין התפוסים. </w:t>
      </w:r>
    </w:p>
    <w:p w:rsidR="004C7127" w:rsidRDefault="004C7127" w:rsidP="004C7127">
      <w:pPr>
        <w:pStyle w:val="Ruller41"/>
        <w:rPr>
          <w:rtl/>
        </w:rPr>
      </w:pPr>
    </w:p>
    <w:p w:rsidR="004C7127" w:rsidRPr="001D00CE" w:rsidRDefault="004C7127" w:rsidP="004C7127">
      <w:pPr>
        <w:pStyle w:val="Ruller41"/>
        <w:rPr>
          <w:rtl/>
        </w:rPr>
      </w:pPr>
      <w:r>
        <w:rPr>
          <w:rtl/>
        </w:rPr>
        <w:tab/>
      </w:r>
      <w:r>
        <w:rPr>
          <w:rFonts w:hint="cs"/>
          <w:rtl/>
        </w:rPr>
        <w:t xml:space="preserve">נוכח עמדתו שיש לדחות את הערעור האזרחי, נקבע גם כי אין מקום לקבל את העתירה בבג"ץ 953/11 כפי שהוגשה. זאת, מאחר שהיא התבססה בחלקה על ההנחה שהחלקות לא נתפסו בצו תפיסה וכי לא נעשתה לגביהם עסקה בת תוקף וכאמור להשקפתו לא אלה הם פני הדברים. משכך, קבע השופט (כתוארו אז) </w:t>
      </w:r>
      <w:r w:rsidRPr="00266057">
        <w:rPr>
          <w:rFonts w:ascii="Century" w:hAnsi="Century" w:cs="Miriam" w:hint="cs"/>
          <w:b/>
          <w:spacing w:val="0"/>
          <w:szCs w:val="24"/>
          <w:rtl/>
        </w:rPr>
        <w:t>הנדל</w:t>
      </w:r>
      <w:r>
        <w:rPr>
          <w:rFonts w:ascii="Century" w:hAnsi="Century" w:hint="cs"/>
          <w:rtl/>
        </w:rPr>
        <w:t xml:space="preserve"> כי לו הייתה נשמעת דעתו העתירה הייתה נמחקת אך לא היה בכך כדי למנוע הגשת עתירה אחרת שכפופה למסקנות הדיון בהליך.</w:t>
      </w:r>
    </w:p>
    <w:p w:rsidR="004C7127" w:rsidRDefault="004C7127" w:rsidP="004C7127">
      <w:pPr>
        <w:pStyle w:val="Ruller41"/>
        <w:rPr>
          <w:rFonts w:ascii="Century" w:hAnsi="Century"/>
          <w:rtl/>
        </w:rPr>
      </w:pPr>
    </w:p>
    <w:p w:rsidR="004C7127" w:rsidRPr="003374C5" w:rsidRDefault="004C7127" w:rsidP="004C7127">
      <w:pPr>
        <w:pStyle w:val="Ruller4"/>
      </w:pPr>
      <w:r>
        <w:rPr>
          <w:rFonts w:hint="cs"/>
          <w:rtl/>
        </w:rPr>
        <w:t xml:space="preserve">הנה כי כן, בפסק הדין נושא הדיון הנוסף נקבע, פה אחד, כי סעיף 5 לצו בדבר רכוש ממשלתי קובע הסדר משפטי של "מעין תקנת שוק". דעות השופטים נחלקו אפוא בכל הנוגע לניתוח תנאי סעיף 5 וליישומם במקרה דנן. ביום 13.9.2020 הגישו המבקשים (להלן גם: </w:t>
      </w:r>
      <w:r>
        <w:rPr>
          <w:rFonts w:ascii="Century" w:hAnsi="Century" w:cs="Miriam" w:hint="cs"/>
          <w:b/>
          <w:spacing w:val="0"/>
          <w:sz w:val="22"/>
          <w:szCs w:val="24"/>
          <w:rtl/>
        </w:rPr>
        <w:t>המדינה</w:t>
      </w:r>
      <w:r>
        <w:rPr>
          <w:rFonts w:hint="cs"/>
          <w:rtl/>
        </w:rPr>
        <w:t xml:space="preserve">) בקשה לקיים דיון נוסף בפסק הדין ב"שני נושאים בלבד": הראשון, אמות המידה המשפטיות לבחינת תום לבו של הממונה; השני, הפרשנות שלפיה מקרקעין שנתפסו בצו תפיסה אינם בגדר "רכוש ממשלתי" (כהגדרת סעיף 1 לצו בדבר רכוש ממשלתי). בתגובתם לבקשה לדיון נוסף ציינו המשיבים 3-1 כי אף הם סבורים כי יש לקיים דיון נוסף בפסק הדין, אך לא בסוגיות שהועלו בבקשת המדינה, כי אם בקביעה כי בסעיף 5 יש הסדר של מעין תקנת שוק. ביום 24.11.2020 הורה השופט </w:t>
      </w:r>
      <w:r w:rsidRPr="003374C5">
        <w:rPr>
          <w:rFonts w:ascii="Century" w:hAnsi="Century" w:cs="Miriam" w:hint="cs"/>
          <w:b/>
          <w:spacing w:val="0"/>
          <w:sz w:val="22"/>
          <w:szCs w:val="24"/>
          <w:rtl/>
        </w:rPr>
        <w:t xml:space="preserve">י' עמית </w:t>
      </w:r>
      <w:r w:rsidRPr="003374C5">
        <w:rPr>
          <w:rFonts w:ascii="Century" w:hAnsi="Century" w:hint="cs"/>
          <w:sz w:val="22"/>
          <w:rtl/>
        </w:rPr>
        <w:t>(שלפי החלטת הנשיאה הובאה הבקשה לפניו) על דיון נוסף ש"</w:t>
      </w:r>
      <w:r>
        <w:rPr>
          <w:rFonts w:hint="eastAsia"/>
          <w:rtl/>
        </w:rPr>
        <w:t>יתקיים</w:t>
      </w:r>
      <w:r>
        <w:rPr>
          <w:rtl/>
        </w:rPr>
        <w:t xml:space="preserve"> </w:t>
      </w:r>
      <w:r>
        <w:rPr>
          <w:rFonts w:hint="eastAsia"/>
          <w:rtl/>
        </w:rPr>
        <w:t>בשאלה</w:t>
      </w:r>
      <w:r>
        <w:rPr>
          <w:rtl/>
        </w:rPr>
        <w:t xml:space="preserve"> </w:t>
      </w:r>
      <w:r>
        <w:rPr>
          <w:rFonts w:hint="eastAsia"/>
          <w:rtl/>
        </w:rPr>
        <w:t>מהן</w:t>
      </w:r>
      <w:r>
        <w:rPr>
          <w:rtl/>
        </w:rPr>
        <w:t xml:space="preserve"> </w:t>
      </w:r>
      <w:r>
        <w:rPr>
          <w:rFonts w:hint="eastAsia"/>
          <w:rtl/>
        </w:rPr>
        <w:t>אמות</w:t>
      </w:r>
      <w:r>
        <w:rPr>
          <w:rtl/>
        </w:rPr>
        <w:t xml:space="preserve"> </w:t>
      </w:r>
      <w:r>
        <w:rPr>
          <w:rFonts w:hint="eastAsia"/>
          <w:rtl/>
        </w:rPr>
        <w:t>המידה</w:t>
      </w:r>
      <w:r>
        <w:rPr>
          <w:rtl/>
        </w:rPr>
        <w:t xml:space="preserve"> </w:t>
      </w:r>
      <w:r>
        <w:rPr>
          <w:rFonts w:hint="eastAsia"/>
          <w:rtl/>
        </w:rPr>
        <w:t>המשפטיות</w:t>
      </w:r>
      <w:r>
        <w:rPr>
          <w:rtl/>
        </w:rPr>
        <w:t xml:space="preserve"> </w:t>
      </w:r>
      <w:r>
        <w:rPr>
          <w:rFonts w:hint="eastAsia"/>
          <w:rtl/>
        </w:rPr>
        <w:t>לבחינת</w:t>
      </w:r>
      <w:r>
        <w:rPr>
          <w:rtl/>
        </w:rPr>
        <w:t xml:space="preserve"> </w:t>
      </w:r>
      <w:r>
        <w:rPr>
          <w:rFonts w:hint="eastAsia"/>
          <w:rtl/>
        </w:rPr>
        <w:t>עקרון</w:t>
      </w:r>
      <w:r>
        <w:rPr>
          <w:rtl/>
        </w:rPr>
        <w:t xml:space="preserve"> </w:t>
      </w:r>
      <w:r>
        <w:rPr>
          <w:rFonts w:hint="eastAsia"/>
          <w:rtl/>
        </w:rPr>
        <w:t>תום</w:t>
      </w:r>
      <w:r>
        <w:rPr>
          <w:rFonts w:hint="cs"/>
          <w:rtl/>
        </w:rPr>
        <w:t xml:space="preserve"> </w:t>
      </w:r>
      <w:r>
        <w:rPr>
          <w:rFonts w:hint="eastAsia"/>
          <w:rtl/>
        </w:rPr>
        <w:t>הלב</w:t>
      </w:r>
      <w:r>
        <w:rPr>
          <w:rtl/>
        </w:rPr>
        <w:t xml:space="preserve"> </w:t>
      </w:r>
      <w:r>
        <w:rPr>
          <w:rFonts w:hint="eastAsia"/>
          <w:rtl/>
        </w:rPr>
        <w:t>המעוגן</w:t>
      </w:r>
      <w:r>
        <w:rPr>
          <w:rtl/>
        </w:rPr>
        <w:t xml:space="preserve"> </w:t>
      </w:r>
      <w:r>
        <w:rPr>
          <w:rFonts w:hint="eastAsia"/>
          <w:rtl/>
        </w:rPr>
        <w:t>בסעיף</w:t>
      </w:r>
      <w:r>
        <w:rPr>
          <w:rtl/>
        </w:rPr>
        <w:t xml:space="preserve"> 5 </w:t>
      </w:r>
      <w:r>
        <w:rPr>
          <w:rFonts w:hint="eastAsia"/>
          <w:rtl/>
        </w:rPr>
        <w:t>לצו</w:t>
      </w:r>
      <w:r>
        <w:rPr>
          <w:rtl/>
        </w:rPr>
        <w:t xml:space="preserve"> </w:t>
      </w:r>
      <w:r>
        <w:rPr>
          <w:rFonts w:hint="eastAsia"/>
          <w:rtl/>
        </w:rPr>
        <w:t>בדבר</w:t>
      </w:r>
      <w:r>
        <w:rPr>
          <w:rtl/>
        </w:rPr>
        <w:t xml:space="preserve"> </w:t>
      </w:r>
      <w:r>
        <w:rPr>
          <w:rFonts w:hint="eastAsia"/>
          <w:rtl/>
        </w:rPr>
        <w:t>רכוש</w:t>
      </w:r>
      <w:r>
        <w:rPr>
          <w:rtl/>
        </w:rPr>
        <w:t xml:space="preserve"> </w:t>
      </w:r>
      <w:r>
        <w:rPr>
          <w:rFonts w:hint="eastAsia"/>
          <w:rtl/>
        </w:rPr>
        <w:t>ממשלתי</w:t>
      </w:r>
      <w:r>
        <w:rPr>
          <w:rtl/>
        </w:rPr>
        <w:t xml:space="preserve"> (</w:t>
      </w:r>
      <w:r>
        <w:rPr>
          <w:rFonts w:hint="eastAsia"/>
          <w:rtl/>
        </w:rPr>
        <w:t>יהודה</w:t>
      </w:r>
      <w:r>
        <w:rPr>
          <w:rtl/>
        </w:rPr>
        <w:t xml:space="preserve"> </w:t>
      </w:r>
      <w:r>
        <w:rPr>
          <w:rFonts w:hint="eastAsia"/>
          <w:rtl/>
        </w:rPr>
        <w:t>והשומרון</w:t>
      </w:r>
      <w:r>
        <w:rPr>
          <w:rtl/>
        </w:rPr>
        <w:t>) (</w:t>
      </w:r>
      <w:r>
        <w:rPr>
          <w:rFonts w:hint="eastAsia"/>
          <w:rtl/>
        </w:rPr>
        <w:t>מס</w:t>
      </w:r>
      <w:r>
        <w:rPr>
          <w:rtl/>
        </w:rPr>
        <w:t xml:space="preserve">' 59), </w:t>
      </w:r>
      <w:r>
        <w:rPr>
          <w:rFonts w:hint="eastAsia"/>
          <w:rtl/>
        </w:rPr>
        <w:t>התשכ</w:t>
      </w:r>
      <w:r>
        <w:rPr>
          <w:rtl/>
        </w:rPr>
        <w:t>"</w:t>
      </w:r>
      <w:r>
        <w:rPr>
          <w:rFonts w:hint="eastAsia"/>
          <w:rtl/>
        </w:rPr>
        <w:t>ז</w:t>
      </w:r>
      <w:r>
        <w:rPr>
          <w:rFonts w:hint="cs"/>
          <w:rtl/>
        </w:rPr>
        <w:t>-</w:t>
      </w:r>
      <w:r>
        <w:rPr>
          <w:rtl/>
        </w:rPr>
        <w:t xml:space="preserve">1967, </w:t>
      </w:r>
      <w:r>
        <w:rPr>
          <w:rFonts w:hint="eastAsia"/>
          <w:rtl/>
        </w:rPr>
        <w:t>ובאופן</w:t>
      </w:r>
      <w:r>
        <w:rPr>
          <w:rtl/>
        </w:rPr>
        <w:t xml:space="preserve"> </w:t>
      </w:r>
      <w:r>
        <w:rPr>
          <w:rFonts w:hint="eastAsia"/>
          <w:rtl/>
        </w:rPr>
        <w:t>יישומן</w:t>
      </w:r>
      <w:r>
        <w:rPr>
          <w:rtl/>
        </w:rPr>
        <w:t xml:space="preserve"> </w:t>
      </w:r>
      <w:r>
        <w:rPr>
          <w:rFonts w:hint="eastAsia"/>
          <w:rtl/>
        </w:rPr>
        <w:t>ויישום</w:t>
      </w:r>
      <w:r>
        <w:rPr>
          <w:rtl/>
        </w:rPr>
        <w:t xml:space="preserve"> </w:t>
      </w:r>
      <w:r>
        <w:rPr>
          <w:rFonts w:hint="eastAsia"/>
          <w:rtl/>
        </w:rPr>
        <w:t>יתר</w:t>
      </w:r>
      <w:r>
        <w:rPr>
          <w:rtl/>
        </w:rPr>
        <w:t xml:space="preserve"> </w:t>
      </w:r>
      <w:r>
        <w:rPr>
          <w:rFonts w:hint="eastAsia"/>
          <w:rtl/>
        </w:rPr>
        <w:t>תנאי</w:t>
      </w:r>
      <w:r>
        <w:rPr>
          <w:rtl/>
        </w:rPr>
        <w:t xml:space="preserve"> </w:t>
      </w:r>
      <w:r>
        <w:rPr>
          <w:rFonts w:hint="eastAsia"/>
          <w:rtl/>
        </w:rPr>
        <w:t>הסעיף</w:t>
      </w:r>
      <w:r>
        <w:rPr>
          <w:rtl/>
        </w:rPr>
        <w:t xml:space="preserve"> </w:t>
      </w:r>
      <w:r>
        <w:rPr>
          <w:rFonts w:hint="eastAsia"/>
          <w:rtl/>
        </w:rPr>
        <w:t>במקרה</w:t>
      </w:r>
      <w:r>
        <w:rPr>
          <w:rtl/>
        </w:rPr>
        <w:t xml:space="preserve"> </w:t>
      </w:r>
      <w:r>
        <w:rPr>
          <w:rFonts w:hint="eastAsia"/>
          <w:rtl/>
        </w:rPr>
        <w:t>דנן</w:t>
      </w:r>
      <w:r>
        <w:rPr>
          <w:rFonts w:hint="cs"/>
          <w:rtl/>
        </w:rPr>
        <w:t xml:space="preserve">". </w:t>
      </w:r>
    </w:p>
    <w:p w:rsidR="004C7127" w:rsidRDefault="004C7127" w:rsidP="004C7127">
      <w:pPr>
        <w:pStyle w:val="Ruller4"/>
        <w:numPr>
          <w:ilvl w:val="0"/>
          <w:numId w:val="0"/>
        </w:numPr>
        <w:rPr>
          <w:rFonts w:ascii="Century" w:hAnsi="Century"/>
          <w:sz w:val="22"/>
          <w:rtl/>
        </w:rPr>
      </w:pPr>
    </w:p>
    <w:p w:rsidR="004C7127" w:rsidRPr="00D036C4" w:rsidRDefault="004C7127" w:rsidP="004C7127">
      <w:pPr>
        <w:pStyle w:val="Ruller4"/>
        <w:numPr>
          <w:ilvl w:val="0"/>
          <w:numId w:val="0"/>
        </w:numPr>
        <w:rPr>
          <w:rFonts w:ascii="Century" w:hAnsi="Century"/>
          <w:sz w:val="22"/>
          <w:rtl/>
        </w:rPr>
      </w:pPr>
      <w:r>
        <w:rPr>
          <w:rFonts w:ascii="Century" w:hAnsi="Century"/>
          <w:sz w:val="22"/>
          <w:rtl/>
        </w:rPr>
        <w:tab/>
      </w:r>
      <w:r w:rsidRPr="00EE5FD8">
        <w:rPr>
          <w:rFonts w:ascii="Century" w:hAnsi="Century" w:hint="cs"/>
          <w:sz w:val="22"/>
          <w:rtl/>
        </w:rPr>
        <w:t>אעיר כבר עתה כי הן בדיון לפנינו, הן בכתבי הטענות, ביקשו חלק מן הצדדים לסטות מגבולות</w:t>
      </w:r>
      <w:r>
        <w:rPr>
          <w:rFonts w:ascii="Century" w:hAnsi="Century" w:hint="cs"/>
          <w:sz w:val="22"/>
          <w:rtl/>
        </w:rPr>
        <w:t xml:space="preserve"> הדיון</w:t>
      </w:r>
      <w:r w:rsidRPr="00EE5FD8">
        <w:rPr>
          <w:rFonts w:ascii="Century" w:hAnsi="Century" w:hint="cs"/>
          <w:sz w:val="22"/>
          <w:rtl/>
        </w:rPr>
        <w:t xml:space="preserve"> שהותוו בהחלטת השופט </w:t>
      </w:r>
      <w:r w:rsidRPr="00EE5FD8">
        <w:rPr>
          <w:rFonts w:ascii="Century" w:hAnsi="Century" w:cs="Miriam" w:hint="cs"/>
          <w:b/>
          <w:spacing w:val="0"/>
          <w:sz w:val="22"/>
          <w:szCs w:val="24"/>
          <w:rtl/>
        </w:rPr>
        <w:t>עמית</w:t>
      </w:r>
      <w:r w:rsidRPr="00EE5FD8">
        <w:rPr>
          <w:rFonts w:ascii="Century" w:hAnsi="Century" w:hint="cs"/>
          <w:sz w:val="22"/>
          <w:rtl/>
        </w:rPr>
        <w:t>, אך בהקשר זה יש להזכיר את סעיף 30(ג) לחוק בתי המשפט</w:t>
      </w:r>
      <w:r w:rsidRPr="00EE5FD8">
        <w:rPr>
          <w:rtl/>
        </w:rPr>
        <w:t xml:space="preserve"> </w:t>
      </w:r>
      <w:r w:rsidRPr="00EE5FD8">
        <w:rPr>
          <w:rFonts w:ascii="Century" w:hAnsi="Century"/>
          <w:sz w:val="22"/>
          <w:rtl/>
        </w:rPr>
        <w:t>[</w:t>
      </w:r>
      <w:r w:rsidRPr="00EE5FD8">
        <w:rPr>
          <w:rFonts w:ascii="Century" w:hAnsi="Century" w:hint="eastAsia"/>
          <w:sz w:val="22"/>
          <w:rtl/>
        </w:rPr>
        <w:t>נוסח</w:t>
      </w:r>
      <w:r w:rsidRPr="00EE5FD8">
        <w:rPr>
          <w:rFonts w:ascii="Century" w:hAnsi="Century"/>
          <w:sz w:val="22"/>
          <w:rtl/>
        </w:rPr>
        <w:t xml:space="preserve"> </w:t>
      </w:r>
      <w:r w:rsidRPr="00EE5FD8">
        <w:rPr>
          <w:rFonts w:ascii="Century" w:hAnsi="Century" w:hint="eastAsia"/>
          <w:sz w:val="22"/>
          <w:rtl/>
        </w:rPr>
        <w:t>משולב</w:t>
      </w:r>
      <w:r w:rsidRPr="00EE5FD8">
        <w:rPr>
          <w:rFonts w:ascii="Century" w:hAnsi="Century"/>
          <w:sz w:val="22"/>
          <w:rtl/>
        </w:rPr>
        <w:t xml:space="preserve">], </w:t>
      </w:r>
      <w:r w:rsidRPr="00EE5FD8">
        <w:rPr>
          <w:rFonts w:ascii="Century" w:hAnsi="Century" w:hint="cs"/>
          <w:sz w:val="22"/>
          <w:rtl/>
        </w:rPr>
        <w:t>ה</w:t>
      </w:r>
      <w:r w:rsidRPr="00EE5FD8">
        <w:rPr>
          <w:rFonts w:ascii="Century" w:hAnsi="Century" w:hint="eastAsia"/>
          <w:sz w:val="22"/>
          <w:rtl/>
        </w:rPr>
        <w:t>תשמ</w:t>
      </w:r>
      <w:r w:rsidRPr="00EE5FD8">
        <w:rPr>
          <w:rFonts w:ascii="Century" w:hAnsi="Century"/>
          <w:sz w:val="22"/>
          <w:rtl/>
        </w:rPr>
        <w:t>"</w:t>
      </w:r>
      <w:r w:rsidRPr="00EE5FD8">
        <w:rPr>
          <w:rFonts w:ascii="Century" w:hAnsi="Century" w:hint="eastAsia"/>
          <w:sz w:val="22"/>
          <w:rtl/>
        </w:rPr>
        <w:t>ד</w:t>
      </w:r>
      <w:r w:rsidRPr="00EE5FD8">
        <w:rPr>
          <w:rFonts w:ascii="Century" w:hAnsi="Century"/>
          <w:sz w:val="22"/>
          <w:rtl/>
        </w:rPr>
        <w:t>-1984</w:t>
      </w:r>
      <w:r w:rsidRPr="00EE5FD8">
        <w:rPr>
          <w:rFonts w:ascii="Century" w:hAnsi="Century" w:hint="cs"/>
          <w:sz w:val="22"/>
          <w:rtl/>
        </w:rPr>
        <w:t xml:space="preserve"> שקובע במפורש כי בהחלטה לקיים דיון נוסף "</w:t>
      </w:r>
      <w:r w:rsidRPr="00EE5FD8">
        <w:rPr>
          <w:rFonts w:ascii="Century" w:hAnsi="Century" w:hint="eastAsia"/>
          <w:sz w:val="22"/>
          <w:rtl/>
        </w:rPr>
        <w:t>רשאי</w:t>
      </w:r>
      <w:r w:rsidRPr="00EE5FD8">
        <w:rPr>
          <w:rFonts w:ascii="Century" w:hAnsi="Century"/>
          <w:sz w:val="22"/>
          <w:rtl/>
        </w:rPr>
        <w:t xml:space="preserve"> </w:t>
      </w:r>
      <w:r w:rsidRPr="00EE5FD8">
        <w:rPr>
          <w:rFonts w:ascii="Century" w:hAnsi="Century" w:hint="eastAsia"/>
          <w:sz w:val="22"/>
          <w:rtl/>
        </w:rPr>
        <w:t>בית</w:t>
      </w:r>
      <w:r w:rsidRPr="00EE5FD8">
        <w:rPr>
          <w:rFonts w:ascii="Century" w:hAnsi="Century"/>
          <w:sz w:val="22"/>
          <w:rtl/>
        </w:rPr>
        <w:t xml:space="preserve"> </w:t>
      </w:r>
      <w:r w:rsidRPr="00EE5FD8">
        <w:rPr>
          <w:rFonts w:ascii="Century" w:hAnsi="Century" w:hint="eastAsia"/>
          <w:sz w:val="22"/>
          <w:rtl/>
        </w:rPr>
        <w:t>המשפט</w:t>
      </w:r>
      <w:r w:rsidRPr="00EE5FD8">
        <w:rPr>
          <w:rFonts w:ascii="Century" w:hAnsi="Century"/>
          <w:sz w:val="22"/>
          <w:rtl/>
        </w:rPr>
        <w:t xml:space="preserve"> </w:t>
      </w:r>
      <w:r w:rsidRPr="00EE5FD8">
        <w:rPr>
          <w:rFonts w:ascii="Century" w:hAnsi="Century" w:hint="eastAsia"/>
          <w:sz w:val="22"/>
          <w:rtl/>
        </w:rPr>
        <w:t>או</w:t>
      </w:r>
      <w:r w:rsidRPr="00EE5FD8">
        <w:rPr>
          <w:rFonts w:ascii="Century" w:hAnsi="Century"/>
          <w:sz w:val="22"/>
          <w:rtl/>
        </w:rPr>
        <w:t xml:space="preserve"> </w:t>
      </w:r>
      <w:r w:rsidRPr="00EE5FD8">
        <w:rPr>
          <w:rFonts w:ascii="Century" w:hAnsi="Century" w:hint="eastAsia"/>
          <w:sz w:val="22"/>
          <w:rtl/>
        </w:rPr>
        <w:t>השופט</w:t>
      </w:r>
      <w:r w:rsidRPr="00EE5FD8">
        <w:rPr>
          <w:rFonts w:ascii="Century" w:hAnsi="Century"/>
          <w:sz w:val="22"/>
          <w:rtl/>
        </w:rPr>
        <w:t xml:space="preserve"> </w:t>
      </w:r>
      <w:r w:rsidRPr="00EE5FD8">
        <w:rPr>
          <w:rFonts w:ascii="Century" w:hAnsi="Century" w:hint="eastAsia"/>
          <w:sz w:val="22"/>
          <w:rtl/>
        </w:rPr>
        <w:t>לקבוע</w:t>
      </w:r>
      <w:r w:rsidRPr="00EE5FD8">
        <w:rPr>
          <w:rFonts w:ascii="Century" w:hAnsi="Century"/>
          <w:sz w:val="22"/>
          <w:rtl/>
        </w:rPr>
        <w:t xml:space="preserve"> </w:t>
      </w:r>
      <w:r w:rsidRPr="00EE5FD8">
        <w:rPr>
          <w:rFonts w:ascii="Century" w:hAnsi="Century" w:hint="eastAsia"/>
          <w:sz w:val="22"/>
          <w:rtl/>
        </w:rPr>
        <w:t>את</w:t>
      </w:r>
      <w:r w:rsidRPr="00EE5FD8">
        <w:rPr>
          <w:rFonts w:ascii="Century" w:hAnsi="Century"/>
          <w:sz w:val="22"/>
          <w:rtl/>
        </w:rPr>
        <w:t xml:space="preserve"> </w:t>
      </w:r>
      <w:r w:rsidRPr="00EE5FD8">
        <w:rPr>
          <w:rFonts w:ascii="Century" w:hAnsi="Century" w:hint="eastAsia"/>
          <w:sz w:val="22"/>
          <w:rtl/>
        </w:rPr>
        <w:t>הבעיה</w:t>
      </w:r>
      <w:r w:rsidRPr="00EE5FD8">
        <w:rPr>
          <w:rFonts w:ascii="Century" w:hAnsi="Century"/>
          <w:sz w:val="22"/>
          <w:rtl/>
        </w:rPr>
        <w:t xml:space="preserve"> </w:t>
      </w:r>
      <w:r w:rsidRPr="00EE5FD8">
        <w:rPr>
          <w:rFonts w:ascii="Century" w:hAnsi="Century" w:hint="eastAsia"/>
          <w:sz w:val="22"/>
          <w:rtl/>
        </w:rPr>
        <w:t>שתעמוד</w:t>
      </w:r>
      <w:r w:rsidRPr="00EE5FD8">
        <w:rPr>
          <w:rFonts w:ascii="Century" w:hAnsi="Century"/>
          <w:sz w:val="22"/>
          <w:rtl/>
        </w:rPr>
        <w:t xml:space="preserve"> </w:t>
      </w:r>
      <w:r w:rsidRPr="00EE5FD8">
        <w:rPr>
          <w:rFonts w:ascii="Century" w:hAnsi="Century" w:hint="eastAsia"/>
          <w:sz w:val="22"/>
          <w:rtl/>
        </w:rPr>
        <w:t>לדיון</w:t>
      </w:r>
      <w:r w:rsidRPr="00EE5FD8">
        <w:rPr>
          <w:rFonts w:ascii="Century" w:hAnsi="Century"/>
          <w:sz w:val="22"/>
          <w:rtl/>
        </w:rPr>
        <w:t xml:space="preserve"> </w:t>
      </w:r>
      <w:r w:rsidRPr="00EE5FD8">
        <w:rPr>
          <w:rFonts w:ascii="Century" w:hAnsi="Century" w:hint="eastAsia"/>
          <w:sz w:val="22"/>
          <w:rtl/>
        </w:rPr>
        <w:t>נוסף</w:t>
      </w:r>
      <w:r w:rsidRPr="00EE5FD8">
        <w:rPr>
          <w:rFonts w:ascii="Century" w:hAnsi="Century"/>
          <w:sz w:val="22"/>
          <w:rtl/>
        </w:rPr>
        <w:t xml:space="preserve">, </w:t>
      </w:r>
      <w:r w:rsidRPr="00EE5FD8">
        <w:rPr>
          <w:rFonts w:ascii="Century" w:hAnsi="Century" w:cs="Miriam" w:hint="eastAsia"/>
          <w:b/>
          <w:spacing w:val="0"/>
          <w:sz w:val="22"/>
          <w:szCs w:val="24"/>
          <w:rtl/>
        </w:rPr>
        <w:t>ומשעשה</w:t>
      </w:r>
      <w:r w:rsidRPr="00EE5FD8">
        <w:rPr>
          <w:rFonts w:ascii="Century" w:hAnsi="Century" w:cs="Miriam"/>
          <w:b/>
          <w:spacing w:val="0"/>
          <w:sz w:val="22"/>
          <w:szCs w:val="24"/>
          <w:rtl/>
        </w:rPr>
        <w:t xml:space="preserve"> </w:t>
      </w:r>
      <w:r w:rsidRPr="00EE5FD8">
        <w:rPr>
          <w:rFonts w:ascii="Century" w:hAnsi="Century" w:cs="Miriam" w:hint="eastAsia"/>
          <w:b/>
          <w:spacing w:val="0"/>
          <w:sz w:val="22"/>
          <w:szCs w:val="24"/>
          <w:rtl/>
        </w:rPr>
        <w:t>כן</w:t>
      </w:r>
      <w:r w:rsidRPr="00EE5FD8">
        <w:rPr>
          <w:rFonts w:ascii="Century" w:hAnsi="Century" w:cs="Miriam"/>
          <w:b/>
          <w:spacing w:val="0"/>
          <w:sz w:val="22"/>
          <w:szCs w:val="24"/>
          <w:rtl/>
        </w:rPr>
        <w:t xml:space="preserve">, </w:t>
      </w:r>
      <w:r w:rsidRPr="00EE5FD8">
        <w:rPr>
          <w:rFonts w:ascii="Century" w:hAnsi="Century" w:cs="Miriam" w:hint="eastAsia"/>
          <w:b/>
          <w:spacing w:val="0"/>
          <w:sz w:val="22"/>
          <w:szCs w:val="24"/>
          <w:rtl/>
        </w:rPr>
        <w:t>לא</w:t>
      </w:r>
      <w:r w:rsidRPr="00EE5FD8">
        <w:rPr>
          <w:rFonts w:ascii="Century" w:hAnsi="Century" w:cs="Miriam"/>
          <w:b/>
          <w:spacing w:val="0"/>
          <w:sz w:val="22"/>
          <w:szCs w:val="24"/>
          <w:rtl/>
        </w:rPr>
        <w:t xml:space="preserve"> </w:t>
      </w:r>
      <w:r w:rsidRPr="00EE5FD8">
        <w:rPr>
          <w:rFonts w:ascii="Century" w:hAnsi="Century" w:cs="Miriam" w:hint="eastAsia"/>
          <w:b/>
          <w:spacing w:val="0"/>
          <w:sz w:val="22"/>
          <w:szCs w:val="24"/>
          <w:rtl/>
        </w:rPr>
        <w:t>יקויים</w:t>
      </w:r>
      <w:r w:rsidRPr="00EE5FD8">
        <w:rPr>
          <w:rFonts w:ascii="Century" w:hAnsi="Century" w:cs="Miriam"/>
          <w:b/>
          <w:spacing w:val="0"/>
          <w:sz w:val="22"/>
          <w:szCs w:val="24"/>
          <w:rtl/>
        </w:rPr>
        <w:t xml:space="preserve"> </w:t>
      </w:r>
      <w:r w:rsidRPr="00EE5FD8">
        <w:rPr>
          <w:rFonts w:ascii="Century" w:hAnsi="Century" w:cs="Miriam" w:hint="eastAsia"/>
          <w:b/>
          <w:spacing w:val="0"/>
          <w:sz w:val="22"/>
          <w:szCs w:val="24"/>
          <w:rtl/>
        </w:rPr>
        <w:t>הדיון</w:t>
      </w:r>
      <w:r w:rsidRPr="00EE5FD8">
        <w:rPr>
          <w:rFonts w:ascii="Century" w:hAnsi="Century" w:cs="Miriam"/>
          <w:b/>
          <w:spacing w:val="0"/>
          <w:sz w:val="22"/>
          <w:szCs w:val="24"/>
          <w:rtl/>
        </w:rPr>
        <w:t xml:space="preserve"> </w:t>
      </w:r>
      <w:r w:rsidRPr="00EE5FD8">
        <w:rPr>
          <w:rFonts w:ascii="Century" w:hAnsi="Century" w:cs="Miriam" w:hint="eastAsia"/>
          <w:b/>
          <w:spacing w:val="0"/>
          <w:sz w:val="22"/>
          <w:szCs w:val="24"/>
          <w:rtl/>
        </w:rPr>
        <w:t>הנוסף</w:t>
      </w:r>
      <w:r w:rsidRPr="00EE5FD8">
        <w:rPr>
          <w:rFonts w:ascii="Century" w:hAnsi="Century" w:cs="Miriam"/>
          <w:b/>
          <w:spacing w:val="0"/>
          <w:sz w:val="22"/>
          <w:szCs w:val="24"/>
          <w:rtl/>
        </w:rPr>
        <w:t xml:space="preserve"> </w:t>
      </w:r>
      <w:r w:rsidRPr="00EE5FD8">
        <w:rPr>
          <w:rFonts w:ascii="Century" w:hAnsi="Century" w:cs="Miriam" w:hint="eastAsia"/>
          <w:b/>
          <w:spacing w:val="0"/>
          <w:sz w:val="22"/>
          <w:szCs w:val="24"/>
          <w:rtl/>
        </w:rPr>
        <w:t>אלא</w:t>
      </w:r>
      <w:r w:rsidRPr="00EE5FD8">
        <w:rPr>
          <w:rFonts w:ascii="Century" w:hAnsi="Century" w:cs="Miriam"/>
          <w:b/>
          <w:spacing w:val="0"/>
          <w:sz w:val="22"/>
          <w:szCs w:val="24"/>
          <w:rtl/>
        </w:rPr>
        <w:t xml:space="preserve"> </w:t>
      </w:r>
      <w:r w:rsidRPr="00EE5FD8">
        <w:rPr>
          <w:rFonts w:ascii="Century" w:hAnsi="Century" w:cs="Miriam" w:hint="eastAsia"/>
          <w:b/>
          <w:spacing w:val="0"/>
          <w:sz w:val="22"/>
          <w:szCs w:val="24"/>
          <w:rtl/>
        </w:rPr>
        <w:t>באותה</w:t>
      </w:r>
      <w:r w:rsidRPr="00EE5FD8">
        <w:rPr>
          <w:rFonts w:ascii="Century" w:hAnsi="Century" w:cs="Miriam"/>
          <w:b/>
          <w:spacing w:val="0"/>
          <w:sz w:val="22"/>
          <w:szCs w:val="24"/>
          <w:rtl/>
        </w:rPr>
        <w:t xml:space="preserve"> </w:t>
      </w:r>
      <w:r w:rsidRPr="00EE5FD8">
        <w:rPr>
          <w:rFonts w:ascii="Century" w:hAnsi="Century" w:cs="Miriam" w:hint="eastAsia"/>
          <w:b/>
          <w:spacing w:val="0"/>
          <w:sz w:val="22"/>
          <w:szCs w:val="24"/>
          <w:rtl/>
        </w:rPr>
        <w:t>בעיה</w:t>
      </w:r>
      <w:r w:rsidRPr="00EE5FD8">
        <w:rPr>
          <w:rFonts w:ascii="Century" w:hAnsi="Century" w:hint="cs"/>
          <w:sz w:val="22"/>
          <w:rtl/>
        </w:rPr>
        <w:t>" (</w:t>
      </w:r>
      <w:r w:rsidRPr="005F75AB">
        <w:rPr>
          <w:rFonts w:ascii="Century" w:hAnsi="Century" w:hint="cs"/>
          <w:sz w:val="22"/>
          <w:rtl/>
        </w:rPr>
        <w:t xml:space="preserve">ההדגשה הוספה </w:t>
      </w:r>
      <w:r w:rsidRPr="005F75AB">
        <w:rPr>
          <w:rFonts w:ascii="Century" w:hAnsi="Century"/>
          <w:sz w:val="22"/>
          <w:rtl/>
        </w:rPr>
        <w:t>–</w:t>
      </w:r>
      <w:r w:rsidRPr="005F75AB">
        <w:rPr>
          <w:rFonts w:ascii="Century" w:hAnsi="Century" w:hint="cs"/>
          <w:sz w:val="22"/>
          <w:rtl/>
        </w:rPr>
        <w:t xml:space="preserve"> </w:t>
      </w:r>
      <w:r w:rsidRPr="005F75AB">
        <w:rPr>
          <w:rFonts w:ascii="Century" w:hAnsi="Century" w:hint="cs"/>
          <w:sz w:val="22"/>
          <w:rtl/>
        </w:rPr>
        <w:lastRenderedPageBreak/>
        <w:t xml:space="preserve">ע' פ'). משכך, ככלל, אין לחרוג בדיון הנוסף מהבעיה שהוגדרה בחלטה על עריכתו (ראו והשוו: דנ"א 1595/06 </w:t>
      </w:r>
      <w:r w:rsidRPr="005F75AB">
        <w:rPr>
          <w:rFonts w:ascii="Century" w:hAnsi="Century" w:cs="Miriam" w:hint="cs"/>
          <w:b/>
          <w:spacing w:val="0"/>
          <w:sz w:val="22"/>
          <w:szCs w:val="24"/>
          <w:rtl/>
        </w:rPr>
        <w:t>עיזבון ארידור נ' עיריית פתח תקווה</w:t>
      </w:r>
      <w:r w:rsidRPr="005F75AB">
        <w:rPr>
          <w:rFonts w:ascii="Century" w:hAnsi="Century" w:hint="cs"/>
          <w:sz w:val="22"/>
          <w:rtl/>
        </w:rPr>
        <w:t>, פ"ד סו(2) 58,</w:t>
      </w:r>
      <w:r w:rsidRPr="00EE5FD8">
        <w:rPr>
          <w:rFonts w:ascii="Century" w:hAnsi="Century" w:hint="cs"/>
          <w:sz w:val="22"/>
          <w:rtl/>
        </w:rPr>
        <w:t xml:space="preserve"> 148-147 (2013)</w:t>
      </w:r>
      <w:r>
        <w:rPr>
          <w:rFonts w:ascii="Century" w:hAnsi="Century" w:hint="cs"/>
          <w:sz w:val="22"/>
          <w:rtl/>
        </w:rPr>
        <w:t xml:space="preserve">; דנ"פ 4971/02 </w:t>
      </w:r>
      <w:r>
        <w:rPr>
          <w:rFonts w:ascii="Century" w:hAnsi="Century" w:cs="Miriam" w:hint="cs"/>
          <w:b/>
          <w:spacing w:val="0"/>
          <w:sz w:val="22"/>
          <w:szCs w:val="24"/>
          <w:rtl/>
        </w:rPr>
        <w:t>זגורי נ' מדינת ישראל</w:t>
      </w:r>
      <w:r>
        <w:rPr>
          <w:rFonts w:ascii="Century" w:hAnsi="Century" w:hint="cs"/>
          <w:sz w:val="22"/>
          <w:rtl/>
        </w:rPr>
        <w:t xml:space="preserve">, פ"ד נח(4) 583, 628-624, 637-634 (2004); ד"נ 7/81 </w:t>
      </w:r>
      <w:r>
        <w:rPr>
          <w:rFonts w:ascii="Century" w:hAnsi="Century" w:cs="Miriam" w:hint="cs"/>
          <w:b/>
          <w:spacing w:val="0"/>
          <w:sz w:val="22"/>
          <w:szCs w:val="24"/>
          <w:rtl/>
        </w:rPr>
        <w:t>פנידר, חברה להשקעות פתוח ובנין בע"מ נ' קסטרו</w:t>
      </w:r>
      <w:r>
        <w:rPr>
          <w:rFonts w:ascii="Century" w:hAnsi="Century" w:hint="cs"/>
          <w:sz w:val="22"/>
          <w:rtl/>
        </w:rPr>
        <w:t xml:space="preserve">, פ"ד לז(4) 673, 704 (1983); </w:t>
      </w:r>
      <w:r w:rsidRPr="009C4F4E">
        <w:rPr>
          <w:rFonts w:ascii="Century" w:hAnsi="Century" w:hint="eastAsia"/>
          <w:sz w:val="22"/>
          <w:rtl/>
        </w:rPr>
        <w:t>יגאל</w:t>
      </w:r>
      <w:r w:rsidRPr="009C4F4E">
        <w:rPr>
          <w:rFonts w:ascii="Century" w:hAnsi="Century"/>
          <w:sz w:val="22"/>
          <w:rtl/>
        </w:rPr>
        <w:t xml:space="preserve"> </w:t>
      </w:r>
      <w:r w:rsidRPr="009C4F4E">
        <w:rPr>
          <w:rFonts w:ascii="Century" w:hAnsi="Century" w:hint="eastAsia"/>
          <w:sz w:val="22"/>
          <w:rtl/>
        </w:rPr>
        <w:t>מרזל</w:t>
      </w:r>
      <w:r w:rsidRPr="009C4F4E">
        <w:rPr>
          <w:rFonts w:ascii="Century" w:hAnsi="Century"/>
          <w:sz w:val="22"/>
          <w:rtl/>
        </w:rPr>
        <w:t xml:space="preserve"> "</w:t>
      </w:r>
      <w:r w:rsidRPr="009C4F4E">
        <w:rPr>
          <w:rFonts w:ascii="Century" w:hAnsi="Century" w:hint="eastAsia"/>
          <w:sz w:val="22"/>
          <w:rtl/>
        </w:rPr>
        <w:t>סעיף</w:t>
      </w:r>
      <w:r w:rsidRPr="009C4F4E">
        <w:rPr>
          <w:rFonts w:ascii="Century" w:hAnsi="Century"/>
          <w:sz w:val="22"/>
          <w:rtl/>
        </w:rPr>
        <w:t xml:space="preserve"> 18 </w:t>
      </w:r>
      <w:r w:rsidRPr="009C4F4E">
        <w:rPr>
          <w:rFonts w:ascii="Century" w:hAnsi="Century" w:hint="eastAsia"/>
          <w:sz w:val="22"/>
          <w:rtl/>
        </w:rPr>
        <w:t>לחוק</w:t>
      </w:r>
      <w:r w:rsidRPr="009C4F4E">
        <w:rPr>
          <w:rFonts w:ascii="Century" w:hAnsi="Century"/>
          <w:sz w:val="22"/>
          <w:rtl/>
        </w:rPr>
        <w:t>-</w:t>
      </w:r>
      <w:r w:rsidRPr="009C4F4E">
        <w:rPr>
          <w:rFonts w:ascii="Century" w:hAnsi="Century" w:hint="eastAsia"/>
          <w:sz w:val="22"/>
          <w:rtl/>
        </w:rPr>
        <w:t>יסוד</w:t>
      </w:r>
      <w:r w:rsidRPr="009C4F4E">
        <w:rPr>
          <w:rFonts w:ascii="Century" w:hAnsi="Century"/>
          <w:sz w:val="22"/>
          <w:rtl/>
        </w:rPr>
        <w:t xml:space="preserve">: </w:t>
      </w:r>
      <w:r w:rsidRPr="009C4F4E">
        <w:rPr>
          <w:rFonts w:ascii="Century" w:hAnsi="Century" w:hint="eastAsia"/>
          <w:sz w:val="22"/>
          <w:rtl/>
        </w:rPr>
        <w:t>השפיטה</w:t>
      </w:r>
      <w:r w:rsidRPr="009C4F4E">
        <w:rPr>
          <w:rFonts w:ascii="Century" w:hAnsi="Century"/>
          <w:sz w:val="22"/>
          <w:rtl/>
        </w:rPr>
        <w:t xml:space="preserve"> – '</w:t>
      </w:r>
      <w:r w:rsidRPr="009C4F4E">
        <w:rPr>
          <w:rFonts w:ascii="Century" w:hAnsi="Century" w:hint="eastAsia"/>
          <w:sz w:val="22"/>
          <w:rtl/>
        </w:rPr>
        <w:t>דיון</w:t>
      </w:r>
      <w:r w:rsidRPr="009C4F4E">
        <w:rPr>
          <w:rFonts w:ascii="Century" w:hAnsi="Century"/>
          <w:sz w:val="22"/>
          <w:rtl/>
        </w:rPr>
        <w:t xml:space="preserve"> </w:t>
      </w:r>
      <w:r w:rsidRPr="009C4F4E">
        <w:rPr>
          <w:rFonts w:ascii="Century" w:hAnsi="Century" w:hint="eastAsia"/>
          <w:sz w:val="22"/>
          <w:rtl/>
        </w:rPr>
        <w:t>נוסף</w:t>
      </w:r>
      <w:r w:rsidRPr="009C4F4E">
        <w:rPr>
          <w:rFonts w:ascii="Century" w:hAnsi="Century"/>
          <w:sz w:val="22"/>
          <w:rtl/>
        </w:rPr>
        <w:t xml:space="preserve">' </w:t>
      </w:r>
      <w:r w:rsidRPr="009C4F4E">
        <w:rPr>
          <w:rFonts w:ascii="Century" w:hAnsi="Century" w:hint="eastAsia"/>
          <w:sz w:val="22"/>
          <w:rtl/>
        </w:rPr>
        <w:t>בדיון</w:t>
      </w:r>
      <w:r w:rsidRPr="009C4F4E">
        <w:rPr>
          <w:rFonts w:ascii="Century" w:hAnsi="Century"/>
          <w:sz w:val="22"/>
          <w:rtl/>
        </w:rPr>
        <w:t xml:space="preserve"> </w:t>
      </w:r>
      <w:r w:rsidRPr="009C4F4E">
        <w:rPr>
          <w:rFonts w:ascii="Century" w:hAnsi="Century" w:hint="eastAsia"/>
          <w:sz w:val="22"/>
          <w:rtl/>
        </w:rPr>
        <w:t>הנוסף</w:t>
      </w:r>
      <w:r w:rsidRPr="009C4F4E">
        <w:rPr>
          <w:rFonts w:ascii="Century" w:hAnsi="Century"/>
          <w:sz w:val="22"/>
          <w:rtl/>
        </w:rPr>
        <w:t xml:space="preserve">" </w:t>
      </w:r>
      <w:r w:rsidRPr="009C4F4E">
        <w:rPr>
          <w:rFonts w:ascii="Century" w:hAnsi="Century" w:cs="Miriam" w:hint="eastAsia"/>
          <w:b/>
          <w:spacing w:val="0"/>
          <w:sz w:val="22"/>
          <w:szCs w:val="24"/>
          <w:rtl/>
        </w:rPr>
        <w:t>ספר</w:t>
      </w:r>
      <w:r w:rsidRPr="009C4F4E">
        <w:rPr>
          <w:rFonts w:ascii="Century" w:hAnsi="Century" w:cs="Miriam"/>
          <w:b/>
          <w:spacing w:val="0"/>
          <w:sz w:val="22"/>
          <w:szCs w:val="24"/>
          <w:rtl/>
        </w:rPr>
        <w:t xml:space="preserve"> </w:t>
      </w:r>
      <w:r w:rsidRPr="009C4F4E">
        <w:rPr>
          <w:rFonts w:ascii="Century" w:hAnsi="Century" w:cs="Miriam" w:hint="eastAsia"/>
          <w:b/>
          <w:spacing w:val="0"/>
          <w:sz w:val="22"/>
          <w:szCs w:val="24"/>
          <w:rtl/>
        </w:rPr>
        <w:t>דורית</w:t>
      </w:r>
      <w:r w:rsidRPr="009C4F4E">
        <w:rPr>
          <w:rFonts w:ascii="Century" w:hAnsi="Century" w:cs="Miriam"/>
          <w:b/>
          <w:spacing w:val="0"/>
          <w:sz w:val="22"/>
          <w:szCs w:val="24"/>
          <w:rtl/>
        </w:rPr>
        <w:t xml:space="preserve"> </w:t>
      </w:r>
      <w:r w:rsidRPr="009C4F4E">
        <w:rPr>
          <w:rFonts w:ascii="Century" w:hAnsi="Century" w:cs="Miriam" w:hint="eastAsia"/>
          <w:b/>
          <w:spacing w:val="0"/>
          <w:sz w:val="22"/>
          <w:szCs w:val="24"/>
          <w:rtl/>
        </w:rPr>
        <w:t>ביניש</w:t>
      </w:r>
      <w:r w:rsidRPr="009C4F4E">
        <w:rPr>
          <w:rFonts w:ascii="Century" w:hAnsi="Century"/>
          <w:sz w:val="22"/>
          <w:rtl/>
        </w:rPr>
        <w:t xml:space="preserve"> 181,</w:t>
      </w:r>
      <w:r>
        <w:rPr>
          <w:rFonts w:ascii="Century" w:hAnsi="Century" w:hint="cs"/>
          <w:sz w:val="22"/>
          <w:rtl/>
        </w:rPr>
        <w:t xml:space="preserve"> 263-259 </w:t>
      </w:r>
      <w:r w:rsidRPr="009C4F4E">
        <w:rPr>
          <w:rFonts w:ascii="Century" w:hAnsi="Century"/>
          <w:sz w:val="22"/>
          <w:rtl/>
        </w:rPr>
        <w:t>(</w:t>
      </w:r>
      <w:r w:rsidRPr="009C4F4E">
        <w:rPr>
          <w:rFonts w:ascii="Century" w:hAnsi="Century" w:hint="eastAsia"/>
          <w:sz w:val="22"/>
          <w:rtl/>
        </w:rPr>
        <w:t>קרן</w:t>
      </w:r>
      <w:r w:rsidRPr="009C4F4E">
        <w:rPr>
          <w:rFonts w:ascii="Century" w:hAnsi="Century"/>
          <w:sz w:val="22"/>
          <w:rtl/>
        </w:rPr>
        <w:t xml:space="preserve"> </w:t>
      </w:r>
      <w:r w:rsidRPr="009C4F4E">
        <w:rPr>
          <w:rFonts w:ascii="Century" w:hAnsi="Century" w:hint="eastAsia"/>
          <w:sz w:val="22"/>
          <w:rtl/>
        </w:rPr>
        <w:t>אזולאי</w:t>
      </w:r>
      <w:r w:rsidRPr="009C4F4E">
        <w:rPr>
          <w:rFonts w:ascii="Century" w:hAnsi="Century"/>
          <w:sz w:val="22"/>
          <w:rtl/>
        </w:rPr>
        <w:t xml:space="preserve">, </w:t>
      </w:r>
      <w:r w:rsidRPr="009C4F4E">
        <w:rPr>
          <w:rFonts w:ascii="Century" w:hAnsi="Century" w:hint="eastAsia"/>
          <w:sz w:val="22"/>
          <w:rtl/>
        </w:rPr>
        <w:t>איתי</w:t>
      </w:r>
      <w:r w:rsidRPr="009C4F4E">
        <w:rPr>
          <w:rFonts w:ascii="Century" w:hAnsi="Century"/>
          <w:sz w:val="22"/>
          <w:rtl/>
        </w:rPr>
        <w:t xml:space="preserve"> </w:t>
      </w:r>
      <w:r w:rsidRPr="009C4F4E">
        <w:rPr>
          <w:rFonts w:ascii="Century" w:hAnsi="Century" w:hint="eastAsia"/>
          <w:sz w:val="22"/>
          <w:rtl/>
        </w:rPr>
        <w:t>בר</w:t>
      </w:r>
      <w:r w:rsidRPr="009C4F4E">
        <w:rPr>
          <w:rFonts w:ascii="Century" w:hAnsi="Century"/>
          <w:sz w:val="22"/>
          <w:rtl/>
        </w:rPr>
        <w:t>-</w:t>
      </w:r>
      <w:r w:rsidRPr="009C4F4E">
        <w:rPr>
          <w:rFonts w:ascii="Century" w:hAnsi="Century" w:hint="eastAsia"/>
          <w:sz w:val="22"/>
          <w:rtl/>
        </w:rPr>
        <w:t>סימן</w:t>
      </w:r>
      <w:r w:rsidRPr="009C4F4E">
        <w:rPr>
          <w:rFonts w:ascii="Century" w:hAnsi="Century"/>
          <w:sz w:val="22"/>
          <w:rtl/>
        </w:rPr>
        <w:t>-</w:t>
      </w:r>
      <w:r w:rsidRPr="009C4F4E">
        <w:rPr>
          <w:rFonts w:ascii="Century" w:hAnsi="Century" w:hint="eastAsia"/>
          <w:sz w:val="22"/>
          <w:rtl/>
        </w:rPr>
        <w:t>טוב</w:t>
      </w:r>
      <w:r w:rsidRPr="009C4F4E">
        <w:rPr>
          <w:rFonts w:ascii="Century" w:hAnsi="Century"/>
          <w:sz w:val="22"/>
          <w:rtl/>
        </w:rPr>
        <w:t xml:space="preserve">, </w:t>
      </w:r>
      <w:r w:rsidRPr="009C4F4E">
        <w:rPr>
          <w:rFonts w:ascii="Century" w:hAnsi="Century" w:hint="eastAsia"/>
          <w:sz w:val="22"/>
          <w:rtl/>
        </w:rPr>
        <w:t>אהרן</w:t>
      </w:r>
      <w:r w:rsidRPr="009C4F4E">
        <w:rPr>
          <w:rFonts w:ascii="Century" w:hAnsi="Century"/>
          <w:sz w:val="22"/>
          <w:rtl/>
        </w:rPr>
        <w:t xml:space="preserve"> </w:t>
      </w:r>
      <w:r w:rsidRPr="009C4F4E">
        <w:rPr>
          <w:rFonts w:ascii="Century" w:hAnsi="Century" w:hint="eastAsia"/>
          <w:sz w:val="22"/>
          <w:rtl/>
        </w:rPr>
        <w:t>ברק</w:t>
      </w:r>
      <w:r w:rsidRPr="009C4F4E">
        <w:rPr>
          <w:rFonts w:ascii="Century" w:hAnsi="Century"/>
          <w:sz w:val="22"/>
          <w:rtl/>
        </w:rPr>
        <w:t xml:space="preserve"> </w:t>
      </w:r>
      <w:r w:rsidRPr="009C4F4E">
        <w:rPr>
          <w:rFonts w:ascii="Century" w:hAnsi="Century" w:hint="eastAsia"/>
          <w:sz w:val="22"/>
          <w:rtl/>
        </w:rPr>
        <w:t>ושחר</w:t>
      </w:r>
      <w:r w:rsidRPr="009C4F4E">
        <w:rPr>
          <w:rFonts w:ascii="Century" w:hAnsi="Century"/>
          <w:sz w:val="22"/>
          <w:rtl/>
        </w:rPr>
        <w:t xml:space="preserve"> </w:t>
      </w:r>
      <w:r w:rsidRPr="009C4F4E">
        <w:rPr>
          <w:rFonts w:ascii="Century" w:hAnsi="Century" w:hint="eastAsia"/>
          <w:sz w:val="22"/>
          <w:rtl/>
        </w:rPr>
        <w:t>ליפשיץ</w:t>
      </w:r>
      <w:r w:rsidRPr="009C4F4E">
        <w:rPr>
          <w:rFonts w:ascii="Century" w:hAnsi="Century"/>
          <w:sz w:val="22"/>
          <w:rtl/>
        </w:rPr>
        <w:t xml:space="preserve"> </w:t>
      </w:r>
      <w:r w:rsidRPr="009C4F4E">
        <w:rPr>
          <w:rFonts w:ascii="Century" w:hAnsi="Century" w:hint="eastAsia"/>
          <w:sz w:val="22"/>
          <w:rtl/>
        </w:rPr>
        <w:t>עורכים</w:t>
      </w:r>
      <w:r w:rsidRPr="009C4F4E">
        <w:rPr>
          <w:rFonts w:ascii="Century" w:hAnsi="Century"/>
          <w:sz w:val="22"/>
          <w:rtl/>
        </w:rPr>
        <w:t xml:space="preserve"> 2018)</w:t>
      </w:r>
      <w:r w:rsidRPr="00EE5FD8">
        <w:rPr>
          <w:rFonts w:ascii="Century" w:hAnsi="Century" w:hint="cs"/>
          <w:sz w:val="22"/>
          <w:rtl/>
        </w:rPr>
        <w:t>)</w:t>
      </w:r>
      <w:r>
        <w:rPr>
          <w:rFonts w:ascii="Century" w:hAnsi="Century" w:hint="cs"/>
          <w:sz w:val="22"/>
          <w:rtl/>
        </w:rPr>
        <w:t xml:space="preserve">. איני סבור כי בנסיבות המקרה דנן, ישנה הצדקה לחרוג מן הכלל ולסטות מגבולות הדיון הנוסף שהותוו בהחלטת השופט </w:t>
      </w:r>
      <w:r>
        <w:rPr>
          <w:rFonts w:ascii="Century" w:hAnsi="Century" w:cs="Miriam" w:hint="cs"/>
          <w:b/>
          <w:spacing w:val="0"/>
          <w:sz w:val="22"/>
          <w:szCs w:val="24"/>
          <w:rtl/>
        </w:rPr>
        <w:t>עמית</w:t>
      </w:r>
      <w:r>
        <w:rPr>
          <w:rFonts w:ascii="Century" w:hAnsi="Century" w:hint="cs"/>
          <w:sz w:val="22"/>
          <w:rtl/>
        </w:rPr>
        <w:t xml:space="preserve">. </w:t>
      </w:r>
    </w:p>
    <w:p w:rsidR="004C7127" w:rsidRDefault="004C7127" w:rsidP="004C7127">
      <w:pPr>
        <w:pStyle w:val="Ruller41"/>
        <w:rPr>
          <w:rtl/>
        </w:rPr>
      </w:pPr>
    </w:p>
    <w:p w:rsidR="004C7127" w:rsidRPr="00F661E4" w:rsidRDefault="004C7127" w:rsidP="004C7127">
      <w:pPr>
        <w:pStyle w:val="1"/>
        <w:spacing w:before="0"/>
        <w:rPr>
          <w:rFonts w:ascii="Century" w:hAnsi="Century" w:cs="Miriam"/>
          <w:b/>
          <w:color w:val="auto"/>
          <w:spacing w:val="0"/>
          <w:sz w:val="22"/>
          <w:szCs w:val="24"/>
          <w:rtl/>
        </w:rPr>
      </w:pPr>
      <w:r>
        <w:rPr>
          <w:rFonts w:ascii="Century" w:hAnsi="Century" w:cs="Miriam" w:hint="cs"/>
          <w:b/>
          <w:color w:val="auto"/>
          <w:spacing w:val="0"/>
          <w:sz w:val="22"/>
          <w:szCs w:val="24"/>
          <w:rtl/>
        </w:rPr>
        <w:t>טענות הצדדים</w:t>
      </w:r>
    </w:p>
    <w:p w:rsidR="004C7127" w:rsidRDefault="004C7127" w:rsidP="004C7127">
      <w:pPr>
        <w:pStyle w:val="Ruller41"/>
        <w:rPr>
          <w:rFonts w:ascii="Century" w:hAnsi="Century" w:cs="Miriam"/>
          <w:b/>
          <w:spacing w:val="0"/>
          <w:szCs w:val="24"/>
          <w:rtl/>
        </w:rPr>
      </w:pPr>
    </w:p>
    <w:p w:rsidR="004C7127" w:rsidRPr="00177A16" w:rsidRDefault="004C7127" w:rsidP="004C7127">
      <w:pPr>
        <w:pStyle w:val="Ruller4"/>
      </w:pPr>
      <w:r>
        <w:rPr>
          <w:rFonts w:hint="cs"/>
          <w:rtl/>
        </w:rPr>
        <w:t xml:space="preserve">המדינה טוענת כי בפסק הדין נקבעה אמת מידה מחמירה לבחינת תום ליבו של הממונה, שייבחן באמת מידה קפדנית ובאופן סובייקטיבי ב"רף הגבוה". לטענתה, קביעה זו לא מתחייבת מהפסיקה הקיימת ביחס לתום ליבו של האפוטרופוס לנכסי נפקדים. בנוסף, עמדת המדינה היא כי קביעת אמת מידה מעין זו שנקבעה עלולה לעקר את תכלית סעיף 5, שמבקש בעיקרו להקנות הגנה לצדדים שלישיים שהתקשרו בעסקאות עם הממונה. לשיטתה, דברים אלה נכונים ביתר שאת בנסיבות המקרה דנן, שבו לא מתחרים רוכשי הזכות מול הבעלים המקורי של הנכס. המדינה סבורה כי החלת מבחן סובייקטיבי ו"היעדר עצימת עיניים", כפי שנקבע בפסיקה, תוביל למסקנה כי הצדדים להסכם ההרשאה היו תמי לב. לדברי המדינה, הממונה והגורמים שהיו מעורבים בהעתקת מצפה כרמים שגו וסברו כי שטח התפיסה בפועל הוא השטח הרלוונטי, ולא מפת צו התפיסה, </w:t>
      </w:r>
      <w:r w:rsidRPr="00A02F16">
        <w:rPr>
          <w:rFonts w:hint="cs"/>
          <w:rtl/>
        </w:rPr>
        <w:t>טעות זו היא טעות ביישום הדין שלא נגרמה בשל עצימת עיניים. המדינה ציינה כי בכל הנוגע ליסוד "רכוש ממשלתי" ס</w:t>
      </w:r>
      <w:r>
        <w:rPr>
          <w:rFonts w:hint="cs"/>
          <w:rtl/>
        </w:rPr>
        <w:t>ומכת היא</w:t>
      </w:r>
      <w:r w:rsidRPr="00A02F16">
        <w:rPr>
          <w:rFonts w:hint="cs"/>
          <w:rtl/>
        </w:rPr>
        <w:t xml:space="preserve"> ידיה על עמדתו של השופט </w:t>
      </w:r>
      <w:r w:rsidRPr="00A02F16">
        <w:rPr>
          <w:rFonts w:ascii="Century" w:hAnsi="Century" w:hint="cs"/>
          <w:sz w:val="22"/>
          <w:rtl/>
        </w:rPr>
        <w:t xml:space="preserve">(כתוארו אז) </w:t>
      </w:r>
      <w:r w:rsidRPr="00A02F16">
        <w:rPr>
          <w:rFonts w:ascii="Century" w:hAnsi="Century" w:cs="Miriam" w:hint="cs"/>
          <w:b/>
          <w:spacing w:val="0"/>
          <w:sz w:val="22"/>
          <w:szCs w:val="24"/>
          <w:rtl/>
        </w:rPr>
        <w:t>נ' הנדל</w:t>
      </w:r>
      <w:r w:rsidRPr="00A02F16">
        <w:rPr>
          <w:rFonts w:ascii="Century" w:hAnsi="Century" w:hint="cs"/>
          <w:sz w:val="22"/>
          <w:rtl/>
        </w:rPr>
        <w:t xml:space="preserve">. מבלי לגרוע מכך, </w:t>
      </w:r>
      <w:r>
        <w:rPr>
          <w:rFonts w:ascii="Century" w:hAnsi="Century" w:hint="cs"/>
          <w:sz w:val="22"/>
          <w:rtl/>
        </w:rPr>
        <w:t>טוענת</w:t>
      </w:r>
      <w:r w:rsidRPr="00A02F16">
        <w:rPr>
          <w:rFonts w:ascii="Century" w:hAnsi="Century" w:hint="cs"/>
          <w:sz w:val="22"/>
          <w:rtl/>
        </w:rPr>
        <w:t xml:space="preserve"> המדינה כי יש לראות ברכוש שנתפס בצו תפיסה כ"רכוש שבעליו ביקש מאת הממונה לנהל אותו והממונה קיבל עליו את ניהולו" (לפי החלופה שקבועה בסעיף 1(3) לצו).</w:t>
      </w:r>
    </w:p>
    <w:p w:rsidR="004C7127" w:rsidRPr="00177A16" w:rsidRDefault="004C7127" w:rsidP="004C7127">
      <w:pPr>
        <w:pStyle w:val="Ruller4"/>
        <w:numPr>
          <w:ilvl w:val="0"/>
          <w:numId w:val="0"/>
        </w:numPr>
      </w:pPr>
    </w:p>
    <w:p w:rsidR="004C7127" w:rsidRPr="00177A16" w:rsidRDefault="004C7127" w:rsidP="004C7127">
      <w:pPr>
        <w:pStyle w:val="Ruller4"/>
      </w:pPr>
      <w:r>
        <w:rPr>
          <w:rFonts w:ascii="Century" w:hAnsi="Century" w:hint="cs"/>
          <w:sz w:val="22"/>
          <w:rtl/>
        </w:rPr>
        <w:t>המשיבים 3-1 סומכים ידיהם על אמת המידה המשפטית שנקבעה ליישום עקרון תום הלב בפסק הדין נושא הדיון הנוסף. לשיטתם, המחלוקת בין דעת המיעוט לבין דעת הרוב בפסק הדין נושא הדיון הנוסף נוגעת בעיקרה ליישום הדין, ולשאלה אם הבירורים שנערכו מקימים תום לב לממונה.</w:t>
      </w:r>
      <w:r>
        <w:rPr>
          <w:rFonts w:hint="cs"/>
          <w:rtl/>
        </w:rPr>
        <w:t xml:space="preserve"> לטענתם, אין כל יסוד עובדתי לטענה שבהעתקת מצפה כרמים למיקומו הנוכחי סברו גורמים רלוונטיים כי הוא מצוי בתחום צו התפיסה. </w:t>
      </w:r>
    </w:p>
    <w:p w:rsidR="004C7127" w:rsidRPr="00177A16" w:rsidRDefault="004C7127" w:rsidP="004C7127">
      <w:pPr>
        <w:pStyle w:val="Ruller4"/>
        <w:numPr>
          <w:ilvl w:val="0"/>
          <w:numId w:val="0"/>
        </w:numPr>
      </w:pPr>
    </w:p>
    <w:p w:rsidR="004C7127" w:rsidRDefault="004C7127" w:rsidP="004C7127">
      <w:pPr>
        <w:pStyle w:val="Ruller4"/>
        <w:rPr>
          <w:rtl/>
        </w:rPr>
      </w:pPr>
      <w:r>
        <w:rPr>
          <w:rFonts w:ascii="Century" w:hAnsi="Century" w:hint="cs"/>
          <w:sz w:val="22"/>
          <w:rtl/>
        </w:rPr>
        <w:lastRenderedPageBreak/>
        <w:t xml:space="preserve">המחזיקים הצטרפו לטענות המדינה (יוער שהגם שהמחזיקים יוצגו בהליכים הקודמים במאוחד, הם מיוצגים במסגרת הדיון הנוסף במפוצל כפי שיפורט להלן). המשיבים 23-4 טענו כי אמות המידה המשפטיות לבחינת עקרון תום הלב צריכות להיות זהות לאלו שנקבעו בסעיף 17(א) לחוק נכסי נפקדים ובסעיף 16 לחוק האפוטרופוס הכללי. לשיטתם, עמדה זו לא הייתה במחלוקת בין השופטים בפסק הדין נושא הדיון הנוסף, והמחלוקת נעוצה ביישום הדין. בכל הנוגע ליישום עקרון זה במקרה דנן, טוענים משיבים אלה כי דרישת תום הלב התקיימה גם לפי סטנדרט אובייקטיבי (ומקל וחומר לפי הסטנדרט הסובייקטיבי הקפדני שנקבע בדעת הרוב). </w:t>
      </w:r>
      <w:r>
        <w:rPr>
          <w:rFonts w:hint="cs"/>
          <w:rtl/>
        </w:rPr>
        <w:t>המשיבים 39-24 ציינו בטענותיהם כי מדובר במקרה של "תחרות מדומה" מאחר שהמשיבים 3-1 אינם בעלי זכות בקרקע, ולכן לא היה צורך להידרש לשאלות שעל הפרק. בנוסף, לעובדה ש"אף לא אחד תובע זכות בנכס" יש השלכות ישירות על השאלות בדיון הנוסף. מחומר הראיות בתיק דנן עולה לשיטת המשיבים כי לא יכולה להיות מחלוקת בדבר היסוד הנפשי המוסדי הסובייקטיבי של הממונה. לטענת המשיבים, דעת הרוב בפסק הדין קבעה אמת מידה שקשה להבין כיצד יש לפרשה ושנשענת על ממדים אובייקטיביים. קבוצות המחזיקים (בשתי השלמות הטיעון) סבורות כי גם יתר תנאי הסעיף מתקיימים במקרה דנן.</w:t>
      </w:r>
    </w:p>
    <w:p w:rsidR="004C7127" w:rsidRDefault="004C7127" w:rsidP="004C7127">
      <w:pPr>
        <w:pStyle w:val="Ruller41"/>
        <w:rPr>
          <w:rtl/>
        </w:rPr>
      </w:pPr>
    </w:p>
    <w:p w:rsidR="004C7127" w:rsidRDefault="004C7127" w:rsidP="004C7127">
      <w:pPr>
        <w:pStyle w:val="Ruller4"/>
        <w:rPr>
          <w:rtl/>
        </w:rPr>
      </w:pPr>
      <w:r>
        <w:rPr>
          <w:rFonts w:hint="cs"/>
          <w:rtl/>
        </w:rPr>
        <w:t xml:space="preserve">בתגובתה לבקשה לדיון נוסף, הצטרפה ההסתדרות הציונית (החטיבה להתיישבות) לעמדת המדינה. לטענתה, דעת הרוב סותרת את חזקת התקינות המינהלית וחרגה מהמבחן "המקובל" במקרקעין לעניין תקנת השוק, וזאת חרף הפגיעה המובהקת במתיישבי מצפה כרמים. </w:t>
      </w:r>
    </w:p>
    <w:p w:rsidR="004C7127" w:rsidRPr="001E408C" w:rsidRDefault="004C7127" w:rsidP="004C7127">
      <w:pPr>
        <w:pStyle w:val="Ruller41"/>
        <w:rPr>
          <w:rtl/>
        </w:rPr>
      </w:pPr>
    </w:p>
    <w:p w:rsidR="004C7127" w:rsidRPr="00F661E4" w:rsidRDefault="004C7127" w:rsidP="004C7127">
      <w:pPr>
        <w:pStyle w:val="1"/>
        <w:spacing w:before="0"/>
        <w:rPr>
          <w:rFonts w:ascii="Century" w:hAnsi="Century" w:cs="Miriam"/>
          <w:b/>
          <w:color w:val="auto"/>
          <w:spacing w:val="0"/>
          <w:sz w:val="22"/>
          <w:szCs w:val="24"/>
          <w:rtl/>
        </w:rPr>
      </w:pPr>
      <w:r w:rsidRPr="00F661E4">
        <w:rPr>
          <w:rFonts w:ascii="Century" w:hAnsi="Century" w:cs="Miriam" w:hint="cs"/>
          <w:b/>
          <w:color w:val="auto"/>
          <w:spacing w:val="0"/>
          <w:sz w:val="22"/>
          <w:szCs w:val="24"/>
          <w:rtl/>
        </w:rPr>
        <w:t>בקשות ההצטרפות</w:t>
      </w:r>
    </w:p>
    <w:p w:rsidR="004C7127" w:rsidRDefault="004C7127" w:rsidP="004C7127">
      <w:pPr>
        <w:pStyle w:val="Ruller41"/>
        <w:rPr>
          <w:rFonts w:ascii="Century" w:hAnsi="Century" w:cs="Miriam"/>
          <w:b/>
          <w:spacing w:val="0"/>
          <w:szCs w:val="24"/>
          <w:rtl/>
        </w:rPr>
      </w:pPr>
    </w:p>
    <w:p w:rsidR="004C7127" w:rsidRDefault="004C7127" w:rsidP="004C7127">
      <w:pPr>
        <w:pStyle w:val="Ruller4"/>
        <w:rPr>
          <w:rtl/>
        </w:rPr>
      </w:pPr>
      <w:r>
        <w:rPr>
          <w:rFonts w:hint="cs"/>
          <w:rtl/>
        </w:rPr>
        <w:t xml:space="preserve">בהליך דנן הוגשו שתי בקשות להצטרף כ"ידידי בית משפט". הבקשה הראשונה הוגשה מטעם שלום עכשיו ש.ע.ל מפעלים חינוכיים (להלן: </w:t>
      </w:r>
      <w:r>
        <w:rPr>
          <w:rFonts w:ascii="Century" w:hAnsi="Century" w:cs="Miriam" w:hint="cs"/>
          <w:b/>
          <w:spacing w:val="0"/>
          <w:sz w:val="22"/>
          <w:szCs w:val="24"/>
          <w:rtl/>
        </w:rPr>
        <w:t>שלום עכשיו</w:t>
      </w:r>
      <w:r>
        <w:rPr>
          <w:rFonts w:hint="cs"/>
          <w:rtl/>
        </w:rPr>
        <w:t xml:space="preserve">). בחוות דעתה, מתארת שלום עכשיו את השלכות הרוחב הפוטנציאליות של דוקטרינת "תקנת השוק" על הזכויות הקנייניות בגדה; טוענת כי התנהלות החטיבה להתיישבות מעידה על חוסר תום לבה, בין היתר במקרה דנן שבו נתנה למחזיקים חוזי בר רשות גם אחרי הגשת העתירה ולאחר שניתן בה צו ארעי; וכי התנהלות הממונה בהקצאת קרקעות באופן כללי מעידה על חוסר תום ליבו. בקשת ההצטרפות השנייה הוגשה מטעם יש דין </w:t>
      </w:r>
      <w:r>
        <w:rPr>
          <w:rtl/>
        </w:rPr>
        <w:t>–</w:t>
      </w:r>
      <w:r>
        <w:rPr>
          <w:rFonts w:hint="cs"/>
          <w:rtl/>
        </w:rPr>
        <w:t xml:space="preserve"> ארגון מתנדבים לזכויות אדם והאגודה לזכויות האזרח בישראל. בבקשה זו, נטען בעיקרם של דברים, שפסק הדין נושא הדיון הנוסף נמנע מליתן משקל, במסגרת הדיון בסעיף 5 וביישומו, לחובות הרשויות כלפי התושבים המוגנים. לשיטתם, תום הלב של הממונה </w:t>
      </w:r>
      <w:r>
        <w:rPr>
          <w:rFonts w:hint="cs"/>
          <w:rtl/>
        </w:rPr>
        <w:lastRenderedPageBreak/>
        <w:t xml:space="preserve">צריך להיבחן באופן אובייקטיבי ככל הניתן, וזאת כמתחייב מהחובות הקבועות במשפט הבינלאומי ההומניטרי. </w:t>
      </w:r>
    </w:p>
    <w:p w:rsidR="004C7127" w:rsidRPr="00E92AC2" w:rsidRDefault="004C7127" w:rsidP="004C7127">
      <w:pPr>
        <w:pStyle w:val="Ruller41"/>
        <w:rPr>
          <w:rtl/>
        </w:rPr>
      </w:pPr>
    </w:p>
    <w:p w:rsidR="004C7127" w:rsidRDefault="004C7127" w:rsidP="004C7127">
      <w:pPr>
        <w:pStyle w:val="Ruller41"/>
        <w:rPr>
          <w:rFonts w:ascii="FrankRuehl"/>
          <w:sz w:val="28"/>
          <w:rtl/>
        </w:rPr>
      </w:pPr>
      <w:r>
        <w:rPr>
          <w:rFonts w:ascii="FrankRuehl"/>
          <w:sz w:val="28"/>
          <w:rtl/>
        </w:rPr>
        <w:tab/>
      </w:r>
      <w:r w:rsidRPr="00E92AC2">
        <w:rPr>
          <w:rFonts w:ascii="FrankRuehl" w:hint="cs"/>
          <w:sz w:val="28"/>
          <w:rtl/>
        </w:rPr>
        <w:t>החומר שהגיש</w:t>
      </w:r>
      <w:r>
        <w:rPr>
          <w:rFonts w:ascii="FrankRuehl" w:hint="cs"/>
          <w:sz w:val="28"/>
          <w:rtl/>
        </w:rPr>
        <w:t xml:space="preserve">ו המבקשות להצטרף וטיעונן המפורט הובא לעיוננו. החלטנו להסתפק בכתובים ככל שהדבר נוגע לשאלה שהותוותה בהחלטה לקיים דיון נוסף בפסק הדין. </w:t>
      </w:r>
      <w:r w:rsidRPr="00E92AC2">
        <w:rPr>
          <w:rFonts w:ascii="FrankRuehl" w:hint="cs"/>
          <w:sz w:val="28"/>
          <w:rtl/>
        </w:rPr>
        <w:t>על בסיס מכלול הנתונים והטענות שהוצגו לפנינו – הגיעה העת להכריע</w:t>
      </w:r>
      <w:r w:rsidRPr="00E92AC2">
        <w:rPr>
          <w:rFonts w:ascii="FrankRuehl" w:hint="cs"/>
          <w:sz w:val="28"/>
        </w:rPr>
        <w:t>.</w:t>
      </w:r>
    </w:p>
    <w:p w:rsidR="004C7127" w:rsidRDefault="004C7127" w:rsidP="004C7127">
      <w:pPr>
        <w:pStyle w:val="Ruller41"/>
        <w:rPr>
          <w:rFonts w:ascii="FrankRuehl"/>
          <w:sz w:val="28"/>
          <w:rtl/>
        </w:rPr>
      </w:pPr>
    </w:p>
    <w:p w:rsidR="004C7127" w:rsidRDefault="004C7127" w:rsidP="004C7127">
      <w:pPr>
        <w:pStyle w:val="1"/>
        <w:spacing w:before="0"/>
        <w:rPr>
          <w:rFonts w:ascii="Century" w:hAnsi="Century" w:cs="Miriam"/>
          <w:b/>
          <w:color w:val="auto"/>
          <w:spacing w:val="0"/>
          <w:sz w:val="22"/>
          <w:szCs w:val="24"/>
          <w:rtl/>
        </w:rPr>
      </w:pPr>
      <w:r w:rsidRPr="00B804D0">
        <w:rPr>
          <w:rFonts w:ascii="Century" w:hAnsi="Century" w:cs="Miriam" w:hint="cs"/>
          <w:b/>
          <w:color w:val="auto"/>
          <w:spacing w:val="0"/>
          <w:sz w:val="22"/>
          <w:szCs w:val="24"/>
          <w:rtl/>
        </w:rPr>
        <w:t>דיון והכרעה</w:t>
      </w:r>
    </w:p>
    <w:p w:rsidR="004C7127" w:rsidRDefault="004C7127" w:rsidP="004C7127">
      <w:pPr>
        <w:rPr>
          <w:rtl/>
        </w:rPr>
      </w:pPr>
    </w:p>
    <w:p w:rsidR="004C7127" w:rsidRDefault="004C7127" w:rsidP="004C7127">
      <w:pPr>
        <w:pStyle w:val="Ruller4"/>
      </w:pPr>
      <w:r>
        <w:rPr>
          <w:rFonts w:hint="cs"/>
          <w:rtl/>
        </w:rPr>
        <w:t xml:space="preserve">השאלה שניצבת לפנינו היא אם לגבי המקרקעין שבו מצוי הישוב מצפה כרמים נעשה הסכם הרשאה בין הממונה לבין ההסתדרות הציונית, ואם בנסיבותיו של הסכם זה יש להחיל את הוראות סעיף 5 לצו בדבר רכוש ממשלתי. הדיון הנוסף יתמקד בשאלה המשפטית בדבר אמות המידה לבחינת תום לבם של הצדדים בעסקה שעליה חל סעיף 5, ביישומן, וביישום יתר התנאים שקבועים בסעיף בנסיבות העובדתיות המורכבות של המקרה דנן. </w:t>
      </w:r>
    </w:p>
    <w:p w:rsidR="004C7127" w:rsidRDefault="004C7127" w:rsidP="004C7127">
      <w:pPr>
        <w:pStyle w:val="Ruller4"/>
        <w:numPr>
          <w:ilvl w:val="0"/>
          <w:numId w:val="0"/>
        </w:numPr>
      </w:pPr>
    </w:p>
    <w:p w:rsidR="004C7127" w:rsidRDefault="004C7127" w:rsidP="004C7127">
      <w:pPr>
        <w:pStyle w:val="Ruller4"/>
      </w:pPr>
      <w:r>
        <w:rPr>
          <w:rFonts w:hint="cs"/>
          <w:rtl/>
        </w:rPr>
        <w:t>לפני מעבר לדיון בגופן של הטענות, אבקש להתייחס בקצרה לטענת המחזיקים שלפיה בגדר ההליך דנן "לא היה כל מקום להידרש למנגנון תקנת השוק" וכי "הדיון סביב תחולתו של סעיף 5 לצו כלל לא היה צריך להתחיל", מכיוון שמול המחזיקים לא ניצבו בעלי הזכויות בקרקע (סעיף 3 להשלמת הטיעון מטעם המשיבים 39-24). טענה זו אינה ברורה. המחזיקים הם שביקשו לבדוק את התקיימות תנאי סעיף 5 במסגרת ההליך האזרחי שהגישו. כך, ציינו במפורש בכתב התביעה שלהם, כי יש לקבוע כי בנסיבות המקרה דנן חל סעיף 5 לצו בדבר רכוש ממשלתי (ראו סעיפים 19-18, שם); וזו גם הטענה שניצבה בלב טיעונם המשפטי במסגרת הסיכומים שהגישו לבית המשפט המחוזי (ראו החל מסעיף 17 שם). דהיינו, היו אלה המחזיקים שביקשו בתביעתם את הכרעת בית המשפט בשאלת תחולתו של סעיף 5. משכך, לשאלה זו נפנה עתה.</w:t>
      </w:r>
    </w:p>
    <w:p w:rsidR="004C7127" w:rsidRPr="008D6DFC" w:rsidRDefault="004C7127" w:rsidP="004C7127">
      <w:pPr>
        <w:pStyle w:val="Ruller4"/>
        <w:numPr>
          <w:ilvl w:val="0"/>
          <w:numId w:val="0"/>
        </w:numPr>
      </w:pPr>
    </w:p>
    <w:p w:rsidR="004C7127" w:rsidRDefault="004C7127" w:rsidP="004C7127">
      <w:pPr>
        <w:pStyle w:val="Ruller4"/>
        <w:rPr>
          <w:rtl/>
        </w:rPr>
      </w:pPr>
      <w:r>
        <w:rPr>
          <w:rFonts w:hint="cs"/>
          <w:rtl/>
        </w:rPr>
        <w:t xml:space="preserve">נקודת המוצא לדיון הנוסף היא כאמור כי סעיף 5 לצו בדבר רכוש ממשלתי קובע הסדר של "מעין תקנת שוק" במקרקעין. גם לשיטתי, וכפי שציינה הנשיאה בפסק הדין נושא הדיון הנוסף (פסקאות 35-32 לפסק דינה), קביעה זו אינה נקייה מקשיים. כאמור, נוכח גבולות הדיון הנוסף שהובהרו לעיל, אין מקום לפתוח מחדש את הדיון בשאלה זו, שממילא לא נפרשו לפנינו מלוא טענות הצדדים בעניינה. על רקע נקודת המוצא האמורה, ניתוחו ופרשנותו של סעיף 5 כ"מעין תקנת שוק" צריכים להיעשות בשים לב לשלושה "קווים מנחים", שיש בהם כדי ללמדנו על גבולותיו. הקו המנחה הראשון עניינו </w:t>
      </w:r>
      <w:r>
        <w:rPr>
          <w:rFonts w:hint="cs"/>
          <w:rtl/>
        </w:rPr>
        <w:lastRenderedPageBreak/>
        <w:t xml:space="preserve">בהשלכות הנובעות מכך שסעיף 5 </w:t>
      </w:r>
      <w:r>
        <w:rPr>
          <w:rtl/>
        </w:rPr>
        <w:t>–</w:t>
      </w:r>
      <w:r>
        <w:rPr>
          <w:rFonts w:hint="cs"/>
          <w:rtl/>
        </w:rPr>
        <w:t xml:space="preserve"> מופעל בשטח הנתון לתפיסה לוחמתית; הקו המנחה השני נוגע לכך שאת ההסדר בסעיף 5, כיתר הסדרי תקנת השוק, יש לפרש בצמצום נוכח פגיעתו בזכויות הקניין של הבעלים החוקי; והקו המנחה השלישי נוגע לדומה ולשונה בין ההסדר בסעיף 5 לבין הסדרים אחרים של תקנת שוק בדין הישראלי. </w:t>
      </w:r>
    </w:p>
    <w:p w:rsidR="004C7127" w:rsidRDefault="004C7127" w:rsidP="004C7127">
      <w:pPr>
        <w:pStyle w:val="Ruller41"/>
        <w:rPr>
          <w:rtl/>
        </w:rPr>
      </w:pPr>
    </w:p>
    <w:p w:rsidR="004C7127" w:rsidRDefault="004C7127" w:rsidP="004C7127">
      <w:pPr>
        <w:pStyle w:val="1"/>
        <w:spacing w:before="0"/>
        <w:rPr>
          <w:rFonts w:ascii="Century" w:hAnsi="Century" w:cs="Miriam"/>
          <w:b/>
          <w:color w:val="auto"/>
          <w:spacing w:val="0"/>
          <w:sz w:val="22"/>
          <w:szCs w:val="24"/>
          <w:rtl/>
        </w:rPr>
      </w:pPr>
      <w:r>
        <w:rPr>
          <w:rFonts w:ascii="Century" w:hAnsi="Century" w:cs="Miriam" w:hint="cs"/>
          <w:b/>
          <w:color w:val="auto"/>
          <w:spacing w:val="0"/>
          <w:sz w:val="22"/>
          <w:szCs w:val="24"/>
          <w:rtl/>
        </w:rPr>
        <w:t xml:space="preserve">קו מנחה ראשון: "מעין תקנת שוק" בשטח הנתון לתפיסה לוחמתית </w:t>
      </w:r>
    </w:p>
    <w:p w:rsidR="004C7127" w:rsidRDefault="004C7127" w:rsidP="004C7127">
      <w:pPr>
        <w:rPr>
          <w:sz w:val="22"/>
          <w:rtl/>
        </w:rPr>
      </w:pPr>
    </w:p>
    <w:p w:rsidR="004C7127" w:rsidRDefault="004C7127" w:rsidP="004C7127">
      <w:pPr>
        <w:pStyle w:val="Ruller4"/>
        <w:rPr>
          <w:rtl/>
        </w:rPr>
      </w:pPr>
      <w:r w:rsidRPr="00790674">
        <w:rPr>
          <w:rFonts w:hint="cs"/>
          <w:rtl/>
        </w:rPr>
        <w:t>תחילה, נפנה להבין את הסביבה הנורמטיבית שבה מצוי סעיף 5 לצו בדבר רכוש ממשלתי. באזור חלים</w:t>
      </w:r>
      <w:r>
        <w:rPr>
          <w:rFonts w:hint="cs"/>
          <w:rtl/>
        </w:rPr>
        <w:t xml:space="preserve"> כידוע</w:t>
      </w:r>
      <w:r w:rsidRPr="00790674">
        <w:rPr>
          <w:rFonts w:hint="cs"/>
          <w:rtl/>
        </w:rPr>
        <w:t xml:space="preserve"> דיני ה"תפיסה הלוחמתית" שלפיהם המפקד הצבאי עומד בראש ממשל צבאי, ומשמש כ"זרועה הארוכה של המדינה" (</w:t>
      </w:r>
      <w:r w:rsidRPr="00790674">
        <w:rPr>
          <w:rFonts w:hint="eastAsia"/>
          <w:rtl/>
        </w:rPr>
        <w:t>בג</w:t>
      </w:r>
      <w:r w:rsidRPr="00790674">
        <w:rPr>
          <w:rtl/>
        </w:rPr>
        <w:t>"</w:t>
      </w:r>
      <w:r w:rsidRPr="00790674">
        <w:rPr>
          <w:rFonts w:hint="eastAsia"/>
          <w:rtl/>
        </w:rPr>
        <w:t>ץ</w:t>
      </w:r>
      <w:r w:rsidRPr="00790674">
        <w:rPr>
          <w:rtl/>
        </w:rPr>
        <w:t xml:space="preserve"> 7957/04 </w:t>
      </w:r>
      <w:r w:rsidRPr="00790674">
        <w:rPr>
          <w:rFonts w:ascii="Century" w:hAnsi="Century" w:cs="Miriam" w:hint="eastAsia"/>
          <w:b/>
          <w:spacing w:val="0"/>
          <w:sz w:val="22"/>
          <w:szCs w:val="24"/>
          <w:rtl/>
        </w:rPr>
        <w:t>מראעבה</w:t>
      </w:r>
      <w:r w:rsidRPr="00790674">
        <w:rPr>
          <w:rFonts w:ascii="Century" w:hAnsi="Century" w:cs="Miriam"/>
          <w:b/>
          <w:spacing w:val="0"/>
          <w:sz w:val="22"/>
          <w:szCs w:val="24"/>
          <w:rtl/>
        </w:rPr>
        <w:t xml:space="preserve"> </w:t>
      </w:r>
      <w:r w:rsidRPr="00790674">
        <w:rPr>
          <w:rFonts w:ascii="Century" w:hAnsi="Century" w:cs="Miriam" w:hint="eastAsia"/>
          <w:b/>
          <w:spacing w:val="0"/>
          <w:sz w:val="22"/>
          <w:szCs w:val="24"/>
          <w:rtl/>
        </w:rPr>
        <w:t>נ</w:t>
      </w:r>
      <w:r w:rsidRPr="00790674">
        <w:rPr>
          <w:rFonts w:ascii="Century" w:hAnsi="Century" w:cs="Miriam"/>
          <w:b/>
          <w:spacing w:val="0"/>
          <w:sz w:val="22"/>
          <w:szCs w:val="24"/>
          <w:rtl/>
        </w:rPr>
        <w:t xml:space="preserve">' </w:t>
      </w:r>
      <w:r w:rsidRPr="00790674">
        <w:rPr>
          <w:rFonts w:ascii="Century" w:hAnsi="Century" w:cs="Miriam" w:hint="eastAsia"/>
          <w:b/>
          <w:spacing w:val="0"/>
          <w:sz w:val="22"/>
          <w:szCs w:val="24"/>
          <w:rtl/>
        </w:rPr>
        <w:t>ראש</w:t>
      </w:r>
      <w:r w:rsidRPr="00790674">
        <w:rPr>
          <w:rFonts w:ascii="Century" w:hAnsi="Century" w:cs="Miriam"/>
          <w:b/>
          <w:spacing w:val="0"/>
          <w:sz w:val="22"/>
          <w:szCs w:val="24"/>
          <w:rtl/>
        </w:rPr>
        <w:t xml:space="preserve"> </w:t>
      </w:r>
      <w:r w:rsidRPr="00790674">
        <w:rPr>
          <w:rFonts w:ascii="Century" w:hAnsi="Century" w:cs="Miriam" w:hint="eastAsia"/>
          <w:b/>
          <w:spacing w:val="0"/>
          <w:sz w:val="22"/>
          <w:szCs w:val="24"/>
          <w:rtl/>
        </w:rPr>
        <w:t>ממשלת</w:t>
      </w:r>
      <w:r w:rsidRPr="00790674">
        <w:rPr>
          <w:rFonts w:ascii="Century" w:hAnsi="Century" w:cs="Miriam"/>
          <w:b/>
          <w:spacing w:val="0"/>
          <w:sz w:val="22"/>
          <w:szCs w:val="24"/>
          <w:rtl/>
        </w:rPr>
        <w:t xml:space="preserve"> </w:t>
      </w:r>
      <w:r w:rsidRPr="00790674">
        <w:rPr>
          <w:rFonts w:ascii="Century" w:hAnsi="Century" w:cs="Miriam" w:hint="eastAsia"/>
          <w:b/>
          <w:spacing w:val="0"/>
          <w:sz w:val="22"/>
          <w:szCs w:val="24"/>
          <w:rtl/>
        </w:rPr>
        <w:t>ישראל</w:t>
      </w:r>
      <w:r w:rsidRPr="00790674">
        <w:rPr>
          <w:rtl/>
        </w:rPr>
        <w:t xml:space="preserve">, </w:t>
      </w:r>
      <w:r w:rsidRPr="00790674">
        <w:rPr>
          <w:rFonts w:hint="eastAsia"/>
          <w:rtl/>
        </w:rPr>
        <w:t>פ</w:t>
      </w:r>
      <w:r w:rsidRPr="00790674">
        <w:rPr>
          <w:rtl/>
        </w:rPr>
        <w:t>"</w:t>
      </w:r>
      <w:r w:rsidRPr="00790674">
        <w:rPr>
          <w:rFonts w:hint="eastAsia"/>
          <w:rtl/>
        </w:rPr>
        <w:t>ד</w:t>
      </w:r>
      <w:r w:rsidRPr="00790674">
        <w:rPr>
          <w:rtl/>
        </w:rPr>
        <w:t xml:space="preserve"> </w:t>
      </w:r>
      <w:r w:rsidRPr="00790674">
        <w:rPr>
          <w:rFonts w:hint="eastAsia"/>
          <w:rtl/>
        </w:rPr>
        <w:t>ס</w:t>
      </w:r>
      <w:r w:rsidRPr="00790674">
        <w:rPr>
          <w:rtl/>
        </w:rPr>
        <w:t xml:space="preserve">(2) 477, </w:t>
      </w:r>
      <w:r w:rsidRPr="00790674">
        <w:rPr>
          <w:rFonts w:hint="cs"/>
          <w:rtl/>
        </w:rPr>
        <w:t xml:space="preserve">492 </w:t>
      </w:r>
      <w:r w:rsidRPr="00790674">
        <w:rPr>
          <w:rtl/>
        </w:rPr>
        <w:t>(2005)</w:t>
      </w:r>
      <w:r w:rsidRPr="00790674">
        <w:rPr>
          <w:rFonts w:hint="cs"/>
          <w:rtl/>
        </w:rPr>
        <w:t xml:space="preserve">; כן ראו באופן כללי: עניין </w:t>
      </w:r>
      <w:r w:rsidRPr="00790674">
        <w:rPr>
          <w:rFonts w:ascii="Century" w:hAnsi="Century" w:cs="Miriam" w:hint="cs"/>
          <w:b/>
          <w:spacing w:val="0"/>
          <w:sz w:val="22"/>
          <w:szCs w:val="24"/>
          <w:rtl/>
        </w:rPr>
        <w:t>סלואד</w:t>
      </w:r>
      <w:r w:rsidRPr="00790674">
        <w:rPr>
          <w:rFonts w:hint="cs"/>
          <w:rtl/>
        </w:rPr>
        <w:t>, פסקה 2</w:t>
      </w:r>
      <w:r>
        <w:rPr>
          <w:rFonts w:hint="cs"/>
          <w:rtl/>
        </w:rPr>
        <w:t xml:space="preserve"> לפסק דינה של הנשיאה </w:t>
      </w:r>
      <w:r>
        <w:rPr>
          <w:rFonts w:ascii="Century" w:hAnsi="Century" w:cs="Miriam" w:hint="cs"/>
          <w:b/>
          <w:spacing w:val="0"/>
          <w:sz w:val="22"/>
          <w:szCs w:val="24"/>
          <w:rtl/>
        </w:rPr>
        <w:t>א' חיות</w:t>
      </w:r>
      <w:r>
        <w:rPr>
          <w:rFonts w:hint="cs"/>
          <w:rtl/>
        </w:rPr>
        <w:t xml:space="preserve">; בג"ץ 2150/07 </w:t>
      </w:r>
      <w:r>
        <w:rPr>
          <w:rFonts w:ascii="Century" w:hAnsi="Century" w:cs="Miriam" w:hint="cs"/>
          <w:b/>
          <w:spacing w:val="0"/>
          <w:sz w:val="22"/>
          <w:szCs w:val="24"/>
          <w:rtl/>
        </w:rPr>
        <w:t>אבו צפייה נ' שר הביטחון</w:t>
      </w:r>
      <w:r>
        <w:rPr>
          <w:rFonts w:ascii="Century" w:hAnsi="Century" w:hint="cs"/>
          <w:sz w:val="22"/>
          <w:rtl/>
        </w:rPr>
        <w:t>, פ"ד סג(3) 331, 353 (2009)</w:t>
      </w:r>
      <w:r>
        <w:rPr>
          <w:rFonts w:hint="cs"/>
          <w:rtl/>
        </w:rPr>
        <w:t xml:space="preserve"> (להלן: עניין </w:t>
      </w:r>
      <w:r>
        <w:rPr>
          <w:rFonts w:ascii="Century" w:hAnsi="Century" w:cs="Miriam" w:hint="cs"/>
          <w:b/>
          <w:spacing w:val="0"/>
          <w:sz w:val="22"/>
          <w:szCs w:val="24"/>
          <w:rtl/>
        </w:rPr>
        <w:t>אבו צפייה</w:t>
      </w:r>
      <w:r>
        <w:rPr>
          <w:rFonts w:hint="cs"/>
          <w:rtl/>
        </w:rPr>
        <w:t xml:space="preserve">); בג"ץ 1661/05 </w:t>
      </w:r>
      <w:r>
        <w:rPr>
          <w:rFonts w:ascii="Century" w:hAnsi="Century" w:cs="Miriam" w:hint="cs"/>
          <w:b/>
          <w:spacing w:val="0"/>
          <w:sz w:val="22"/>
          <w:szCs w:val="24"/>
          <w:rtl/>
        </w:rPr>
        <w:t xml:space="preserve">המועצה האזורית חוף עזה נ' כנסת </w:t>
      </w:r>
      <w:r w:rsidRPr="00AA33F5">
        <w:rPr>
          <w:rFonts w:ascii="Century" w:hAnsi="Century" w:cs="Miriam" w:hint="cs"/>
          <w:b/>
          <w:spacing w:val="0"/>
          <w:sz w:val="22"/>
          <w:szCs w:val="24"/>
          <w:rtl/>
        </w:rPr>
        <w:t>ישראל</w:t>
      </w:r>
      <w:r>
        <w:rPr>
          <w:rFonts w:ascii="Century" w:hAnsi="Century" w:hint="cs"/>
          <w:sz w:val="22"/>
          <w:rtl/>
        </w:rPr>
        <w:t xml:space="preserve">, פ"ד נט(2) 481, 516-514 (2005) (להלן: עניין </w:t>
      </w:r>
      <w:r>
        <w:rPr>
          <w:rFonts w:ascii="Century" w:hAnsi="Century" w:cs="Miriam" w:hint="cs"/>
          <w:b/>
          <w:spacing w:val="0"/>
          <w:sz w:val="22"/>
          <w:szCs w:val="24"/>
          <w:rtl/>
        </w:rPr>
        <w:t>חוף עזה</w:t>
      </w:r>
      <w:r>
        <w:rPr>
          <w:rFonts w:ascii="Century" w:hAnsi="Century" w:hint="cs"/>
          <w:sz w:val="22"/>
          <w:rtl/>
        </w:rPr>
        <w:t xml:space="preserve">); </w:t>
      </w:r>
      <w:r w:rsidRPr="00AA33F5">
        <w:rPr>
          <w:rFonts w:ascii="Century" w:hAnsi="Century" w:hint="cs"/>
          <w:sz w:val="22"/>
          <w:rtl/>
        </w:rPr>
        <w:t>בג</w:t>
      </w:r>
      <w:r>
        <w:rPr>
          <w:rFonts w:hint="cs"/>
          <w:rtl/>
        </w:rPr>
        <w:t xml:space="preserve">"ץ 2056/04 </w:t>
      </w:r>
      <w:r>
        <w:rPr>
          <w:rFonts w:ascii="Century" w:hAnsi="Century" w:cs="Miriam" w:hint="cs"/>
          <w:b/>
          <w:spacing w:val="0"/>
          <w:sz w:val="22"/>
          <w:szCs w:val="24"/>
          <w:rtl/>
        </w:rPr>
        <w:t>מועצת הכפר בית סוריק נ' ממשלת ישראל</w:t>
      </w:r>
      <w:r>
        <w:rPr>
          <w:rFonts w:ascii="Century" w:hAnsi="Century" w:hint="cs"/>
          <w:sz w:val="22"/>
          <w:rtl/>
        </w:rPr>
        <w:t>, פ"ד נח(5) 807, 827 (2004);</w:t>
      </w:r>
      <w:r>
        <w:rPr>
          <w:rFonts w:hint="cs"/>
          <w:rtl/>
        </w:rPr>
        <w:t xml:space="preserve"> בג"ץ 393/82 </w:t>
      </w:r>
      <w:r>
        <w:rPr>
          <w:rFonts w:ascii="Century" w:hAnsi="Century" w:cs="Miriam" w:hint="cs"/>
          <w:b/>
          <w:spacing w:val="0"/>
          <w:sz w:val="22"/>
          <w:szCs w:val="24"/>
          <w:rtl/>
        </w:rPr>
        <w:t>ג'מעית אסכאן אלמעלמון אלתעאוניה אלמחדודה אלמסאוליה, אגודה שיתופית רשומה כדין במפקדת אזור יהודה והשומרון נ' מפקד כוחות צה"ל באזור יהודה והשומרון</w:t>
      </w:r>
      <w:r>
        <w:rPr>
          <w:rFonts w:ascii="Century" w:hAnsi="Century" w:hint="cs"/>
          <w:sz w:val="22"/>
          <w:rtl/>
        </w:rPr>
        <w:t>, פ"ד לז(4), 785, 792 (1983)</w:t>
      </w:r>
      <w:r w:rsidRPr="00422120">
        <w:rPr>
          <w:rFonts w:eastAsia="SimSun" w:hint="cs"/>
          <w:rtl/>
        </w:rPr>
        <w:t xml:space="preserve"> </w:t>
      </w:r>
      <w:r>
        <w:rPr>
          <w:rFonts w:eastAsia="SimSun" w:hint="cs"/>
          <w:rtl/>
        </w:rPr>
        <w:t xml:space="preserve">(להלן: עניין </w:t>
      </w:r>
      <w:r w:rsidRPr="00F916A3">
        <w:rPr>
          <w:rFonts w:ascii="Century" w:eastAsia="SimSun" w:hAnsi="Century" w:cs="Miriam" w:hint="cs"/>
          <w:b/>
          <w:spacing w:val="0"/>
          <w:sz w:val="22"/>
          <w:szCs w:val="24"/>
          <w:rtl/>
        </w:rPr>
        <w:t>ג'מעית אסכאן</w:t>
      </w:r>
      <w:r>
        <w:rPr>
          <w:rFonts w:hint="cs"/>
          <w:rtl/>
        </w:rPr>
        <w:t xml:space="preserve">)). במנשר בדבר סדרי השלטון והמשפט (אזור הגדה המערבית) (מס' 2), התשכ"ז-1967 נקבע, בהתאם לכללי המשפט הבינלאומי שעניינם תפיסה לוחמתית, </w:t>
      </w:r>
      <w:r>
        <w:rPr>
          <w:rFonts w:ascii="FrankRuehl" w:hAnsi="FrankRuehl" w:hint="cs"/>
          <w:color w:val="000000"/>
          <w:sz w:val="28"/>
          <w:rtl/>
        </w:rPr>
        <w:t>כ</w:t>
      </w:r>
      <w:r>
        <w:rPr>
          <w:rFonts w:ascii="FrankRuehl" w:hAnsi="FrankRuehl"/>
          <w:color w:val="000000"/>
          <w:sz w:val="28"/>
          <w:rtl/>
        </w:rPr>
        <w:t>י "המשפט שהיה קיים באזור ביום כ"ח באייר תשכ"ז (7 יוני 1967) יעמוד בתוקפו, עד כמה שאין ב</w:t>
      </w:r>
      <w:r>
        <w:rPr>
          <w:rFonts w:ascii="FrankRuehl" w:hAnsi="FrankRuehl" w:hint="cs"/>
          <w:color w:val="000000"/>
          <w:sz w:val="28"/>
          <w:rtl/>
        </w:rPr>
        <w:t>ו</w:t>
      </w:r>
      <w:r>
        <w:rPr>
          <w:rFonts w:ascii="FrankRuehl" w:hAnsi="FrankRuehl"/>
          <w:color w:val="000000"/>
          <w:sz w:val="28"/>
          <w:rtl/>
        </w:rPr>
        <w:t xml:space="preserve"> משום סתירה למנשר זה או לכל מנשר או צו, שיינתנו על ידי, ובשינויים הנובעים מכינונו של שלטון צבא הגנה לישראל בא</w:t>
      </w:r>
      <w:r>
        <w:rPr>
          <w:rFonts w:ascii="FrankRuehl" w:hAnsi="FrankRuehl" w:hint="cs"/>
          <w:color w:val="000000"/>
          <w:sz w:val="28"/>
          <w:rtl/>
        </w:rPr>
        <w:t>זור"</w:t>
      </w:r>
      <w:r>
        <w:rPr>
          <w:rFonts w:hint="cs"/>
          <w:rtl/>
        </w:rPr>
        <w:t xml:space="preserve"> (סעיף 2 למנשר זה; להלן: </w:t>
      </w:r>
      <w:r>
        <w:rPr>
          <w:rFonts w:ascii="Century" w:hAnsi="Century" w:cs="Miriam" w:hint="cs"/>
          <w:b/>
          <w:spacing w:val="0"/>
          <w:sz w:val="22"/>
          <w:szCs w:val="24"/>
          <w:rtl/>
        </w:rPr>
        <w:t>מנשר מס' 2</w:t>
      </w:r>
      <w:r>
        <w:rPr>
          <w:rFonts w:hint="cs"/>
          <w:rtl/>
        </w:rPr>
        <w:t xml:space="preserve">). לצד זאת, מכוח דיני התפיסה הלוחמתית, מסורה למפקד הצבאי הסמכות לשנות את הדין המקומי, ומכוח סמכות זו הותקנה באזור תחיקת ביטחון מקיפה (תקנה 43 לתקנות בדבר דיניה ומנהגיה של המלחמה ביבשה משנת 1907, הנספחות לאמנת האג הרביעית מ-1907 (להלן: </w:t>
      </w:r>
      <w:r w:rsidRPr="002A581D">
        <w:rPr>
          <w:rFonts w:ascii="Century" w:hAnsi="Century" w:cs="Miriam" w:hint="cs"/>
          <w:b/>
          <w:spacing w:val="0"/>
          <w:sz w:val="22"/>
          <w:szCs w:val="24"/>
          <w:rtl/>
        </w:rPr>
        <w:t>תקנות האג</w:t>
      </w:r>
      <w:r>
        <w:rPr>
          <w:rFonts w:hint="cs"/>
          <w:rtl/>
        </w:rPr>
        <w:t xml:space="preserve">); ראו למשל: עניין </w:t>
      </w:r>
      <w:r>
        <w:rPr>
          <w:rFonts w:ascii="Century" w:hAnsi="Century" w:cs="Miriam" w:hint="cs"/>
          <w:b/>
          <w:spacing w:val="0"/>
          <w:sz w:val="22"/>
          <w:szCs w:val="24"/>
          <w:rtl/>
        </w:rPr>
        <w:t>חוף עזה</w:t>
      </w:r>
      <w:r>
        <w:rPr>
          <w:rFonts w:ascii="Century" w:hAnsi="Century" w:hint="cs"/>
          <w:sz w:val="22"/>
          <w:rtl/>
        </w:rPr>
        <w:t>, בעמ' 519</w:t>
      </w:r>
      <w:r>
        <w:rPr>
          <w:rFonts w:hint="cs"/>
          <w:rtl/>
        </w:rPr>
        <w:t>).</w:t>
      </w:r>
    </w:p>
    <w:p w:rsidR="004C7127" w:rsidRDefault="004C7127" w:rsidP="004C7127">
      <w:pPr>
        <w:pStyle w:val="Ruller41"/>
        <w:rPr>
          <w:rtl/>
        </w:rPr>
      </w:pPr>
    </w:p>
    <w:p w:rsidR="004C7127" w:rsidRDefault="004C7127" w:rsidP="004C7127">
      <w:pPr>
        <w:pStyle w:val="Ruller4"/>
        <w:numPr>
          <w:ilvl w:val="0"/>
          <w:numId w:val="0"/>
        </w:numPr>
        <w:rPr>
          <w:rtl/>
        </w:rPr>
      </w:pPr>
      <w:r>
        <w:rPr>
          <w:rtl/>
        </w:rPr>
        <w:tab/>
      </w:r>
      <w:r>
        <w:rPr>
          <w:rFonts w:hint="cs"/>
          <w:rtl/>
        </w:rPr>
        <w:t xml:space="preserve">הווה אומר, מערכת הדינים שחלה באזור מורכבת רבדים רבדים, אשר משקפים את גלגוליו ההיסטוריים: רובד הדינים שחל באזור עם כניסת כוחות צה"ל בשנת 1967 (רובד זה אף הוא מורכב מהדין העות'מאני, הדין המנדטורי והדין הירדני); רובד המשפט הבינלאומי הפומבי, ובעיקר דיני התפיסה הלוחמתית; רובד תחיקת הביטחון של המפקד הצבאי; ועקרונות היסוד של המשפט המינהלי הישראלי (ראו: עניין </w:t>
      </w:r>
      <w:r>
        <w:rPr>
          <w:rFonts w:ascii="Century" w:hAnsi="Century" w:cs="Miriam" w:hint="cs"/>
          <w:b/>
          <w:spacing w:val="0"/>
          <w:sz w:val="22"/>
          <w:szCs w:val="24"/>
          <w:rtl/>
        </w:rPr>
        <w:t>סלואד</w:t>
      </w:r>
      <w:r>
        <w:rPr>
          <w:rFonts w:ascii="Century" w:hAnsi="Century" w:hint="cs"/>
          <w:sz w:val="22"/>
          <w:rtl/>
        </w:rPr>
        <w:t xml:space="preserve">, פסקה 6 </w:t>
      </w:r>
      <w:r>
        <w:rPr>
          <w:rFonts w:ascii="Century" w:hAnsi="Century" w:hint="cs"/>
          <w:sz w:val="22"/>
          <w:rtl/>
        </w:rPr>
        <w:lastRenderedPageBreak/>
        <w:t xml:space="preserve">לפסק דינה של הנשיאה </w:t>
      </w:r>
      <w:r>
        <w:rPr>
          <w:rFonts w:ascii="Century" w:hAnsi="Century" w:cs="Miriam" w:hint="cs"/>
          <w:b/>
          <w:spacing w:val="0"/>
          <w:sz w:val="22"/>
          <w:szCs w:val="24"/>
          <w:rtl/>
        </w:rPr>
        <w:t>א' חיות</w:t>
      </w:r>
      <w:r>
        <w:rPr>
          <w:rFonts w:ascii="Century" w:hAnsi="Century" w:hint="cs"/>
          <w:sz w:val="22"/>
          <w:rtl/>
        </w:rPr>
        <w:t xml:space="preserve">; בג"ץ 5324/10 </w:t>
      </w:r>
      <w:r>
        <w:rPr>
          <w:rFonts w:ascii="Century" w:hAnsi="Century" w:cs="Miriam" w:hint="cs"/>
          <w:b/>
          <w:spacing w:val="0"/>
          <w:sz w:val="22"/>
          <w:szCs w:val="24"/>
          <w:rtl/>
        </w:rPr>
        <w:t>מלכה נ' המינהל האזרחי ביהודה ושומרון</w:t>
      </w:r>
      <w:r w:rsidRPr="00B12D3D">
        <w:rPr>
          <w:rFonts w:ascii="Century" w:hAnsi="Century" w:hint="cs"/>
          <w:sz w:val="22"/>
          <w:rtl/>
        </w:rPr>
        <w:t>, פסקה 12</w:t>
      </w:r>
      <w:r w:rsidRPr="00B12D3D">
        <w:rPr>
          <w:rFonts w:ascii="Century" w:hAnsi="Century" w:cs="Miriam" w:hint="cs"/>
          <w:b/>
          <w:spacing w:val="0"/>
          <w:sz w:val="22"/>
          <w:szCs w:val="24"/>
          <w:rtl/>
        </w:rPr>
        <w:t xml:space="preserve"> </w:t>
      </w:r>
      <w:r>
        <w:rPr>
          <w:rFonts w:ascii="Century" w:hAnsi="Century" w:hint="cs"/>
          <w:sz w:val="22"/>
          <w:rtl/>
        </w:rPr>
        <w:t>(28.12.2011)</w:t>
      </w:r>
      <w:r>
        <w:rPr>
          <w:rFonts w:hint="cs"/>
          <w:rtl/>
        </w:rPr>
        <w:t xml:space="preserve"> (להלן: עניין </w:t>
      </w:r>
      <w:r>
        <w:rPr>
          <w:rFonts w:ascii="Century" w:hAnsi="Century" w:cs="Miriam" w:hint="cs"/>
          <w:b/>
          <w:spacing w:val="0"/>
          <w:sz w:val="22"/>
          <w:szCs w:val="24"/>
          <w:rtl/>
        </w:rPr>
        <w:t>מלכה</w:t>
      </w:r>
      <w:r>
        <w:rPr>
          <w:rFonts w:hint="cs"/>
          <w:rtl/>
        </w:rPr>
        <w:t>)).</w:t>
      </w:r>
    </w:p>
    <w:p w:rsidR="004C7127" w:rsidRDefault="004C7127" w:rsidP="004C7127">
      <w:pPr>
        <w:pStyle w:val="Ruller4"/>
        <w:numPr>
          <w:ilvl w:val="0"/>
          <w:numId w:val="0"/>
        </w:numPr>
        <w:rPr>
          <w:rtl/>
        </w:rPr>
      </w:pPr>
    </w:p>
    <w:p w:rsidR="004C7127" w:rsidRDefault="004C7127" w:rsidP="004C7127">
      <w:pPr>
        <w:pStyle w:val="Ruller4"/>
        <w:rPr>
          <w:rtl/>
        </w:rPr>
      </w:pPr>
      <w:r>
        <w:rPr>
          <w:rFonts w:hint="cs"/>
          <w:rtl/>
        </w:rPr>
        <w:t xml:space="preserve">הצו בדבר רכוש ממשלתי הינו חלק מרובד תחיקת הביטחון המקיפה שהותקנה באזור על ידי המפקד הצבאי. הצו, שחוקק בשנת 1967, מגדיר מהו רכוש ממשלתי (סעיף 1 לצו קובע כי מדובר, בין היתר, ברכוש שהיה שייך למדינת אויב, במקרקעין שנרכשו לצרכי ציבור או ברכוש שבעליו ביקש מהממונה לנהל אותו); מסמיך את הממונה ליטול חזקה ברכוש ולנקוט בצעדים שנראים לו דרושים לכך (סעיף 2 לצו); ומסמיך את הממונה לנהל את הרכוש ולבצע בו עסקאות (בתנאים ובהתאם לסעיף 3 לצו). סעיף 5 לצו, שמצוי בלב ענייננו, קובע כך: </w:t>
      </w:r>
    </w:p>
    <w:p w:rsidR="004C7127" w:rsidRDefault="004C7127" w:rsidP="004C7127">
      <w:pPr>
        <w:pStyle w:val="Ruller41"/>
        <w:rPr>
          <w:rtl/>
        </w:rPr>
      </w:pPr>
    </w:p>
    <w:tbl>
      <w:tblPr>
        <w:bidiVisual/>
        <w:tblW w:w="0" w:type="auto"/>
        <w:jc w:val="center"/>
        <w:tblLook w:val="01E0" w:firstRow="1" w:lastRow="1" w:firstColumn="1" w:lastColumn="1" w:noHBand="0" w:noVBand="0"/>
      </w:tblPr>
      <w:tblGrid>
        <w:gridCol w:w="1276"/>
        <w:gridCol w:w="4253"/>
      </w:tblGrid>
      <w:tr w:rsidR="004C7127" w:rsidTr="00BA1299">
        <w:trPr>
          <w:jc w:val="center"/>
        </w:trPr>
        <w:tc>
          <w:tcPr>
            <w:tcW w:w="1276" w:type="dxa"/>
          </w:tcPr>
          <w:p w:rsidR="004C7127" w:rsidRPr="003258E0" w:rsidRDefault="004C7127" w:rsidP="00BA1299">
            <w:pPr>
              <w:spacing w:before="80" w:after="120" w:line="160" w:lineRule="exact"/>
              <w:rPr>
                <w:rFonts w:cs="Miriam"/>
                <w:sz w:val="24"/>
                <w:szCs w:val="20"/>
              </w:rPr>
            </w:pPr>
            <w:r>
              <w:rPr>
                <w:rFonts w:cs="Miriam" w:hint="cs"/>
                <w:sz w:val="24"/>
                <w:szCs w:val="20"/>
                <w:rtl/>
              </w:rPr>
              <w:t>כשרות עיסקות</w:t>
            </w:r>
          </w:p>
        </w:tc>
        <w:tc>
          <w:tcPr>
            <w:tcW w:w="4253" w:type="dxa"/>
          </w:tcPr>
          <w:p w:rsidR="004C7127" w:rsidRPr="00D16222" w:rsidRDefault="004C7127" w:rsidP="00BA1299">
            <w:pPr>
              <w:pStyle w:val="Ruller41"/>
              <w:spacing w:line="240" w:lineRule="auto"/>
              <w:rPr>
                <w:rFonts w:ascii="Century" w:hAnsi="Century"/>
              </w:rPr>
            </w:pPr>
            <w:r>
              <w:rPr>
                <w:rFonts w:ascii="Century" w:hAnsi="Century" w:hint="cs"/>
                <w:rtl/>
              </w:rPr>
              <w:t xml:space="preserve">5. </w:t>
            </w:r>
            <w:r w:rsidRPr="00810045">
              <w:rPr>
                <w:rFonts w:ascii="Century" w:hAnsi="Century" w:hint="eastAsia"/>
                <w:rtl/>
              </w:rPr>
              <w:t>כל</w:t>
            </w:r>
            <w:r w:rsidRPr="00810045">
              <w:rPr>
                <w:rFonts w:ascii="Century" w:hAnsi="Century"/>
                <w:rtl/>
              </w:rPr>
              <w:t xml:space="preserve"> </w:t>
            </w:r>
            <w:r w:rsidRPr="00810045">
              <w:rPr>
                <w:rFonts w:ascii="Century" w:hAnsi="Century" w:hint="eastAsia"/>
                <w:rtl/>
              </w:rPr>
              <w:t>עיסקה</w:t>
            </w:r>
            <w:r w:rsidRPr="00810045">
              <w:rPr>
                <w:rFonts w:ascii="Century" w:hAnsi="Century"/>
                <w:rtl/>
              </w:rPr>
              <w:t xml:space="preserve"> </w:t>
            </w:r>
            <w:r w:rsidRPr="00810045">
              <w:rPr>
                <w:rFonts w:ascii="Century" w:hAnsi="Century" w:hint="eastAsia"/>
                <w:rtl/>
              </w:rPr>
              <w:t>שנעשתה</w:t>
            </w:r>
            <w:r w:rsidRPr="00810045">
              <w:rPr>
                <w:rFonts w:ascii="Century" w:hAnsi="Century"/>
                <w:rtl/>
              </w:rPr>
              <w:t xml:space="preserve"> </w:t>
            </w:r>
            <w:r w:rsidRPr="00810045">
              <w:rPr>
                <w:rFonts w:ascii="Century" w:hAnsi="Century" w:hint="eastAsia"/>
                <w:rtl/>
              </w:rPr>
              <w:t>בתום</w:t>
            </w:r>
            <w:r w:rsidRPr="00810045">
              <w:rPr>
                <w:rFonts w:ascii="Century" w:hAnsi="Century"/>
                <w:rtl/>
              </w:rPr>
              <w:t xml:space="preserve"> </w:t>
            </w:r>
            <w:r w:rsidRPr="00810045">
              <w:rPr>
                <w:rFonts w:ascii="Century" w:hAnsi="Century" w:hint="eastAsia"/>
                <w:rtl/>
              </w:rPr>
              <w:t>לב</w:t>
            </w:r>
            <w:r w:rsidRPr="00810045">
              <w:rPr>
                <w:rFonts w:ascii="Century" w:hAnsi="Century"/>
                <w:rtl/>
              </w:rPr>
              <w:t xml:space="preserve"> </w:t>
            </w:r>
            <w:r w:rsidRPr="00810045">
              <w:rPr>
                <w:rFonts w:ascii="Century" w:hAnsi="Century" w:hint="eastAsia"/>
                <w:rtl/>
              </w:rPr>
              <w:t>בין</w:t>
            </w:r>
            <w:r w:rsidRPr="00810045">
              <w:rPr>
                <w:rFonts w:ascii="Century" w:hAnsi="Century"/>
                <w:rtl/>
              </w:rPr>
              <w:t xml:space="preserve"> </w:t>
            </w:r>
            <w:r w:rsidRPr="00810045">
              <w:rPr>
                <w:rFonts w:ascii="Century" w:hAnsi="Century" w:hint="eastAsia"/>
                <w:rtl/>
              </w:rPr>
              <w:t>הממונה</w:t>
            </w:r>
            <w:r w:rsidRPr="00810045">
              <w:rPr>
                <w:rFonts w:ascii="Century" w:hAnsi="Century"/>
                <w:rtl/>
              </w:rPr>
              <w:t xml:space="preserve"> </w:t>
            </w:r>
            <w:r w:rsidRPr="00810045">
              <w:rPr>
                <w:rFonts w:ascii="Century" w:hAnsi="Century" w:hint="eastAsia"/>
                <w:rtl/>
              </w:rPr>
              <w:t>ובין</w:t>
            </w:r>
            <w:r w:rsidRPr="00810045">
              <w:rPr>
                <w:rFonts w:ascii="Century" w:hAnsi="Century"/>
                <w:rtl/>
              </w:rPr>
              <w:t xml:space="preserve"> </w:t>
            </w:r>
            <w:r w:rsidRPr="00810045">
              <w:rPr>
                <w:rFonts w:ascii="Century" w:hAnsi="Century" w:hint="eastAsia"/>
                <w:rtl/>
              </w:rPr>
              <w:t>אדם</w:t>
            </w:r>
            <w:r w:rsidRPr="00810045">
              <w:rPr>
                <w:rFonts w:ascii="Century" w:hAnsi="Century"/>
                <w:rtl/>
              </w:rPr>
              <w:t xml:space="preserve"> </w:t>
            </w:r>
            <w:r w:rsidRPr="00810045">
              <w:rPr>
                <w:rFonts w:ascii="Century" w:hAnsi="Century" w:hint="eastAsia"/>
                <w:rtl/>
              </w:rPr>
              <w:t>אחר</w:t>
            </w:r>
            <w:r w:rsidRPr="00810045">
              <w:rPr>
                <w:rFonts w:ascii="Century" w:hAnsi="Century"/>
                <w:rtl/>
              </w:rPr>
              <w:t xml:space="preserve"> </w:t>
            </w:r>
            <w:r w:rsidRPr="00810045">
              <w:rPr>
                <w:rFonts w:ascii="Century" w:hAnsi="Century" w:hint="eastAsia"/>
                <w:rtl/>
              </w:rPr>
              <w:t>בכל</w:t>
            </w:r>
            <w:r w:rsidRPr="00810045">
              <w:rPr>
                <w:rFonts w:ascii="Century" w:hAnsi="Century"/>
                <w:rtl/>
              </w:rPr>
              <w:t xml:space="preserve"> </w:t>
            </w:r>
            <w:r w:rsidRPr="00810045">
              <w:rPr>
                <w:rFonts w:ascii="Century" w:hAnsi="Century" w:hint="eastAsia"/>
                <w:rtl/>
              </w:rPr>
              <w:t>נכס</w:t>
            </w:r>
            <w:r w:rsidRPr="00810045">
              <w:rPr>
                <w:rFonts w:ascii="Century" w:hAnsi="Century"/>
                <w:rtl/>
              </w:rPr>
              <w:t xml:space="preserve"> </w:t>
            </w:r>
            <w:r w:rsidRPr="00810045">
              <w:rPr>
                <w:rFonts w:ascii="Century" w:hAnsi="Century" w:hint="eastAsia"/>
                <w:rtl/>
              </w:rPr>
              <w:t>שהממונה</w:t>
            </w:r>
            <w:r w:rsidRPr="00810045">
              <w:rPr>
                <w:rFonts w:ascii="Century" w:hAnsi="Century"/>
                <w:rtl/>
              </w:rPr>
              <w:t xml:space="preserve"> </w:t>
            </w:r>
            <w:r w:rsidRPr="00810045">
              <w:rPr>
                <w:rFonts w:ascii="Century" w:hAnsi="Century" w:hint="eastAsia"/>
                <w:rtl/>
              </w:rPr>
              <w:t>חשבו</w:t>
            </w:r>
            <w:r w:rsidRPr="00810045">
              <w:rPr>
                <w:rFonts w:ascii="Century" w:hAnsi="Century"/>
                <w:rtl/>
              </w:rPr>
              <w:t xml:space="preserve"> </w:t>
            </w:r>
            <w:r w:rsidRPr="00810045">
              <w:rPr>
                <w:rFonts w:ascii="Century" w:hAnsi="Century" w:hint="eastAsia"/>
                <w:rtl/>
              </w:rPr>
              <w:t>בשעת</w:t>
            </w:r>
            <w:r w:rsidRPr="00810045">
              <w:rPr>
                <w:rFonts w:ascii="Century" w:hAnsi="Century"/>
                <w:rtl/>
              </w:rPr>
              <w:t xml:space="preserve"> </w:t>
            </w:r>
            <w:r w:rsidRPr="00810045">
              <w:rPr>
                <w:rFonts w:ascii="Century" w:hAnsi="Century" w:hint="eastAsia"/>
                <w:rtl/>
              </w:rPr>
              <w:t>העיסקה</w:t>
            </w:r>
            <w:r w:rsidRPr="00810045">
              <w:rPr>
                <w:rFonts w:ascii="Century" w:hAnsi="Century"/>
                <w:rtl/>
              </w:rPr>
              <w:t xml:space="preserve"> </w:t>
            </w:r>
            <w:r w:rsidRPr="00810045">
              <w:rPr>
                <w:rFonts w:ascii="Century" w:hAnsi="Century" w:hint="eastAsia"/>
                <w:rtl/>
              </w:rPr>
              <w:t>לרכוש</w:t>
            </w:r>
            <w:r w:rsidRPr="00810045">
              <w:rPr>
                <w:rFonts w:ascii="Century" w:hAnsi="Century"/>
                <w:rtl/>
              </w:rPr>
              <w:t xml:space="preserve"> </w:t>
            </w:r>
            <w:r w:rsidRPr="00810045">
              <w:rPr>
                <w:rFonts w:ascii="Century" w:hAnsi="Century" w:hint="eastAsia"/>
                <w:rtl/>
              </w:rPr>
              <w:t>ממשלתי</w:t>
            </w:r>
            <w:r w:rsidRPr="00810045">
              <w:rPr>
                <w:rFonts w:ascii="Century" w:hAnsi="Century"/>
                <w:rtl/>
              </w:rPr>
              <w:t xml:space="preserve">, </w:t>
            </w:r>
            <w:r w:rsidRPr="00810045">
              <w:rPr>
                <w:rFonts w:ascii="Century" w:hAnsi="Century" w:hint="eastAsia"/>
                <w:rtl/>
              </w:rPr>
              <w:t>לא</w:t>
            </w:r>
            <w:r w:rsidRPr="00810045">
              <w:rPr>
                <w:rFonts w:ascii="Century" w:hAnsi="Century"/>
                <w:rtl/>
              </w:rPr>
              <w:t xml:space="preserve"> </w:t>
            </w:r>
            <w:r w:rsidRPr="00810045">
              <w:rPr>
                <w:rFonts w:ascii="Century" w:hAnsi="Century" w:hint="eastAsia"/>
                <w:rtl/>
              </w:rPr>
              <w:t>תיפסל</w:t>
            </w:r>
            <w:r w:rsidRPr="00810045">
              <w:rPr>
                <w:rFonts w:ascii="Century" w:hAnsi="Century"/>
                <w:rtl/>
              </w:rPr>
              <w:t xml:space="preserve"> </w:t>
            </w:r>
            <w:r w:rsidRPr="00810045">
              <w:rPr>
                <w:rFonts w:ascii="Century" w:hAnsi="Century" w:hint="eastAsia"/>
                <w:rtl/>
              </w:rPr>
              <w:t>ותעמוד</w:t>
            </w:r>
            <w:r w:rsidRPr="00810045">
              <w:rPr>
                <w:rFonts w:ascii="Century" w:hAnsi="Century"/>
                <w:rtl/>
              </w:rPr>
              <w:t xml:space="preserve"> </w:t>
            </w:r>
            <w:r w:rsidRPr="00810045">
              <w:rPr>
                <w:rFonts w:ascii="Century" w:hAnsi="Century" w:hint="eastAsia"/>
                <w:rtl/>
              </w:rPr>
              <w:t>בתקפה</w:t>
            </w:r>
            <w:r w:rsidRPr="00810045">
              <w:rPr>
                <w:rFonts w:ascii="Century" w:hAnsi="Century"/>
                <w:rtl/>
              </w:rPr>
              <w:t xml:space="preserve"> </w:t>
            </w:r>
            <w:r w:rsidRPr="00810045">
              <w:rPr>
                <w:rFonts w:ascii="Century" w:hAnsi="Century" w:hint="eastAsia"/>
                <w:rtl/>
              </w:rPr>
              <w:t>גם</w:t>
            </w:r>
            <w:r w:rsidRPr="00810045">
              <w:rPr>
                <w:rFonts w:ascii="Century" w:hAnsi="Century"/>
                <w:rtl/>
              </w:rPr>
              <w:t xml:space="preserve"> </w:t>
            </w:r>
            <w:r w:rsidRPr="00810045">
              <w:rPr>
                <w:rFonts w:ascii="Century" w:hAnsi="Century" w:hint="eastAsia"/>
                <w:rtl/>
              </w:rPr>
              <w:t>אם</w:t>
            </w:r>
            <w:r w:rsidRPr="00810045">
              <w:rPr>
                <w:rFonts w:ascii="Century" w:hAnsi="Century"/>
                <w:rtl/>
              </w:rPr>
              <w:t xml:space="preserve"> </w:t>
            </w:r>
            <w:r w:rsidRPr="00810045">
              <w:rPr>
                <w:rFonts w:ascii="Century" w:hAnsi="Century" w:hint="eastAsia"/>
                <w:rtl/>
              </w:rPr>
              <w:t>יוכח</w:t>
            </w:r>
            <w:r w:rsidRPr="00810045">
              <w:rPr>
                <w:rFonts w:ascii="Century" w:hAnsi="Century"/>
                <w:rtl/>
              </w:rPr>
              <w:t xml:space="preserve"> </w:t>
            </w:r>
            <w:r w:rsidRPr="00810045">
              <w:rPr>
                <w:rFonts w:ascii="Century" w:hAnsi="Century" w:hint="eastAsia"/>
                <w:rtl/>
              </w:rPr>
              <w:t>שהנכס</w:t>
            </w:r>
            <w:r w:rsidRPr="00810045">
              <w:rPr>
                <w:rFonts w:ascii="Century" w:hAnsi="Century"/>
                <w:rtl/>
              </w:rPr>
              <w:t xml:space="preserve"> </w:t>
            </w:r>
            <w:r w:rsidRPr="00810045">
              <w:rPr>
                <w:rFonts w:ascii="Century" w:hAnsi="Century" w:hint="eastAsia"/>
                <w:rtl/>
              </w:rPr>
              <w:t>לא</w:t>
            </w:r>
            <w:r w:rsidRPr="00810045">
              <w:rPr>
                <w:rFonts w:ascii="Century" w:hAnsi="Century"/>
                <w:rtl/>
              </w:rPr>
              <w:t xml:space="preserve"> </w:t>
            </w:r>
            <w:r w:rsidRPr="00810045">
              <w:rPr>
                <w:rFonts w:ascii="Century" w:hAnsi="Century" w:hint="eastAsia"/>
                <w:rtl/>
              </w:rPr>
              <w:t>היה</w:t>
            </w:r>
            <w:r w:rsidRPr="00810045">
              <w:rPr>
                <w:rFonts w:ascii="Century" w:hAnsi="Century"/>
                <w:rtl/>
              </w:rPr>
              <w:t xml:space="preserve"> </w:t>
            </w:r>
            <w:r w:rsidRPr="00810045">
              <w:rPr>
                <w:rFonts w:ascii="Century" w:hAnsi="Century" w:hint="eastAsia"/>
                <w:rtl/>
              </w:rPr>
              <w:t>אותה</w:t>
            </w:r>
            <w:r w:rsidRPr="00810045">
              <w:rPr>
                <w:rFonts w:ascii="Century" w:hAnsi="Century"/>
                <w:rtl/>
              </w:rPr>
              <w:t xml:space="preserve"> </w:t>
            </w:r>
            <w:r w:rsidRPr="00810045">
              <w:rPr>
                <w:rFonts w:ascii="Century" w:hAnsi="Century" w:hint="eastAsia"/>
                <w:rtl/>
              </w:rPr>
              <w:t>שעה</w:t>
            </w:r>
            <w:r w:rsidRPr="00810045">
              <w:rPr>
                <w:rFonts w:ascii="Century" w:hAnsi="Century"/>
                <w:rtl/>
              </w:rPr>
              <w:t xml:space="preserve"> </w:t>
            </w:r>
            <w:r w:rsidRPr="00810045">
              <w:rPr>
                <w:rFonts w:ascii="Century" w:hAnsi="Century" w:hint="eastAsia"/>
                <w:rtl/>
              </w:rPr>
              <w:t>רכוש</w:t>
            </w:r>
            <w:r w:rsidRPr="00810045">
              <w:rPr>
                <w:rFonts w:ascii="Century" w:hAnsi="Century"/>
                <w:rtl/>
              </w:rPr>
              <w:t xml:space="preserve"> </w:t>
            </w:r>
            <w:r w:rsidRPr="00810045">
              <w:rPr>
                <w:rFonts w:ascii="Century" w:hAnsi="Century" w:hint="eastAsia"/>
                <w:rtl/>
              </w:rPr>
              <w:t>ממשלתי</w:t>
            </w:r>
            <w:r w:rsidRPr="00810045">
              <w:rPr>
                <w:rFonts w:ascii="Century" w:hAnsi="Century"/>
                <w:rtl/>
              </w:rPr>
              <w:t>.</w:t>
            </w:r>
          </w:p>
        </w:tc>
      </w:tr>
    </w:tbl>
    <w:p w:rsidR="004C7127" w:rsidRDefault="004C7127" w:rsidP="004C7127">
      <w:pPr>
        <w:pStyle w:val="Ruller4"/>
        <w:numPr>
          <w:ilvl w:val="0"/>
          <w:numId w:val="0"/>
        </w:numPr>
        <w:rPr>
          <w:rtl/>
        </w:rPr>
      </w:pPr>
    </w:p>
    <w:p w:rsidR="004C7127" w:rsidRDefault="004C7127" w:rsidP="004C7127">
      <w:pPr>
        <w:pStyle w:val="Ruller4"/>
        <w:numPr>
          <w:ilvl w:val="0"/>
          <w:numId w:val="0"/>
        </w:numPr>
        <w:rPr>
          <w:rtl/>
        </w:rPr>
      </w:pPr>
      <w:r>
        <w:rPr>
          <w:rtl/>
        </w:rPr>
        <w:tab/>
      </w:r>
      <w:r>
        <w:rPr>
          <w:rFonts w:hint="cs"/>
          <w:rtl/>
        </w:rPr>
        <w:t xml:space="preserve">בהתאם לקביעות בפסק הדין נושא הדיון הנוסף סעיף 5 קובע מנגנון שבכוחו להעדיף את המתקשר עם הממונה על בעליו של המקרקעין. זאת, על אף שכפי שנקבע בפסק הדין, הדין המהותי באזור עובר לכניסת כוחות צה"ל לא כלל מנגנון כאמור ועל פיו, להוציא מספר חריגים, זכותו של הבעלים הרשום הוכרה כעדיפה על זכותו של רוכש בתמורה ובתום לב (ראו פסקה 33 לפסק דינה של הנשיאה </w:t>
      </w:r>
      <w:r>
        <w:rPr>
          <w:rFonts w:ascii="Century" w:hAnsi="Century" w:cs="Miriam" w:hint="cs"/>
          <w:b/>
          <w:spacing w:val="0"/>
          <w:sz w:val="22"/>
          <w:szCs w:val="24"/>
          <w:rtl/>
        </w:rPr>
        <w:t>א' חיות</w:t>
      </w:r>
      <w:r>
        <w:rPr>
          <w:rFonts w:hint="cs"/>
          <w:rtl/>
        </w:rPr>
        <w:t xml:space="preserve">; רונית לוין-שנור "ללא תקנה" על 'תקנת השוק' במקרקעין באזור יהודה והשומרון" </w:t>
      </w:r>
      <w:r>
        <w:rPr>
          <w:rFonts w:ascii="Century" w:hAnsi="Century" w:cs="Miriam" w:hint="cs"/>
          <w:b/>
          <w:spacing w:val="0"/>
          <w:sz w:val="22"/>
          <w:szCs w:val="24"/>
          <w:rtl/>
        </w:rPr>
        <w:t xml:space="preserve">משפטים </w:t>
      </w:r>
      <w:r>
        <w:rPr>
          <w:rFonts w:ascii="Century" w:hAnsi="Century" w:hint="cs"/>
          <w:sz w:val="22"/>
          <w:rtl/>
        </w:rPr>
        <w:t>נ(2) 307, 337-330 (2020)</w:t>
      </w:r>
      <w:r>
        <w:rPr>
          <w:rFonts w:hint="cs"/>
          <w:rtl/>
        </w:rPr>
        <w:t xml:space="preserve"> (להלן: </w:t>
      </w:r>
      <w:r>
        <w:rPr>
          <w:rFonts w:ascii="Century" w:hAnsi="Century" w:cs="Miriam" w:hint="cs"/>
          <w:b/>
          <w:spacing w:val="0"/>
          <w:sz w:val="22"/>
          <w:szCs w:val="24"/>
          <w:rtl/>
        </w:rPr>
        <w:t>לוין-שנור, ללא תקנה</w:t>
      </w:r>
      <w:r>
        <w:rPr>
          <w:rFonts w:hint="cs"/>
          <w:rtl/>
        </w:rPr>
        <w:t xml:space="preserve">); בהקשר זה ראו והשוו לקביעות פסק הדין בעניין </w:t>
      </w:r>
      <w:r>
        <w:rPr>
          <w:rFonts w:ascii="Century" w:hAnsi="Century" w:cs="Miriam" w:hint="cs"/>
          <w:b/>
          <w:spacing w:val="0"/>
          <w:sz w:val="22"/>
          <w:szCs w:val="24"/>
          <w:rtl/>
        </w:rPr>
        <w:t xml:space="preserve">אל נאזר </w:t>
      </w:r>
      <w:r>
        <w:rPr>
          <w:rFonts w:hint="cs"/>
          <w:rtl/>
        </w:rPr>
        <w:t xml:space="preserve">שכעולה מהן אין לראות בצו בדבר רכוש ממשלתי ככזה שמשנה את הדין המקומי המהותי; בג"ץ 285/81 </w:t>
      </w:r>
      <w:r>
        <w:rPr>
          <w:rFonts w:ascii="Century" w:hAnsi="Century" w:cs="Miriam" w:hint="cs"/>
          <w:b/>
          <w:spacing w:val="0"/>
          <w:sz w:val="22"/>
          <w:szCs w:val="24"/>
          <w:rtl/>
        </w:rPr>
        <w:t>אל נאזר נ' מפקד יהודה ושומרון</w:t>
      </w:r>
      <w:r>
        <w:rPr>
          <w:rFonts w:ascii="Century" w:hAnsi="Century" w:hint="cs"/>
          <w:sz w:val="22"/>
          <w:rtl/>
        </w:rPr>
        <w:t>, פ"ד לו(1) 701, 706-705 (1982)</w:t>
      </w:r>
      <w:r>
        <w:rPr>
          <w:rFonts w:hint="cs"/>
          <w:rtl/>
        </w:rPr>
        <w:t xml:space="preserve"> (להלן: עניין </w:t>
      </w:r>
      <w:r>
        <w:rPr>
          <w:rFonts w:ascii="Century" w:hAnsi="Century" w:cs="Miriam" w:hint="cs"/>
          <w:b/>
          <w:spacing w:val="0"/>
          <w:sz w:val="22"/>
          <w:szCs w:val="24"/>
          <w:rtl/>
        </w:rPr>
        <w:t>אל נאזר</w:t>
      </w:r>
      <w:r>
        <w:rPr>
          <w:rFonts w:hint="cs"/>
          <w:rtl/>
        </w:rPr>
        <w:t xml:space="preserve">)). אכן, כפי שנפסק, למפקד הצבאי נתונה סמכות לשנות את הדין הקיים ככל שהדבר נדרש לשם השגת תכליות שהן בגדר סמכויותיו. ואולם, סמכות זו צריכה להיות מופעלת בהתאם למגבלות שמציבים כללי המשפט הבינלאומי שעניינם תפיסה לוחמתית ובכפוף לעקרונות היסוד של המשפט המינהלי הישראלי (בג"ץ 69/81 </w:t>
      </w:r>
      <w:r>
        <w:rPr>
          <w:rFonts w:ascii="Century" w:hAnsi="Century" w:cs="Miriam" w:hint="cs"/>
          <w:b/>
          <w:spacing w:val="0"/>
          <w:sz w:val="22"/>
          <w:szCs w:val="24"/>
          <w:rtl/>
        </w:rPr>
        <w:t>אבו עיטה נ' מפקד אזור יהודה ושומרון</w:t>
      </w:r>
      <w:r>
        <w:rPr>
          <w:rFonts w:ascii="Century" w:hAnsi="Century" w:hint="cs"/>
          <w:sz w:val="22"/>
          <w:rtl/>
        </w:rPr>
        <w:t>, פ"ד לז(2) 197, 231-230 (1983)</w:t>
      </w:r>
      <w:r>
        <w:rPr>
          <w:rFonts w:hint="cs"/>
          <w:rtl/>
        </w:rPr>
        <w:t xml:space="preserve">; כן ראו למשל: בג"ץ 591/88 </w:t>
      </w:r>
      <w:r>
        <w:rPr>
          <w:rFonts w:ascii="Century" w:hAnsi="Century" w:cs="Miriam" w:hint="cs"/>
          <w:b/>
          <w:spacing w:val="0"/>
          <w:sz w:val="22"/>
          <w:szCs w:val="24"/>
          <w:rtl/>
        </w:rPr>
        <w:t>טאהה נ' שר הביטחון</w:t>
      </w:r>
      <w:r>
        <w:rPr>
          <w:rFonts w:ascii="Century" w:hAnsi="Century" w:hint="cs"/>
          <w:sz w:val="22"/>
          <w:rtl/>
        </w:rPr>
        <w:t>, פ"ד מה(2) 45, 52-51 (1991)</w:t>
      </w:r>
      <w:r>
        <w:rPr>
          <w:rFonts w:hint="cs"/>
          <w:rtl/>
        </w:rPr>
        <w:t xml:space="preserve">). </w:t>
      </w:r>
    </w:p>
    <w:p w:rsidR="004C7127" w:rsidRDefault="004C7127" w:rsidP="004C7127">
      <w:pPr>
        <w:pStyle w:val="Ruller4"/>
        <w:numPr>
          <w:ilvl w:val="0"/>
          <w:numId w:val="0"/>
        </w:numPr>
        <w:rPr>
          <w:rtl/>
        </w:rPr>
      </w:pPr>
    </w:p>
    <w:p w:rsidR="004C7127" w:rsidRPr="00F8011A" w:rsidRDefault="004C7127" w:rsidP="004C7127">
      <w:pPr>
        <w:pStyle w:val="Ruller4"/>
        <w:rPr>
          <w:rtl/>
        </w:rPr>
      </w:pPr>
      <w:r>
        <w:rPr>
          <w:rFonts w:hint="cs"/>
          <w:rtl/>
        </w:rPr>
        <w:lastRenderedPageBreak/>
        <w:t xml:space="preserve">בהקשר שבו עסקינן, מקרקעין באזור, קובעת תקנה 55 לתקנות האג כי </w:t>
      </w:r>
      <w:r>
        <w:rPr>
          <w:rFonts w:eastAsia="SimSun" w:hint="cs"/>
          <w:rtl/>
        </w:rPr>
        <w:t>"</w:t>
      </w:r>
      <w:r w:rsidRPr="00A85A2C">
        <w:rPr>
          <w:rFonts w:eastAsia="SimSun" w:hint="cs"/>
          <w:rtl/>
        </w:rPr>
        <w:t>המדינה הכובשת תיחשב רק כמנהל וכבעל טובת-הנאה בבניינים הציבוריים, נכסי דלא ניידי, יערות ונחלות חקלאיות השייכים למדינה האויבת והנמצאים בארץ הכבושה. עליה לשמור על קרן הנכסים האלה ולנהלם לפי כללי טובת-ההנאה</w:t>
      </w:r>
      <w:r>
        <w:rPr>
          <w:rFonts w:eastAsia="SimSun" w:hint="cs"/>
          <w:rtl/>
        </w:rPr>
        <w:t>". תקנה 46 לתקנות קובעת כי "</w:t>
      </w:r>
      <w:r>
        <w:rPr>
          <w:rFonts w:hint="cs"/>
          <w:rtl/>
        </w:rPr>
        <w:t xml:space="preserve">יש לכבד את כבוד המשפחה וזכויותיה, חיי אדם, </w:t>
      </w:r>
      <w:r>
        <w:rPr>
          <w:rFonts w:cs="Miriam" w:hint="cs"/>
          <w:spacing w:val="0"/>
          <w:szCs w:val="24"/>
          <w:rtl/>
        </w:rPr>
        <w:t>רכוש פרטי</w:t>
      </w:r>
      <w:r>
        <w:rPr>
          <w:rFonts w:hint="cs"/>
          <w:rtl/>
        </w:rPr>
        <w:t xml:space="preserve">, וכן את אמונות הדת ומנהגי הפולחן. </w:t>
      </w:r>
      <w:r w:rsidRPr="0062501B">
        <w:rPr>
          <w:rFonts w:ascii="Century" w:hAnsi="Century" w:hint="cs"/>
          <w:sz w:val="22"/>
          <w:rtl/>
        </w:rPr>
        <w:t>אין להחרים רכוש פרטי</w:t>
      </w:r>
      <w:r>
        <w:rPr>
          <w:rFonts w:eastAsia="SimSun" w:hint="cs"/>
          <w:rtl/>
        </w:rPr>
        <w:t xml:space="preserve">" (ההדגשה הוספה </w:t>
      </w:r>
      <w:r>
        <w:rPr>
          <w:rFonts w:eastAsia="SimSun"/>
          <w:rtl/>
        </w:rPr>
        <w:t>–</w:t>
      </w:r>
      <w:r>
        <w:rPr>
          <w:rFonts w:eastAsia="SimSun" w:hint="cs"/>
          <w:rtl/>
        </w:rPr>
        <w:t xml:space="preserve"> ע' פ'). לכך יש להוסיף שבפסיקתנו נקבע לא אחת כי המפקד הצבאי אינו מוסמך לקבוע הסדר שמיטיב באופן בלעדי עם התושבים הישראלים באזור, או עם צרכיה של המדינה שמחזיקה בשטח, תוך פגיעה בזכויות הקניין של התושבים המוגנים (עניין </w:t>
      </w:r>
      <w:r w:rsidRPr="00BC3DEA">
        <w:rPr>
          <w:rFonts w:ascii="Century" w:eastAsia="SimSun" w:hAnsi="Century" w:cs="Miriam" w:hint="cs"/>
          <w:b/>
          <w:spacing w:val="0"/>
          <w:sz w:val="22"/>
          <w:szCs w:val="24"/>
          <w:rtl/>
        </w:rPr>
        <w:t>אבו צפייה</w:t>
      </w:r>
      <w:r>
        <w:rPr>
          <w:rFonts w:eastAsia="SimSun" w:hint="cs"/>
          <w:rtl/>
        </w:rPr>
        <w:t xml:space="preserve">, בעמ' 365-364; בג"ץ 281/11 </w:t>
      </w:r>
      <w:r>
        <w:rPr>
          <w:rFonts w:ascii="Century" w:eastAsia="SimSun" w:hAnsi="Century" w:cs="Miriam" w:hint="cs"/>
          <w:b/>
          <w:spacing w:val="0"/>
          <w:sz w:val="22"/>
          <w:szCs w:val="24"/>
          <w:rtl/>
        </w:rPr>
        <w:t xml:space="preserve">ראש מועצת בית איכסא נ' שר </w:t>
      </w:r>
      <w:r w:rsidRPr="0062501B">
        <w:rPr>
          <w:rFonts w:ascii="Century" w:eastAsia="SimSun" w:hAnsi="Century" w:cs="Miriam" w:hint="cs"/>
          <w:b/>
          <w:spacing w:val="0"/>
          <w:sz w:val="22"/>
          <w:szCs w:val="24"/>
          <w:rtl/>
        </w:rPr>
        <w:t>הביטחון</w:t>
      </w:r>
      <w:r>
        <w:rPr>
          <w:rFonts w:ascii="Century" w:eastAsia="SimSun" w:hAnsi="Century" w:hint="cs"/>
          <w:sz w:val="22"/>
          <w:rtl/>
        </w:rPr>
        <w:t>, פסקאות</w:t>
      </w:r>
      <w:r>
        <w:rPr>
          <w:rFonts w:eastAsia="SimSun" w:hint="cs"/>
          <w:rtl/>
        </w:rPr>
        <w:t xml:space="preserve"> 27-26 (6.9.2011); עניין </w:t>
      </w:r>
      <w:r w:rsidRPr="00F916A3">
        <w:rPr>
          <w:rFonts w:ascii="Century" w:eastAsia="SimSun" w:hAnsi="Century" w:cs="Miriam" w:hint="cs"/>
          <w:b/>
          <w:spacing w:val="0"/>
          <w:sz w:val="22"/>
          <w:szCs w:val="24"/>
          <w:rtl/>
        </w:rPr>
        <w:t>ג'מעית אסכאן</w:t>
      </w:r>
      <w:r>
        <w:rPr>
          <w:rFonts w:eastAsia="SimSun" w:hint="cs"/>
          <w:rtl/>
        </w:rPr>
        <w:t xml:space="preserve">, בעמ' 795-794). </w:t>
      </w:r>
    </w:p>
    <w:p w:rsidR="004C7127" w:rsidRDefault="004C7127" w:rsidP="004C7127">
      <w:pPr>
        <w:pStyle w:val="Ruller4"/>
        <w:numPr>
          <w:ilvl w:val="0"/>
          <w:numId w:val="0"/>
        </w:numPr>
        <w:rPr>
          <w:rFonts w:eastAsia="SimSun"/>
          <w:rtl/>
        </w:rPr>
      </w:pPr>
    </w:p>
    <w:p w:rsidR="004C7127" w:rsidRDefault="004C7127" w:rsidP="004C7127">
      <w:pPr>
        <w:pStyle w:val="Ruller4"/>
      </w:pPr>
      <w:r>
        <w:rPr>
          <w:rFonts w:eastAsia="SimSun" w:hint="cs"/>
          <w:rtl/>
        </w:rPr>
        <w:t xml:space="preserve">ההסדר בסעיף 5 עניינו במי שהתקשר עם הממונה ביחס לנכסים שהממונה חשבם בשעתו לרכוש ממשלתי. על פני הדברים, נוסחו של סעיף זה לא מבחין בין התקשרויות תושבים פלסטינים עם הממונה לבין התקשרות של תושבים ישראליים. משכך, ניתן לטעון כי על פניו הוא עולה בקנה אחד עם הוראות הדין הבינלאומי. עם זאת, כעולה מנתונים עדכניים לשנת 2018, שבריר מסך השטחים שהקצה הממונה הוקצו לטובת תושבים פלסטיניים </w:t>
      </w:r>
      <w:r>
        <w:rPr>
          <w:rFonts w:hint="cs"/>
          <w:rtl/>
        </w:rPr>
        <w:t xml:space="preserve">(1,624 דונם לטובת תושבים פלסטיניים לעומת 674,459 דונם שהוקצו לטובת התיישבות ישראלית; פחות מרבע אחוז; ראו פסק הדין נושא הדיון הנוסף, פסקה 35 לפסק דינה של הנשיאה; עניין </w:t>
      </w:r>
      <w:r>
        <w:rPr>
          <w:rFonts w:ascii="Century" w:hAnsi="Century" w:cs="Miriam" w:hint="cs"/>
          <w:b/>
          <w:spacing w:val="0"/>
          <w:sz w:val="22"/>
          <w:szCs w:val="24"/>
          <w:rtl/>
        </w:rPr>
        <w:t>סלואד</w:t>
      </w:r>
      <w:r>
        <w:rPr>
          <w:rFonts w:ascii="Century" w:hAnsi="Century" w:hint="cs"/>
          <w:sz w:val="22"/>
          <w:rtl/>
        </w:rPr>
        <w:t>, פסקה 49</w:t>
      </w:r>
      <w:r>
        <w:rPr>
          <w:rFonts w:hint="cs"/>
          <w:rtl/>
        </w:rPr>
        <w:t xml:space="preserve"> לפסק דינה של הנשיאה </w:t>
      </w:r>
      <w:r>
        <w:rPr>
          <w:rFonts w:ascii="Century" w:hAnsi="Century" w:cs="Miriam" w:hint="cs"/>
          <w:b/>
          <w:spacing w:val="0"/>
          <w:sz w:val="22"/>
          <w:szCs w:val="24"/>
          <w:rtl/>
        </w:rPr>
        <w:t>א' חיות</w:t>
      </w:r>
      <w:r>
        <w:rPr>
          <w:rFonts w:hint="cs"/>
          <w:rtl/>
        </w:rPr>
        <w:t xml:space="preserve">). הצדדים ניסו לתת הסברים לפער זה, שנובע לגישתם מכך שלמתיישבים יהודיים אין דרך אחרת לקבל מקרקעין לצורך התיישבות (סעיף 21 להשלמת הטיעון מטעם המשיבים 39-24) </w:t>
      </w:r>
      <w:r>
        <w:rPr>
          <w:rtl/>
        </w:rPr>
        <w:t>–</w:t>
      </w:r>
      <w:r>
        <w:rPr>
          <w:rFonts w:hint="cs"/>
          <w:rtl/>
        </w:rPr>
        <w:t xml:space="preserve"> אך בכך אין כדי ליתן מענה לכך שבמישור </w:t>
      </w:r>
      <w:r w:rsidRPr="006A4ECD">
        <w:rPr>
          <w:rFonts w:ascii="Century" w:hAnsi="Century" w:cs="Miriam" w:hint="cs"/>
          <w:b/>
          <w:spacing w:val="0"/>
          <w:sz w:val="22"/>
          <w:szCs w:val="24"/>
          <w:rtl/>
        </w:rPr>
        <w:t>התוצאתי</w:t>
      </w:r>
      <w:r>
        <w:rPr>
          <w:rFonts w:hint="cs"/>
          <w:rtl/>
        </w:rPr>
        <w:t xml:space="preserve"> מי שיהנה מההסדר, שעשוי להוליד פגיעה בזכויות הקניין של בעלי המקרקעין, הוא כמעט באופן בלעדי המתיישבים היהודים (השוו: עניין </w:t>
      </w:r>
      <w:r>
        <w:rPr>
          <w:rFonts w:ascii="Century" w:hAnsi="Century" w:cs="Miriam" w:hint="cs"/>
          <w:b/>
          <w:spacing w:val="0"/>
          <w:sz w:val="22"/>
          <w:szCs w:val="24"/>
          <w:rtl/>
        </w:rPr>
        <w:t>אבו צפייה</w:t>
      </w:r>
      <w:r>
        <w:rPr>
          <w:rFonts w:ascii="Century" w:hAnsi="Century" w:hint="cs"/>
          <w:sz w:val="22"/>
          <w:rtl/>
        </w:rPr>
        <w:t>, בעמ' 364</w:t>
      </w:r>
      <w:r>
        <w:rPr>
          <w:rFonts w:hint="cs"/>
          <w:rtl/>
        </w:rPr>
        <w:t xml:space="preserve">; כן השוו בכל הנוגע להשלכותיה החלוקתיות של תקנת השוק בחוק נכסי נפקדים, חנוך דגן </w:t>
      </w:r>
      <w:r>
        <w:rPr>
          <w:rFonts w:ascii="Century" w:hAnsi="Century" w:cs="Miriam" w:hint="cs"/>
          <w:b/>
          <w:spacing w:val="0"/>
          <w:sz w:val="22"/>
          <w:szCs w:val="24"/>
          <w:rtl/>
        </w:rPr>
        <w:t xml:space="preserve">קניין על פרשת דרכים </w:t>
      </w:r>
      <w:r>
        <w:rPr>
          <w:rFonts w:ascii="Century" w:hAnsi="Century" w:hint="cs"/>
          <w:sz w:val="22"/>
          <w:rtl/>
        </w:rPr>
        <w:t>287-286 (2005)</w:t>
      </w:r>
      <w:r>
        <w:rPr>
          <w:rFonts w:hint="cs"/>
          <w:rtl/>
        </w:rPr>
        <w:t xml:space="preserve">). חרף האמור לעיל נקבע בפסק הדין שסעיף 5 קובע הסדר של "מעין תקנת שוק" (פסקה 37 לפסק דינה של הנשיאה) וזאת בין היתר מאחר שפרשנות אחרת עשויה להוליך לריקונו של הסעיף מתוכן, עד כדי איונו (שם, בפסקה 36). </w:t>
      </w:r>
    </w:p>
    <w:p w:rsidR="004C7127" w:rsidRPr="00A34F65" w:rsidRDefault="004C7127" w:rsidP="004C7127">
      <w:pPr>
        <w:pStyle w:val="Ruller4"/>
        <w:numPr>
          <w:ilvl w:val="0"/>
          <w:numId w:val="0"/>
        </w:numPr>
      </w:pPr>
    </w:p>
    <w:p w:rsidR="004C7127" w:rsidRDefault="004C7127" w:rsidP="004C7127">
      <w:pPr>
        <w:pStyle w:val="Ruller4"/>
      </w:pPr>
      <w:r>
        <w:rPr>
          <w:rFonts w:hint="cs"/>
          <w:rtl/>
        </w:rPr>
        <w:t xml:space="preserve">אף בהינתן קביעות אלו, שניצבות כאמור מחוץ לגדרי הדיון הנוסף, ברי כי פרשנותו של ההסדר שקבוע בסעיף 5 צריכה להיעשות בהתחשב בסביבה המשפטית שבה הוא פועל. פרשנות תנאי הסעיף צריכה להיעשות כשלנגד עינינו החובות המוטלות על </w:t>
      </w:r>
      <w:r>
        <w:rPr>
          <w:rFonts w:hint="cs"/>
          <w:rtl/>
        </w:rPr>
        <w:lastRenderedPageBreak/>
        <w:t xml:space="preserve">המפקד הצבאי, ובהן חובתו להגן על זכות הקניין של התושבים המוגנים. הגנה זו, כבר נקבע, נושאת עמה חובה כפולה: חובה שלילית, להימנע מפגיעה בקניינם של התושבים המוגנים (ולהימנע מלפעול באופן שירוקן את הזכויות בנכסים מתוכנן); וחובה חיובית לבצע פעולות שמבטיחות שקניינם לא יפגע על ידי אחרים (עניין </w:t>
      </w:r>
      <w:r w:rsidRPr="0020224B">
        <w:rPr>
          <w:rFonts w:ascii="Century" w:hAnsi="Century" w:cs="Miriam" w:hint="cs"/>
          <w:b/>
          <w:spacing w:val="0"/>
          <w:sz w:val="22"/>
          <w:szCs w:val="24"/>
          <w:rtl/>
        </w:rPr>
        <w:t>סלואד</w:t>
      </w:r>
      <w:r>
        <w:rPr>
          <w:rFonts w:ascii="Century" w:hAnsi="Century" w:hint="cs"/>
          <w:sz w:val="22"/>
          <w:rtl/>
        </w:rPr>
        <w:t xml:space="preserve">, פסקה 40 לפסק דינה של הנשיאה </w:t>
      </w:r>
      <w:r>
        <w:rPr>
          <w:rFonts w:ascii="Century" w:hAnsi="Century" w:cs="Miriam" w:hint="cs"/>
          <w:b/>
          <w:spacing w:val="0"/>
          <w:sz w:val="22"/>
          <w:szCs w:val="24"/>
          <w:rtl/>
        </w:rPr>
        <w:t>א' חיות</w:t>
      </w:r>
      <w:r>
        <w:rPr>
          <w:rFonts w:ascii="Century" w:hAnsi="Century" w:hint="cs"/>
          <w:sz w:val="22"/>
          <w:rtl/>
        </w:rPr>
        <w:t xml:space="preserve">; </w:t>
      </w:r>
      <w:r>
        <w:rPr>
          <w:rFonts w:hint="cs"/>
          <w:rtl/>
        </w:rPr>
        <w:t xml:space="preserve">בג"ץ 5023/08 </w:t>
      </w:r>
      <w:r>
        <w:rPr>
          <w:rFonts w:ascii="Century" w:hAnsi="Century" w:cs="Miriam" w:hint="cs"/>
          <w:b/>
          <w:spacing w:val="0"/>
          <w:sz w:val="22"/>
          <w:szCs w:val="24"/>
          <w:rtl/>
        </w:rPr>
        <w:t>שחאדה נ' שר הביטחון</w:t>
      </w:r>
      <w:r>
        <w:rPr>
          <w:rFonts w:ascii="Century" w:hAnsi="Century" w:hint="cs"/>
          <w:sz w:val="22"/>
          <w:rtl/>
        </w:rPr>
        <w:t xml:space="preserve">, פסקה 12 (8.2.2015); בג"ץ 9949/08 </w:t>
      </w:r>
      <w:r>
        <w:rPr>
          <w:rFonts w:ascii="Century" w:hAnsi="Century" w:cs="Miriam" w:hint="cs"/>
          <w:b/>
          <w:spacing w:val="0"/>
          <w:sz w:val="22"/>
          <w:szCs w:val="24"/>
          <w:rtl/>
        </w:rPr>
        <w:t>חמאד נ' שר הביטחון</w:t>
      </w:r>
      <w:r>
        <w:rPr>
          <w:rFonts w:ascii="Century" w:hAnsi="Century" w:hint="cs"/>
          <w:sz w:val="22"/>
          <w:rtl/>
        </w:rPr>
        <w:t xml:space="preserve">, פסקה 15 (25.12.2014); בג"ץ 5665/11 </w:t>
      </w:r>
      <w:r>
        <w:rPr>
          <w:rFonts w:ascii="Century" w:hAnsi="Century" w:cs="Miriam" w:hint="cs"/>
          <w:b/>
          <w:spacing w:val="0"/>
          <w:sz w:val="22"/>
          <w:szCs w:val="24"/>
          <w:rtl/>
        </w:rPr>
        <w:t>כפר אדומים כפר שיתופי להתיישבות קהילתית בע"מ נ' שר הבטחון</w:t>
      </w:r>
      <w:r>
        <w:rPr>
          <w:rFonts w:ascii="Century" w:hAnsi="Century" w:hint="cs"/>
          <w:sz w:val="22"/>
          <w:rtl/>
        </w:rPr>
        <w:t xml:space="preserve">, פסקה 14 (10.10.2012); </w:t>
      </w:r>
      <w:r w:rsidRPr="003E4AC0">
        <w:rPr>
          <w:rFonts w:ascii="Century" w:hAnsi="Century" w:hint="cs"/>
          <w:sz w:val="22"/>
          <w:rtl/>
        </w:rPr>
        <w:t>בג</w:t>
      </w:r>
      <w:r>
        <w:rPr>
          <w:rFonts w:hint="cs"/>
          <w:rtl/>
        </w:rPr>
        <w:t xml:space="preserve">"ץ 5439/09 </w:t>
      </w:r>
      <w:r w:rsidRPr="00D866CA">
        <w:rPr>
          <w:rFonts w:ascii="Century" w:hAnsi="Century" w:cs="Miriam" w:hint="cs"/>
          <w:b/>
          <w:spacing w:val="0"/>
          <w:sz w:val="22"/>
          <w:szCs w:val="24"/>
          <w:rtl/>
        </w:rPr>
        <w:t>עבדאלקאדר נ' ועדת העררים הצבאית שלפי צו בדבר ועדות עררים מחנה עופר</w:t>
      </w:r>
      <w:r>
        <w:rPr>
          <w:rFonts w:ascii="Century" w:hAnsi="Century" w:hint="cs"/>
          <w:sz w:val="22"/>
          <w:rtl/>
        </w:rPr>
        <w:t>, פסקה 11 (20.3.2012)).</w:t>
      </w:r>
      <w:r>
        <w:rPr>
          <w:rFonts w:hint="cs"/>
          <w:rtl/>
        </w:rPr>
        <w:t xml:space="preserve"> סעיף 5 עניינו בעסקאות שערך הממונה ביחס לרכוש שלא היה רכוש ממשלתי. משכך, עלינו לתת את הדעת לכך שהרחבתו הפרשנית משמעה הרחבת מעגל העסקאות הלא כשרות שערך הממונה שיינתן להן תוקף משפטי. הרחבה זו יהא בה כדי להעצים את הקשיים שמעורר סעיף 5, בהיותו הסדר שמיטיב באופן מובהק עם האוכלוסייה הישראלית באזור ושפוגע בזכות הקניין של התושבים המוגנים.</w:t>
      </w:r>
    </w:p>
    <w:p w:rsidR="004C7127" w:rsidRDefault="004C7127" w:rsidP="004C7127">
      <w:pPr>
        <w:pStyle w:val="Ruller41"/>
        <w:rPr>
          <w:rtl/>
        </w:rPr>
      </w:pPr>
    </w:p>
    <w:p w:rsidR="004C7127" w:rsidRPr="00CE3BF4" w:rsidRDefault="004C7127" w:rsidP="004C7127">
      <w:pPr>
        <w:pStyle w:val="1"/>
        <w:spacing w:before="0"/>
        <w:rPr>
          <w:rFonts w:ascii="Century" w:hAnsi="Century" w:cs="Miriam"/>
          <w:b/>
          <w:color w:val="auto"/>
          <w:spacing w:val="0"/>
          <w:sz w:val="22"/>
          <w:szCs w:val="24"/>
          <w:rtl/>
        </w:rPr>
      </w:pPr>
      <w:r>
        <w:rPr>
          <w:rFonts w:ascii="Century" w:hAnsi="Century" w:cs="Miriam" w:hint="cs"/>
          <w:b/>
          <w:color w:val="auto"/>
          <w:spacing w:val="0"/>
          <w:sz w:val="22"/>
          <w:szCs w:val="24"/>
          <w:rtl/>
        </w:rPr>
        <w:t xml:space="preserve">קו מנחה שני: </w:t>
      </w:r>
      <w:r w:rsidRPr="00CE3BF4">
        <w:rPr>
          <w:rFonts w:ascii="Century" w:hAnsi="Century" w:cs="Miriam" w:hint="cs"/>
          <w:b/>
          <w:color w:val="auto"/>
          <w:spacing w:val="0"/>
          <w:sz w:val="22"/>
          <w:szCs w:val="24"/>
          <w:rtl/>
        </w:rPr>
        <w:t>הסדרי תקנת שוק יש לפרש בצמצום</w:t>
      </w:r>
    </w:p>
    <w:p w:rsidR="004C7127" w:rsidRDefault="004C7127" w:rsidP="004C7127">
      <w:pPr>
        <w:pStyle w:val="Ruller41"/>
        <w:rPr>
          <w:rtl/>
        </w:rPr>
      </w:pPr>
    </w:p>
    <w:p w:rsidR="004C7127" w:rsidRDefault="004C7127" w:rsidP="004C7127">
      <w:pPr>
        <w:pStyle w:val="Ruller4"/>
        <w:rPr>
          <w:rtl/>
        </w:rPr>
      </w:pPr>
      <w:r>
        <w:rPr>
          <w:rFonts w:hint="cs"/>
          <w:rtl/>
        </w:rPr>
        <w:t xml:space="preserve">הערה שניה, שנובעת אף היא מהקביעה שסעיף 5 קובע מנגנון של "מעין תקנת שוק" נוגעת לאופן שבו יש לפרש הסדרים מעין אלה באופן כללי. כידוע, </w:t>
      </w:r>
      <w:r w:rsidRPr="00921150">
        <w:rPr>
          <w:rFonts w:hint="cs"/>
          <w:rtl/>
        </w:rPr>
        <w:t xml:space="preserve">עקרון יסוד בדיני קניין הוא כי </w:t>
      </w:r>
      <w:r w:rsidRPr="00755A37">
        <w:rPr>
          <w:rFonts w:hint="cs"/>
          <w:rtl/>
        </w:rPr>
        <w:t xml:space="preserve">אין אדם יכול </w:t>
      </w:r>
      <w:r>
        <w:rPr>
          <w:rFonts w:hint="cs"/>
          <w:rtl/>
        </w:rPr>
        <w:t xml:space="preserve">להקנות </w:t>
      </w:r>
      <w:r w:rsidRPr="00755A37">
        <w:rPr>
          <w:rFonts w:hint="cs"/>
          <w:rtl/>
        </w:rPr>
        <w:t>לזולתו יותר</w:t>
      </w:r>
      <w:r>
        <w:rPr>
          <w:rFonts w:hint="cs"/>
          <w:rtl/>
        </w:rPr>
        <w:t xml:space="preserve"> זכויות</w:t>
      </w:r>
      <w:r w:rsidRPr="00755A37">
        <w:rPr>
          <w:rFonts w:hint="cs"/>
          <w:rtl/>
        </w:rPr>
        <w:t xml:space="preserve"> </w:t>
      </w:r>
      <w:r>
        <w:rPr>
          <w:rFonts w:hint="cs"/>
          <w:rtl/>
        </w:rPr>
        <w:t>מאלו ש</w:t>
      </w:r>
      <w:r w:rsidRPr="00755A37">
        <w:rPr>
          <w:rFonts w:hint="cs"/>
          <w:rtl/>
        </w:rPr>
        <w:t xml:space="preserve">יש </w:t>
      </w:r>
      <w:r>
        <w:rPr>
          <w:rFonts w:hint="cs"/>
          <w:rtl/>
        </w:rPr>
        <w:t>לו</w:t>
      </w:r>
      <w:r w:rsidRPr="00755A37">
        <w:rPr>
          <w:rFonts w:hint="cs"/>
          <w:rtl/>
        </w:rPr>
        <w:t xml:space="preserve"> (</w:t>
      </w:r>
      <w:r>
        <w:rPr>
          <w:rFonts w:hint="cs"/>
          <w:rtl/>
        </w:rPr>
        <w:t>ובלטינית:</w:t>
      </w:r>
      <w:r>
        <w:rPr>
          <w:rFonts w:ascii="Century" w:hAnsi="Century" w:cs="Miriam"/>
          <w:bCs/>
          <w:spacing w:val="0"/>
          <w:sz w:val="22"/>
          <w:szCs w:val="24"/>
        </w:rPr>
        <w:t xml:space="preserve"> </w:t>
      </w:r>
      <w:r w:rsidRPr="00DF1798">
        <w:rPr>
          <w:rFonts w:ascii="Century" w:hAnsi="Century" w:cs="Miriam"/>
          <w:bCs/>
          <w:spacing w:val="0"/>
          <w:sz w:val="22"/>
          <w:szCs w:val="24"/>
        </w:rPr>
        <w:t>Nemo Dat Quod Non Habet</w:t>
      </w:r>
      <w:r>
        <w:rPr>
          <w:rFonts w:hint="cs"/>
          <w:rtl/>
        </w:rPr>
        <w:t>; וראו בהקשר זה הצעת חוק דיני ממונות, התשע"א-2011, ה"ח 595, בסעיף 507: "אין אדם יכול להקנות זכות בנכס העולה על זכותו שלו באותו נכס, אלא אם כן נקבע אחרת בחיקוק"</w:t>
      </w:r>
      <w:r w:rsidRPr="00755A37">
        <w:rPr>
          <w:rFonts w:hint="cs"/>
          <w:rtl/>
        </w:rPr>
        <w:t>).</w:t>
      </w:r>
      <w:r>
        <w:rPr>
          <w:rFonts w:hint="cs"/>
          <w:rtl/>
        </w:rPr>
        <w:t xml:space="preserve"> עקרון יסודי זה מכתיב לנו כי </w:t>
      </w:r>
      <w:r w:rsidRPr="00921150">
        <w:rPr>
          <w:rFonts w:hint="cs"/>
          <w:rtl/>
        </w:rPr>
        <w:t>אדם אינו יכול להיות בעל זכות קניינית א</w:t>
      </w:r>
      <w:r>
        <w:rPr>
          <w:rFonts w:hint="cs"/>
          <w:rtl/>
        </w:rPr>
        <w:t>ם קנה את הזכות ממי שאינו בעליה, ואדם שנגזל ממנו קניינו ימשיך להיות הבעלים של הקניין גם אם התגלגל לימים לידיו של אדם שרכש אותו בתום לב (</w:t>
      </w:r>
      <w:r w:rsidRPr="000431CD">
        <w:rPr>
          <w:rFonts w:hint="cs"/>
          <w:rtl/>
        </w:rPr>
        <w:t xml:space="preserve">דנ"א 2568/97 </w:t>
      </w:r>
      <w:r w:rsidRPr="000431CD">
        <w:rPr>
          <w:rFonts w:cs="Miriam" w:hint="cs"/>
          <w:b/>
          <w:szCs w:val="24"/>
          <w:rtl/>
        </w:rPr>
        <w:t>כנען נ' ממשלת ארצות</w:t>
      </w:r>
      <w:r>
        <w:rPr>
          <w:rFonts w:cs="Miriam" w:hint="cs"/>
          <w:b/>
          <w:szCs w:val="24"/>
          <w:rtl/>
        </w:rPr>
        <w:t>-</w:t>
      </w:r>
      <w:r w:rsidRPr="000431CD">
        <w:rPr>
          <w:rFonts w:cs="Miriam" w:hint="cs"/>
          <w:b/>
          <w:szCs w:val="24"/>
          <w:rtl/>
        </w:rPr>
        <w:t>הברית</w:t>
      </w:r>
      <w:r w:rsidRPr="000431CD">
        <w:rPr>
          <w:rFonts w:hint="cs"/>
          <w:rtl/>
        </w:rPr>
        <w:t>, פ"ד נז(2) 632, 658 (2003)</w:t>
      </w:r>
      <w:r>
        <w:rPr>
          <w:rFonts w:hint="cs"/>
          <w:rtl/>
        </w:rPr>
        <w:t xml:space="preserve"> (להלן: עניין </w:t>
      </w:r>
      <w:r>
        <w:rPr>
          <w:rFonts w:ascii="Century" w:hAnsi="Century" w:cs="Miriam" w:hint="cs"/>
          <w:b/>
          <w:spacing w:val="0"/>
          <w:sz w:val="22"/>
          <w:szCs w:val="24"/>
          <w:rtl/>
        </w:rPr>
        <w:t>כנען</w:t>
      </w:r>
      <w:r>
        <w:rPr>
          <w:rFonts w:hint="cs"/>
          <w:rtl/>
        </w:rPr>
        <w:t xml:space="preserve">); עדה בר-שירה "תקנת השוק </w:t>
      </w:r>
      <w:r>
        <w:rPr>
          <w:rtl/>
        </w:rPr>
        <w:t>–</w:t>
      </w:r>
      <w:r>
        <w:rPr>
          <w:rFonts w:hint="cs"/>
          <w:rtl/>
        </w:rPr>
        <w:t xml:space="preserve"> כפי ששונתה על-ידי חוק המכר, תשכ"ח-1968" </w:t>
      </w:r>
      <w:r w:rsidRPr="0083264D">
        <w:rPr>
          <w:rFonts w:cs="Miriam" w:hint="cs"/>
          <w:b/>
          <w:szCs w:val="24"/>
          <w:rtl/>
        </w:rPr>
        <w:t>הפרקליט</w:t>
      </w:r>
      <w:r>
        <w:rPr>
          <w:rFonts w:hint="cs"/>
          <w:rtl/>
        </w:rPr>
        <w:t xml:space="preserve"> כה 717, 718 (1969)). </w:t>
      </w:r>
      <w:r w:rsidRPr="00921150">
        <w:rPr>
          <w:rFonts w:hint="cs"/>
          <w:rtl/>
        </w:rPr>
        <w:t xml:space="preserve">ואולם, </w:t>
      </w:r>
      <w:r>
        <w:rPr>
          <w:rFonts w:hint="cs"/>
          <w:rtl/>
        </w:rPr>
        <w:t>לעקרון יסודי זה נקבעו חריגים, ובהם שורת הסדרים שמכונים "</w:t>
      </w:r>
      <w:r w:rsidRPr="00921150">
        <w:rPr>
          <w:rFonts w:hint="cs"/>
          <w:rtl/>
        </w:rPr>
        <w:t>תקנות שוק</w:t>
      </w:r>
      <w:r>
        <w:rPr>
          <w:rFonts w:hint="cs"/>
          <w:rtl/>
        </w:rPr>
        <w:t xml:space="preserve">". באופן כללי, תקנת שוק קובעת שרוכש של נכס יזכה בבעלות "נקייה" אף אם הנכס נרכש ממי שלא הייתה לו בעלות כזו, בהתקיים תנאים ברורים שנקבעו בדין. </w:t>
      </w:r>
    </w:p>
    <w:p w:rsidR="004C7127" w:rsidRPr="00DB0D91" w:rsidRDefault="004C7127" w:rsidP="004C7127">
      <w:pPr>
        <w:pStyle w:val="Ruller41"/>
      </w:pPr>
    </w:p>
    <w:p w:rsidR="004C7127" w:rsidRDefault="004C7127" w:rsidP="004C7127">
      <w:pPr>
        <w:pStyle w:val="Ruller4"/>
      </w:pPr>
      <w:r>
        <w:rPr>
          <w:rFonts w:hint="cs"/>
          <w:rtl/>
        </w:rPr>
        <w:t xml:space="preserve">תוצאת החלתן של תקנות השוק השונות </w:t>
      </w:r>
      <w:r w:rsidRPr="0032722B">
        <w:rPr>
          <w:rFonts w:hint="cs"/>
          <w:rtl/>
        </w:rPr>
        <w:t>היא</w:t>
      </w:r>
      <w:r>
        <w:rPr>
          <w:rFonts w:hint="cs"/>
          <w:rtl/>
        </w:rPr>
        <w:t>, ככלל,</w:t>
      </w:r>
      <w:r w:rsidRPr="0032722B">
        <w:rPr>
          <w:rFonts w:hint="cs"/>
          <w:rtl/>
        </w:rPr>
        <w:t xml:space="preserve"> הפקעת הבעלות </w:t>
      </w:r>
      <w:r>
        <w:rPr>
          <w:rFonts w:hint="cs"/>
          <w:rtl/>
        </w:rPr>
        <w:t xml:space="preserve">בנכס </w:t>
      </w:r>
      <w:r w:rsidRPr="0032722B">
        <w:rPr>
          <w:rFonts w:hint="cs"/>
          <w:rtl/>
        </w:rPr>
        <w:t>מ</w:t>
      </w:r>
      <w:r>
        <w:rPr>
          <w:rFonts w:hint="cs"/>
          <w:rtl/>
        </w:rPr>
        <w:t xml:space="preserve">ידי בעליו </w:t>
      </w:r>
      <w:r w:rsidRPr="0032722B">
        <w:rPr>
          <w:rFonts w:hint="cs"/>
          <w:rtl/>
        </w:rPr>
        <w:t>המקורי</w:t>
      </w:r>
      <w:r>
        <w:rPr>
          <w:rFonts w:hint="cs"/>
          <w:rtl/>
        </w:rPr>
        <w:t>ים</w:t>
      </w:r>
      <w:r w:rsidRPr="0032722B">
        <w:rPr>
          <w:rFonts w:hint="cs"/>
          <w:rtl/>
        </w:rPr>
        <w:t>.</w:t>
      </w:r>
      <w:r>
        <w:rPr>
          <w:rFonts w:hint="cs"/>
          <w:rtl/>
        </w:rPr>
        <w:t xml:space="preserve"> תוצאה קשה זו מחייבת כי פרשנות תנאי הסעיף תיעשה בצורה זהירה ודקדקנית. כך, כבר בימיה הראשונים של המדינה, התייחס בית משפט זה לתקנת השוק </w:t>
      </w:r>
      <w:r>
        <w:rPr>
          <w:rFonts w:hint="cs"/>
          <w:rtl/>
        </w:rPr>
        <w:lastRenderedPageBreak/>
        <w:t>שקבועה בחוק נכסי נפקדים וציין בכל הנוגע לפרשנות הסעיף: "שומה עלינו לצמצם את גבולי תחולתו של הסעיף ככל האפשר. היינו: עד כמה שהדבר ניתן להיעשות בלי לעקם את הכתוב מפורש בנוסחו של החוק" (</w:t>
      </w:r>
      <w:r w:rsidRPr="0083264D">
        <w:rPr>
          <w:rtl/>
        </w:rPr>
        <w:t>ע"א 131/53</w:t>
      </w:r>
      <w:r w:rsidRPr="0083264D">
        <w:rPr>
          <w:rFonts w:cs="Miriam"/>
          <w:b/>
          <w:spacing w:val="0"/>
          <w:szCs w:val="24"/>
          <w:rtl/>
        </w:rPr>
        <w:t xml:space="preserve"> מירזה נ' בינקובסקי</w:t>
      </w:r>
      <w:r w:rsidRPr="0083264D">
        <w:rPr>
          <w:rtl/>
        </w:rPr>
        <w:t>, פ"ד ח</w:t>
      </w:r>
      <w:r w:rsidRPr="00A85A2C">
        <w:rPr>
          <w:rFonts w:hint="cs"/>
          <w:rtl/>
        </w:rPr>
        <w:t xml:space="preserve"> 1461, 146</w:t>
      </w:r>
      <w:r>
        <w:rPr>
          <w:rFonts w:hint="cs"/>
          <w:rtl/>
        </w:rPr>
        <w:t>8</w:t>
      </w:r>
      <w:r w:rsidRPr="00A85A2C">
        <w:rPr>
          <w:rFonts w:hint="cs"/>
          <w:rtl/>
        </w:rPr>
        <w:t xml:space="preserve"> (1954)</w:t>
      </w:r>
      <w:r>
        <w:rPr>
          <w:rFonts w:hint="cs"/>
          <w:rtl/>
        </w:rPr>
        <w:t xml:space="preserve"> (להלן: עניין </w:t>
      </w:r>
      <w:r>
        <w:rPr>
          <w:rFonts w:ascii="Century" w:hAnsi="Century" w:cs="Miriam" w:hint="cs"/>
          <w:b/>
          <w:spacing w:val="0"/>
          <w:sz w:val="22"/>
          <w:szCs w:val="24"/>
          <w:rtl/>
        </w:rPr>
        <w:t>מירזה</w:t>
      </w:r>
      <w:r>
        <w:rPr>
          <w:rFonts w:hint="cs"/>
          <w:rtl/>
        </w:rPr>
        <w:t xml:space="preserve">); כן ראו ע"א 7793/19 </w:t>
      </w:r>
      <w:r>
        <w:rPr>
          <w:rFonts w:ascii="Century" w:hAnsi="Century" w:cs="Miriam" w:hint="cs"/>
          <w:b/>
          <w:spacing w:val="0"/>
          <w:sz w:val="22"/>
          <w:szCs w:val="24"/>
          <w:rtl/>
        </w:rPr>
        <w:t xml:space="preserve">מדינת ישראל </w:t>
      </w:r>
      <w:r>
        <w:rPr>
          <w:rFonts w:ascii="Century" w:hAnsi="Century" w:cs="Miriam"/>
          <w:b/>
          <w:spacing w:val="0"/>
          <w:sz w:val="22"/>
          <w:szCs w:val="24"/>
          <w:rtl/>
        </w:rPr>
        <w:t>–</w:t>
      </w:r>
      <w:r>
        <w:rPr>
          <w:rFonts w:ascii="Century" w:hAnsi="Century" w:cs="Miriam" w:hint="cs"/>
          <w:b/>
          <w:spacing w:val="0"/>
          <w:sz w:val="22"/>
          <w:szCs w:val="24"/>
          <w:rtl/>
        </w:rPr>
        <w:t xml:space="preserve"> רשות הפיתוח נ' עזבון עקל</w:t>
      </w:r>
      <w:r>
        <w:rPr>
          <w:rFonts w:ascii="Century" w:hAnsi="Century" w:hint="cs"/>
          <w:sz w:val="22"/>
          <w:rtl/>
        </w:rPr>
        <w:t xml:space="preserve">, פסקה 49 לפסק דינו של השופט </w:t>
      </w:r>
      <w:r>
        <w:rPr>
          <w:rFonts w:ascii="Century" w:hAnsi="Century" w:cs="Miriam" w:hint="cs"/>
          <w:b/>
          <w:spacing w:val="0"/>
          <w:sz w:val="22"/>
          <w:szCs w:val="24"/>
          <w:rtl/>
        </w:rPr>
        <w:t xml:space="preserve">ג' קרא </w:t>
      </w:r>
      <w:r>
        <w:rPr>
          <w:rFonts w:ascii="Century" w:hAnsi="Century" w:hint="cs"/>
          <w:sz w:val="22"/>
          <w:rtl/>
        </w:rPr>
        <w:t>(8.5.2022)</w:t>
      </w:r>
      <w:r>
        <w:rPr>
          <w:rFonts w:hint="cs"/>
          <w:rtl/>
        </w:rPr>
        <w:t xml:space="preserve"> (להלן: עניין </w:t>
      </w:r>
      <w:r>
        <w:rPr>
          <w:rFonts w:ascii="Century" w:hAnsi="Century" w:cs="Miriam" w:hint="cs"/>
          <w:b/>
          <w:spacing w:val="0"/>
          <w:sz w:val="22"/>
          <w:szCs w:val="24"/>
          <w:rtl/>
        </w:rPr>
        <w:t>עקל</w:t>
      </w:r>
      <w:r>
        <w:rPr>
          <w:rFonts w:hint="cs"/>
          <w:rtl/>
        </w:rPr>
        <w:t xml:space="preserve">)). בדומה, בכל הנוגע לתקנת השוק שקבועה בסעיף 10 לחוק המקרקעין, התשכ"ט-1969 (להלן: </w:t>
      </w:r>
      <w:r>
        <w:rPr>
          <w:rFonts w:ascii="Century" w:hAnsi="Century" w:cs="Miriam" w:hint="cs"/>
          <w:b/>
          <w:spacing w:val="0"/>
          <w:sz w:val="22"/>
          <w:szCs w:val="24"/>
          <w:rtl/>
        </w:rPr>
        <w:t>חוק המקרקעין</w:t>
      </w:r>
      <w:r>
        <w:rPr>
          <w:rFonts w:hint="cs"/>
          <w:rtl/>
        </w:rPr>
        <w:t xml:space="preserve">) ציינה השופטת (כתוארה אז) </w:t>
      </w:r>
      <w:r>
        <w:rPr>
          <w:rFonts w:ascii="Century" w:hAnsi="Century" w:cs="Miriam" w:hint="cs"/>
          <w:b/>
          <w:spacing w:val="0"/>
          <w:sz w:val="22"/>
          <w:szCs w:val="24"/>
          <w:rtl/>
        </w:rPr>
        <w:t>א' חיות</w:t>
      </w:r>
      <w:r>
        <w:rPr>
          <w:rFonts w:ascii="Century" w:hAnsi="Century" w:hint="cs"/>
          <w:sz w:val="22"/>
          <w:rtl/>
        </w:rPr>
        <w:t xml:space="preserve">: </w:t>
      </w:r>
    </w:p>
    <w:p w:rsidR="004C7127" w:rsidRDefault="004C7127" w:rsidP="004C7127">
      <w:pPr>
        <w:pStyle w:val="Ruller4"/>
        <w:numPr>
          <w:ilvl w:val="0"/>
          <w:numId w:val="0"/>
        </w:numPr>
        <w:rPr>
          <w:rtl/>
        </w:rPr>
      </w:pPr>
    </w:p>
    <w:p w:rsidR="004C7127" w:rsidRDefault="004C7127" w:rsidP="004C7127">
      <w:pPr>
        <w:pStyle w:val="Ruller5"/>
        <w:rPr>
          <w:rFonts w:ascii="Century" w:hAnsi="Century"/>
          <w:rtl/>
        </w:rPr>
      </w:pPr>
      <w:r w:rsidRPr="0083264D">
        <w:rPr>
          <w:rFonts w:hint="cs"/>
          <w:rtl/>
        </w:rPr>
        <w:t xml:space="preserve">"ההגנה על רוכשים שהסתמכו על המרשם מוגבלת על פי הוראת </w:t>
      </w:r>
      <w:r w:rsidRPr="0083264D">
        <w:rPr>
          <w:rtl/>
        </w:rPr>
        <w:t>סעיף 10</w:t>
      </w:r>
      <w:r w:rsidRPr="0083264D">
        <w:rPr>
          <w:rFonts w:hint="cs"/>
          <w:rtl/>
        </w:rPr>
        <w:t xml:space="preserve"> למקרקעין מוסדרים בלבד בשל ההבדל הקיים בינם ובין מקרקעין בלתי מוסדרים עליו עמדנו לעיל. כמו כן מותנית הגנה זו בתנאים נוספים המפורטים באותו הסעיף ונפסק כי בהינתן השלכותיה מרחיקות הלכת כהגנה המאפשרת את הפקעת הזכויות במקרקעין מידי בעליהם האמיתי, על בית המשפט להקפיד ולדקדק עם הרוכש הטוען לזכות מכוח הוראת </w:t>
      </w:r>
      <w:r w:rsidRPr="0083264D">
        <w:rPr>
          <w:rtl/>
        </w:rPr>
        <w:t>סעיף 10</w:t>
      </w:r>
      <w:r w:rsidRPr="0083264D">
        <w:rPr>
          <w:rFonts w:hint="cs"/>
          <w:rtl/>
        </w:rPr>
        <w:t xml:space="preserve"> ל</w:t>
      </w:r>
      <w:r w:rsidRPr="0083264D">
        <w:rPr>
          <w:rtl/>
        </w:rPr>
        <w:t>חוק המקרקעין</w:t>
      </w:r>
      <w:r w:rsidRPr="0083264D">
        <w:rPr>
          <w:rFonts w:hint="cs"/>
          <w:rtl/>
        </w:rPr>
        <w:t xml:space="preserve"> כי יוכיח שהתנאים הנדרשים לצורך תחולתה אכן מתקיימים. ובלשון בית המשפט: </w:t>
      </w:r>
      <w:r>
        <w:rPr>
          <w:rFonts w:hint="cs"/>
          <w:rtl/>
        </w:rPr>
        <w:t>'</w:t>
      </w:r>
      <w:r w:rsidRPr="0083264D">
        <w:rPr>
          <w:rFonts w:hint="cs"/>
          <w:rtl/>
        </w:rPr>
        <w:t>אופייה המפליג של ההוראה... מחייב זהירות כפולה ומכופלת והחמרה יתרה בקיו[מ]ם</w:t>
      </w:r>
      <w:r>
        <w:rPr>
          <w:rFonts w:hint="cs"/>
          <w:rtl/>
        </w:rPr>
        <w:t>'</w:t>
      </w:r>
      <w:r w:rsidRPr="0083264D">
        <w:rPr>
          <w:rFonts w:hint="cs"/>
          <w:rtl/>
        </w:rPr>
        <w:t xml:space="preserve"> (</w:t>
      </w:r>
      <w:r w:rsidRPr="0083264D">
        <w:rPr>
          <w:rtl/>
        </w:rPr>
        <w:t xml:space="preserve">ע"א 4609/99 </w:t>
      </w:r>
      <w:r w:rsidRPr="0083264D">
        <w:rPr>
          <w:rFonts w:ascii="Century" w:hAnsi="Century" w:cs="Miriam"/>
          <w:b/>
          <w:spacing w:val="0"/>
          <w:szCs w:val="24"/>
          <w:rtl/>
        </w:rPr>
        <w:t>בעלי מקצוע נכסים (1997) בע"מ נ' סונדרס</w:t>
      </w:r>
      <w:r w:rsidRPr="0083264D">
        <w:rPr>
          <w:rtl/>
        </w:rPr>
        <w:t>, פ"ד נו</w:t>
      </w:r>
      <w:r w:rsidRPr="0083264D">
        <w:rPr>
          <w:rFonts w:hint="cs"/>
          <w:rtl/>
        </w:rPr>
        <w:t>(6)</w:t>
      </w:r>
      <w:r w:rsidRPr="0083264D">
        <w:rPr>
          <w:rFonts w:ascii="Times New Roman" w:hAnsi="Times New Roman" w:hint="cs"/>
          <w:rtl/>
        </w:rPr>
        <w:t xml:space="preserve"> 832, 848 (2002)</w:t>
      </w:r>
      <w:r w:rsidRPr="0083264D">
        <w:rPr>
          <w:rFonts w:ascii="Century" w:hAnsi="Century" w:hint="cs"/>
          <w:rtl/>
        </w:rPr>
        <w:t xml:space="preserve">)" (ע"א 2046/06 </w:t>
      </w:r>
      <w:r w:rsidRPr="0083264D">
        <w:rPr>
          <w:rFonts w:ascii="Century" w:hAnsi="Century" w:cs="Miriam" w:hint="cs"/>
          <w:b/>
          <w:spacing w:val="0"/>
          <w:szCs w:val="24"/>
          <w:rtl/>
        </w:rPr>
        <w:t>אלג'אבר נ' חליל</w:t>
      </w:r>
      <w:r w:rsidRPr="0083264D">
        <w:rPr>
          <w:rFonts w:ascii="Century" w:hAnsi="Century" w:hint="cs"/>
          <w:rtl/>
        </w:rPr>
        <w:t>, פסקה 13 (11.3.2013)</w:t>
      </w:r>
      <w:r>
        <w:rPr>
          <w:rFonts w:ascii="Century" w:hAnsi="Century" w:hint="cs"/>
          <w:rtl/>
        </w:rPr>
        <w:t xml:space="preserve"> (להלן: עניין </w:t>
      </w:r>
      <w:r>
        <w:rPr>
          <w:rFonts w:ascii="Century" w:hAnsi="Century" w:cs="Miriam" w:hint="cs"/>
          <w:b/>
          <w:spacing w:val="0"/>
          <w:szCs w:val="24"/>
          <w:rtl/>
        </w:rPr>
        <w:t>אלג'אבר</w:t>
      </w:r>
      <w:r>
        <w:rPr>
          <w:rFonts w:ascii="Century" w:hAnsi="Century" w:hint="cs"/>
          <w:rtl/>
        </w:rPr>
        <w:t>)</w:t>
      </w:r>
      <w:r w:rsidRPr="0083264D">
        <w:rPr>
          <w:rFonts w:ascii="Century" w:hAnsi="Century" w:hint="cs"/>
          <w:rtl/>
        </w:rPr>
        <w:t>).</w:t>
      </w:r>
    </w:p>
    <w:p w:rsidR="004C7127" w:rsidRPr="006C716B" w:rsidRDefault="004C7127" w:rsidP="004C7127">
      <w:pPr>
        <w:pStyle w:val="Ruller4"/>
        <w:numPr>
          <w:ilvl w:val="0"/>
          <w:numId w:val="0"/>
        </w:numPr>
        <w:rPr>
          <w:rtl/>
        </w:rPr>
      </w:pPr>
    </w:p>
    <w:p w:rsidR="004C7127" w:rsidRDefault="004C7127" w:rsidP="004C7127">
      <w:pPr>
        <w:pStyle w:val="Ruller4"/>
        <w:numPr>
          <w:ilvl w:val="0"/>
          <w:numId w:val="0"/>
        </w:numPr>
        <w:rPr>
          <w:rtl/>
        </w:rPr>
      </w:pPr>
      <w:r>
        <w:rPr>
          <w:rtl/>
        </w:rPr>
        <w:tab/>
      </w:r>
      <w:r>
        <w:rPr>
          <w:rFonts w:hint="cs"/>
          <w:rtl/>
        </w:rPr>
        <w:t xml:space="preserve">דברים אלה נכונים גם נוכח מעמדה החוקתי של זכות הקניין (שמעוגנת כיום בסעיף 3 לחוק-יסוד: כבוד האדם וחירותו); ובפרט נכונים הם כאשר עסקינן בזכויות קניין במקרקעין, בשל ערכם, ייחודם, כמותם המוגבלת והעובדה שמדובר בנכס שאינו מתכלה (ע"א 7261/15 </w:t>
      </w:r>
      <w:r>
        <w:rPr>
          <w:rFonts w:ascii="Century" w:hAnsi="Century" w:cs="Miriam" w:hint="cs"/>
          <w:b/>
          <w:spacing w:val="0"/>
          <w:sz w:val="22"/>
          <w:szCs w:val="24"/>
          <w:rtl/>
        </w:rPr>
        <w:t>מועדי נ' שוקחה</w:t>
      </w:r>
      <w:r>
        <w:rPr>
          <w:rFonts w:ascii="Century" w:hAnsi="Century" w:hint="cs"/>
          <w:sz w:val="22"/>
          <w:rtl/>
        </w:rPr>
        <w:t xml:space="preserve">, פסקה </w:t>
      </w:r>
      <w:r w:rsidRPr="00992272">
        <w:rPr>
          <w:rFonts w:ascii="Century" w:hAnsi="Century" w:hint="cs"/>
          <w:sz w:val="22"/>
          <w:rtl/>
        </w:rPr>
        <w:t xml:space="preserve">34 </w:t>
      </w:r>
      <w:r>
        <w:rPr>
          <w:rFonts w:ascii="Century" w:hAnsi="Century" w:hint="cs"/>
          <w:sz w:val="22"/>
          <w:rtl/>
        </w:rPr>
        <w:t xml:space="preserve">(5.9.2018); </w:t>
      </w:r>
      <w:r w:rsidRPr="0032722B">
        <w:rPr>
          <w:rFonts w:hint="cs"/>
          <w:rtl/>
        </w:rPr>
        <w:t xml:space="preserve">ע"א 624/13 </w:t>
      </w:r>
      <w:r w:rsidRPr="007A62FC">
        <w:rPr>
          <w:rFonts w:cs="Miriam" w:hint="cs"/>
          <w:b/>
          <w:szCs w:val="24"/>
          <w:rtl/>
        </w:rPr>
        <w:t>מורדכיוב נ' מינץ</w:t>
      </w:r>
      <w:r w:rsidRPr="0032722B">
        <w:rPr>
          <w:rFonts w:hint="cs"/>
          <w:rtl/>
        </w:rPr>
        <w:t xml:space="preserve">, פסקה </w:t>
      </w:r>
      <w:r>
        <w:rPr>
          <w:rFonts w:hint="cs"/>
          <w:rtl/>
        </w:rPr>
        <w:t xml:space="preserve">יז (4.8.2014) (להלן: עניין </w:t>
      </w:r>
      <w:r w:rsidRPr="007A62FC">
        <w:rPr>
          <w:rFonts w:cs="Miriam" w:hint="cs"/>
          <w:b/>
          <w:szCs w:val="24"/>
          <w:rtl/>
        </w:rPr>
        <w:t>מורדכיוב</w:t>
      </w:r>
      <w:r>
        <w:rPr>
          <w:rFonts w:hint="cs"/>
          <w:rtl/>
        </w:rPr>
        <w:t>)</w:t>
      </w:r>
      <w:r w:rsidRPr="00C226E1">
        <w:rPr>
          <w:rtl/>
        </w:rPr>
        <w:t xml:space="preserve">; </w:t>
      </w:r>
      <w:r>
        <w:rPr>
          <w:rFonts w:hint="cs"/>
          <w:rtl/>
        </w:rPr>
        <w:t xml:space="preserve">ע"א 767/11 </w:t>
      </w:r>
      <w:r>
        <w:rPr>
          <w:rFonts w:ascii="Century" w:hAnsi="Century" w:cs="Miriam" w:hint="cs"/>
          <w:b/>
          <w:spacing w:val="0"/>
          <w:sz w:val="22"/>
          <w:szCs w:val="24"/>
          <w:rtl/>
        </w:rPr>
        <w:t>להיגי נ' עזורי</w:t>
      </w:r>
      <w:r>
        <w:rPr>
          <w:rFonts w:ascii="Century" w:hAnsi="Century" w:hint="cs"/>
          <w:sz w:val="22"/>
          <w:rtl/>
        </w:rPr>
        <w:t>, פ"ד סו(2) 853, 870 (2013)</w:t>
      </w:r>
      <w:r>
        <w:rPr>
          <w:rFonts w:hint="cs"/>
          <w:rtl/>
        </w:rPr>
        <w:t xml:space="preserve"> (להלן: עניין </w:t>
      </w:r>
      <w:r>
        <w:rPr>
          <w:rFonts w:ascii="Century" w:hAnsi="Century" w:cs="Miriam" w:hint="cs"/>
          <w:b/>
          <w:spacing w:val="0"/>
          <w:sz w:val="22"/>
          <w:szCs w:val="24"/>
          <w:rtl/>
        </w:rPr>
        <w:t>להיגי</w:t>
      </w:r>
      <w:r>
        <w:rPr>
          <w:rFonts w:hint="cs"/>
          <w:rtl/>
        </w:rPr>
        <w:t xml:space="preserve">); ע"א 4609/99 </w:t>
      </w:r>
      <w:r w:rsidRPr="00C226E1">
        <w:rPr>
          <w:rFonts w:ascii="Century" w:hAnsi="Century" w:cs="Miriam" w:hint="cs"/>
          <w:b/>
          <w:spacing w:val="0"/>
          <w:sz w:val="22"/>
          <w:szCs w:val="24"/>
          <w:rtl/>
        </w:rPr>
        <w:t>בעלי מקצוע נכסים (1997) בע"מ נ' סונדרס</w:t>
      </w:r>
      <w:r w:rsidRPr="00C226E1">
        <w:rPr>
          <w:rFonts w:ascii="Century" w:hAnsi="Century" w:hint="cs"/>
          <w:sz w:val="22"/>
          <w:rtl/>
        </w:rPr>
        <w:t xml:space="preserve">, פ"ד נו(6) 832, 849-848 (2002) (להלן: עניין </w:t>
      </w:r>
      <w:r w:rsidRPr="00C226E1">
        <w:rPr>
          <w:rFonts w:ascii="Century" w:hAnsi="Century" w:cs="Miriam" w:hint="cs"/>
          <w:b/>
          <w:spacing w:val="0"/>
          <w:sz w:val="22"/>
          <w:szCs w:val="24"/>
          <w:rtl/>
        </w:rPr>
        <w:t>סונדרס</w:t>
      </w:r>
      <w:r w:rsidRPr="00C226E1">
        <w:rPr>
          <w:rFonts w:ascii="Century" w:hAnsi="Century" w:hint="cs"/>
          <w:sz w:val="22"/>
          <w:rtl/>
        </w:rPr>
        <w:t>);</w:t>
      </w:r>
      <w:r w:rsidRPr="00C226E1">
        <w:rPr>
          <w:rFonts w:hint="cs"/>
          <w:rtl/>
        </w:rPr>
        <w:t xml:space="preserve"> </w:t>
      </w:r>
      <w:r w:rsidRPr="00C226E1">
        <w:rPr>
          <w:rtl/>
        </w:rPr>
        <w:t xml:space="preserve">ע"א 599/77 </w:t>
      </w:r>
      <w:r w:rsidRPr="00C226E1">
        <w:rPr>
          <w:rFonts w:cs="Miriam"/>
          <w:b/>
          <w:spacing w:val="0"/>
          <w:szCs w:val="24"/>
          <w:rtl/>
        </w:rPr>
        <w:t>קורצפלד נ' אדלר</w:t>
      </w:r>
      <w:r w:rsidRPr="00C226E1">
        <w:rPr>
          <w:rtl/>
        </w:rPr>
        <w:t>, פ"ד לד</w:t>
      </w:r>
      <w:r w:rsidRPr="00C226E1">
        <w:rPr>
          <w:rFonts w:hint="cs"/>
          <w:rtl/>
        </w:rPr>
        <w:t>(2) 29, 33 (1979)</w:t>
      </w:r>
      <w:r w:rsidRPr="00C226E1">
        <w:rPr>
          <w:rFonts w:ascii="Century" w:hAnsi="Century" w:hint="cs"/>
          <w:sz w:val="22"/>
          <w:rtl/>
        </w:rPr>
        <w:t>;</w:t>
      </w:r>
      <w:r>
        <w:rPr>
          <w:rFonts w:ascii="Century" w:hAnsi="Century" w:hint="cs"/>
          <w:sz w:val="22"/>
          <w:rtl/>
        </w:rPr>
        <w:t xml:space="preserve"> </w:t>
      </w:r>
      <w:r>
        <w:rPr>
          <w:rFonts w:hint="cs"/>
          <w:rtl/>
        </w:rPr>
        <w:t xml:space="preserve">כן ראו באופן כללי: רע"א 6339/97 </w:t>
      </w:r>
      <w:r>
        <w:rPr>
          <w:rFonts w:ascii="Century" w:hAnsi="Century" w:cs="Miriam" w:hint="cs"/>
          <w:b/>
          <w:spacing w:val="0"/>
          <w:sz w:val="22"/>
          <w:szCs w:val="24"/>
          <w:rtl/>
        </w:rPr>
        <w:t xml:space="preserve">רוקר נ' </w:t>
      </w:r>
      <w:r w:rsidRPr="00EF5F0B">
        <w:rPr>
          <w:rFonts w:ascii="Century" w:hAnsi="Century" w:cs="Miriam" w:hint="cs"/>
          <w:b/>
          <w:spacing w:val="0"/>
          <w:sz w:val="22"/>
          <w:szCs w:val="24"/>
          <w:rtl/>
        </w:rPr>
        <w:t>סלומון</w:t>
      </w:r>
      <w:r>
        <w:rPr>
          <w:rFonts w:ascii="Century" w:hAnsi="Century" w:hint="cs"/>
          <w:sz w:val="22"/>
          <w:rtl/>
        </w:rPr>
        <w:t xml:space="preserve">, פ"ד נה(1) 199, 241-240 (1999); </w:t>
      </w:r>
      <w:r w:rsidRPr="00EF5F0B">
        <w:rPr>
          <w:rFonts w:ascii="Century" w:hAnsi="Century" w:hint="cs"/>
          <w:sz w:val="22"/>
          <w:rtl/>
        </w:rPr>
        <w:t>יהושע</w:t>
      </w:r>
      <w:r w:rsidRPr="00EF5F0B">
        <w:rPr>
          <w:rFonts w:hint="cs"/>
          <w:rtl/>
        </w:rPr>
        <w:t xml:space="preserve"> </w:t>
      </w:r>
      <w:r>
        <w:rPr>
          <w:rFonts w:hint="cs"/>
          <w:rtl/>
        </w:rPr>
        <w:t xml:space="preserve">ויסמן </w:t>
      </w:r>
      <w:r>
        <w:rPr>
          <w:rFonts w:ascii="Century" w:hAnsi="Century" w:cs="Miriam" w:hint="cs"/>
          <w:b/>
          <w:spacing w:val="0"/>
          <w:sz w:val="22"/>
          <w:szCs w:val="24"/>
          <w:rtl/>
        </w:rPr>
        <w:t xml:space="preserve">דיני קניין </w:t>
      </w:r>
      <w:r>
        <w:rPr>
          <w:rFonts w:ascii="Century" w:hAnsi="Century" w:cs="Miriam"/>
          <w:b/>
          <w:spacing w:val="0"/>
          <w:sz w:val="22"/>
          <w:szCs w:val="24"/>
          <w:rtl/>
        </w:rPr>
        <w:t>–</w:t>
      </w:r>
      <w:r>
        <w:rPr>
          <w:rFonts w:ascii="Century" w:hAnsi="Century" w:cs="Miriam" w:hint="cs"/>
          <w:b/>
          <w:spacing w:val="0"/>
          <w:sz w:val="22"/>
          <w:szCs w:val="24"/>
          <w:rtl/>
        </w:rPr>
        <w:t xml:space="preserve"> חלק כללי </w:t>
      </w:r>
      <w:r>
        <w:rPr>
          <w:rFonts w:ascii="Century" w:hAnsi="Century" w:hint="cs"/>
          <w:sz w:val="22"/>
          <w:rtl/>
        </w:rPr>
        <w:t>116-110 (1993)</w:t>
      </w:r>
      <w:r>
        <w:rPr>
          <w:rFonts w:hint="cs"/>
          <w:rtl/>
        </w:rPr>
        <w:t xml:space="preserve">). </w:t>
      </w:r>
    </w:p>
    <w:p w:rsidR="004C7127" w:rsidRDefault="004C7127" w:rsidP="004C7127">
      <w:pPr>
        <w:pStyle w:val="Ruller4"/>
        <w:numPr>
          <w:ilvl w:val="0"/>
          <w:numId w:val="0"/>
        </w:numPr>
        <w:rPr>
          <w:rtl/>
        </w:rPr>
      </w:pPr>
    </w:p>
    <w:p w:rsidR="004C7127" w:rsidRDefault="004C7127" w:rsidP="004C7127">
      <w:pPr>
        <w:pStyle w:val="Ruller4"/>
        <w:rPr>
          <w:rFonts w:ascii="Century" w:hAnsi="Century"/>
          <w:sz w:val="22"/>
          <w:rtl/>
        </w:rPr>
      </w:pPr>
      <w:r>
        <w:rPr>
          <w:rFonts w:hint="cs"/>
          <w:rtl/>
        </w:rPr>
        <w:t xml:space="preserve">אמת מידה קפדנית זו יושמה בפרשנות שנתן בית המשפט ליסודות של תקנות השוק השונות. כך למשל, בנוגע לפרשנות תקנת השוק בסעיף 10 לחוק המקרקעין, שנועדה לבצר את שיטת המרשם, ציינה בעבר השופטת (כתוארה אז) </w:t>
      </w:r>
      <w:r>
        <w:rPr>
          <w:rFonts w:ascii="Century" w:hAnsi="Century" w:cs="Miriam" w:hint="cs"/>
          <w:b/>
          <w:spacing w:val="0"/>
          <w:sz w:val="22"/>
          <w:szCs w:val="24"/>
          <w:rtl/>
        </w:rPr>
        <w:t>א' חיות</w:t>
      </w:r>
      <w:r>
        <w:rPr>
          <w:rFonts w:ascii="Century" w:hAnsi="Century" w:hint="cs"/>
          <w:sz w:val="22"/>
          <w:rtl/>
        </w:rPr>
        <w:t xml:space="preserve"> כי נוכח התוצאה הקשה של החלתה: </w:t>
      </w:r>
    </w:p>
    <w:p w:rsidR="004C7127" w:rsidRDefault="004C7127" w:rsidP="004C7127">
      <w:pPr>
        <w:pStyle w:val="Ruller41"/>
        <w:rPr>
          <w:rtl/>
        </w:rPr>
      </w:pPr>
    </w:p>
    <w:p w:rsidR="004C7127" w:rsidRDefault="004C7127" w:rsidP="004C7127">
      <w:pPr>
        <w:pStyle w:val="Ruller5"/>
        <w:rPr>
          <w:rtl/>
        </w:rPr>
      </w:pPr>
      <w:r>
        <w:rPr>
          <w:rFonts w:hint="cs"/>
          <w:rtl/>
        </w:rPr>
        <w:t>"</w:t>
      </w:r>
      <w:r>
        <w:rPr>
          <w:rFonts w:hint="eastAsia"/>
          <w:rtl/>
        </w:rPr>
        <w:t>הקפידה</w:t>
      </w:r>
      <w:r>
        <w:rPr>
          <w:rtl/>
        </w:rPr>
        <w:t xml:space="preserve"> </w:t>
      </w:r>
      <w:r>
        <w:rPr>
          <w:rFonts w:hint="eastAsia"/>
          <w:rtl/>
        </w:rPr>
        <w:t>הפסיקה</w:t>
      </w:r>
      <w:r>
        <w:rPr>
          <w:rtl/>
        </w:rPr>
        <w:t xml:space="preserve"> </w:t>
      </w:r>
      <w:r>
        <w:rPr>
          <w:rFonts w:hint="eastAsia"/>
          <w:rtl/>
        </w:rPr>
        <w:t>לתחום</w:t>
      </w:r>
      <w:r>
        <w:rPr>
          <w:rtl/>
        </w:rPr>
        <w:t xml:space="preserve"> </w:t>
      </w:r>
      <w:r>
        <w:rPr>
          <w:rFonts w:hint="eastAsia"/>
          <w:rtl/>
        </w:rPr>
        <w:t>את</w:t>
      </w:r>
      <w:r>
        <w:rPr>
          <w:rtl/>
        </w:rPr>
        <w:t xml:space="preserve"> </w:t>
      </w:r>
      <w:r>
        <w:rPr>
          <w:rFonts w:hint="eastAsia"/>
          <w:rtl/>
        </w:rPr>
        <w:t>ההגנה</w:t>
      </w:r>
      <w:r>
        <w:rPr>
          <w:rtl/>
        </w:rPr>
        <w:t xml:space="preserve"> </w:t>
      </w:r>
      <w:r>
        <w:rPr>
          <w:rFonts w:hint="eastAsia"/>
          <w:rtl/>
        </w:rPr>
        <w:t>הניתנת</w:t>
      </w:r>
      <w:r>
        <w:rPr>
          <w:rtl/>
        </w:rPr>
        <w:t xml:space="preserve"> </w:t>
      </w:r>
      <w:r>
        <w:rPr>
          <w:rFonts w:hint="eastAsia"/>
          <w:rtl/>
        </w:rPr>
        <w:t>על</w:t>
      </w:r>
      <w:r>
        <w:rPr>
          <w:rtl/>
        </w:rPr>
        <w:t>-</w:t>
      </w:r>
      <w:r>
        <w:rPr>
          <w:rFonts w:hint="eastAsia"/>
          <w:rtl/>
        </w:rPr>
        <w:t>פי</w:t>
      </w:r>
      <w:r>
        <w:rPr>
          <w:rtl/>
        </w:rPr>
        <w:t xml:space="preserve"> </w:t>
      </w:r>
      <w:r>
        <w:rPr>
          <w:rFonts w:hint="eastAsia"/>
          <w:rtl/>
        </w:rPr>
        <w:t>סעיף</w:t>
      </w:r>
      <w:r>
        <w:rPr>
          <w:rtl/>
        </w:rPr>
        <w:t xml:space="preserve"> 10 </w:t>
      </w:r>
      <w:r>
        <w:rPr>
          <w:rFonts w:hint="eastAsia"/>
          <w:rtl/>
        </w:rPr>
        <w:t>לחוק</w:t>
      </w:r>
      <w:r>
        <w:rPr>
          <w:rtl/>
        </w:rPr>
        <w:t xml:space="preserve"> </w:t>
      </w:r>
      <w:r>
        <w:rPr>
          <w:rFonts w:hint="eastAsia"/>
          <w:rtl/>
        </w:rPr>
        <w:t>ולהחילה</w:t>
      </w:r>
      <w:r>
        <w:rPr>
          <w:rtl/>
        </w:rPr>
        <w:t xml:space="preserve"> </w:t>
      </w:r>
      <w:r>
        <w:rPr>
          <w:rFonts w:hint="eastAsia"/>
          <w:rtl/>
        </w:rPr>
        <w:t>רק</w:t>
      </w:r>
      <w:r>
        <w:rPr>
          <w:rtl/>
        </w:rPr>
        <w:t xml:space="preserve"> </w:t>
      </w:r>
      <w:r>
        <w:rPr>
          <w:rFonts w:hint="eastAsia"/>
          <w:rtl/>
        </w:rPr>
        <w:t>לגבי</w:t>
      </w:r>
      <w:r>
        <w:rPr>
          <w:rtl/>
        </w:rPr>
        <w:t xml:space="preserve"> </w:t>
      </w:r>
      <w:r>
        <w:rPr>
          <w:rFonts w:hint="eastAsia"/>
          <w:rtl/>
        </w:rPr>
        <w:t>מקרים</w:t>
      </w:r>
      <w:r>
        <w:rPr>
          <w:rtl/>
        </w:rPr>
        <w:t xml:space="preserve"> </w:t>
      </w:r>
      <w:r>
        <w:rPr>
          <w:rFonts w:hint="eastAsia"/>
          <w:rtl/>
        </w:rPr>
        <w:t>מובהקים</w:t>
      </w:r>
      <w:r>
        <w:rPr>
          <w:rtl/>
        </w:rPr>
        <w:t xml:space="preserve"> </w:t>
      </w:r>
      <w:r>
        <w:rPr>
          <w:rFonts w:hint="eastAsia"/>
          <w:rtl/>
        </w:rPr>
        <w:t>של</w:t>
      </w:r>
      <w:r>
        <w:rPr>
          <w:rtl/>
        </w:rPr>
        <w:t xml:space="preserve"> </w:t>
      </w:r>
      <w:r>
        <w:rPr>
          <w:rFonts w:hint="eastAsia"/>
          <w:rtl/>
        </w:rPr>
        <w:t>הסתמכות</w:t>
      </w:r>
      <w:r>
        <w:rPr>
          <w:rtl/>
        </w:rPr>
        <w:t xml:space="preserve"> </w:t>
      </w:r>
      <w:r>
        <w:rPr>
          <w:rFonts w:hint="eastAsia"/>
          <w:rtl/>
        </w:rPr>
        <w:t>על</w:t>
      </w:r>
      <w:r>
        <w:rPr>
          <w:rtl/>
        </w:rPr>
        <w:t xml:space="preserve"> </w:t>
      </w:r>
      <w:r>
        <w:rPr>
          <w:rFonts w:hint="eastAsia"/>
          <w:rtl/>
        </w:rPr>
        <w:t>הרישום</w:t>
      </w:r>
      <w:r>
        <w:rPr>
          <w:rtl/>
        </w:rPr>
        <w:t xml:space="preserve">, </w:t>
      </w:r>
      <w:r>
        <w:rPr>
          <w:rFonts w:hint="eastAsia"/>
          <w:rtl/>
        </w:rPr>
        <w:t>דהיינו</w:t>
      </w:r>
      <w:r>
        <w:rPr>
          <w:rtl/>
        </w:rPr>
        <w:t xml:space="preserve"> </w:t>
      </w:r>
      <w:r>
        <w:rPr>
          <w:rFonts w:hint="eastAsia"/>
          <w:rtl/>
        </w:rPr>
        <w:t>כאשר</w:t>
      </w:r>
      <w:r>
        <w:rPr>
          <w:rtl/>
        </w:rPr>
        <w:t xml:space="preserve"> </w:t>
      </w:r>
      <w:r>
        <w:rPr>
          <w:rFonts w:hint="eastAsia"/>
          <w:rtl/>
        </w:rPr>
        <w:t>מי</w:t>
      </w:r>
      <w:r>
        <w:rPr>
          <w:rtl/>
        </w:rPr>
        <w:t xml:space="preserve"> </w:t>
      </w:r>
      <w:r>
        <w:rPr>
          <w:rFonts w:hint="eastAsia"/>
          <w:rtl/>
        </w:rPr>
        <w:t>שרשום</w:t>
      </w:r>
      <w:r>
        <w:rPr>
          <w:rtl/>
        </w:rPr>
        <w:t xml:space="preserve"> </w:t>
      </w:r>
      <w:r>
        <w:rPr>
          <w:rFonts w:hint="eastAsia"/>
          <w:rtl/>
        </w:rPr>
        <w:t>כבעל</w:t>
      </w:r>
      <w:r>
        <w:rPr>
          <w:rtl/>
        </w:rPr>
        <w:t xml:space="preserve"> </w:t>
      </w:r>
      <w:r>
        <w:rPr>
          <w:rFonts w:hint="eastAsia"/>
          <w:rtl/>
        </w:rPr>
        <w:t>הזכות</w:t>
      </w:r>
      <w:r>
        <w:rPr>
          <w:rtl/>
        </w:rPr>
        <w:t xml:space="preserve"> </w:t>
      </w:r>
      <w:r>
        <w:rPr>
          <w:rFonts w:hint="eastAsia"/>
          <w:rtl/>
        </w:rPr>
        <w:t>שנרכשה</w:t>
      </w:r>
      <w:r>
        <w:rPr>
          <w:rtl/>
        </w:rPr>
        <w:t xml:space="preserve"> </w:t>
      </w:r>
      <w:r>
        <w:rPr>
          <w:rFonts w:hint="eastAsia"/>
          <w:rtl/>
        </w:rPr>
        <w:t>איננו</w:t>
      </w:r>
      <w:r>
        <w:rPr>
          <w:rtl/>
        </w:rPr>
        <w:t xml:space="preserve"> </w:t>
      </w:r>
      <w:r>
        <w:rPr>
          <w:rFonts w:hint="eastAsia"/>
          <w:rtl/>
        </w:rPr>
        <w:t>בעליה</w:t>
      </w:r>
      <w:r>
        <w:rPr>
          <w:rtl/>
        </w:rPr>
        <w:t xml:space="preserve"> </w:t>
      </w:r>
      <w:r>
        <w:rPr>
          <w:rFonts w:hint="eastAsia"/>
          <w:rtl/>
        </w:rPr>
        <w:t>לאמיתו</w:t>
      </w:r>
      <w:r>
        <w:rPr>
          <w:rtl/>
        </w:rPr>
        <w:t xml:space="preserve"> </w:t>
      </w:r>
      <w:r>
        <w:rPr>
          <w:rFonts w:hint="eastAsia"/>
          <w:rtl/>
        </w:rPr>
        <w:t>של</w:t>
      </w:r>
      <w:r>
        <w:rPr>
          <w:rtl/>
        </w:rPr>
        <w:t xml:space="preserve"> </w:t>
      </w:r>
      <w:r>
        <w:rPr>
          <w:rFonts w:hint="eastAsia"/>
          <w:rtl/>
        </w:rPr>
        <w:t>דבר</w:t>
      </w:r>
      <w:r>
        <w:rPr>
          <w:rtl/>
        </w:rPr>
        <w:t xml:space="preserve"> </w:t>
      </w:r>
      <w:r>
        <w:rPr>
          <w:rFonts w:hint="eastAsia"/>
          <w:rtl/>
        </w:rPr>
        <w:t>בשל</w:t>
      </w:r>
      <w:r>
        <w:rPr>
          <w:rtl/>
        </w:rPr>
        <w:t xml:space="preserve"> </w:t>
      </w:r>
      <w:r>
        <w:rPr>
          <w:rFonts w:hint="eastAsia"/>
          <w:rtl/>
        </w:rPr>
        <w:t>רישום</w:t>
      </w:r>
      <w:r>
        <w:rPr>
          <w:rtl/>
        </w:rPr>
        <w:t xml:space="preserve"> </w:t>
      </w:r>
      <w:r>
        <w:rPr>
          <w:rFonts w:hint="eastAsia"/>
          <w:rtl/>
        </w:rPr>
        <w:t>שאינו</w:t>
      </w:r>
      <w:r>
        <w:rPr>
          <w:rtl/>
        </w:rPr>
        <w:t xml:space="preserve"> </w:t>
      </w:r>
      <w:r>
        <w:rPr>
          <w:rFonts w:hint="eastAsia"/>
          <w:rtl/>
        </w:rPr>
        <w:t>נכון</w:t>
      </w:r>
      <w:r>
        <w:rPr>
          <w:rtl/>
        </w:rPr>
        <w:t xml:space="preserve">. </w:t>
      </w:r>
      <w:r>
        <w:rPr>
          <w:rFonts w:hint="eastAsia"/>
          <w:rtl/>
        </w:rPr>
        <w:t>לעומת</w:t>
      </w:r>
      <w:r>
        <w:rPr>
          <w:rtl/>
        </w:rPr>
        <w:t xml:space="preserve"> </w:t>
      </w:r>
      <w:r>
        <w:rPr>
          <w:rFonts w:hint="eastAsia"/>
          <w:rtl/>
        </w:rPr>
        <w:t>זאת</w:t>
      </w:r>
      <w:r>
        <w:rPr>
          <w:rtl/>
        </w:rPr>
        <w:t xml:space="preserve">, </w:t>
      </w:r>
      <w:r>
        <w:rPr>
          <w:rFonts w:hint="eastAsia"/>
          <w:rtl/>
        </w:rPr>
        <w:t>לא</w:t>
      </w:r>
      <w:r>
        <w:rPr>
          <w:rtl/>
        </w:rPr>
        <w:t xml:space="preserve"> </w:t>
      </w:r>
      <w:r>
        <w:rPr>
          <w:rFonts w:hint="eastAsia"/>
          <w:rtl/>
        </w:rPr>
        <w:t>הכירה</w:t>
      </w:r>
      <w:r>
        <w:rPr>
          <w:rtl/>
        </w:rPr>
        <w:t xml:space="preserve"> </w:t>
      </w:r>
      <w:r>
        <w:rPr>
          <w:rFonts w:hint="eastAsia"/>
          <w:rtl/>
        </w:rPr>
        <w:t>הפסיקה</w:t>
      </w:r>
      <w:r>
        <w:rPr>
          <w:rtl/>
        </w:rPr>
        <w:t xml:space="preserve"> </w:t>
      </w:r>
      <w:r>
        <w:rPr>
          <w:rFonts w:hint="eastAsia"/>
          <w:rtl/>
        </w:rPr>
        <w:t>בתחולתה</w:t>
      </w:r>
      <w:r>
        <w:rPr>
          <w:rtl/>
        </w:rPr>
        <w:t xml:space="preserve"> </w:t>
      </w:r>
      <w:r>
        <w:rPr>
          <w:rFonts w:hint="eastAsia"/>
          <w:rtl/>
        </w:rPr>
        <w:t>של</w:t>
      </w:r>
      <w:r>
        <w:rPr>
          <w:rtl/>
        </w:rPr>
        <w:t xml:space="preserve"> </w:t>
      </w:r>
      <w:r>
        <w:rPr>
          <w:rFonts w:hint="eastAsia"/>
          <w:rtl/>
        </w:rPr>
        <w:t>תקנת</w:t>
      </w:r>
      <w:r>
        <w:rPr>
          <w:rtl/>
        </w:rPr>
        <w:t xml:space="preserve"> </w:t>
      </w:r>
      <w:r>
        <w:rPr>
          <w:rFonts w:hint="eastAsia"/>
          <w:rtl/>
        </w:rPr>
        <w:t>השוק</w:t>
      </w:r>
      <w:r>
        <w:rPr>
          <w:rtl/>
        </w:rPr>
        <w:t xml:space="preserve"> </w:t>
      </w:r>
      <w:r>
        <w:rPr>
          <w:rFonts w:hint="eastAsia"/>
          <w:rtl/>
        </w:rPr>
        <w:t>במקרקעין</w:t>
      </w:r>
      <w:r>
        <w:rPr>
          <w:rtl/>
        </w:rPr>
        <w:t xml:space="preserve"> </w:t>
      </w:r>
      <w:r>
        <w:rPr>
          <w:rFonts w:hint="eastAsia"/>
          <w:rtl/>
        </w:rPr>
        <w:t>במקרים</w:t>
      </w:r>
      <w:r>
        <w:rPr>
          <w:rtl/>
        </w:rPr>
        <w:t xml:space="preserve"> </w:t>
      </w:r>
      <w:r>
        <w:rPr>
          <w:rFonts w:hint="eastAsia"/>
          <w:rtl/>
        </w:rPr>
        <w:t>אחרים</w:t>
      </w:r>
      <w:r>
        <w:rPr>
          <w:rtl/>
        </w:rPr>
        <w:t xml:space="preserve">, </w:t>
      </w:r>
      <w:r>
        <w:rPr>
          <w:rFonts w:hint="eastAsia"/>
          <w:rtl/>
        </w:rPr>
        <w:t>אשר</w:t>
      </w:r>
      <w:r>
        <w:rPr>
          <w:rtl/>
        </w:rPr>
        <w:t xml:space="preserve"> </w:t>
      </w:r>
      <w:r>
        <w:rPr>
          <w:rFonts w:hint="eastAsia"/>
          <w:rtl/>
        </w:rPr>
        <w:t>בהם</w:t>
      </w:r>
      <w:r>
        <w:rPr>
          <w:rtl/>
        </w:rPr>
        <w:t xml:space="preserve"> </w:t>
      </w:r>
      <w:r>
        <w:rPr>
          <w:rFonts w:hint="eastAsia"/>
          <w:rtl/>
        </w:rPr>
        <w:t>התחזה</w:t>
      </w:r>
      <w:r>
        <w:rPr>
          <w:rtl/>
        </w:rPr>
        <w:t xml:space="preserve"> </w:t>
      </w:r>
      <w:r>
        <w:rPr>
          <w:rFonts w:hint="eastAsia"/>
          <w:rtl/>
        </w:rPr>
        <w:t>המוכר</w:t>
      </w:r>
      <w:r>
        <w:rPr>
          <w:rtl/>
        </w:rPr>
        <w:t xml:space="preserve"> </w:t>
      </w:r>
      <w:r>
        <w:rPr>
          <w:rFonts w:hint="eastAsia"/>
          <w:rtl/>
        </w:rPr>
        <w:t>לבעל</w:t>
      </w:r>
      <w:r>
        <w:rPr>
          <w:rtl/>
        </w:rPr>
        <w:t xml:space="preserve"> </w:t>
      </w:r>
      <w:r>
        <w:rPr>
          <w:rFonts w:hint="eastAsia"/>
          <w:rtl/>
        </w:rPr>
        <w:t>הזכות</w:t>
      </w:r>
      <w:r>
        <w:rPr>
          <w:rtl/>
        </w:rPr>
        <w:t xml:space="preserve"> </w:t>
      </w:r>
      <w:r>
        <w:rPr>
          <w:rFonts w:hint="eastAsia"/>
          <w:rtl/>
        </w:rPr>
        <w:t>הרשומה</w:t>
      </w:r>
      <w:r>
        <w:rPr>
          <w:rtl/>
        </w:rPr>
        <w:t xml:space="preserve">, </w:t>
      </w:r>
      <w:r>
        <w:rPr>
          <w:rFonts w:hint="eastAsia"/>
          <w:rtl/>
        </w:rPr>
        <w:t>למשל</w:t>
      </w:r>
      <w:r>
        <w:rPr>
          <w:rtl/>
        </w:rPr>
        <w:t xml:space="preserve"> </w:t>
      </w:r>
      <w:r>
        <w:rPr>
          <w:rFonts w:hint="eastAsia"/>
          <w:rtl/>
        </w:rPr>
        <w:t>באמצעות</w:t>
      </w:r>
      <w:r>
        <w:rPr>
          <w:rtl/>
        </w:rPr>
        <w:t xml:space="preserve"> </w:t>
      </w:r>
      <w:r>
        <w:rPr>
          <w:rFonts w:hint="eastAsia"/>
          <w:rtl/>
        </w:rPr>
        <w:t>ייפוי</w:t>
      </w:r>
      <w:r>
        <w:rPr>
          <w:rtl/>
        </w:rPr>
        <w:t xml:space="preserve"> </w:t>
      </w:r>
      <w:r>
        <w:rPr>
          <w:rFonts w:hint="eastAsia"/>
          <w:rtl/>
        </w:rPr>
        <w:t>כוח</w:t>
      </w:r>
      <w:r>
        <w:rPr>
          <w:rtl/>
        </w:rPr>
        <w:t xml:space="preserve"> </w:t>
      </w:r>
      <w:r>
        <w:rPr>
          <w:rFonts w:hint="eastAsia"/>
          <w:rtl/>
        </w:rPr>
        <w:t>מזויף</w:t>
      </w:r>
      <w:r>
        <w:rPr>
          <w:rtl/>
        </w:rPr>
        <w:t xml:space="preserve">, </w:t>
      </w:r>
      <w:r>
        <w:rPr>
          <w:rFonts w:hint="eastAsia"/>
          <w:rtl/>
        </w:rPr>
        <w:t>שכן</w:t>
      </w:r>
      <w:r>
        <w:rPr>
          <w:rtl/>
        </w:rPr>
        <w:t xml:space="preserve"> </w:t>
      </w:r>
      <w:r>
        <w:rPr>
          <w:rFonts w:hint="eastAsia"/>
          <w:rtl/>
        </w:rPr>
        <w:t>במקרה</w:t>
      </w:r>
      <w:r>
        <w:rPr>
          <w:rtl/>
        </w:rPr>
        <w:t xml:space="preserve"> </w:t>
      </w:r>
      <w:r>
        <w:rPr>
          <w:rFonts w:hint="eastAsia"/>
          <w:rtl/>
        </w:rPr>
        <w:t>כזה</w:t>
      </w:r>
      <w:r>
        <w:rPr>
          <w:rtl/>
        </w:rPr>
        <w:t xml:space="preserve"> </w:t>
      </w:r>
      <w:r>
        <w:rPr>
          <w:rFonts w:hint="eastAsia"/>
          <w:rtl/>
        </w:rPr>
        <w:t>ההסתמכות</w:t>
      </w:r>
      <w:r>
        <w:rPr>
          <w:rtl/>
        </w:rPr>
        <w:t xml:space="preserve"> </w:t>
      </w:r>
      <w:r>
        <w:rPr>
          <w:rFonts w:hint="eastAsia"/>
          <w:rtl/>
        </w:rPr>
        <w:t>היא</w:t>
      </w:r>
      <w:r>
        <w:rPr>
          <w:rtl/>
        </w:rPr>
        <w:t xml:space="preserve"> </w:t>
      </w:r>
      <w:r>
        <w:rPr>
          <w:rFonts w:hint="eastAsia"/>
          <w:rtl/>
        </w:rPr>
        <w:t>על</w:t>
      </w:r>
      <w:r>
        <w:rPr>
          <w:rtl/>
        </w:rPr>
        <w:t xml:space="preserve"> </w:t>
      </w:r>
      <w:r>
        <w:rPr>
          <w:rFonts w:hint="eastAsia"/>
          <w:rtl/>
        </w:rPr>
        <w:t>ייפוי</w:t>
      </w:r>
      <w:r>
        <w:rPr>
          <w:rtl/>
        </w:rPr>
        <w:t xml:space="preserve"> </w:t>
      </w:r>
      <w:r>
        <w:rPr>
          <w:rFonts w:hint="eastAsia"/>
          <w:rtl/>
        </w:rPr>
        <w:t>הכוח</w:t>
      </w:r>
      <w:r>
        <w:rPr>
          <w:rtl/>
        </w:rPr>
        <w:t xml:space="preserve"> </w:t>
      </w:r>
      <w:r>
        <w:rPr>
          <w:rFonts w:hint="eastAsia"/>
          <w:rtl/>
        </w:rPr>
        <w:t>ולא</w:t>
      </w:r>
      <w:r>
        <w:rPr>
          <w:rtl/>
        </w:rPr>
        <w:t xml:space="preserve"> </w:t>
      </w:r>
      <w:r>
        <w:rPr>
          <w:rFonts w:hint="eastAsia"/>
          <w:rtl/>
        </w:rPr>
        <w:t>על</w:t>
      </w:r>
      <w:r>
        <w:rPr>
          <w:rtl/>
        </w:rPr>
        <w:t xml:space="preserve"> </w:t>
      </w:r>
      <w:r>
        <w:rPr>
          <w:rFonts w:hint="eastAsia"/>
          <w:rtl/>
        </w:rPr>
        <w:t>הרישום</w:t>
      </w:r>
      <w:r>
        <w:rPr>
          <w:rtl/>
        </w:rPr>
        <w:t xml:space="preserve"> </w:t>
      </w:r>
      <w:r>
        <w:rPr>
          <w:rFonts w:hint="cs"/>
          <w:rtl/>
        </w:rPr>
        <w:t xml:space="preserve">[...]. </w:t>
      </w:r>
      <w:r>
        <w:rPr>
          <w:rFonts w:hint="eastAsia"/>
          <w:rtl/>
        </w:rPr>
        <w:t>עוד</w:t>
      </w:r>
      <w:r>
        <w:rPr>
          <w:rtl/>
        </w:rPr>
        <w:t xml:space="preserve"> </w:t>
      </w:r>
      <w:r>
        <w:rPr>
          <w:rFonts w:hint="eastAsia"/>
          <w:rtl/>
        </w:rPr>
        <w:t>נפסק</w:t>
      </w:r>
      <w:r>
        <w:rPr>
          <w:rtl/>
        </w:rPr>
        <w:t xml:space="preserve"> </w:t>
      </w:r>
      <w:r>
        <w:rPr>
          <w:rFonts w:hint="eastAsia"/>
          <w:rtl/>
        </w:rPr>
        <w:t>כי</w:t>
      </w:r>
      <w:r>
        <w:rPr>
          <w:rtl/>
        </w:rPr>
        <w:t xml:space="preserve"> </w:t>
      </w:r>
      <w:r>
        <w:rPr>
          <w:rFonts w:hint="eastAsia"/>
          <w:rtl/>
        </w:rPr>
        <w:t>על</w:t>
      </w:r>
      <w:r>
        <w:rPr>
          <w:rtl/>
        </w:rPr>
        <w:t xml:space="preserve"> </w:t>
      </w:r>
      <w:r>
        <w:rPr>
          <w:rFonts w:hint="eastAsia"/>
          <w:rtl/>
        </w:rPr>
        <w:t>מנת</w:t>
      </w:r>
      <w:r>
        <w:rPr>
          <w:rtl/>
        </w:rPr>
        <w:t xml:space="preserve"> </w:t>
      </w:r>
      <w:r>
        <w:rPr>
          <w:rFonts w:hint="eastAsia"/>
          <w:rtl/>
        </w:rPr>
        <w:t>שיוכל</w:t>
      </w:r>
      <w:r>
        <w:rPr>
          <w:rtl/>
        </w:rPr>
        <w:t xml:space="preserve"> </w:t>
      </w:r>
      <w:r>
        <w:rPr>
          <w:rFonts w:hint="eastAsia"/>
          <w:rtl/>
        </w:rPr>
        <w:t>הרוכש</w:t>
      </w:r>
      <w:r>
        <w:rPr>
          <w:rtl/>
        </w:rPr>
        <w:t xml:space="preserve"> </w:t>
      </w:r>
      <w:r>
        <w:rPr>
          <w:rFonts w:hint="eastAsia"/>
          <w:rtl/>
        </w:rPr>
        <w:t>לחסות</w:t>
      </w:r>
      <w:r>
        <w:rPr>
          <w:rtl/>
        </w:rPr>
        <w:t xml:space="preserve"> </w:t>
      </w:r>
      <w:r>
        <w:rPr>
          <w:rFonts w:hint="eastAsia"/>
          <w:rtl/>
        </w:rPr>
        <w:t>תחת</w:t>
      </w:r>
      <w:r>
        <w:rPr>
          <w:rtl/>
        </w:rPr>
        <w:t xml:space="preserve"> </w:t>
      </w:r>
      <w:r>
        <w:rPr>
          <w:rFonts w:hint="eastAsia"/>
          <w:rtl/>
        </w:rPr>
        <w:t>הגנתה</w:t>
      </w:r>
      <w:r>
        <w:rPr>
          <w:rtl/>
        </w:rPr>
        <w:t xml:space="preserve"> </w:t>
      </w:r>
      <w:r>
        <w:rPr>
          <w:rFonts w:hint="eastAsia"/>
          <w:rtl/>
        </w:rPr>
        <w:t>של</w:t>
      </w:r>
      <w:r>
        <w:rPr>
          <w:rtl/>
        </w:rPr>
        <w:t xml:space="preserve"> </w:t>
      </w:r>
      <w:r>
        <w:rPr>
          <w:rFonts w:hint="eastAsia"/>
          <w:rtl/>
        </w:rPr>
        <w:t>תקנת</w:t>
      </w:r>
      <w:r>
        <w:rPr>
          <w:rtl/>
        </w:rPr>
        <w:t xml:space="preserve"> </w:t>
      </w:r>
      <w:r>
        <w:rPr>
          <w:rFonts w:hint="eastAsia"/>
          <w:rtl/>
        </w:rPr>
        <w:t>השוק</w:t>
      </w:r>
      <w:r>
        <w:rPr>
          <w:rtl/>
        </w:rPr>
        <w:t xml:space="preserve"> </w:t>
      </w:r>
      <w:r>
        <w:rPr>
          <w:rFonts w:hint="eastAsia"/>
          <w:rtl/>
        </w:rPr>
        <w:t>יש</w:t>
      </w:r>
      <w:r>
        <w:rPr>
          <w:rtl/>
        </w:rPr>
        <w:t xml:space="preserve"> </w:t>
      </w:r>
      <w:r>
        <w:rPr>
          <w:rFonts w:hint="eastAsia"/>
          <w:rtl/>
        </w:rPr>
        <w:t>צורך</w:t>
      </w:r>
      <w:r>
        <w:rPr>
          <w:rtl/>
        </w:rPr>
        <w:t xml:space="preserve"> </w:t>
      </w:r>
      <w:r>
        <w:rPr>
          <w:rFonts w:hint="eastAsia"/>
          <w:rtl/>
        </w:rPr>
        <w:t>כי</w:t>
      </w:r>
      <w:r>
        <w:rPr>
          <w:rtl/>
        </w:rPr>
        <w:t xml:space="preserve"> </w:t>
      </w:r>
      <w:r>
        <w:rPr>
          <w:rFonts w:hint="eastAsia"/>
          <w:rtl/>
        </w:rPr>
        <w:t>הרכישה</w:t>
      </w:r>
      <w:r>
        <w:rPr>
          <w:rtl/>
        </w:rPr>
        <w:t xml:space="preserve"> </w:t>
      </w:r>
      <w:r>
        <w:rPr>
          <w:rFonts w:hint="eastAsia"/>
          <w:rtl/>
        </w:rPr>
        <w:t>תושלם</w:t>
      </w:r>
      <w:r>
        <w:rPr>
          <w:rtl/>
        </w:rPr>
        <w:t xml:space="preserve"> </w:t>
      </w:r>
      <w:r>
        <w:rPr>
          <w:rFonts w:hint="eastAsia"/>
          <w:rtl/>
        </w:rPr>
        <w:t>ברישום</w:t>
      </w:r>
      <w:r>
        <w:rPr>
          <w:rtl/>
        </w:rPr>
        <w:t xml:space="preserve"> </w:t>
      </w:r>
      <w:r>
        <w:rPr>
          <w:rFonts w:hint="eastAsia"/>
          <w:rtl/>
        </w:rPr>
        <w:t>הזכות</w:t>
      </w:r>
      <w:r>
        <w:rPr>
          <w:rtl/>
        </w:rPr>
        <w:t xml:space="preserve"> </w:t>
      </w:r>
      <w:r>
        <w:rPr>
          <w:rFonts w:hint="eastAsia"/>
          <w:rtl/>
        </w:rPr>
        <w:t>הנרכשת</w:t>
      </w:r>
      <w:r>
        <w:rPr>
          <w:rtl/>
        </w:rPr>
        <w:t xml:space="preserve"> </w:t>
      </w:r>
      <w:r>
        <w:rPr>
          <w:rFonts w:hint="eastAsia"/>
          <w:rtl/>
        </w:rPr>
        <w:t>על</w:t>
      </w:r>
      <w:r>
        <w:rPr>
          <w:rtl/>
        </w:rPr>
        <w:t xml:space="preserve"> </w:t>
      </w:r>
      <w:r>
        <w:rPr>
          <w:rFonts w:hint="eastAsia"/>
          <w:rtl/>
        </w:rPr>
        <w:t>שמו</w:t>
      </w:r>
      <w:r>
        <w:rPr>
          <w:rtl/>
        </w:rPr>
        <w:t xml:space="preserve"> </w:t>
      </w:r>
      <w:r>
        <w:rPr>
          <w:rFonts w:hint="eastAsia"/>
          <w:rtl/>
        </w:rPr>
        <w:t>ואין</w:t>
      </w:r>
      <w:r>
        <w:rPr>
          <w:rtl/>
        </w:rPr>
        <w:t xml:space="preserve"> </w:t>
      </w:r>
      <w:r>
        <w:rPr>
          <w:rFonts w:hint="eastAsia"/>
          <w:rtl/>
        </w:rPr>
        <w:t>די</w:t>
      </w:r>
      <w:r>
        <w:rPr>
          <w:rtl/>
        </w:rPr>
        <w:t xml:space="preserve"> </w:t>
      </w:r>
      <w:r>
        <w:rPr>
          <w:rFonts w:hint="eastAsia"/>
          <w:rtl/>
        </w:rPr>
        <w:t>בהתחייבות</w:t>
      </w:r>
      <w:r>
        <w:rPr>
          <w:rtl/>
        </w:rPr>
        <w:t xml:space="preserve"> </w:t>
      </w:r>
      <w:r>
        <w:rPr>
          <w:rFonts w:hint="eastAsia"/>
          <w:rtl/>
        </w:rPr>
        <w:t>אובליגטורית</w:t>
      </w:r>
      <w:r>
        <w:rPr>
          <w:rtl/>
        </w:rPr>
        <w:t xml:space="preserve"> </w:t>
      </w:r>
      <w:r>
        <w:rPr>
          <w:rFonts w:hint="eastAsia"/>
          <w:rtl/>
        </w:rPr>
        <w:t>בלא</w:t>
      </w:r>
      <w:r>
        <w:rPr>
          <w:rtl/>
        </w:rPr>
        <w:t xml:space="preserve"> </w:t>
      </w:r>
      <w:r>
        <w:rPr>
          <w:rFonts w:hint="eastAsia"/>
          <w:rtl/>
        </w:rPr>
        <w:t>הקניה</w:t>
      </w:r>
      <w:r>
        <w:rPr>
          <w:rtl/>
        </w:rPr>
        <w:t xml:space="preserve"> </w:t>
      </w:r>
      <w:r>
        <w:rPr>
          <w:rFonts w:hint="cs"/>
          <w:rtl/>
        </w:rPr>
        <w:t xml:space="preserve">[...] </w:t>
      </w:r>
      <w:r>
        <w:rPr>
          <w:rFonts w:hint="eastAsia"/>
          <w:rtl/>
        </w:rPr>
        <w:t>הפסיקה</w:t>
      </w:r>
      <w:r>
        <w:rPr>
          <w:rtl/>
        </w:rPr>
        <w:t xml:space="preserve"> </w:t>
      </w:r>
      <w:r>
        <w:rPr>
          <w:rFonts w:hint="eastAsia"/>
          <w:rtl/>
        </w:rPr>
        <w:t>הוסיפה</w:t>
      </w:r>
      <w:r>
        <w:rPr>
          <w:rtl/>
        </w:rPr>
        <w:t xml:space="preserve"> </w:t>
      </w:r>
      <w:r>
        <w:rPr>
          <w:rFonts w:hint="eastAsia"/>
          <w:rtl/>
        </w:rPr>
        <w:t>וקבעה</w:t>
      </w:r>
      <w:r>
        <w:rPr>
          <w:rtl/>
        </w:rPr>
        <w:t xml:space="preserve"> </w:t>
      </w:r>
      <w:r>
        <w:rPr>
          <w:rFonts w:hint="eastAsia"/>
          <w:rtl/>
        </w:rPr>
        <w:t>כי</w:t>
      </w:r>
      <w:r>
        <w:rPr>
          <w:rtl/>
        </w:rPr>
        <w:t xml:space="preserve"> </w:t>
      </w:r>
      <w:r>
        <w:rPr>
          <w:rFonts w:hint="eastAsia"/>
          <w:rtl/>
        </w:rPr>
        <w:t>לצורך</w:t>
      </w:r>
      <w:r>
        <w:rPr>
          <w:rtl/>
        </w:rPr>
        <w:t xml:space="preserve"> </w:t>
      </w:r>
      <w:r>
        <w:rPr>
          <w:rFonts w:hint="eastAsia"/>
          <w:rtl/>
        </w:rPr>
        <w:t>הגנת</w:t>
      </w:r>
      <w:r>
        <w:rPr>
          <w:rtl/>
        </w:rPr>
        <w:t xml:space="preserve"> </w:t>
      </w:r>
      <w:r>
        <w:rPr>
          <w:rFonts w:hint="eastAsia"/>
          <w:rtl/>
        </w:rPr>
        <w:t>תקנת</w:t>
      </w:r>
      <w:r>
        <w:rPr>
          <w:rtl/>
        </w:rPr>
        <w:t xml:space="preserve"> </w:t>
      </w:r>
      <w:r>
        <w:rPr>
          <w:rFonts w:hint="eastAsia"/>
          <w:rtl/>
        </w:rPr>
        <w:t>השוק</w:t>
      </w:r>
      <w:r>
        <w:rPr>
          <w:rtl/>
        </w:rPr>
        <w:t xml:space="preserve"> </w:t>
      </w:r>
      <w:r>
        <w:rPr>
          <w:rFonts w:hint="eastAsia"/>
          <w:rtl/>
        </w:rPr>
        <w:t>נדרש</w:t>
      </w:r>
      <w:r>
        <w:rPr>
          <w:rtl/>
        </w:rPr>
        <w:t xml:space="preserve"> </w:t>
      </w:r>
      <w:r>
        <w:rPr>
          <w:rFonts w:hint="eastAsia"/>
          <w:rtl/>
        </w:rPr>
        <w:t>קיום</w:t>
      </w:r>
      <w:r>
        <w:rPr>
          <w:rtl/>
        </w:rPr>
        <w:t xml:space="preserve"> </w:t>
      </w:r>
      <w:r>
        <w:rPr>
          <w:rFonts w:hint="eastAsia"/>
          <w:rtl/>
        </w:rPr>
        <w:t>מתמשך</w:t>
      </w:r>
      <w:r>
        <w:rPr>
          <w:rtl/>
        </w:rPr>
        <w:t xml:space="preserve"> </w:t>
      </w:r>
      <w:r>
        <w:rPr>
          <w:rFonts w:hint="eastAsia"/>
          <w:rtl/>
        </w:rPr>
        <w:t>של</w:t>
      </w:r>
      <w:r>
        <w:rPr>
          <w:rtl/>
        </w:rPr>
        <w:t xml:space="preserve"> </w:t>
      </w:r>
      <w:r>
        <w:rPr>
          <w:rFonts w:hint="eastAsia"/>
          <w:rtl/>
        </w:rPr>
        <w:t>תום</w:t>
      </w:r>
      <w:r>
        <w:rPr>
          <w:rtl/>
        </w:rPr>
        <w:t xml:space="preserve"> </w:t>
      </w:r>
      <w:r>
        <w:rPr>
          <w:rFonts w:hint="eastAsia"/>
          <w:rtl/>
        </w:rPr>
        <w:t>הלב</w:t>
      </w:r>
      <w:r>
        <w:rPr>
          <w:rtl/>
        </w:rPr>
        <w:t xml:space="preserve"> </w:t>
      </w:r>
      <w:r>
        <w:rPr>
          <w:rFonts w:hint="eastAsia"/>
          <w:rtl/>
        </w:rPr>
        <w:t>עד</w:t>
      </w:r>
      <w:r>
        <w:rPr>
          <w:rtl/>
        </w:rPr>
        <w:t xml:space="preserve"> </w:t>
      </w:r>
      <w:r>
        <w:rPr>
          <w:rFonts w:hint="eastAsia"/>
          <w:rtl/>
        </w:rPr>
        <w:t>למועד</w:t>
      </w:r>
      <w:r>
        <w:rPr>
          <w:rtl/>
        </w:rPr>
        <w:t xml:space="preserve"> </w:t>
      </w:r>
      <w:r>
        <w:rPr>
          <w:rFonts w:hint="eastAsia"/>
          <w:rtl/>
        </w:rPr>
        <w:t>רישום</w:t>
      </w:r>
      <w:r>
        <w:rPr>
          <w:rtl/>
        </w:rPr>
        <w:t xml:space="preserve"> </w:t>
      </w:r>
      <w:r>
        <w:rPr>
          <w:rFonts w:hint="eastAsia"/>
          <w:rtl/>
        </w:rPr>
        <w:t>הזכות</w:t>
      </w:r>
      <w:r>
        <w:rPr>
          <w:rtl/>
        </w:rPr>
        <w:t xml:space="preserve"> </w:t>
      </w:r>
      <w:r>
        <w:rPr>
          <w:rFonts w:hint="eastAsia"/>
          <w:rtl/>
        </w:rPr>
        <w:t>במרשם</w:t>
      </w:r>
      <w:r>
        <w:rPr>
          <w:rtl/>
        </w:rPr>
        <w:t xml:space="preserve"> </w:t>
      </w:r>
      <w:r>
        <w:rPr>
          <w:rFonts w:hint="eastAsia"/>
          <w:rtl/>
        </w:rPr>
        <w:t>המקרקעין</w:t>
      </w:r>
      <w:r>
        <w:rPr>
          <w:rtl/>
        </w:rPr>
        <w:t xml:space="preserve"> </w:t>
      </w:r>
      <w:r>
        <w:rPr>
          <w:rFonts w:hint="eastAsia"/>
          <w:rtl/>
        </w:rPr>
        <w:t>על</w:t>
      </w:r>
      <w:r>
        <w:rPr>
          <w:rtl/>
        </w:rPr>
        <w:t xml:space="preserve"> </w:t>
      </w:r>
      <w:r>
        <w:rPr>
          <w:rFonts w:hint="eastAsia"/>
          <w:rtl/>
        </w:rPr>
        <w:t>שם</w:t>
      </w:r>
      <w:r>
        <w:rPr>
          <w:rtl/>
        </w:rPr>
        <w:t xml:space="preserve"> </w:t>
      </w:r>
      <w:r>
        <w:rPr>
          <w:rFonts w:hint="eastAsia"/>
          <w:rtl/>
        </w:rPr>
        <w:t>הרוכש</w:t>
      </w:r>
      <w:r>
        <w:rPr>
          <w:rtl/>
        </w:rPr>
        <w:t xml:space="preserve"> </w:t>
      </w:r>
      <w:r>
        <w:rPr>
          <w:rFonts w:hint="cs"/>
          <w:rtl/>
        </w:rPr>
        <w:t xml:space="preserve">[...]" (עניין </w:t>
      </w:r>
      <w:r>
        <w:rPr>
          <w:rFonts w:ascii="Century" w:hAnsi="Century" w:cs="Miriam" w:hint="cs"/>
          <w:b/>
          <w:spacing w:val="0"/>
          <w:szCs w:val="24"/>
          <w:rtl/>
        </w:rPr>
        <w:t>להיגי</w:t>
      </w:r>
      <w:r>
        <w:rPr>
          <w:rFonts w:ascii="Century" w:hAnsi="Century" w:hint="cs"/>
          <w:rtl/>
        </w:rPr>
        <w:t>, בעמ' 871-870</w:t>
      </w:r>
      <w:r>
        <w:rPr>
          <w:rFonts w:hint="cs"/>
          <w:rtl/>
        </w:rPr>
        <w:t xml:space="preserve">). </w:t>
      </w:r>
    </w:p>
    <w:p w:rsidR="004C7127" w:rsidRPr="0030534F" w:rsidRDefault="004C7127" w:rsidP="004C7127">
      <w:pPr>
        <w:pStyle w:val="Ruller41"/>
        <w:jc w:val="center"/>
      </w:pPr>
    </w:p>
    <w:p w:rsidR="004C7127" w:rsidRDefault="004C7127" w:rsidP="004C7127">
      <w:pPr>
        <w:pStyle w:val="Ruller4"/>
        <w:numPr>
          <w:ilvl w:val="0"/>
          <w:numId w:val="0"/>
        </w:numPr>
        <w:rPr>
          <w:rtl/>
        </w:rPr>
      </w:pPr>
      <w:r>
        <w:rPr>
          <w:rtl/>
        </w:rPr>
        <w:tab/>
      </w:r>
      <w:r>
        <w:rPr>
          <w:rFonts w:hint="cs"/>
          <w:rtl/>
        </w:rPr>
        <w:t xml:space="preserve">כך בתקנת השוק במקרקעין, ובדומה גם בתקנות שוק אחרות (ראו למשל בנוגע לתקנת השוק במיטלטלין בסעיף 34 לחוק המכר, התשכ"ח-1968 (להלן: </w:t>
      </w:r>
      <w:r w:rsidRPr="00883E65">
        <w:rPr>
          <w:rFonts w:ascii="Century" w:hAnsi="Century" w:cs="Miriam" w:hint="cs"/>
          <w:b/>
          <w:spacing w:val="0"/>
          <w:sz w:val="22"/>
          <w:szCs w:val="24"/>
          <w:rtl/>
        </w:rPr>
        <w:t>חוק המכר</w:t>
      </w:r>
      <w:r>
        <w:rPr>
          <w:rFonts w:hint="cs"/>
          <w:rtl/>
        </w:rPr>
        <w:t xml:space="preserve">) את ההכרעה בעניין </w:t>
      </w:r>
      <w:r>
        <w:rPr>
          <w:rFonts w:ascii="Century" w:hAnsi="Century" w:cs="Miriam" w:hint="cs"/>
          <w:b/>
          <w:spacing w:val="0"/>
          <w:sz w:val="22"/>
          <w:szCs w:val="24"/>
          <w:rtl/>
        </w:rPr>
        <w:t>כנען</w:t>
      </w:r>
      <w:r>
        <w:rPr>
          <w:rFonts w:ascii="Century" w:hAnsi="Century" w:hint="cs"/>
          <w:sz w:val="22"/>
          <w:rtl/>
        </w:rPr>
        <w:t xml:space="preserve">; וביחס לסעיף 17 בחוק נכסי נפקדים בעניין </w:t>
      </w:r>
      <w:r>
        <w:rPr>
          <w:rFonts w:ascii="Century" w:hAnsi="Century" w:cs="Miriam" w:hint="cs"/>
          <w:b/>
          <w:spacing w:val="0"/>
          <w:sz w:val="22"/>
          <w:szCs w:val="24"/>
          <w:rtl/>
        </w:rPr>
        <w:t>מירזה</w:t>
      </w:r>
      <w:r>
        <w:rPr>
          <w:rFonts w:ascii="Century" w:hAnsi="Century" w:hint="cs"/>
          <w:sz w:val="22"/>
          <w:rtl/>
        </w:rPr>
        <w:t>, בעמ' 1467</w:t>
      </w:r>
      <w:r>
        <w:rPr>
          <w:rFonts w:hint="cs"/>
          <w:rtl/>
        </w:rPr>
        <w:t xml:space="preserve">). דברים אלה יפים בעיני גם בכל הנוגע ל"מעין תקנת השוק" שקבועה בסעיף 5, בפרט בשים לב לאמור לעיל בקו המנחה הראשון. </w:t>
      </w:r>
    </w:p>
    <w:p w:rsidR="004C7127" w:rsidRPr="0030534F" w:rsidRDefault="004C7127" w:rsidP="004C7127">
      <w:pPr>
        <w:pStyle w:val="Ruller41"/>
      </w:pPr>
    </w:p>
    <w:p w:rsidR="004C7127" w:rsidRPr="00C01039" w:rsidRDefault="004C7127" w:rsidP="004C7127">
      <w:pPr>
        <w:pStyle w:val="1"/>
        <w:spacing w:before="0"/>
        <w:rPr>
          <w:rFonts w:ascii="Century" w:hAnsi="Century" w:cs="Miriam"/>
          <w:b/>
          <w:color w:val="auto"/>
          <w:spacing w:val="0"/>
          <w:sz w:val="22"/>
          <w:szCs w:val="24"/>
          <w:rtl/>
        </w:rPr>
      </w:pPr>
      <w:r>
        <w:rPr>
          <w:rFonts w:ascii="Century" w:hAnsi="Century" w:cs="Miriam" w:hint="cs"/>
          <w:b/>
          <w:color w:val="auto"/>
          <w:spacing w:val="0"/>
          <w:sz w:val="22"/>
          <w:szCs w:val="24"/>
          <w:rtl/>
        </w:rPr>
        <w:t xml:space="preserve">קו מנחה שלישי: </w:t>
      </w:r>
      <w:r w:rsidRPr="00C01039">
        <w:rPr>
          <w:rFonts w:ascii="Century" w:hAnsi="Century" w:cs="Miriam" w:hint="cs"/>
          <w:b/>
          <w:color w:val="auto"/>
          <w:spacing w:val="0"/>
          <w:sz w:val="22"/>
          <w:szCs w:val="24"/>
          <w:rtl/>
        </w:rPr>
        <w:t>הסדרי תקנת שוק</w:t>
      </w:r>
      <w:r>
        <w:rPr>
          <w:rFonts w:ascii="Century" w:hAnsi="Century" w:cs="Miriam" w:hint="cs"/>
          <w:b/>
          <w:color w:val="auto"/>
          <w:spacing w:val="0"/>
          <w:sz w:val="22"/>
          <w:szCs w:val="24"/>
          <w:rtl/>
        </w:rPr>
        <w:t xml:space="preserve"> אחרים</w:t>
      </w:r>
      <w:r w:rsidRPr="00C01039">
        <w:rPr>
          <w:rFonts w:ascii="Century" w:hAnsi="Century" w:cs="Miriam" w:hint="cs"/>
          <w:b/>
          <w:color w:val="auto"/>
          <w:spacing w:val="0"/>
          <w:sz w:val="22"/>
          <w:szCs w:val="24"/>
          <w:rtl/>
        </w:rPr>
        <w:t xml:space="preserve"> </w:t>
      </w:r>
      <w:r w:rsidRPr="00C01039">
        <w:rPr>
          <w:rFonts w:ascii="Century" w:hAnsi="Century" w:cs="Miriam"/>
          <w:b/>
          <w:color w:val="auto"/>
          <w:spacing w:val="0"/>
          <w:sz w:val="22"/>
          <w:szCs w:val="24"/>
          <w:rtl/>
        </w:rPr>
        <w:t>–</w:t>
      </w:r>
      <w:r w:rsidRPr="00C01039">
        <w:rPr>
          <w:rFonts w:ascii="Century" w:hAnsi="Century" w:cs="Miriam" w:hint="cs"/>
          <w:b/>
          <w:color w:val="auto"/>
          <w:spacing w:val="0"/>
          <w:sz w:val="22"/>
          <w:szCs w:val="24"/>
          <w:rtl/>
        </w:rPr>
        <w:t xml:space="preserve"> האם ומה ניתן ללמוד מהם?</w:t>
      </w:r>
    </w:p>
    <w:p w:rsidR="004C7127" w:rsidRDefault="004C7127" w:rsidP="004C7127">
      <w:pPr>
        <w:ind w:left="360"/>
        <w:rPr>
          <w:sz w:val="22"/>
          <w:rtl/>
        </w:rPr>
      </w:pPr>
    </w:p>
    <w:p w:rsidR="004C7127" w:rsidRDefault="004C7127" w:rsidP="004C7127">
      <w:pPr>
        <w:pStyle w:val="Ruller4"/>
      </w:pPr>
      <w:r>
        <w:rPr>
          <w:rFonts w:hint="cs"/>
          <w:rtl/>
        </w:rPr>
        <w:t xml:space="preserve">הקו המנחה האחרון נוגע לשאלה באיזו מידה ניתן ללמוד </w:t>
      </w:r>
      <w:r>
        <w:rPr>
          <w:rtl/>
        </w:rPr>
        <w:t>–</w:t>
      </w:r>
      <w:r>
        <w:rPr>
          <w:rFonts w:hint="cs"/>
          <w:rtl/>
        </w:rPr>
        <w:t xml:space="preserve"> במישרין או בהיקש </w:t>
      </w:r>
      <w:r>
        <w:rPr>
          <w:rtl/>
        </w:rPr>
        <w:t>–</w:t>
      </w:r>
      <w:r>
        <w:rPr>
          <w:rFonts w:hint="cs"/>
          <w:rtl/>
        </w:rPr>
        <w:t xml:space="preserve"> מהסדרי תקנת שוק אחרים, מהפסיקה הקיימת בעניינם ומספרות מלומדים שנוגעת אליהם. עמדות הצדדים בהקשר זה היו שונות בתכלית </w:t>
      </w:r>
      <w:r>
        <w:rPr>
          <w:rtl/>
        </w:rPr>
        <w:t>–</w:t>
      </w:r>
      <w:r>
        <w:rPr>
          <w:rFonts w:hint="cs"/>
          <w:rtl/>
        </w:rPr>
        <w:t xml:space="preserve"> כשהמחזיקים טוענים שאין מקום להבחין בין ההסדר בסעיף 5 לבין תקנות שוק שנקבעו בחוקים אחרים (ראו למשל, סעיף 6 להשלמת הטיעון של המשיבים 23-4; סעיף 11 להשלמת הטיעון של המשיבים 39-24); ואילו המשיבים 3-1 (כמו גם המבקשים להצטרף) טוענים שסעיף 5 אינו הסדר תקנת שוק, וככל שייקבע שכן </w:t>
      </w:r>
      <w:r>
        <w:rPr>
          <w:rtl/>
        </w:rPr>
        <w:t>–</w:t>
      </w:r>
      <w:r>
        <w:rPr>
          <w:rFonts w:hint="cs"/>
          <w:rtl/>
        </w:rPr>
        <w:t xml:space="preserve"> אין הוא דומה לראיה להסדרים שבחוקים אחרים (וראו בהקשר זה גם את גישותיהם של חגי ויניצקי ורונית לוין-שנור, כפי שהובאו במאמריהם: </w:t>
      </w:r>
      <w:r>
        <w:rPr>
          <w:rFonts w:ascii="Century" w:hAnsi="Century" w:hint="cs"/>
          <w:sz w:val="22"/>
          <w:rtl/>
        </w:rPr>
        <w:t xml:space="preserve">חגי ויניצקי "תקנת השוק בעסקאות עם הממונה על הרכוש הממשלתי ביהודה ושומרון" </w:t>
      </w:r>
      <w:r>
        <w:rPr>
          <w:rFonts w:ascii="Century" w:hAnsi="Century" w:cs="Miriam" w:hint="cs"/>
          <w:b/>
          <w:spacing w:val="0"/>
          <w:sz w:val="22"/>
          <w:szCs w:val="24"/>
          <w:rtl/>
        </w:rPr>
        <w:t xml:space="preserve">משפטים </w:t>
      </w:r>
      <w:r>
        <w:rPr>
          <w:rFonts w:ascii="Century" w:hAnsi="Century" w:hint="cs"/>
          <w:sz w:val="22"/>
          <w:rtl/>
        </w:rPr>
        <w:t xml:space="preserve">נ(2) 359 (2020) (להלן: </w:t>
      </w:r>
      <w:r w:rsidRPr="005870BB">
        <w:rPr>
          <w:rFonts w:ascii="Century" w:hAnsi="Century" w:cs="Miriam" w:hint="cs"/>
          <w:b/>
          <w:spacing w:val="0"/>
          <w:sz w:val="22"/>
          <w:szCs w:val="24"/>
          <w:rtl/>
        </w:rPr>
        <w:t>ויניצקי, תקנת השוק</w:t>
      </w:r>
      <w:r>
        <w:rPr>
          <w:rFonts w:ascii="Century" w:hAnsi="Century" w:hint="cs"/>
          <w:sz w:val="22"/>
          <w:rtl/>
        </w:rPr>
        <w:t xml:space="preserve">); </w:t>
      </w:r>
      <w:r>
        <w:rPr>
          <w:rFonts w:hint="cs"/>
          <w:rtl/>
        </w:rPr>
        <w:t>לוין-שנור, ללא תקנה).</w:t>
      </w:r>
    </w:p>
    <w:p w:rsidR="004C7127" w:rsidRDefault="004C7127" w:rsidP="004C7127">
      <w:pPr>
        <w:pStyle w:val="Ruller4"/>
        <w:numPr>
          <w:ilvl w:val="0"/>
          <w:numId w:val="0"/>
        </w:numPr>
      </w:pPr>
    </w:p>
    <w:p w:rsidR="004C7127" w:rsidRDefault="004C7127" w:rsidP="004C7127">
      <w:pPr>
        <w:pStyle w:val="Ruller4"/>
      </w:pPr>
      <w:r>
        <w:rPr>
          <w:rFonts w:hint="cs"/>
          <w:rtl/>
        </w:rPr>
        <w:t xml:space="preserve">בבסיס ההסדר שקבוע בסעיף 5 שלושה יסודות: הראשון, קיומה של עסקה בנכס בין הממונה לבין אדם אחר; השני, כי העסקה תיעשה בתום לב; והשלישי, כי מדובר </w:t>
      </w:r>
      <w:r>
        <w:rPr>
          <w:rFonts w:hint="cs"/>
          <w:rtl/>
        </w:rPr>
        <w:lastRenderedPageBreak/>
        <w:t xml:space="preserve">בנכס "שהממונה חשבו בשעת העיסקה לרכוש ממשלתי". אכן, אין לכחד, יסודות סעיף 5 "מזכירים" יסודות שמאפיינים הסדרים חוקיים אחרים של תקנת שוק (וראו את הסקירה אצל אבי וינרוט </w:t>
      </w:r>
      <w:r w:rsidRPr="009C2F83">
        <w:rPr>
          <w:rFonts w:cs="Miriam" w:hint="cs"/>
          <w:b/>
          <w:szCs w:val="24"/>
          <w:rtl/>
        </w:rPr>
        <w:t>דיני קניין</w:t>
      </w:r>
      <w:r>
        <w:rPr>
          <w:rFonts w:hint="cs"/>
          <w:rtl/>
        </w:rPr>
        <w:t xml:space="preserve"> מעמ' 231 (2020); מיגל דויטש </w:t>
      </w:r>
      <w:r>
        <w:rPr>
          <w:rFonts w:ascii="Century" w:hAnsi="Century" w:cs="Miriam" w:hint="cs"/>
          <w:b/>
          <w:spacing w:val="0"/>
          <w:sz w:val="22"/>
          <w:szCs w:val="24"/>
          <w:rtl/>
        </w:rPr>
        <w:t xml:space="preserve">קניין </w:t>
      </w:r>
      <w:r>
        <w:rPr>
          <w:rFonts w:ascii="Century" w:hAnsi="Century" w:hint="cs"/>
          <w:sz w:val="22"/>
          <w:rtl/>
        </w:rPr>
        <w:t xml:space="preserve">כרך ג, 183 (2006) (להלן: </w:t>
      </w:r>
      <w:r>
        <w:rPr>
          <w:rFonts w:ascii="Century" w:hAnsi="Century" w:cs="Miriam" w:hint="cs"/>
          <w:b/>
          <w:spacing w:val="0"/>
          <w:sz w:val="22"/>
          <w:szCs w:val="24"/>
          <w:rtl/>
        </w:rPr>
        <w:t>דויטש, כרך ג</w:t>
      </w:r>
      <w:r>
        <w:rPr>
          <w:rFonts w:ascii="Century" w:hAnsi="Century" w:hint="cs"/>
          <w:sz w:val="22"/>
          <w:rtl/>
        </w:rPr>
        <w:t>)</w:t>
      </w:r>
      <w:r>
        <w:rPr>
          <w:rFonts w:hint="cs"/>
          <w:rtl/>
        </w:rPr>
        <w:t xml:space="preserve">). זאת ועוד, הסעיף מסדיר, כהסדרים אחרים של תקנת שוק, עימות משפטי בין שני צדדים זרים (הבעלים המקורי וצד "רחוק") שמתחרים על השימוש באותו משאב משפטי, כשהטוען המאוחר לזכות מתנגש בזכות קניין מלאה (דגן, בעמ' 201-200, 263; כן ראו באופן כללי: </w:t>
      </w:r>
      <w:r w:rsidRPr="007F0250">
        <w:rPr>
          <w:rFonts w:ascii="Century" w:hAnsi="Century" w:cs="Miriam"/>
          <w:bCs/>
          <w:spacing w:val="0"/>
          <w:sz w:val="22"/>
          <w:szCs w:val="24"/>
        </w:rPr>
        <w:t xml:space="preserve">Menachem Mautner, </w:t>
      </w:r>
      <w:r w:rsidRPr="00B907A1">
        <w:rPr>
          <w:rFonts w:ascii="Century" w:hAnsi="Century" w:cs="Miriam"/>
          <w:bCs/>
          <w:i/>
          <w:iCs/>
          <w:spacing w:val="0"/>
          <w:sz w:val="22"/>
          <w:szCs w:val="24"/>
        </w:rPr>
        <w:t>"The Eternal Triangles of the Law": Toward a Theory of Priorities in Conflicts Involving Remote Parties</w:t>
      </w:r>
      <w:r w:rsidRPr="007F0250">
        <w:rPr>
          <w:rFonts w:ascii="Century" w:hAnsi="Century" w:cs="Miriam"/>
          <w:bCs/>
          <w:spacing w:val="0"/>
          <w:sz w:val="22"/>
          <w:szCs w:val="24"/>
        </w:rPr>
        <w:t xml:space="preserve">, 90 </w:t>
      </w:r>
      <w:r w:rsidRPr="007F0250">
        <w:rPr>
          <w:rFonts w:ascii="Century" w:hAnsi="Century" w:cs="Miriam"/>
          <w:bCs/>
          <w:smallCaps/>
          <w:spacing w:val="0"/>
          <w:sz w:val="22"/>
          <w:szCs w:val="24"/>
        </w:rPr>
        <w:t>Mich. L. Rev.</w:t>
      </w:r>
      <w:r w:rsidRPr="007F0250">
        <w:rPr>
          <w:rFonts w:ascii="Century" w:hAnsi="Century" w:cs="Miriam"/>
          <w:bCs/>
          <w:spacing w:val="0"/>
          <w:sz w:val="22"/>
          <w:szCs w:val="24"/>
        </w:rPr>
        <w:t xml:space="preserve"> 95 (1991)</w:t>
      </w:r>
      <w:r>
        <w:rPr>
          <w:rFonts w:hint="cs"/>
          <w:rtl/>
        </w:rPr>
        <w:t>). כמו כן, לשונו של סעיף 5 דומה עד מאוד ללשונן של תקנות שוק, ובפרט, דומה היא להסדר שקבוע בסעיף 17 לחוק נכסי נפקדים ולהסדר שקבוע בסעיף 16 לחוק האפוטרופוס הכללי (אציין כבר עתה כי סעיפים 11-10 לחוק נכסי גרמנים, התש"י-1950 וסעיף 70 ל</w:t>
      </w:r>
      <w:r w:rsidRPr="00210943">
        <w:rPr>
          <w:rFonts w:hint="eastAsia"/>
          <w:rtl/>
        </w:rPr>
        <w:t>חוק</w:t>
      </w:r>
      <w:r w:rsidRPr="00210943">
        <w:rPr>
          <w:rtl/>
        </w:rPr>
        <w:t xml:space="preserve"> </w:t>
      </w:r>
      <w:r w:rsidRPr="00210943">
        <w:rPr>
          <w:rFonts w:hint="eastAsia"/>
          <w:rtl/>
        </w:rPr>
        <w:t>נכסים</w:t>
      </w:r>
      <w:r w:rsidRPr="00210943">
        <w:rPr>
          <w:rtl/>
        </w:rPr>
        <w:t xml:space="preserve"> </w:t>
      </w:r>
      <w:r w:rsidRPr="00210943">
        <w:rPr>
          <w:rFonts w:hint="eastAsia"/>
          <w:rtl/>
        </w:rPr>
        <w:t>של</w:t>
      </w:r>
      <w:r w:rsidRPr="00210943">
        <w:rPr>
          <w:rtl/>
        </w:rPr>
        <w:t xml:space="preserve"> </w:t>
      </w:r>
      <w:r w:rsidRPr="00210943">
        <w:rPr>
          <w:rFonts w:hint="eastAsia"/>
          <w:rtl/>
        </w:rPr>
        <w:t>נספי</w:t>
      </w:r>
      <w:r w:rsidRPr="00210943">
        <w:rPr>
          <w:rtl/>
        </w:rPr>
        <w:t xml:space="preserve"> </w:t>
      </w:r>
      <w:r w:rsidRPr="00210943">
        <w:rPr>
          <w:rFonts w:hint="eastAsia"/>
          <w:rtl/>
        </w:rPr>
        <w:t>השואה</w:t>
      </w:r>
      <w:r w:rsidRPr="00210943">
        <w:rPr>
          <w:rtl/>
        </w:rPr>
        <w:t xml:space="preserve"> (</w:t>
      </w:r>
      <w:r w:rsidRPr="00210943">
        <w:rPr>
          <w:rFonts w:hint="eastAsia"/>
          <w:rtl/>
        </w:rPr>
        <w:t>השבה</w:t>
      </w:r>
      <w:r w:rsidRPr="00210943">
        <w:rPr>
          <w:rtl/>
        </w:rPr>
        <w:t xml:space="preserve"> </w:t>
      </w:r>
      <w:r w:rsidRPr="00210943">
        <w:rPr>
          <w:rFonts w:hint="eastAsia"/>
          <w:rtl/>
        </w:rPr>
        <w:t>ליורשים</w:t>
      </w:r>
      <w:r w:rsidRPr="00210943">
        <w:rPr>
          <w:rtl/>
        </w:rPr>
        <w:t xml:space="preserve"> </w:t>
      </w:r>
      <w:r w:rsidRPr="00210943">
        <w:rPr>
          <w:rFonts w:hint="eastAsia"/>
          <w:rtl/>
        </w:rPr>
        <w:t>והקדשה</w:t>
      </w:r>
      <w:r w:rsidRPr="00210943">
        <w:rPr>
          <w:rtl/>
        </w:rPr>
        <w:t xml:space="preserve"> </w:t>
      </w:r>
      <w:r w:rsidRPr="00210943">
        <w:rPr>
          <w:rFonts w:hint="eastAsia"/>
          <w:rtl/>
        </w:rPr>
        <w:t>למטרות</w:t>
      </w:r>
      <w:r w:rsidRPr="00210943">
        <w:rPr>
          <w:rtl/>
        </w:rPr>
        <w:t xml:space="preserve"> </w:t>
      </w:r>
      <w:r w:rsidRPr="00210943">
        <w:rPr>
          <w:rFonts w:hint="eastAsia"/>
          <w:rtl/>
        </w:rPr>
        <w:t>סיוע</w:t>
      </w:r>
      <w:r w:rsidRPr="00210943">
        <w:rPr>
          <w:rtl/>
        </w:rPr>
        <w:t xml:space="preserve"> </w:t>
      </w:r>
      <w:r w:rsidRPr="00210943">
        <w:rPr>
          <w:rFonts w:hint="eastAsia"/>
          <w:rtl/>
        </w:rPr>
        <w:t>והנצחה</w:t>
      </w:r>
      <w:r w:rsidRPr="00210943">
        <w:rPr>
          <w:rtl/>
        </w:rPr>
        <w:t xml:space="preserve">), </w:t>
      </w:r>
      <w:r>
        <w:rPr>
          <w:rFonts w:hint="cs"/>
          <w:rtl/>
        </w:rPr>
        <w:t>ה</w:t>
      </w:r>
      <w:r w:rsidRPr="00210943">
        <w:rPr>
          <w:rFonts w:hint="eastAsia"/>
          <w:rtl/>
        </w:rPr>
        <w:t>תשס</w:t>
      </w:r>
      <w:r w:rsidRPr="00210943">
        <w:rPr>
          <w:rtl/>
        </w:rPr>
        <w:t>"</w:t>
      </w:r>
      <w:r w:rsidRPr="00210943">
        <w:rPr>
          <w:rFonts w:hint="eastAsia"/>
          <w:rtl/>
        </w:rPr>
        <w:t>ו</w:t>
      </w:r>
      <w:r w:rsidRPr="00210943">
        <w:rPr>
          <w:rtl/>
        </w:rPr>
        <w:t>-200</w:t>
      </w:r>
      <w:r>
        <w:rPr>
          <w:rFonts w:hint="cs"/>
          <w:rtl/>
        </w:rPr>
        <w:t>6 קובעים אף הם הסדרים דומים, אך אתייחס בדיון בעיקר לסעיפים שהובאו לעיל, שבהם הדיון בפסיקה ובספרות נרחב יותר).</w:t>
      </w:r>
    </w:p>
    <w:p w:rsidR="004C7127" w:rsidRDefault="004C7127" w:rsidP="004C7127">
      <w:pPr>
        <w:pStyle w:val="Ruller4"/>
        <w:numPr>
          <w:ilvl w:val="0"/>
          <w:numId w:val="0"/>
        </w:numPr>
        <w:rPr>
          <w:rtl/>
        </w:rPr>
      </w:pPr>
    </w:p>
    <w:p w:rsidR="004C7127" w:rsidRDefault="004C7127" w:rsidP="004C7127">
      <w:pPr>
        <w:pStyle w:val="Ruller4"/>
        <w:rPr>
          <w:rtl/>
        </w:rPr>
      </w:pPr>
      <w:r>
        <w:rPr>
          <w:rFonts w:hint="cs"/>
          <w:rtl/>
        </w:rPr>
        <w:t xml:space="preserve">לא בכדי מוקדו טענות הצדדים בהסדר הקבוע בחוק נכסי נפקדים (בסעיפים 17(א) ו-18) </w:t>
      </w:r>
      <w:r>
        <w:rPr>
          <w:rtl/>
        </w:rPr>
        <w:t>–</w:t>
      </w:r>
      <w:r>
        <w:rPr>
          <w:rFonts w:hint="cs"/>
          <w:rtl/>
        </w:rPr>
        <w:t xml:space="preserve"> בדמיונו לסעיף 5 ובשוני ממנו. נביא אפוא את ההסדר כלשונו:</w:t>
      </w:r>
    </w:p>
    <w:p w:rsidR="004C7127" w:rsidRDefault="004C7127" w:rsidP="004C7127">
      <w:pPr>
        <w:pStyle w:val="Ruller41"/>
        <w:rPr>
          <w:rtl/>
        </w:rPr>
      </w:pPr>
    </w:p>
    <w:tbl>
      <w:tblPr>
        <w:bidiVisual/>
        <w:tblW w:w="0" w:type="auto"/>
        <w:jc w:val="center"/>
        <w:tblLook w:val="01E0" w:firstRow="1" w:lastRow="1" w:firstColumn="1" w:lastColumn="1" w:noHBand="0" w:noVBand="0"/>
      </w:tblPr>
      <w:tblGrid>
        <w:gridCol w:w="1276"/>
        <w:gridCol w:w="4253"/>
      </w:tblGrid>
      <w:tr w:rsidR="004C7127" w:rsidTr="00BA1299">
        <w:trPr>
          <w:jc w:val="center"/>
        </w:trPr>
        <w:tc>
          <w:tcPr>
            <w:tcW w:w="1276" w:type="dxa"/>
          </w:tcPr>
          <w:p w:rsidR="004C7127" w:rsidRPr="003258E0" w:rsidRDefault="004C7127" w:rsidP="00BA1299">
            <w:pPr>
              <w:spacing w:before="80" w:after="120" w:line="160" w:lineRule="exact"/>
              <w:rPr>
                <w:rFonts w:cs="Miriam"/>
                <w:sz w:val="24"/>
                <w:szCs w:val="20"/>
              </w:rPr>
            </w:pPr>
            <w:r>
              <w:rPr>
                <w:rFonts w:cs="Miriam" w:hint="cs"/>
                <w:sz w:val="24"/>
                <w:szCs w:val="20"/>
                <w:rtl/>
              </w:rPr>
              <w:t>כשרותן של עסקאות</w:t>
            </w:r>
          </w:p>
        </w:tc>
        <w:tc>
          <w:tcPr>
            <w:tcW w:w="4253" w:type="dxa"/>
          </w:tcPr>
          <w:p w:rsidR="004C7127" w:rsidRDefault="004C7127" w:rsidP="00BA1299">
            <w:pPr>
              <w:pStyle w:val="Ruller41"/>
              <w:spacing w:line="240" w:lineRule="auto"/>
              <w:rPr>
                <w:rFonts w:ascii="Century" w:hAnsi="Century"/>
                <w:rtl/>
              </w:rPr>
            </w:pPr>
            <w:r>
              <w:rPr>
                <w:rFonts w:ascii="Century" w:hAnsi="Century" w:hint="cs"/>
                <w:rtl/>
              </w:rPr>
              <w:t>1</w:t>
            </w:r>
            <w:r w:rsidRPr="0014366F">
              <w:rPr>
                <w:rFonts w:ascii="Century" w:hAnsi="Century"/>
                <w:rtl/>
              </w:rPr>
              <w:t>7.</w:t>
            </w:r>
            <w:r>
              <w:rPr>
                <w:rFonts w:ascii="Century" w:hAnsi="Century" w:hint="cs"/>
                <w:rtl/>
              </w:rPr>
              <w:t xml:space="preserve"> </w:t>
            </w:r>
            <w:r w:rsidRPr="0014366F">
              <w:rPr>
                <w:rFonts w:ascii="Century" w:hAnsi="Century"/>
                <w:rtl/>
              </w:rPr>
              <w:t>(</w:t>
            </w:r>
            <w:r w:rsidRPr="0014366F">
              <w:rPr>
                <w:rFonts w:ascii="Century" w:hAnsi="Century" w:hint="eastAsia"/>
                <w:rtl/>
              </w:rPr>
              <w:t>א</w:t>
            </w:r>
            <w:r w:rsidRPr="0014366F">
              <w:rPr>
                <w:rFonts w:ascii="Century" w:hAnsi="Century"/>
                <w:rtl/>
              </w:rPr>
              <w:t>)</w:t>
            </w:r>
            <w:r w:rsidRPr="0014366F">
              <w:rPr>
                <w:rFonts w:ascii="Century" w:hAnsi="Century"/>
                <w:rtl/>
              </w:rPr>
              <w:tab/>
            </w:r>
            <w:r w:rsidRPr="0014366F">
              <w:rPr>
                <w:rFonts w:ascii="Century" w:hAnsi="Century" w:hint="eastAsia"/>
                <w:rtl/>
              </w:rPr>
              <w:t>כל</w:t>
            </w:r>
            <w:r w:rsidRPr="0014366F">
              <w:rPr>
                <w:rFonts w:ascii="Century" w:hAnsi="Century"/>
                <w:rtl/>
              </w:rPr>
              <w:t xml:space="preserve"> </w:t>
            </w:r>
            <w:r w:rsidRPr="0014366F">
              <w:rPr>
                <w:rFonts w:ascii="Century" w:hAnsi="Century" w:hint="eastAsia"/>
                <w:rtl/>
              </w:rPr>
              <w:t>עסקה</w:t>
            </w:r>
            <w:r w:rsidRPr="0014366F">
              <w:rPr>
                <w:rFonts w:ascii="Century" w:hAnsi="Century"/>
                <w:rtl/>
              </w:rPr>
              <w:t xml:space="preserve"> </w:t>
            </w:r>
            <w:r w:rsidRPr="0014366F">
              <w:rPr>
                <w:rFonts w:ascii="Century" w:hAnsi="Century" w:hint="eastAsia"/>
                <w:rtl/>
              </w:rPr>
              <w:t>שנעשתה</w:t>
            </w:r>
            <w:r w:rsidRPr="0014366F">
              <w:rPr>
                <w:rFonts w:ascii="Century" w:hAnsi="Century"/>
                <w:rtl/>
              </w:rPr>
              <w:t xml:space="preserve"> </w:t>
            </w:r>
            <w:r w:rsidRPr="0014366F">
              <w:rPr>
                <w:rFonts w:ascii="Century" w:hAnsi="Century" w:hint="eastAsia"/>
                <w:rtl/>
              </w:rPr>
              <w:t>בתום</w:t>
            </w:r>
            <w:r w:rsidRPr="0014366F">
              <w:rPr>
                <w:rFonts w:ascii="Century" w:hAnsi="Century"/>
                <w:rtl/>
              </w:rPr>
              <w:t xml:space="preserve"> </w:t>
            </w:r>
            <w:r w:rsidRPr="0014366F">
              <w:rPr>
                <w:rFonts w:ascii="Century" w:hAnsi="Century" w:hint="eastAsia"/>
                <w:rtl/>
              </w:rPr>
              <w:t>לבב</w:t>
            </w:r>
            <w:r w:rsidRPr="0014366F">
              <w:rPr>
                <w:rFonts w:ascii="Century" w:hAnsi="Century"/>
                <w:rtl/>
              </w:rPr>
              <w:t xml:space="preserve"> </w:t>
            </w:r>
            <w:r w:rsidRPr="0014366F">
              <w:rPr>
                <w:rFonts w:ascii="Century" w:hAnsi="Century" w:hint="eastAsia"/>
                <w:rtl/>
              </w:rPr>
              <w:t>בין</w:t>
            </w:r>
            <w:r w:rsidRPr="0014366F">
              <w:rPr>
                <w:rFonts w:ascii="Century" w:hAnsi="Century"/>
                <w:rtl/>
              </w:rPr>
              <w:t xml:space="preserve"> </w:t>
            </w:r>
            <w:r w:rsidRPr="0014366F">
              <w:rPr>
                <w:rFonts w:ascii="Century" w:hAnsi="Century" w:hint="eastAsia"/>
                <w:rtl/>
              </w:rPr>
              <w:t>האפוטרופוס</w:t>
            </w:r>
            <w:r w:rsidRPr="0014366F">
              <w:rPr>
                <w:rFonts w:ascii="Century" w:hAnsi="Century"/>
                <w:rtl/>
              </w:rPr>
              <w:t xml:space="preserve"> </w:t>
            </w:r>
            <w:r w:rsidRPr="0014366F">
              <w:rPr>
                <w:rFonts w:ascii="Century" w:hAnsi="Century" w:hint="eastAsia"/>
                <w:rtl/>
              </w:rPr>
              <w:t>ובין</w:t>
            </w:r>
            <w:r w:rsidRPr="0014366F">
              <w:rPr>
                <w:rFonts w:ascii="Century" w:hAnsi="Century"/>
                <w:rtl/>
              </w:rPr>
              <w:t xml:space="preserve"> </w:t>
            </w:r>
            <w:r w:rsidRPr="0014366F">
              <w:rPr>
                <w:rFonts w:ascii="Century" w:hAnsi="Century" w:hint="eastAsia"/>
                <w:rtl/>
              </w:rPr>
              <w:t>אדם</w:t>
            </w:r>
            <w:r w:rsidRPr="0014366F">
              <w:rPr>
                <w:rFonts w:ascii="Century" w:hAnsi="Century"/>
                <w:rtl/>
              </w:rPr>
              <w:t xml:space="preserve"> </w:t>
            </w:r>
            <w:r w:rsidRPr="0014366F">
              <w:rPr>
                <w:rFonts w:ascii="Century" w:hAnsi="Century" w:hint="eastAsia"/>
                <w:rtl/>
              </w:rPr>
              <w:t>אחר</w:t>
            </w:r>
            <w:r w:rsidRPr="0014366F">
              <w:rPr>
                <w:rFonts w:ascii="Century" w:hAnsi="Century"/>
                <w:rtl/>
              </w:rPr>
              <w:t xml:space="preserve"> </w:t>
            </w:r>
            <w:r w:rsidRPr="0014366F">
              <w:rPr>
                <w:rFonts w:ascii="Century" w:hAnsi="Century" w:hint="eastAsia"/>
                <w:rtl/>
              </w:rPr>
              <w:t>בכל</w:t>
            </w:r>
            <w:r w:rsidRPr="0014366F">
              <w:rPr>
                <w:rFonts w:ascii="Century" w:hAnsi="Century"/>
                <w:rtl/>
              </w:rPr>
              <w:t xml:space="preserve"> </w:t>
            </w:r>
            <w:r w:rsidRPr="0014366F">
              <w:rPr>
                <w:rFonts w:ascii="Century" w:hAnsi="Century" w:hint="eastAsia"/>
                <w:rtl/>
              </w:rPr>
              <w:t>נכס</w:t>
            </w:r>
            <w:r w:rsidRPr="0014366F">
              <w:rPr>
                <w:rFonts w:ascii="Century" w:hAnsi="Century"/>
                <w:rtl/>
              </w:rPr>
              <w:t xml:space="preserve"> </w:t>
            </w:r>
            <w:r w:rsidRPr="0014366F">
              <w:rPr>
                <w:rFonts w:ascii="Century" w:hAnsi="Century" w:hint="eastAsia"/>
                <w:rtl/>
              </w:rPr>
              <w:t>שהאפוטרופוס</w:t>
            </w:r>
            <w:r w:rsidRPr="0014366F">
              <w:rPr>
                <w:rFonts w:ascii="Century" w:hAnsi="Century"/>
                <w:rtl/>
              </w:rPr>
              <w:t xml:space="preserve"> </w:t>
            </w:r>
            <w:r w:rsidRPr="0014366F">
              <w:rPr>
                <w:rFonts w:ascii="Century" w:hAnsi="Century" w:hint="eastAsia"/>
                <w:rtl/>
              </w:rPr>
              <w:t>חשבו</w:t>
            </w:r>
            <w:r w:rsidRPr="0014366F">
              <w:rPr>
                <w:rFonts w:ascii="Century" w:hAnsi="Century"/>
                <w:rtl/>
              </w:rPr>
              <w:t xml:space="preserve"> </w:t>
            </w:r>
            <w:r w:rsidRPr="0014366F">
              <w:rPr>
                <w:rFonts w:ascii="Century" w:hAnsi="Century" w:hint="eastAsia"/>
                <w:rtl/>
              </w:rPr>
              <w:t>בשעת</w:t>
            </w:r>
            <w:r w:rsidRPr="0014366F">
              <w:rPr>
                <w:rFonts w:ascii="Century" w:hAnsi="Century"/>
                <w:rtl/>
              </w:rPr>
              <w:t xml:space="preserve"> </w:t>
            </w:r>
            <w:r w:rsidRPr="0014366F">
              <w:rPr>
                <w:rFonts w:ascii="Century" w:hAnsi="Century" w:hint="eastAsia"/>
                <w:rtl/>
              </w:rPr>
              <w:t>העסקה</w:t>
            </w:r>
            <w:r w:rsidRPr="0014366F">
              <w:rPr>
                <w:rFonts w:ascii="Century" w:hAnsi="Century"/>
                <w:rtl/>
              </w:rPr>
              <w:t xml:space="preserve"> </w:t>
            </w:r>
            <w:r w:rsidRPr="0014366F">
              <w:rPr>
                <w:rFonts w:ascii="Century" w:hAnsi="Century" w:hint="eastAsia"/>
                <w:rtl/>
              </w:rPr>
              <w:t>לנכס</w:t>
            </w:r>
            <w:r w:rsidRPr="0014366F">
              <w:rPr>
                <w:rFonts w:ascii="Century" w:hAnsi="Century"/>
                <w:rtl/>
              </w:rPr>
              <w:t xml:space="preserve"> </w:t>
            </w:r>
            <w:r w:rsidRPr="0014366F">
              <w:rPr>
                <w:rFonts w:ascii="Century" w:hAnsi="Century" w:hint="eastAsia"/>
                <w:rtl/>
              </w:rPr>
              <w:t>מוקנה</w:t>
            </w:r>
            <w:r w:rsidRPr="0014366F">
              <w:rPr>
                <w:rFonts w:ascii="Century" w:hAnsi="Century"/>
                <w:rtl/>
              </w:rPr>
              <w:t xml:space="preserve"> </w:t>
            </w:r>
            <w:r w:rsidRPr="0014366F">
              <w:rPr>
                <w:rFonts w:ascii="Century" w:hAnsi="Century" w:hint="eastAsia"/>
                <w:rtl/>
              </w:rPr>
              <w:t>לא</w:t>
            </w:r>
            <w:r w:rsidRPr="0014366F">
              <w:rPr>
                <w:rFonts w:ascii="Century" w:hAnsi="Century"/>
                <w:rtl/>
              </w:rPr>
              <w:t xml:space="preserve"> </w:t>
            </w:r>
            <w:r w:rsidRPr="0014366F">
              <w:rPr>
                <w:rFonts w:ascii="Century" w:hAnsi="Century" w:hint="eastAsia"/>
                <w:rtl/>
              </w:rPr>
              <w:t>תיפסל</w:t>
            </w:r>
            <w:r w:rsidRPr="0014366F">
              <w:rPr>
                <w:rFonts w:ascii="Century" w:hAnsi="Century"/>
                <w:rtl/>
              </w:rPr>
              <w:t xml:space="preserve"> </w:t>
            </w:r>
            <w:r w:rsidRPr="0014366F">
              <w:rPr>
                <w:rFonts w:ascii="Century" w:hAnsi="Century" w:hint="eastAsia"/>
                <w:rtl/>
              </w:rPr>
              <w:t>ותעמוד</w:t>
            </w:r>
            <w:r w:rsidRPr="0014366F">
              <w:rPr>
                <w:rFonts w:ascii="Century" w:hAnsi="Century"/>
                <w:rtl/>
              </w:rPr>
              <w:t xml:space="preserve"> </w:t>
            </w:r>
            <w:r w:rsidRPr="0014366F">
              <w:rPr>
                <w:rFonts w:ascii="Century" w:hAnsi="Century" w:hint="eastAsia"/>
                <w:rtl/>
              </w:rPr>
              <w:t>בתקפה</w:t>
            </w:r>
            <w:r w:rsidRPr="0014366F">
              <w:rPr>
                <w:rFonts w:ascii="Century" w:hAnsi="Century"/>
                <w:rtl/>
              </w:rPr>
              <w:t xml:space="preserve"> </w:t>
            </w:r>
            <w:r w:rsidRPr="0014366F">
              <w:rPr>
                <w:rFonts w:ascii="Century" w:hAnsi="Century" w:hint="eastAsia"/>
                <w:rtl/>
              </w:rPr>
              <w:t>גם</w:t>
            </w:r>
            <w:r w:rsidRPr="0014366F">
              <w:rPr>
                <w:rFonts w:ascii="Century" w:hAnsi="Century"/>
                <w:rtl/>
              </w:rPr>
              <w:t xml:space="preserve"> </w:t>
            </w:r>
            <w:r w:rsidRPr="0014366F">
              <w:rPr>
                <w:rFonts w:ascii="Century" w:hAnsi="Century" w:hint="eastAsia"/>
                <w:rtl/>
              </w:rPr>
              <w:t>אם</w:t>
            </w:r>
            <w:r w:rsidRPr="0014366F">
              <w:rPr>
                <w:rFonts w:ascii="Century" w:hAnsi="Century"/>
                <w:rtl/>
              </w:rPr>
              <w:t xml:space="preserve"> </w:t>
            </w:r>
            <w:r w:rsidRPr="0014366F">
              <w:rPr>
                <w:rFonts w:ascii="Century" w:hAnsi="Century" w:hint="eastAsia"/>
                <w:rtl/>
              </w:rPr>
              <w:t>יוכח</w:t>
            </w:r>
            <w:r w:rsidRPr="0014366F">
              <w:rPr>
                <w:rFonts w:ascii="Century" w:hAnsi="Century"/>
                <w:rtl/>
              </w:rPr>
              <w:t xml:space="preserve"> </w:t>
            </w:r>
            <w:r w:rsidRPr="0014366F">
              <w:rPr>
                <w:rFonts w:ascii="Century" w:hAnsi="Century" w:hint="eastAsia"/>
                <w:rtl/>
              </w:rPr>
              <w:t>שהנכס</w:t>
            </w:r>
            <w:r w:rsidRPr="0014366F">
              <w:rPr>
                <w:rFonts w:ascii="Century" w:hAnsi="Century"/>
                <w:rtl/>
              </w:rPr>
              <w:t xml:space="preserve"> </w:t>
            </w:r>
            <w:r w:rsidRPr="0014366F">
              <w:rPr>
                <w:rFonts w:ascii="Century" w:hAnsi="Century" w:hint="eastAsia"/>
                <w:rtl/>
              </w:rPr>
              <w:t>לא</w:t>
            </w:r>
            <w:r w:rsidRPr="0014366F">
              <w:rPr>
                <w:rFonts w:ascii="Century" w:hAnsi="Century"/>
                <w:rtl/>
              </w:rPr>
              <w:t xml:space="preserve"> </w:t>
            </w:r>
            <w:r w:rsidRPr="0014366F">
              <w:rPr>
                <w:rFonts w:ascii="Century" w:hAnsi="Century" w:hint="eastAsia"/>
                <w:rtl/>
              </w:rPr>
              <w:t>היה</w:t>
            </w:r>
            <w:r w:rsidRPr="0014366F">
              <w:rPr>
                <w:rFonts w:ascii="Century" w:hAnsi="Century"/>
                <w:rtl/>
              </w:rPr>
              <w:t xml:space="preserve"> </w:t>
            </w:r>
            <w:r w:rsidRPr="0014366F">
              <w:rPr>
                <w:rFonts w:ascii="Century" w:hAnsi="Century" w:hint="eastAsia"/>
                <w:rtl/>
              </w:rPr>
              <w:t>אותה</w:t>
            </w:r>
            <w:r w:rsidRPr="0014366F">
              <w:rPr>
                <w:rFonts w:ascii="Century" w:hAnsi="Century"/>
                <w:rtl/>
              </w:rPr>
              <w:t xml:space="preserve"> </w:t>
            </w:r>
            <w:r w:rsidRPr="0014366F">
              <w:rPr>
                <w:rFonts w:ascii="Century" w:hAnsi="Century" w:hint="eastAsia"/>
                <w:rtl/>
              </w:rPr>
              <w:t>שעה</w:t>
            </w:r>
            <w:r w:rsidRPr="0014366F">
              <w:rPr>
                <w:rFonts w:ascii="Century" w:hAnsi="Century"/>
                <w:rtl/>
              </w:rPr>
              <w:t xml:space="preserve"> </w:t>
            </w:r>
            <w:r w:rsidRPr="0014366F">
              <w:rPr>
                <w:rFonts w:ascii="Century" w:hAnsi="Century" w:hint="eastAsia"/>
                <w:rtl/>
              </w:rPr>
              <w:t>נכס</w:t>
            </w:r>
            <w:r w:rsidRPr="0014366F">
              <w:rPr>
                <w:rFonts w:ascii="Century" w:hAnsi="Century"/>
                <w:rtl/>
              </w:rPr>
              <w:t xml:space="preserve"> </w:t>
            </w:r>
            <w:r w:rsidRPr="0014366F">
              <w:rPr>
                <w:rFonts w:ascii="Century" w:hAnsi="Century" w:hint="eastAsia"/>
                <w:rtl/>
              </w:rPr>
              <w:t>מוקנה</w:t>
            </w:r>
            <w:r w:rsidRPr="0014366F">
              <w:rPr>
                <w:rFonts w:ascii="Century" w:hAnsi="Century"/>
                <w:rtl/>
              </w:rPr>
              <w:t>.</w:t>
            </w:r>
          </w:p>
          <w:p w:rsidR="004C7127" w:rsidRPr="00D16222" w:rsidRDefault="004C7127" w:rsidP="00BA1299">
            <w:pPr>
              <w:pStyle w:val="Ruller41"/>
              <w:spacing w:line="240" w:lineRule="auto"/>
              <w:rPr>
                <w:rFonts w:ascii="Century" w:hAnsi="Century"/>
              </w:rPr>
            </w:pPr>
            <w:r>
              <w:rPr>
                <w:rFonts w:ascii="Century" w:hAnsi="Century" w:hint="cs"/>
                <w:rtl/>
              </w:rPr>
              <w:t>[...]</w:t>
            </w:r>
          </w:p>
        </w:tc>
      </w:tr>
      <w:tr w:rsidR="004C7127" w:rsidTr="00BA1299">
        <w:trPr>
          <w:jc w:val="center"/>
        </w:trPr>
        <w:tc>
          <w:tcPr>
            <w:tcW w:w="1276" w:type="dxa"/>
          </w:tcPr>
          <w:p w:rsidR="004C7127" w:rsidRDefault="004C7127" w:rsidP="00BA1299">
            <w:pPr>
              <w:spacing w:before="80" w:after="120" w:line="160" w:lineRule="exact"/>
              <w:rPr>
                <w:rFonts w:cs="Miriam"/>
                <w:sz w:val="24"/>
                <w:szCs w:val="20"/>
                <w:rtl/>
              </w:rPr>
            </w:pPr>
            <w:r w:rsidRPr="0014366F">
              <w:rPr>
                <w:rFonts w:cs="Miriam" w:hint="eastAsia"/>
                <w:sz w:val="24"/>
                <w:szCs w:val="20"/>
                <w:rtl/>
              </w:rPr>
              <w:t>החזרת</w:t>
            </w:r>
            <w:r w:rsidRPr="0014366F">
              <w:rPr>
                <w:rFonts w:cs="Miriam"/>
                <w:sz w:val="24"/>
                <w:szCs w:val="20"/>
                <w:rtl/>
              </w:rPr>
              <w:t xml:space="preserve"> </w:t>
            </w:r>
            <w:r w:rsidRPr="0014366F">
              <w:rPr>
                <w:rFonts w:cs="Miriam" w:hint="eastAsia"/>
                <w:sz w:val="24"/>
                <w:szCs w:val="20"/>
                <w:rtl/>
              </w:rPr>
              <w:t>נכסים</w:t>
            </w:r>
            <w:r w:rsidRPr="0014366F">
              <w:rPr>
                <w:rFonts w:cs="Miriam"/>
                <w:sz w:val="24"/>
                <w:szCs w:val="20"/>
                <w:rtl/>
              </w:rPr>
              <w:t xml:space="preserve"> </w:t>
            </w:r>
            <w:r w:rsidRPr="0014366F">
              <w:rPr>
                <w:rFonts w:cs="Miriam" w:hint="eastAsia"/>
                <w:sz w:val="24"/>
                <w:szCs w:val="20"/>
                <w:rtl/>
              </w:rPr>
              <w:t>שנחשבו</w:t>
            </w:r>
            <w:r w:rsidRPr="0014366F">
              <w:rPr>
                <w:rFonts w:cs="Miriam"/>
                <w:sz w:val="24"/>
                <w:szCs w:val="20"/>
                <w:rtl/>
              </w:rPr>
              <w:t xml:space="preserve"> </w:t>
            </w:r>
            <w:r w:rsidRPr="0014366F">
              <w:rPr>
                <w:rFonts w:cs="Miriam" w:hint="eastAsia"/>
                <w:sz w:val="24"/>
                <w:szCs w:val="20"/>
                <w:rtl/>
              </w:rPr>
              <w:t>בטעות</w:t>
            </w:r>
            <w:r w:rsidRPr="0014366F">
              <w:rPr>
                <w:rFonts w:cs="Miriam"/>
                <w:sz w:val="24"/>
                <w:szCs w:val="20"/>
                <w:rtl/>
              </w:rPr>
              <w:t xml:space="preserve"> </w:t>
            </w:r>
            <w:r w:rsidRPr="0014366F">
              <w:rPr>
                <w:rFonts w:cs="Miriam" w:hint="eastAsia"/>
                <w:sz w:val="24"/>
                <w:szCs w:val="20"/>
                <w:rtl/>
              </w:rPr>
              <w:t>לנכסים</w:t>
            </w:r>
            <w:r w:rsidRPr="0014366F">
              <w:rPr>
                <w:rFonts w:cs="Miriam"/>
                <w:sz w:val="24"/>
                <w:szCs w:val="20"/>
                <w:rtl/>
              </w:rPr>
              <w:t xml:space="preserve"> </w:t>
            </w:r>
            <w:r w:rsidRPr="0014366F">
              <w:rPr>
                <w:rFonts w:cs="Miriam" w:hint="eastAsia"/>
                <w:sz w:val="24"/>
                <w:szCs w:val="20"/>
                <w:rtl/>
              </w:rPr>
              <w:t>מוקנים</w:t>
            </w:r>
          </w:p>
        </w:tc>
        <w:tc>
          <w:tcPr>
            <w:tcW w:w="4253" w:type="dxa"/>
          </w:tcPr>
          <w:p w:rsidR="004C7127" w:rsidRPr="0014366F" w:rsidRDefault="004C7127" w:rsidP="00BA1299">
            <w:pPr>
              <w:pStyle w:val="Ruller41"/>
              <w:spacing w:line="240" w:lineRule="auto"/>
              <w:rPr>
                <w:rFonts w:ascii="Century" w:hAnsi="Century"/>
                <w:rtl/>
              </w:rPr>
            </w:pPr>
            <w:r w:rsidRPr="0014366F">
              <w:rPr>
                <w:rFonts w:ascii="Century" w:hAnsi="Century"/>
                <w:rtl/>
              </w:rPr>
              <w:t>18.(</w:t>
            </w:r>
            <w:r w:rsidRPr="0014366F">
              <w:rPr>
                <w:rFonts w:ascii="Century" w:hAnsi="Century" w:hint="eastAsia"/>
                <w:rtl/>
              </w:rPr>
              <w:t>א</w:t>
            </w:r>
            <w:r w:rsidRPr="0014366F">
              <w:rPr>
                <w:rFonts w:ascii="Century" w:hAnsi="Century"/>
                <w:rtl/>
              </w:rPr>
              <w:t>)</w:t>
            </w:r>
            <w:r w:rsidRPr="0014366F">
              <w:rPr>
                <w:rFonts w:ascii="Century" w:hAnsi="Century"/>
                <w:rtl/>
              </w:rPr>
              <w:tab/>
            </w:r>
            <w:r w:rsidRPr="0014366F">
              <w:rPr>
                <w:rFonts w:ascii="Century" w:hAnsi="Century" w:hint="eastAsia"/>
                <w:rtl/>
              </w:rPr>
              <w:t>החליט</w:t>
            </w:r>
            <w:r w:rsidRPr="0014366F">
              <w:rPr>
                <w:rFonts w:ascii="Century" w:hAnsi="Century"/>
                <w:rtl/>
              </w:rPr>
              <w:t xml:space="preserve"> </w:t>
            </w:r>
            <w:r w:rsidRPr="0014366F">
              <w:rPr>
                <w:rFonts w:ascii="Century" w:hAnsi="Century" w:hint="eastAsia"/>
                <w:rtl/>
              </w:rPr>
              <w:t>בית</w:t>
            </w:r>
            <w:r w:rsidRPr="0014366F">
              <w:rPr>
                <w:rFonts w:ascii="Century" w:hAnsi="Century"/>
                <w:rtl/>
              </w:rPr>
              <w:t xml:space="preserve"> </w:t>
            </w:r>
            <w:r w:rsidRPr="0014366F">
              <w:rPr>
                <w:rFonts w:ascii="Century" w:hAnsi="Century" w:hint="eastAsia"/>
                <w:rtl/>
              </w:rPr>
              <w:t>משפט</w:t>
            </w:r>
            <w:r w:rsidRPr="0014366F">
              <w:rPr>
                <w:rFonts w:ascii="Century" w:hAnsi="Century"/>
                <w:rtl/>
              </w:rPr>
              <w:t xml:space="preserve"> </w:t>
            </w:r>
            <w:r w:rsidRPr="0014366F">
              <w:rPr>
                <w:rFonts w:ascii="Century" w:hAnsi="Century" w:hint="eastAsia"/>
                <w:rtl/>
              </w:rPr>
              <w:t>מוסמך</w:t>
            </w:r>
            <w:r w:rsidRPr="0014366F">
              <w:rPr>
                <w:rFonts w:ascii="Century" w:hAnsi="Century"/>
                <w:rtl/>
              </w:rPr>
              <w:t xml:space="preserve"> </w:t>
            </w:r>
            <w:r w:rsidRPr="0014366F">
              <w:rPr>
                <w:rFonts w:ascii="Century" w:hAnsi="Century" w:hint="eastAsia"/>
                <w:rtl/>
              </w:rPr>
              <w:t>שנכס</w:t>
            </w:r>
            <w:r w:rsidRPr="0014366F">
              <w:rPr>
                <w:rFonts w:ascii="Century" w:hAnsi="Century"/>
                <w:rtl/>
              </w:rPr>
              <w:t xml:space="preserve"> </w:t>
            </w:r>
            <w:r w:rsidRPr="0014366F">
              <w:rPr>
                <w:rFonts w:ascii="Century" w:hAnsi="Century" w:hint="eastAsia"/>
                <w:rtl/>
              </w:rPr>
              <w:t>שהאפוטרופוס</w:t>
            </w:r>
            <w:r w:rsidRPr="0014366F">
              <w:rPr>
                <w:rFonts w:ascii="Century" w:hAnsi="Century"/>
                <w:rtl/>
              </w:rPr>
              <w:t xml:space="preserve"> </w:t>
            </w:r>
            <w:r w:rsidRPr="0014366F">
              <w:rPr>
                <w:rFonts w:ascii="Century" w:hAnsi="Century" w:hint="eastAsia"/>
                <w:rtl/>
              </w:rPr>
              <w:t>חשבו</w:t>
            </w:r>
            <w:r w:rsidRPr="0014366F">
              <w:rPr>
                <w:rFonts w:ascii="Century" w:hAnsi="Century"/>
                <w:rtl/>
              </w:rPr>
              <w:t xml:space="preserve"> </w:t>
            </w:r>
            <w:r w:rsidRPr="0014366F">
              <w:rPr>
                <w:rFonts w:ascii="Century" w:hAnsi="Century" w:hint="eastAsia"/>
                <w:rtl/>
              </w:rPr>
              <w:t>לנכס</w:t>
            </w:r>
            <w:r w:rsidRPr="0014366F">
              <w:rPr>
                <w:rFonts w:ascii="Century" w:hAnsi="Century"/>
                <w:rtl/>
              </w:rPr>
              <w:t xml:space="preserve"> </w:t>
            </w:r>
            <w:r w:rsidRPr="0014366F">
              <w:rPr>
                <w:rFonts w:ascii="Century" w:hAnsi="Century" w:hint="eastAsia"/>
                <w:rtl/>
              </w:rPr>
              <w:t>מוקנה</w:t>
            </w:r>
            <w:r w:rsidRPr="0014366F">
              <w:rPr>
                <w:rFonts w:ascii="Century" w:hAnsi="Century"/>
                <w:rtl/>
              </w:rPr>
              <w:t xml:space="preserve"> </w:t>
            </w:r>
            <w:r w:rsidRPr="0014366F">
              <w:rPr>
                <w:rFonts w:ascii="Century" w:hAnsi="Century" w:hint="eastAsia"/>
                <w:rtl/>
              </w:rPr>
              <w:t>אינו</w:t>
            </w:r>
            <w:r w:rsidRPr="0014366F">
              <w:rPr>
                <w:rFonts w:ascii="Century" w:hAnsi="Century"/>
                <w:rtl/>
              </w:rPr>
              <w:t xml:space="preserve"> </w:t>
            </w:r>
            <w:r w:rsidRPr="0014366F">
              <w:rPr>
                <w:rFonts w:ascii="Century" w:hAnsi="Century" w:hint="eastAsia"/>
                <w:rtl/>
              </w:rPr>
              <w:t>נכס</w:t>
            </w:r>
            <w:r w:rsidRPr="0014366F">
              <w:rPr>
                <w:rFonts w:ascii="Century" w:hAnsi="Century"/>
                <w:rtl/>
              </w:rPr>
              <w:t xml:space="preserve"> </w:t>
            </w:r>
            <w:r w:rsidRPr="0014366F">
              <w:rPr>
                <w:rFonts w:ascii="Century" w:hAnsi="Century" w:hint="eastAsia"/>
                <w:rtl/>
              </w:rPr>
              <w:t>מוקנה</w:t>
            </w:r>
            <w:r w:rsidRPr="0014366F">
              <w:rPr>
                <w:rFonts w:ascii="Century" w:hAnsi="Century"/>
                <w:rtl/>
              </w:rPr>
              <w:t xml:space="preserve">, </w:t>
            </w:r>
            <w:r w:rsidRPr="0014366F">
              <w:rPr>
                <w:rFonts w:ascii="Century" w:hAnsi="Century" w:hint="eastAsia"/>
                <w:rtl/>
              </w:rPr>
              <w:t>ימסור</w:t>
            </w:r>
            <w:r w:rsidRPr="0014366F">
              <w:rPr>
                <w:rFonts w:ascii="Century" w:hAnsi="Century"/>
                <w:rtl/>
              </w:rPr>
              <w:t xml:space="preserve"> </w:t>
            </w:r>
            <w:r w:rsidRPr="0014366F">
              <w:rPr>
                <w:rFonts w:ascii="Century" w:hAnsi="Century" w:hint="eastAsia"/>
                <w:rtl/>
              </w:rPr>
              <w:t>האפוטרופוס</w:t>
            </w:r>
            <w:r w:rsidRPr="0014366F">
              <w:rPr>
                <w:rFonts w:ascii="Century" w:hAnsi="Century"/>
                <w:rtl/>
              </w:rPr>
              <w:t xml:space="preserve">, </w:t>
            </w:r>
            <w:r w:rsidRPr="0014366F">
              <w:rPr>
                <w:rFonts w:ascii="Century" w:hAnsi="Century" w:hint="eastAsia"/>
                <w:rtl/>
              </w:rPr>
              <w:t>בהתחשב</w:t>
            </w:r>
            <w:r w:rsidRPr="0014366F">
              <w:rPr>
                <w:rFonts w:ascii="Century" w:hAnsi="Century"/>
                <w:rtl/>
              </w:rPr>
              <w:t xml:space="preserve"> </w:t>
            </w:r>
            <w:r w:rsidRPr="0014366F">
              <w:rPr>
                <w:rFonts w:ascii="Century" w:hAnsi="Century" w:hint="eastAsia"/>
                <w:rtl/>
              </w:rPr>
              <w:t>עם</w:t>
            </w:r>
            <w:r w:rsidRPr="0014366F">
              <w:rPr>
                <w:rFonts w:ascii="Century" w:hAnsi="Century"/>
                <w:rtl/>
              </w:rPr>
              <w:t xml:space="preserve"> </w:t>
            </w:r>
            <w:r w:rsidRPr="0014366F">
              <w:rPr>
                <w:rFonts w:ascii="Century" w:hAnsi="Century" w:hint="eastAsia"/>
                <w:rtl/>
              </w:rPr>
              <w:t>הוראות</w:t>
            </w:r>
            <w:r w:rsidRPr="0014366F">
              <w:rPr>
                <w:rFonts w:ascii="Century" w:hAnsi="Century"/>
                <w:rtl/>
              </w:rPr>
              <w:t xml:space="preserve"> </w:t>
            </w:r>
            <w:r w:rsidRPr="0014366F">
              <w:rPr>
                <w:rFonts w:ascii="Century" w:hAnsi="Century" w:hint="eastAsia"/>
                <w:rtl/>
              </w:rPr>
              <w:t>סעיף</w:t>
            </w:r>
            <w:r w:rsidRPr="0014366F">
              <w:rPr>
                <w:rFonts w:ascii="Century" w:hAnsi="Century"/>
                <w:rtl/>
              </w:rPr>
              <w:t xml:space="preserve"> 17, </w:t>
            </w:r>
            <w:r w:rsidRPr="0014366F">
              <w:rPr>
                <w:rFonts w:ascii="Century" w:hAnsi="Century" w:hint="eastAsia"/>
                <w:rtl/>
              </w:rPr>
              <w:t>את</w:t>
            </w:r>
            <w:r w:rsidRPr="0014366F">
              <w:rPr>
                <w:rFonts w:ascii="Century" w:hAnsi="Century"/>
                <w:rtl/>
              </w:rPr>
              <w:t xml:space="preserve"> </w:t>
            </w:r>
            <w:r w:rsidRPr="0014366F">
              <w:rPr>
                <w:rFonts w:ascii="Century" w:hAnsi="Century" w:hint="eastAsia"/>
                <w:rtl/>
              </w:rPr>
              <w:t>הנכס</w:t>
            </w:r>
            <w:r w:rsidRPr="0014366F">
              <w:rPr>
                <w:rFonts w:ascii="Century" w:hAnsi="Century"/>
                <w:rtl/>
              </w:rPr>
              <w:t xml:space="preserve"> </w:t>
            </w:r>
            <w:r w:rsidRPr="0014366F">
              <w:rPr>
                <w:rFonts w:ascii="Century" w:hAnsi="Century" w:hint="eastAsia"/>
                <w:rtl/>
              </w:rPr>
              <w:t>או</w:t>
            </w:r>
            <w:r w:rsidRPr="0014366F">
              <w:rPr>
                <w:rFonts w:ascii="Century" w:hAnsi="Century"/>
                <w:rtl/>
              </w:rPr>
              <w:t xml:space="preserve"> </w:t>
            </w:r>
            <w:r w:rsidRPr="0014366F">
              <w:rPr>
                <w:rFonts w:ascii="Century" w:hAnsi="Century" w:hint="eastAsia"/>
                <w:rtl/>
              </w:rPr>
              <w:t>את</w:t>
            </w:r>
            <w:r w:rsidRPr="0014366F">
              <w:rPr>
                <w:rFonts w:ascii="Century" w:hAnsi="Century"/>
                <w:rtl/>
              </w:rPr>
              <w:t xml:space="preserve"> </w:t>
            </w:r>
            <w:r w:rsidRPr="0014366F">
              <w:rPr>
                <w:rFonts w:ascii="Century" w:hAnsi="Century" w:hint="eastAsia"/>
                <w:rtl/>
              </w:rPr>
              <w:t>התמורה</w:t>
            </w:r>
            <w:r w:rsidRPr="0014366F">
              <w:rPr>
                <w:rFonts w:ascii="Century" w:hAnsi="Century"/>
                <w:rtl/>
              </w:rPr>
              <w:t xml:space="preserve"> </w:t>
            </w:r>
            <w:r w:rsidRPr="0014366F">
              <w:rPr>
                <w:rFonts w:ascii="Century" w:hAnsi="Century" w:hint="eastAsia"/>
                <w:rtl/>
              </w:rPr>
              <w:t>שקיבל</w:t>
            </w:r>
            <w:r w:rsidRPr="0014366F">
              <w:rPr>
                <w:rFonts w:ascii="Century" w:hAnsi="Century"/>
                <w:rtl/>
              </w:rPr>
              <w:t xml:space="preserve"> </w:t>
            </w:r>
            <w:r w:rsidRPr="0014366F">
              <w:rPr>
                <w:rFonts w:ascii="Century" w:hAnsi="Century" w:hint="eastAsia"/>
                <w:rtl/>
              </w:rPr>
              <w:t>בעדו</w:t>
            </w:r>
            <w:r w:rsidRPr="0014366F">
              <w:rPr>
                <w:rFonts w:ascii="Century" w:hAnsi="Century"/>
                <w:rtl/>
              </w:rPr>
              <w:t xml:space="preserve">, </w:t>
            </w:r>
            <w:r w:rsidRPr="0014366F">
              <w:rPr>
                <w:rFonts w:ascii="Century" w:hAnsi="Century" w:hint="eastAsia"/>
                <w:rtl/>
              </w:rPr>
              <w:t>הכל</w:t>
            </w:r>
            <w:r w:rsidRPr="0014366F">
              <w:rPr>
                <w:rFonts w:ascii="Century" w:hAnsi="Century"/>
                <w:rtl/>
              </w:rPr>
              <w:t xml:space="preserve"> </w:t>
            </w:r>
            <w:r w:rsidRPr="0014366F">
              <w:rPr>
                <w:rFonts w:ascii="Century" w:hAnsi="Century" w:hint="eastAsia"/>
                <w:rtl/>
              </w:rPr>
              <w:t>לפי</w:t>
            </w:r>
            <w:r w:rsidRPr="0014366F">
              <w:rPr>
                <w:rFonts w:ascii="Century" w:hAnsi="Century"/>
                <w:rtl/>
              </w:rPr>
              <w:t xml:space="preserve"> </w:t>
            </w:r>
            <w:r w:rsidRPr="0014366F">
              <w:rPr>
                <w:rFonts w:ascii="Century" w:hAnsi="Century" w:hint="eastAsia"/>
                <w:rtl/>
              </w:rPr>
              <w:t>הענין</w:t>
            </w:r>
            <w:r w:rsidRPr="0014366F">
              <w:rPr>
                <w:rFonts w:ascii="Century" w:hAnsi="Century"/>
                <w:rtl/>
              </w:rPr>
              <w:t xml:space="preserve">, </w:t>
            </w:r>
            <w:r w:rsidRPr="0014366F">
              <w:rPr>
                <w:rFonts w:ascii="Century" w:hAnsi="Century" w:hint="eastAsia"/>
                <w:rtl/>
              </w:rPr>
              <w:t>לאדם</w:t>
            </w:r>
            <w:r w:rsidRPr="0014366F">
              <w:rPr>
                <w:rFonts w:ascii="Century" w:hAnsi="Century"/>
                <w:rtl/>
              </w:rPr>
              <w:t xml:space="preserve"> </w:t>
            </w:r>
            <w:r w:rsidRPr="0014366F">
              <w:rPr>
                <w:rFonts w:ascii="Century" w:hAnsi="Century" w:hint="eastAsia"/>
                <w:rtl/>
              </w:rPr>
              <w:t>שהורה</w:t>
            </w:r>
            <w:r w:rsidRPr="0014366F">
              <w:rPr>
                <w:rFonts w:ascii="Century" w:hAnsi="Century"/>
                <w:rtl/>
              </w:rPr>
              <w:t xml:space="preserve"> </w:t>
            </w:r>
            <w:r w:rsidRPr="0014366F">
              <w:rPr>
                <w:rFonts w:ascii="Century" w:hAnsi="Century" w:hint="eastAsia"/>
                <w:rtl/>
              </w:rPr>
              <w:t>עליו</w:t>
            </w:r>
            <w:r w:rsidRPr="0014366F">
              <w:rPr>
                <w:rFonts w:ascii="Century" w:hAnsi="Century"/>
                <w:rtl/>
              </w:rPr>
              <w:t xml:space="preserve"> </w:t>
            </w:r>
            <w:r w:rsidRPr="0014366F">
              <w:rPr>
                <w:rFonts w:ascii="Century" w:hAnsi="Century" w:hint="eastAsia"/>
                <w:rtl/>
              </w:rPr>
              <w:t>בית</w:t>
            </w:r>
            <w:r w:rsidRPr="0014366F">
              <w:rPr>
                <w:rFonts w:ascii="Century" w:hAnsi="Century"/>
                <w:rtl/>
              </w:rPr>
              <w:t xml:space="preserve"> </w:t>
            </w:r>
            <w:r w:rsidRPr="0014366F">
              <w:rPr>
                <w:rFonts w:ascii="Century" w:hAnsi="Century" w:hint="eastAsia"/>
                <w:rtl/>
              </w:rPr>
              <w:t>המשפט</w:t>
            </w:r>
            <w:r w:rsidRPr="0014366F">
              <w:rPr>
                <w:rFonts w:ascii="Century" w:hAnsi="Century"/>
                <w:rtl/>
              </w:rPr>
              <w:t xml:space="preserve"> </w:t>
            </w:r>
            <w:r w:rsidRPr="0014366F">
              <w:rPr>
                <w:rFonts w:ascii="Century" w:hAnsi="Century" w:hint="eastAsia"/>
                <w:rtl/>
              </w:rPr>
              <w:t>בהחלטתו</w:t>
            </w:r>
            <w:r w:rsidRPr="0014366F">
              <w:rPr>
                <w:rFonts w:ascii="Century" w:hAnsi="Century"/>
                <w:rtl/>
              </w:rPr>
              <w:t xml:space="preserve">, </w:t>
            </w:r>
            <w:r w:rsidRPr="0014366F">
              <w:rPr>
                <w:rFonts w:ascii="Century" w:hAnsi="Century" w:hint="eastAsia"/>
                <w:rtl/>
              </w:rPr>
              <w:t>ואם</w:t>
            </w:r>
            <w:r w:rsidRPr="0014366F">
              <w:rPr>
                <w:rFonts w:ascii="Century" w:hAnsi="Century"/>
                <w:rtl/>
              </w:rPr>
              <w:t xml:space="preserve"> </w:t>
            </w:r>
            <w:r w:rsidRPr="0014366F">
              <w:rPr>
                <w:rFonts w:ascii="Century" w:hAnsi="Century" w:hint="eastAsia"/>
                <w:rtl/>
              </w:rPr>
              <w:t>לא</w:t>
            </w:r>
            <w:r w:rsidRPr="0014366F">
              <w:rPr>
                <w:rFonts w:ascii="Century" w:hAnsi="Century"/>
                <w:rtl/>
              </w:rPr>
              <w:t xml:space="preserve"> </w:t>
            </w:r>
            <w:r w:rsidRPr="0014366F">
              <w:rPr>
                <w:rFonts w:ascii="Century" w:hAnsi="Century" w:hint="eastAsia"/>
                <w:rtl/>
              </w:rPr>
              <w:t>הורה</w:t>
            </w:r>
            <w:r w:rsidRPr="0014366F">
              <w:rPr>
                <w:rFonts w:ascii="Century" w:hAnsi="Century"/>
                <w:rtl/>
              </w:rPr>
              <w:t xml:space="preserve"> </w:t>
            </w:r>
            <w:r w:rsidRPr="0014366F">
              <w:rPr>
                <w:rFonts w:ascii="Century" w:hAnsi="Century" w:hint="eastAsia"/>
                <w:rtl/>
              </w:rPr>
              <w:t>בית</w:t>
            </w:r>
            <w:r w:rsidRPr="0014366F">
              <w:rPr>
                <w:rFonts w:ascii="Century" w:hAnsi="Century"/>
                <w:rtl/>
              </w:rPr>
              <w:t xml:space="preserve"> </w:t>
            </w:r>
            <w:r w:rsidRPr="0014366F">
              <w:rPr>
                <w:rFonts w:ascii="Century" w:hAnsi="Century" w:hint="eastAsia"/>
                <w:rtl/>
              </w:rPr>
              <w:t>המשפט</w:t>
            </w:r>
            <w:r w:rsidRPr="0014366F">
              <w:rPr>
                <w:rFonts w:ascii="Century" w:hAnsi="Century"/>
                <w:rtl/>
              </w:rPr>
              <w:t xml:space="preserve"> – </w:t>
            </w:r>
            <w:r w:rsidRPr="0014366F">
              <w:rPr>
                <w:rFonts w:ascii="Century" w:hAnsi="Century" w:hint="eastAsia"/>
                <w:rtl/>
              </w:rPr>
              <w:t>לאדם</w:t>
            </w:r>
            <w:r w:rsidRPr="0014366F">
              <w:rPr>
                <w:rFonts w:ascii="Century" w:hAnsi="Century"/>
                <w:rtl/>
              </w:rPr>
              <w:t xml:space="preserve"> </w:t>
            </w:r>
            <w:r w:rsidRPr="0014366F">
              <w:rPr>
                <w:rFonts w:ascii="Century" w:hAnsi="Century" w:hint="eastAsia"/>
                <w:rtl/>
              </w:rPr>
              <w:t>שמידיו</w:t>
            </w:r>
            <w:r w:rsidRPr="0014366F">
              <w:rPr>
                <w:rFonts w:ascii="Century" w:hAnsi="Century"/>
                <w:rtl/>
              </w:rPr>
              <w:t xml:space="preserve"> </w:t>
            </w:r>
            <w:r w:rsidRPr="0014366F">
              <w:rPr>
                <w:rFonts w:ascii="Century" w:hAnsi="Century" w:hint="eastAsia"/>
                <w:rtl/>
              </w:rPr>
              <w:t>קיבל</w:t>
            </w:r>
            <w:r w:rsidRPr="0014366F">
              <w:rPr>
                <w:rFonts w:ascii="Century" w:hAnsi="Century"/>
                <w:rtl/>
              </w:rPr>
              <w:t xml:space="preserve"> </w:t>
            </w:r>
            <w:r w:rsidRPr="0014366F">
              <w:rPr>
                <w:rFonts w:ascii="Century" w:hAnsi="Century" w:hint="eastAsia"/>
                <w:rtl/>
              </w:rPr>
              <w:t>האפוטרופוס</w:t>
            </w:r>
            <w:r w:rsidRPr="0014366F">
              <w:rPr>
                <w:rFonts w:ascii="Century" w:hAnsi="Century"/>
                <w:rtl/>
              </w:rPr>
              <w:t xml:space="preserve"> </w:t>
            </w:r>
            <w:r w:rsidRPr="0014366F">
              <w:rPr>
                <w:rFonts w:ascii="Century" w:hAnsi="Century" w:hint="eastAsia"/>
                <w:rtl/>
              </w:rPr>
              <w:t>את</w:t>
            </w:r>
            <w:r w:rsidRPr="0014366F">
              <w:rPr>
                <w:rFonts w:ascii="Century" w:hAnsi="Century"/>
                <w:rtl/>
              </w:rPr>
              <w:t xml:space="preserve"> </w:t>
            </w:r>
            <w:r w:rsidRPr="0014366F">
              <w:rPr>
                <w:rFonts w:ascii="Century" w:hAnsi="Century" w:hint="eastAsia"/>
                <w:rtl/>
              </w:rPr>
              <w:t>הנכס</w:t>
            </w:r>
            <w:r w:rsidRPr="0014366F">
              <w:rPr>
                <w:rFonts w:ascii="Century" w:hAnsi="Century"/>
                <w:rtl/>
              </w:rPr>
              <w:t xml:space="preserve">, </w:t>
            </w:r>
            <w:r w:rsidRPr="0014366F">
              <w:rPr>
                <w:rFonts w:ascii="Century" w:hAnsi="Century" w:hint="eastAsia"/>
                <w:rtl/>
              </w:rPr>
              <w:t>ואם</w:t>
            </w:r>
            <w:r w:rsidRPr="0014366F">
              <w:rPr>
                <w:rFonts w:ascii="Century" w:hAnsi="Century"/>
                <w:rtl/>
              </w:rPr>
              <w:t xml:space="preserve"> </w:t>
            </w:r>
            <w:r w:rsidRPr="0014366F">
              <w:rPr>
                <w:rFonts w:ascii="Century" w:hAnsi="Century" w:hint="eastAsia"/>
                <w:rtl/>
              </w:rPr>
              <w:t>אין</w:t>
            </w:r>
            <w:r w:rsidRPr="0014366F">
              <w:rPr>
                <w:rFonts w:ascii="Century" w:hAnsi="Century"/>
                <w:rtl/>
              </w:rPr>
              <w:t xml:space="preserve"> </w:t>
            </w:r>
            <w:r w:rsidRPr="0014366F">
              <w:rPr>
                <w:rFonts w:ascii="Century" w:hAnsi="Century" w:hint="eastAsia"/>
                <w:rtl/>
              </w:rPr>
              <w:t>האדם</w:t>
            </w:r>
            <w:r w:rsidRPr="0014366F">
              <w:rPr>
                <w:rFonts w:ascii="Century" w:hAnsi="Century"/>
                <w:rtl/>
              </w:rPr>
              <w:t xml:space="preserve"> </w:t>
            </w:r>
            <w:r w:rsidRPr="0014366F">
              <w:rPr>
                <w:rFonts w:ascii="Century" w:hAnsi="Century" w:hint="eastAsia"/>
                <w:rtl/>
              </w:rPr>
              <w:t>ידוע</w:t>
            </w:r>
            <w:r w:rsidRPr="0014366F">
              <w:rPr>
                <w:rFonts w:ascii="Century" w:hAnsi="Century"/>
                <w:rtl/>
              </w:rPr>
              <w:t xml:space="preserve"> </w:t>
            </w:r>
            <w:r w:rsidRPr="0014366F">
              <w:rPr>
                <w:rFonts w:ascii="Century" w:hAnsi="Century" w:hint="eastAsia"/>
                <w:rtl/>
              </w:rPr>
              <w:t>לו</w:t>
            </w:r>
            <w:r w:rsidRPr="0014366F">
              <w:rPr>
                <w:rFonts w:ascii="Century" w:hAnsi="Century"/>
                <w:rtl/>
              </w:rPr>
              <w:t xml:space="preserve">, </w:t>
            </w:r>
            <w:r w:rsidRPr="0014366F">
              <w:rPr>
                <w:rFonts w:ascii="Century" w:hAnsi="Century" w:hint="eastAsia"/>
                <w:rtl/>
              </w:rPr>
              <w:t>יפנה</w:t>
            </w:r>
            <w:r w:rsidRPr="0014366F">
              <w:rPr>
                <w:rFonts w:ascii="Century" w:hAnsi="Century"/>
                <w:rtl/>
              </w:rPr>
              <w:t xml:space="preserve"> </w:t>
            </w:r>
            <w:r w:rsidRPr="0014366F">
              <w:rPr>
                <w:rFonts w:ascii="Century" w:hAnsi="Century" w:hint="eastAsia"/>
                <w:rtl/>
              </w:rPr>
              <w:t>האפוטרופוס</w:t>
            </w:r>
            <w:r w:rsidRPr="0014366F">
              <w:rPr>
                <w:rFonts w:ascii="Century" w:hAnsi="Century"/>
                <w:rtl/>
              </w:rPr>
              <w:t xml:space="preserve"> </w:t>
            </w:r>
            <w:r w:rsidRPr="0014366F">
              <w:rPr>
                <w:rFonts w:ascii="Century" w:hAnsi="Century" w:hint="eastAsia"/>
                <w:rtl/>
              </w:rPr>
              <w:t>לבית</w:t>
            </w:r>
            <w:r w:rsidRPr="0014366F">
              <w:rPr>
                <w:rFonts w:ascii="Century" w:hAnsi="Century"/>
                <w:rtl/>
              </w:rPr>
              <w:t xml:space="preserve"> </w:t>
            </w:r>
            <w:r w:rsidRPr="0014366F">
              <w:rPr>
                <w:rFonts w:ascii="Century" w:hAnsi="Century" w:hint="eastAsia"/>
                <w:rtl/>
              </w:rPr>
              <w:t>משפט</w:t>
            </w:r>
            <w:r w:rsidRPr="0014366F">
              <w:rPr>
                <w:rFonts w:ascii="Century" w:hAnsi="Century"/>
                <w:rtl/>
              </w:rPr>
              <w:t xml:space="preserve"> </w:t>
            </w:r>
            <w:r w:rsidRPr="0014366F">
              <w:rPr>
                <w:rFonts w:ascii="Century" w:hAnsi="Century" w:hint="eastAsia"/>
                <w:rtl/>
              </w:rPr>
              <w:t>מוסמך</w:t>
            </w:r>
            <w:r w:rsidRPr="0014366F">
              <w:rPr>
                <w:rFonts w:ascii="Century" w:hAnsi="Century"/>
                <w:rtl/>
              </w:rPr>
              <w:t xml:space="preserve"> </w:t>
            </w:r>
            <w:r w:rsidRPr="0014366F">
              <w:rPr>
                <w:rFonts w:ascii="Century" w:hAnsi="Century" w:hint="eastAsia"/>
                <w:rtl/>
              </w:rPr>
              <w:t>לשם</w:t>
            </w:r>
            <w:r w:rsidRPr="0014366F">
              <w:rPr>
                <w:rFonts w:ascii="Century" w:hAnsi="Century"/>
                <w:rtl/>
              </w:rPr>
              <w:t xml:space="preserve"> </w:t>
            </w:r>
            <w:r w:rsidRPr="0014366F">
              <w:rPr>
                <w:rFonts w:ascii="Century" w:hAnsi="Century" w:hint="eastAsia"/>
                <w:rtl/>
              </w:rPr>
              <w:t>קבלת</w:t>
            </w:r>
            <w:r w:rsidRPr="0014366F">
              <w:rPr>
                <w:rFonts w:ascii="Century" w:hAnsi="Century"/>
                <w:rtl/>
              </w:rPr>
              <w:t xml:space="preserve"> </w:t>
            </w:r>
            <w:r w:rsidRPr="0014366F">
              <w:rPr>
                <w:rFonts w:ascii="Century" w:hAnsi="Century" w:hint="eastAsia"/>
                <w:rtl/>
              </w:rPr>
              <w:t>הוראות</w:t>
            </w:r>
            <w:r w:rsidRPr="0014366F">
              <w:rPr>
                <w:rFonts w:ascii="Century" w:hAnsi="Century"/>
                <w:rtl/>
              </w:rPr>
              <w:t>.</w:t>
            </w:r>
          </w:p>
          <w:p w:rsidR="004C7127" w:rsidRDefault="004C7127" w:rsidP="00BA1299">
            <w:pPr>
              <w:pStyle w:val="Ruller41"/>
              <w:spacing w:line="240" w:lineRule="auto"/>
              <w:rPr>
                <w:rFonts w:ascii="Century" w:hAnsi="Century"/>
                <w:rtl/>
              </w:rPr>
            </w:pPr>
            <w:r w:rsidRPr="0014366F">
              <w:rPr>
                <w:rFonts w:ascii="Century" w:hAnsi="Century"/>
                <w:rtl/>
              </w:rPr>
              <w:t>(</w:t>
            </w:r>
            <w:r w:rsidRPr="0014366F">
              <w:rPr>
                <w:rFonts w:ascii="Century" w:hAnsi="Century" w:hint="eastAsia"/>
                <w:rtl/>
              </w:rPr>
              <w:t>ב</w:t>
            </w:r>
            <w:r w:rsidRPr="0014366F">
              <w:rPr>
                <w:rFonts w:ascii="Century" w:hAnsi="Century"/>
                <w:rtl/>
              </w:rPr>
              <w:t>)</w:t>
            </w:r>
            <w:r>
              <w:rPr>
                <w:rFonts w:ascii="Century" w:hAnsi="Century" w:hint="cs"/>
                <w:rtl/>
              </w:rPr>
              <w:t xml:space="preserve"> </w:t>
            </w:r>
            <w:r w:rsidRPr="0014366F">
              <w:rPr>
                <w:rFonts w:ascii="Century" w:hAnsi="Century" w:hint="eastAsia"/>
                <w:rtl/>
              </w:rPr>
              <w:t>מצא</w:t>
            </w:r>
            <w:r w:rsidRPr="0014366F">
              <w:rPr>
                <w:rFonts w:ascii="Century" w:hAnsi="Century"/>
                <w:rtl/>
              </w:rPr>
              <w:t xml:space="preserve"> </w:t>
            </w:r>
            <w:r w:rsidRPr="0014366F">
              <w:rPr>
                <w:rFonts w:ascii="Century" w:hAnsi="Century" w:hint="eastAsia"/>
                <w:rtl/>
              </w:rPr>
              <w:t>האפוטרופוס</w:t>
            </w:r>
            <w:r w:rsidRPr="0014366F">
              <w:rPr>
                <w:rFonts w:ascii="Century" w:hAnsi="Century"/>
                <w:rtl/>
              </w:rPr>
              <w:t xml:space="preserve"> </w:t>
            </w:r>
            <w:r w:rsidRPr="0014366F">
              <w:rPr>
                <w:rFonts w:ascii="Century" w:hAnsi="Century" w:hint="eastAsia"/>
                <w:rtl/>
              </w:rPr>
              <w:t>שנכס</w:t>
            </w:r>
            <w:r w:rsidRPr="0014366F">
              <w:rPr>
                <w:rFonts w:ascii="Century" w:hAnsi="Century"/>
                <w:rtl/>
              </w:rPr>
              <w:t xml:space="preserve"> </w:t>
            </w:r>
            <w:r w:rsidRPr="0014366F">
              <w:rPr>
                <w:rFonts w:ascii="Century" w:hAnsi="Century" w:hint="eastAsia"/>
                <w:rtl/>
              </w:rPr>
              <w:t>שהוא</w:t>
            </w:r>
            <w:r w:rsidRPr="0014366F">
              <w:rPr>
                <w:rFonts w:ascii="Century" w:hAnsi="Century"/>
                <w:rtl/>
              </w:rPr>
              <w:t xml:space="preserve"> </w:t>
            </w:r>
            <w:r w:rsidRPr="0014366F">
              <w:rPr>
                <w:rFonts w:ascii="Century" w:hAnsi="Century" w:hint="eastAsia"/>
                <w:rtl/>
              </w:rPr>
              <w:t>חשבו</w:t>
            </w:r>
            <w:r w:rsidRPr="0014366F">
              <w:rPr>
                <w:rFonts w:ascii="Century" w:hAnsi="Century"/>
                <w:rtl/>
              </w:rPr>
              <w:t xml:space="preserve"> </w:t>
            </w:r>
            <w:r w:rsidRPr="0014366F">
              <w:rPr>
                <w:rFonts w:ascii="Century" w:hAnsi="Century" w:hint="eastAsia"/>
                <w:rtl/>
              </w:rPr>
              <w:t>לנכס</w:t>
            </w:r>
            <w:r w:rsidRPr="0014366F">
              <w:rPr>
                <w:rFonts w:ascii="Century" w:hAnsi="Century"/>
                <w:rtl/>
              </w:rPr>
              <w:t xml:space="preserve"> </w:t>
            </w:r>
            <w:r w:rsidRPr="0014366F">
              <w:rPr>
                <w:rFonts w:ascii="Century" w:hAnsi="Century" w:hint="eastAsia"/>
                <w:rtl/>
              </w:rPr>
              <w:t>מוקנה</w:t>
            </w:r>
            <w:r w:rsidRPr="0014366F">
              <w:rPr>
                <w:rFonts w:ascii="Century" w:hAnsi="Century"/>
                <w:rtl/>
              </w:rPr>
              <w:t xml:space="preserve"> </w:t>
            </w:r>
            <w:r w:rsidRPr="0014366F">
              <w:rPr>
                <w:rFonts w:ascii="Century" w:hAnsi="Century" w:hint="eastAsia"/>
                <w:rtl/>
              </w:rPr>
              <w:t>אינו</w:t>
            </w:r>
            <w:r w:rsidRPr="0014366F">
              <w:rPr>
                <w:rFonts w:ascii="Century" w:hAnsi="Century"/>
                <w:rtl/>
              </w:rPr>
              <w:t xml:space="preserve"> </w:t>
            </w:r>
            <w:r w:rsidRPr="0014366F">
              <w:rPr>
                <w:rFonts w:ascii="Century" w:hAnsi="Century" w:hint="eastAsia"/>
                <w:rtl/>
              </w:rPr>
              <w:t>נכס</w:t>
            </w:r>
            <w:r w:rsidRPr="0014366F">
              <w:rPr>
                <w:rFonts w:ascii="Century" w:hAnsi="Century"/>
                <w:rtl/>
              </w:rPr>
              <w:t xml:space="preserve"> </w:t>
            </w:r>
            <w:r w:rsidRPr="0014366F">
              <w:rPr>
                <w:rFonts w:ascii="Century" w:hAnsi="Century" w:hint="eastAsia"/>
                <w:rtl/>
              </w:rPr>
              <w:t>מוקנה</w:t>
            </w:r>
            <w:r w:rsidRPr="0014366F">
              <w:rPr>
                <w:rFonts w:ascii="Century" w:hAnsi="Century"/>
                <w:rtl/>
              </w:rPr>
              <w:t xml:space="preserve">, </w:t>
            </w:r>
            <w:r w:rsidRPr="0014366F">
              <w:rPr>
                <w:rFonts w:ascii="Century" w:hAnsi="Century" w:hint="eastAsia"/>
                <w:rtl/>
              </w:rPr>
              <w:t>רשאי</w:t>
            </w:r>
            <w:r w:rsidRPr="0014366F">
              <w:rPr>
                <w:rFonts w:ascii="Century" w:hAnsi="Century"/>
                <w:rtl/>
              </w:rPr>
              <w:t xml:space="preserve"> </w:t>
            </w:r>
            <w:r w:rsidRPr="0014366F">
              <w:rPr>
                <w:rFonts w:ascii="Century" w:hAnsi="Century" w:hint="eastAsia"/>
                <w:rtl/>
              </w:rPr>
              <w:t>הוא</w:t>
            </w:r>
            <w:r w:rsidRPr="0014366F">
              <w:rPr>
                <w:rFonts w:ascii="Century" w:hAnsi="Century"/>
                <w:rtl/>
              </w:rPr>
              <w:t xml:space="preserve">, </w:t>
            </w:r>
            <w:r w:rsidRPr="0014366F">
              <w:rPr>
                <w:rFonts w:ascii="Century" w:hAnsi="Century" w:hint="eastAsia"/>
                <w:rtl/>
              </w:rPr>
              <w:t>בהתחשב</w:t>
            </w:r>
            <w:r w:rsidRPr="0014366F">
              <w:rPr>
                <w:rFonts w:ascii="Century" w:hAnsi="Century"/>
                <w:rtl/>
              </w:rPr>
              <w:t xml:space="preserve"> </w:t>
            </w:r>
            <w:r w:rsidRPr="0014366F">
              <w:rPr>
                <w:rFonts w:ascii="Century" w:hAnsi="Century" w:hint="eastAsia"/>
                <w:rtl/>
              </w:rPr>
              <w:t>עם</w:t>
            </w:r>
            <w:r w:rsidRPr="0014366F">
              <w:rPr>
                <w:rFonts w:ascii="Century" w:hAnsi="Century"/>
                <w:rtl/>
              </w:rPr>
              <w:t xml:space="preserve"> </w:t>
            </w:r>
            <w:r w:rsidRPr="0014366F">
              <w:rPr>
                <w:rFonts w:ascii="Century" w:hAnsi="Century" w:hint="eastAsia"/>
                <w:rtl/>
              </w:rPr>
              <w:t>הוראות</w:t>
            </w:r>
            <w:r w:rsidRPr="0014366F">
              <w:rPr>
                <w:rFonts w:ascii="Century" w:hAnsi="Century"/>
                <w:rtl/>
              </w:rPr>
              <w:t xml:space="preserve"> </w:t>
            </w:r>
            <w:r w:rsidRPr="0014366F">
              <w:rPr>
                <w:rFonts w:ascii="Century" w:hAnsi="Century" w:hint="eastAsia"/>
                <w:rtl/>
              </w:rPr>
              <w:t>סעיף</w:t>
            </w:r>
            <w:r w:rsidRPr="0014366F">
              <w:rPr>
                <w:rFonts w:ascii="Century" w:hAnsi="Century"/>
                <w:rtl/>
              </w:rPr>
              <w:t xml:space="preserve"> 17, </w:t>
            </w:r>
            <w:r w:rsidRPr="0014366F">
              <w:rPr>
                <w:rFonts w:ascii="Century" w:hAnsi="Century" w:hint="eastAsia"/>
                <w:rtl/>
              </w:rPr>
              <w:t>למסור</w:t>
            </w:r>
            <w:r w:rsidRPr="0014366F">
              <w:rPr>
                <w:rFonts w:ascii="Century" w:hAnsi="Century"/>
                <w:rtl/>
              </w:rPr>
              <w:t xml:space="preserve"> </w:t>
            </w:r>
            <w:r w:rsidRPr="0014366F">
              <w:rPr>
                <w:rFonts w:ascii="Century" w:hAnsi="Century" w:hint="eastAsia"/>
                <w:rtl/>
              </w:rPr>
              <w:t>את</w:t>
            </w:r>
            <w:r w:rsidRPr="0014366F">
              <w:rPr>
                <w:rFonts w:ascii="Century" w:hAnsi="Century"/>
                <w:rtl/>
              </w:rPr>
              <w:t xml:space="preserve"> </w:t>
            </w:r>
            <w:r w:rsidRPr="0014366F">
              <w:rPr>
                <w:rFonts w:ascii="Century" w:hAnsi="Century" w:hint="eastAsia"/>
                <w:rtl/>
              </w:rPr>
              <w:t>הנכס</w:t>
            </w:r>
            <w:r w:rsidRPr="0014366F">
              <w:rPr>
                <w:rFonts w:ascii="Century" w:hAnsi="Century"/>
                <w:rtl/>
              </w:rPr>
              <w:t xml:space="preserve"> </w:t>
            </w:r>
            <w:r w:rsidRPr="0014366F">
              <w:rPr>
                <w:rFonts w:ascii="Century" w:hAnsi="Century" w:hint="eastAsia"/>
                <w:rtl/>
              </w:rPr>
              <w:t>או</w:t>
            </w:r>
            <w:r w:rsidRPr="0014366F">
              <w:rPr>
                <w:rFonts w:ascii="Century" w:hAnsi="Century"/>
                <w:rtl/>
              </w:rPr>
              <w:t xml:space="preserve"> </w:t>
            </w:r>
            <w:r w:rsidRPr="0014366F">
              <w:rPr>
                <w:rFonts w:ascii="Century" w:hAnsi="Century" w:hint="eastAsia"/>
                <w:rtl/>
              </w:rPr>
              <w:t>את</w:t>
            </w:r>
            <w:r w:rsidRPr="0014366F">
              <w:rPr>
                <w:rFonts w:ascii="Century" w:hAnsi="Century"/>
                <w:rtl/>
              </w:rPr>
              <w:t xml:space="preserve"> </w:t>
            </w:r>
            <w:r w:rsidRPr="0014366F">
              <w:rPr>
                <w:rFonts w:ascii="Century" w:hAnsi="Century" w:hint="eastAsia"/>
                <w:rtl/>
              </w:rPr>
              <w:t>התמורה</w:t>
            </w:r>
            <w:r w:rsidRPr="0014366F">
              <w:rPr>
                <w:rFonts w:ascii="Century" w:hAnsi="Century"/>
                <w:rtl/>
              </w:rPr>
              <w:t xml:space="preserve"> </w:t>
            </w:r>
            <w:r w:rsidRPr="0014366F">
              <w:rPr>
                <w:rFonts w:ascii="Century" w:hAnsi="Century" w:hint="eastAsia"/>
                <w:rtl/>
              </w:rPr>
              <w:t>שקיבל</w:t>
            </w:r>
            <w:r w:rsidRPr="0014366F">
              <w:rPr>
                <w:rFonts w:ascii="Century" w:hAnsi="Century"/>
                <w:rtl/>
              </w:rPr>
              <w:t xml:space="preserve"> </w:t>
            </w:r>
            <w:r w:rsidRPr="0014366F">
              <w:rPr>
                <w:rFonts w:ascii="Century" w:hAnsi="Century" w:hint="eastAsia"/>
                <w:rtl/>
              </w:rPr>
              <w:t>בעדו</w:t>
            </w:r>
            <w:r w:rsidRPr="0014366F">
              <w:rPr>
                <w:rFonts w:ascii="Century" w:hAnsi="Century"/>
                <w:rtl/>
              </w:rPr>
              <w:t xml:space="preserve">, </w:t>
            </w:r>
            <w:r w:rsidRPr="0014366F">
              <w:rPr>
                <w:rFonts w:ascii="Century" w:hAnsi="Century" w:hint="eastAsia"/>
                <w:rtl/>
              </w:rPr>
              <w:t>הכל</w:t>
            </w:r>
            <w:r w:rsidRPr="0014366F">
              <w:rPr>
                <w:rFonts w:ascii="Century" w:hAnsi="Century"/>
                <w:rtl/>
              </w:rPr>
              <w:t xml:space="preserve"> </w:t>
            </w:r>
            <w:r w:rsidRPr="0014366F">
              <w:rPr>
                <w:rFonts w:ascii="Century" w:hAnsi="Century" w:hint="eastAsia"/>
                <w:rtl/>
              </w:rPr>
              <w:t>לפי</w:t>
            </w:r>
            <w:r w:rsidRPr="0014366F">
              <w:rPr>
                <w:rFonts w:ascii="Century" w:hAnsi="Century"/>
                <w:rtl/>
              </w:rPr>
              <w:t xml:space="preserve"> </w:t>
            </w:r>
            <w:r w:rsidRPr="0014366F">
              <w:rPr>
                <w:rFonts w:ascii="Century" w:hAnsi="Century" w:hint="eastAsia"/>
                <w:rtl/>
              </w:rPr>
              <w:t>הענין</w:t>
            </w:r>
            <w:r w:rsidRPr="0014366F">
              <w:rPr>
                <w:rFonts w:ascii="Century" w:hAnsi="Century"/>
                <w:rtl/>
              </w:rPr>
              <w:t xml:space="preserve">, </w:t>
            </w:r>
            <w:r w:rsidRPr="0014366F">
              <w:rPr>
                <w:rFonts w:ascii="Century" w:hAnsi="Century" w:hint="eastAsia"/>
                <w:rtl/>
              </w:rPr>
              <w:t>לאדם</w:t>
            </w:r>
            <w:r w:rsidRPr="0014366F">
              <w:rPr>
                <w:rFonts w:ascii="Century" w:hAnsi="Century"/>
                <w:rtl/>
              </w:rPr>
              <w:t xml:space="preserve"> </w:t>
            </w:r>
            <w:r w:rsidRPr="0014366F">
              <w:rPr>
                <w:rFonts w:ascii="Century" w:hAnsi="Century" w:hint="eastAsia"/>
                <w:rtl/>
              </w:rPr>
              <w:t>הזכאי</w:t>
            </w:r>
            <w:r w:rsidRPr="0014366F">
              <w:rPr>
                <w:rFonts w:ascii="Century" w:hAnsi="Century"/>
                <w:rtl/>
              </w:rPr>
              <w:t xml:space="preserve">, </w:t>
            </w:r>
            <w:r w:rsidRPr="0014366F">
              <w:rPr>
                <w:rFonts w:ascii="Century" w:hAnsi="Century" w:hint="eastAsia"/>
                <w:rtl/>
              </w:rPr>
              <w:t>לדעת</w:t>
            </w:r>
            <w:r w:rsidRPr="0014366F">
              <w:rPr>
                <w:rFonts w:ascii="Century" w:hAnsi="Century"/>
                <w:rtl/>
              </w:rPr>
              <w:t xml:space="preserve"> </w:t>
            </w:r>
            <w:r w:rsidRPr="0014366F">
              <w:rPr>
                <w:rFonts w:ascii="Century" w:hAnsi="Century" w:hint="eastAsia"/>
                <w:rtl/>
              </w:rPr>
              <w:t>האפוטרופוס</w:t>
            </w:r>
            <w:r w:rsidRPr="0014366F">
              <w:rPr>
                <w:rFonts w:ascii="Century" w:hAnsi="Century"/>
                <w:rtl/>
              </w:rPr>
              <w:t xml:space="preserve">, </w:t>
            </w:r>
            <w:r w:rsidRPr="0014366F">
              <w:rPr>
                <w:rFonts w:ascii="Century" w:hAnsi="Century" w:hint="eastAsia"/>
                <w:rtl/>
              </w:rPr>
              <w:t>להחזיק</w:t>
            </w:r>
            <w:r w:rsidRPr="0014366F">
              <w:rPr>
                <w:rFonts w:ascii="Century" w:hAnsi="Century"/>
                <w:rtl/>
              </w:rPr>
              <w:t xml:space="preserve"> </w:t>
            </w:r>
            <w:r w:rsidRPr="0014366F">
              <w:rPr>
                <w:rFonts w:ascii="Century" w:hAnsi="Century" w:hint="eastAsia"/>
                <w:rtl/>
              </w:rPr>
              <w:t>בנכס</w:t>
            </w:r>
            <w:r w:rsidRPr="0014366F">
              <w:rPr>
                <w:rFonts w:ascii="Century" w:hAnsi="Century"/>
                <w:rtl/>
              </w:rPr>
              <w:t xml:space="preserve"> </w:t>
            </w:r>
            <w:r w:rsidRPr="0014366F">
              <w:rPr>
                <w:rFonts w:ascii="Century" w:hAnsi="Century" w:hint="eastAsia"/>
                <w:rtl/>
              </w:rPr>
              <w:t>או</w:t>
            </w:r>
            <w:r w:rsidRPr="0014366F">
              <w:rPr>
                <w:rFonts w:ascii="Century" w:hAnsi="Century"/>
                <w:rtl/>
              </w:rPr>
              <w:t xml:space="preserve"> </w:t>
            </w:r>
            <w:r w:rsidRPr="0014366F">
              <w:rPr>
                <w:rFonts w:ascii="Century" w:hAnsi="Century" w:hint="eastAsia"/>
                <w:rtl/>
              </w:rPr>
              <w:t>בתמורה</w:t>
            </w:r>
            <w:r w:rsidRPr="0014366F">
              <w:rPr>
                <w:rFonts w:ascii="Century" w:hAnsi="Century"/>
                <w:rtl/>
              </w:rPr>
              <w:t>.</w:t>
            </w:r>
          </w:p>
        </w:tc>
      </w:tr>
    </w:tbl>
    <w:p w:rsidR="004C7127" w:rsidRDefault="004C7127" w:rsidP="004C7127">
      <w:pPr>
        <w:pStyle w:val="Ruller41"/>
        <w:rPr>
          <w:rtl/>
        </w:rPr>
      </w:pPr>
    </w:p>
    <w:p w:rsidR="004C7127" w:rsidRDefault="004C7127" w:rsidP="004C7127">
      <w:pPr>
        <w:pStyle w:val="Ruller41"/>
        <w:rPr>
          <w:rtl/>
        </w:rPr>
      </w:pPr>
      <w:r>
        <w:rPr>
          <w:rtl/>
        </w:rPr>
        <w:tab/>
      </w:r>
      <w:r>
        <w:rPr>
          <w:rFonts w:hint="cs"/>
          <w:rtl/>
        </w:rPr>
        <w:t xml:space="preserve">בסעיף 17, כפי שנפסק לא אחת בפסיקת בית משפט זה, קבועה תקנת שוק מיוחדת שעניינה במקרה שבו נרכש נכס שהוקנה לאפוטרופוס לנכסי נפקדים באמצעות הכרזה על אדם כנפקד, אך מתברר לימים שההכרזה הייתה מוטעית (ע"א 109/87 </w:t>
      </w:r>
      <w:r>
        <w:rPr>
          <w:rFonts w:ascii="Century" w:hAnsi="Century" w:cs="Miriam" w:hint="cs"/>
          <w:b/>
          <w:spacing w:val="0"/>
          <w:szCs w:val="24"/>
          <w:rtl/>
        </w:rPr>
        <w:t xml:space="preserve">חוות מקורה בע"מ נ' </w:t>
      </w:r>
      <w:r w:rsidRPr="00A3611E">
        <w:rPr>
          <w:rFonts w:ascii="Century" w:hAnsi="Century" w:cs="Miriam" w:hint="cs"/>
          <w:b/>
          <w:spacing w:val="0"/>
          <w:szCs w:val="24"/>
          <w:rtl/>
        </w:rPr>
        <w:t>חסן</w:t>
      </w:r>
      <w:r>
        <w:rPr>
          <w:rFonts w:ascii="Century" w:hAnsi="Century" w:hint="cs"/>
          <w:rtl/>
        </w:rPr>
        <w:t>, פ"ד מז(5) 1, 18-16</w:t>
      </w:r>
      <w:r>
        <w:rPr>
          <w:rFonts w:hint="cs"/>
          <w:rtl/>
        </w:rPr>
        <w:t xml:space="preserve"> (1993) (להלן: עניין </w:t>
      </w:r>
      <w:r>
        <w:rPr>
          <w:rFonts w:ascii="Century" w:hAnsi="Century" w:cs="Miriam" w:hint="cs"/>
          <w:b/>
          <w:spacing w:val="0"/>
          <w:szCs w:val="24"/>
          <w:rtl/>
        </w:rPr>
        <w:t>חוות מקורה</w:t>
      </w:r>
      <w:r>
        <w:rPr>
          <w:rFonts w:hint="cs"/>
          <w:rtl/>
        </w:rPr>
        <w:t xml:space="preserve">)). ניתן להצביע בנקל על שני רבדי דמיון בין סעיף 17 לבין סעיף 5: הראשון, הרובד הלשוני, נוכח נוסחם הדומה עד מאוד של שני הסעיפים; השני, הרובד המהותי </w:t>
      </w:r>
      <w:r>
        <w:rPr>
          <w:rtl/>
        </w:rPr>
        <w:t>–</w:t>
      </w:r>
      <w:r>
        <w:rPr>
          <w:rFonts w:hint="cs"/>
          <w:rtl/>
        </w:rPr>
        <w:t xml:space="preserve"> שני הסעיפים עניינם בעסקאות שנעשות בין אדם לבין רשות שלטונית שניתנה לה הסמכות לבצע עסקאות ברכוש מסוים. </w:t>
      </w:r>
    </w:p>
    <w:p w:rsidR="004C7127" w:rsidRDefault="004C7127" w:rsidP="004C7127">
      <w:pPr>
        <w:pStyle w:val="Ruller41"/>
        <w:rPr>
          <w:rtl/>
        </w:rPr>
      </w:pPr>
    </w:p>
    <w:p w:rsidR="004C7127" w:rsidRDefault="004C7127" w:rsidP="004C7127">
      <w:pPr>
        <w:pStyle w:val="Ruller4"/>
        <w:rPr>
          <w:rFonts w:ascii="Century" w:hAnsi="Century"/>
          <w:rtl/>
        </w:rPr>
      </w:pPr>
      <w:r>
        <w:rPr>
          <w:rFonts w:hint="cs"/>
          <w:rtl/>
        </w:rPr>
        <w:t xml:space="preserve">לצד זאת, יש לעמוד על כך שהמנגנון בסעיף 17 לא עומד לבדו, ולצדו ניצבות הוראות משלימות </w:t>
      </w:r>
      <w:r>
        <w:rPr>
          <w:rtl/>
        </w:rPr>
        <w:t>–</w:t>
      </w:r>
      <w:r>
        <w:rPr>
          <w:rFonts w:hint="cs"/>
          <w:rtl/>
        </w:rPr>
        <w:t xml:space="preserve"> בסעיף 18 </w:t>
      </w:r>
      <w:r>
        <w:rPr>
          <w:rtl/>
        </w:rPr>
        <w:t>–</w:t>
      </w:r>
      <w:r>
        <w:rPr>
          <w:rFonts w:hint="cs"/>
          <w:rtl/>
        </w:rPr>
        <w:t xml:space="preserve"> שקובעות כיצד יש לפעול במקרים שבהם נמצא (בין אם על ידי האפוטרופוס, בין אם על ידי בית משפט) שנכס שחשבו אותו לנכס מוקנה אינו כזה (</w:t>
      </w:r>
      <w:r w:rsidRPr="00294E63">
        <w:rPr>
          <w:rFonts w:ascii="Century" w:hAnsi="Century" w:hint="cs"/>
          <w:rtl/>
        </w:rPr>
        <w:t xml:space="preserve">ע"א 170/66 </w:t>
      </w:r>
      <w:r>
        <w:rPr>
          <w:rFonts w:ascii="Century" w:hAnsi="Century" w:cs="Miriam" w:hint="cs"/>
          <w:b/>
          <w:spacing w:val="0"/>
          <w:szCs w:val="24"/>
          <w:rtl/>
        </w:rPr>
        <w:t>עלא-אל-דין</w:t>
      </w:r>
      <w:r w:rsidRPr="00294E63">
        <w:rPr>
          <w:rFonts w:ascii="Century" w:hAnsi="Century" w:cs="Miriam" w:hint="cs"/>
          <w:b/>
          <w:spacing w:val="0"/>
          <w:szCs w:val="24"/>
          <w:rtl/>
        </w:rPr>
        <w:t xml:space="preserve"> נ' האפוטרופוס לנכסי נפקדים</w:t>
      </w:r>
      <w:r w:rsidRPr="00294E63">
        <w:rPr>
          <w:rFonts w:ascii="Century" w:hAnsi="Century" w:hint="cs"/>
          <w:rtl/>
        </w:rPr>
        <w:t>, פ"ד כ</w:t>
      </w:r>
      <w:r>
        <w:rPr>
          <w:rFonts w:ascii="Century" w:hAnsi="Century" w:hint="cs"/>
          <w:rtl/>
        </w:rPr>
        <w:t>(4)</w:t>
      </w:r>
      <w:r w:rsidRPr="00294E63">
        <w:rPr>
          <w:rFonts w:ascii="Century" w:hAnsi="Century" w:hint="cs"/>
          <w:rtl/>
        </w:rPr>
        <w:t xml:space="preserve"> 433, 436 (1966)</w:t>
      </w:r>
      <w:r>
        <w:rPr>
          <w:rFonts w:hint="cs"/>
          <w:rtl/>
        </w:rPr>
        <w:t xml:space="preserve"> (להלן: עניין </w:t>
      </w:r>
      <w:r>
        <w:rPr>
          <w:rFonts w:ascii="Century" w:hAnsi="Century" w:cs="Miriam" w:hint="cs"/>
          <w:b/>
          <w:spacing w:val="0"/>
          <w:szCs w:val="24"/>
          <w:rtl/>
        </w:rPr>
        <w:t>עלא-אל-דין</w:t>
      </w:r>
      <w:r>
        <w:rPr>
          <w:rFonts w:hint="cs"/>
          <w:rtl/>
        </w:rPr>
        <w:t xml:space="preserve">)). סעיף 18 משמר את האינטרס הכלכלי של בעל הזכות המקורי ומזכה אותו, למצער, בתמורה שקיבל האפוטרופוס (מיגל דויטש </w:t>
      </w:r>
      <w:r>
        <w:rPr>
          <w:rFonts w:ascii="Century" w:hAnsi="Century" w:cs="Miriam" w:hint="cs"/>
          <w:b/>
          <w:spacing w:val="0"/>
          <w:szCs w:val="24"/>
          <w:rtl/>
        </w:rPr>
        <w:t xml:space="preserve">קניין </w:t>
      </w:r>
      <w:r>
        <w:rPr>
          <w:rFonts w:ascii="Century" w:hAnsi="Century" w:hint="cs"/>
          <w:rtl/>
        </w:rPr>
        <w:t>כרך ד</w:t>
      </w:r>
      <w:r>
        <w:rPr>
          <w:rFonts w:hint="cs"/>
          <w:rtl/>
        </w:rPr>
        <w:t xml:space="preserve">, 309-308 (2007) (להלן: </w:t>
      </w:r>
      <w:r>
        <w:rPr>
          <w:rFonts w:ascii="Century" w:hAnsi="Century" w:cs="Miriam" w:hint="cs"/>
          <w:b/>
          <w:spacing w:val="0"/>
          <w:szCs w:val="24"/>
          <w:rtl/>
        </w:rPr>
        <w:t>דויטש, כרך ד</w:t>
      </w:r>
      <w:r>
        <w:rPr>
          <w:rFonts w:hint="cs"/>
          <w:rtl/>
        </w:rPr>
        <w:t xml:space="preserve">)). הישענות על הדמיון שבין סעיף 5 לבין סעיף 17(א), תוך התעלמות </w:t>
      </w:r>
      <w:r w:rsidRPr="00E46CF7">
        <w:rPr>
          <w:rFonts w:hint="cs"/>
          <w:rtl/>
        </w:rPr>
        <w:t xml:space="preserve">מהעדרה של מקבילה לסעיף 18 בהסדר שקבוע בצו בדבר רכוש ממשלתי היא מוקשית (ראו והשוו לדעת המיעוט של השופט </w:t>
      </w:r>
      <w:r w:rsidRPr="00E46CF7">
        <w:rPr>
          <w:rFonts w:ascii="Century" w:hAnsi="Century" w:cs="Miriam" w:hint="cs"/>
          <w:b/>
          <w:spacing w:val="0"/>
          <w:sz w:val="22"/>
          <w:szCs w:val="24"/>
          <w:rtl/>
        </w:rPr>
        <w:t xml:space="preserve">נ' סולברג </w:t>
      </w:r>
      <w:r w:rsidRPr="00E46CF7">
        <w:rPr>
          <w:rFonts w:ascii="Century" w:hAnsi="Century" w:hint="cs"/>
          <w:sz w:val="22"/>
          <w:rtl/>
        </w:rPr>
        <w:t xml:space="preserve">ברע"א 2401/21 </w:t>
      </w:r>
      <w:r w:rsidRPr="00E46CF7">
        <w:rPr>
          <w:rFonts w:ascii="Century" w:hAnsi="Century" w:cs="Miriam" w:hint="cs"/>
          <w:b/>
          <w:spacing w:val="0"/>
          <w:sz w:val="22"/>
          <w:szCs w:val="24"/>
          <w:rtl/>
        </w:rPr>
        <w:t>ג'אעוני נ' נחלת שמעון בע"מ</w:t>
      </w:r>
      <w:r w:rsidRPr="00E46CF7">
        <w:rPr>
          <w:rFonts w:ascii="Century" w:hAnsi="Century" w:hint="cs"/>
          <w:sz w:val="22"/>
          <w:rtl/>
        </w:rPr>
        <w:t xml:space="preserve">, פסקה 78 (1.3.2022); בקשה לקיים דיון נוסף בפסק דין זה נדחתה, דנ"א 2580/22 </w:t>
      </w:r>
      <w:r w:rsidRPr="00E46CF7">
        <w:rPr>
          <w:rFonts w:ascii="Century" w:hAnsi="Century" w:cs="Miriam" w:hint="cs"/>
          <w:b/>
          <w:spacing w:val="0"/>
          <w:sz w:val="22"/>
          <w:szCs w:val="24"/>
          <w:rtl/>
        </w:rPr>
        <w:t>נחלת שמעון בע"מ נ' ג'אעוני</w:t>
      </w:r>
      <w:r>
        <w:rPr>
          <w:rFonts w:ascii="Century" w:hAnsi="Century" w:cs="Miriam" w:hint="cs"/>
          <w:b/>
          <w:spacing w:val="0"/>
          <w:sz w:val="22"/>
          <w:szCs w:val="24"/>
          <w:rtl/>
        </w:rPr>
        <w:t xml:space="preserve"> </w:t>
      </w:r>
      <w:r>
        <w:rPr>
          <w:rFonts w:ascii="Century" w:hAnsi="Century" w:hint="cs"/>
          <w:sz w:val="22"/>
          <w:rtl/>
        </w:rPr>
        <w:t>(7.7.2022)</w:t>
      </w:r>
      <w:r>
        <w:rPr>
          <w:rFonts w:hint="cs"/>
          <w:rtl/>
        </w:rPr>
        <w:t xml:space="preserve">). תוצאתה היא שההגנה על נכסי המקרקעין באזור </w:t>
      </w:r>
      <w:r>
        <w:rPr>
          <w:rFonts w:ascii="Century" w:hAnsi="Century" w:cs="Miriam" w:hint="cs"/>
          <w:b/>
          <w:spacing w:val="0"/>
          <w:szCs w:val="24"/>
          <w:rtl/>
        </w:rPr>
        <w:t>פחותה</w:t>
      </w:r>
      <w:r>
        <w:rPr>
          <w:rFonts w:ascii="Century" w:hAnsi="Century" w:hint="cs"/>
          <w:rtl/>
        </w:rPr>
        <w:t xml:space="preserve"> מההגנה על נכסי נפקדים, ובעיני מדובר בתוצאה שקשה להצדיקה (גם בשים לב לקו המנחה הראשון שתיארתי לעיל בדבר הדין החל באזור וחובות המפקד הצבאי). שוני זה בין ההסדרים לא נעלם מעיניו של היועץ המשפטי לממשלה, שקיים ביום 4.12.2016 דיון עקרוני בנושא השימוש בסעיף 5 לצו בדבר רכוש ממשלתי. כעולה מסיכום הדיון (להלן: </w:t>
      </w:r>
      <w:r w:rsidRPr="007862F3">
        <w:rPr>
          <w:rFonts w:ascii="Century" w:hAnsi="Century" w:cs="Miriam" w:hint="cs"/>
          <w:b/>
          <w:spacing w:val="0"/>
          <w:szCs w:val="24"/>
          <w:rtl/>
        </w:rPr>
        <w:t>סיכום הדיון מיום 7.12.2016</w:t>
      </w:r>
      <w:r>
        <w:rPr>
          <w:rFonts w:ascii="Century" w:hAnsi="Century" w:hint="cs"/>
          <w:rtl/>
        </w:rPr>
        <w:t xml:space="preserve">), סבר היועץ המשפטי לממשלה כי "מן הראוי גם לפעול להסדרת אפשרות הפיצוי לבעלים שזכותו בקרקע נפגעה", וכי בהקשר זה יש ללמוד מהסדרים דומים שקיימים בדין הישראלי (שם, בעמ' 4). זאת ועוד, השוני בין ההסדרים נעוץ בהיקף ובטיב הזכויות שיש לממונה ולאפוטרופוס בנכסים. כך, הרכוש הממשלתי הועבר </w:t>
      </w:r>
      <w:r w:rsidRPr="00DC67E9">
        <w:rPr>
          <w:rFonts w:ascii="Century" w:hAnsi="Century" w:cs="Miriam" w:hint="cs"/>
          <w:b/>
          <w:spacing w:val="0"/>
          <w:sz w:val="22"/>
          <w:szCs w:val="24"/>
          <w:rtl/>
        </w:rPr>
        <w:t>לחזקתו ולניהולו</w:t>
      </w:r>
      <w:r w:rsidRPr="00DC67E9">
        <w:rPr>
          <w:rFonts w:ascii="Century" w:hAnsi="Century" w:hint="cs"/>
          <w:rtl/>
        </w:rPr>
        <w:t xml:space="preserve"> </w:t>
      </w:r>
      <w:r>
        <w:rPr>
          <w:rFonts w:ascii="Century" w:hAnsi="Century" w:hint="cs"/>
          <w:rtl/>
        </w:rPr>
        <w:t xml:space="preserve">של הממונה (ראו סעיף 4 למנשר מס' 2; כן ראו למשל בג"ץ 3103/06 </w:t>
      </w:r>
      <w:r>
        <w:rPr>
          <w:rFonts w:ascii="Century" w:hAnsi="Century" w:cs="Miriam" w:hint="cs"/>
          <w:b/>
          <w:spacing w:val="0"/>
          <w:szCs w:val="24"/>
          <w:rtl/>
        </w:rPr>
        <w:t>ולירו נ' מדינת ישראל</w:t>
      </w:r>
      <w:r>
        <w:rPr>
          <w:rFonts w:ascii="Century" w:hAnsi="Century" w:hint="cs"/>
          <w:rtl/>
        </w:rPr>
        <w:t xml:space="preserve">, פסקאות 45-37 (6.2.2011); עניין </w:t>
      </w:r>
      <w:r>
        <w:rPr>
          <w:rFonts w:ascii="Century" w:hAnsi="Century" w:cs="Miriam" w:hint="cs"/>
          <w:b/>
          <w:spacing w:val="0"/>
          <w:szCs w:val="24"/>
          <w:rtl/>
        </w:rPr>
        <w:t>אל נאזר</w:t>
      </w:r>
      <w:r>
        <w:rPr>
          <w:rFonts w:ascii="Century" w:hAnsi="Century" w:hint="cs"/>
          <w:rtl/>
        </w:rPr>
        <w:t>, בעמ' 704; וראו גם בפסק הדין נושא הדיון הנוסף, פסקה 25 לפסק דינה של הנשיאה), וזאת בשונה מזכויות האפוטרופוס לנכסי נפקדים בנכסים מוקנים (סעיף 4(א)(2) לחוק נכסי נפקדים קובע כי "</w:t>
      </w:r>
      <w:r w:rsidRPr="001C3C3D">
        <w:rPr>
          <w:rFonts w:ascii="Century" w:hAnsi="Century" w:hint="eastAsia"/>
          <w:rtl/>
        </w:rPr>
        <w:t>כל</w:t>
      </w:r>
      <w:r w:rsidRPr="001C3C3D">
        <w:rPr>
          <w:rFonts w:ascii="Century" w:hAnsi="Century"/>
          <w:rtl/>
        </w:rPr>
        <w:t xml:space="preserve"> </w:t>
      </w:r>
      <w:r w:rsidRPr="001C3C3D">
        <w:rPr>
          <w:rFonts w:ascii="Century" w:hAnsi="Century" w:hint="eastAsia"/>
          <w:rtl/>
        </w:rPr>
        <w:t>זכות</w:t>
      </w:r>
      <w:r w:rsidRPr="001C3C3D">
        <w:rPr>
          <w:rFonts w:ascii="Century" w:hAnsi="Century"/>
          <w:rtl/>
        </w:rPr>
        <w:t xml:space="preserve"> </w:t>
      </w:r>
      <w:r w:rsidRPr="001C3C3D">
        <w:rPr>
          <w:rFonts w:ascii="Century" w:hAnsi="Century" w:hint="eastAsia"/>
          <w:rtl/>
        </w:rPr>
        <w:t>שהיתה</w:t>
      </w:r>
      <w:r w:rsidRPr="001C3C3D">
        <w:rPr>
          <w:rFonts w:ascii="Century" w:hAnsi="Century"/>
          <w:rtl/>
        </w:rPr>
        <w:t xml:space="preserve"> </w:t>
      </w:r>
      <w:r w:rsidRPr="001C3C3D">
        <w:rPr>
          <w:rFonts w:ascii="Century" w:hAnsi="Century" w:hint="eastAsia"/>
          <w:rtl/>
        </w:rPr>
        <w:lastRenderedPageBreak/>
        <w:t>לנפקד</w:t>
      </w:r>
      <w:r w:rsidRPr="001C3C3D">
        <w:rPr>
          <w:rFonts w:ascii="Century" w:hAnsi="Century"/>
          <w:rtl/>
        </w:rPr>
        <w:t xml:space="preserve"> </w:t>
      </w:r>
      <w:r w:rsidRPr="001C3C3D">
        <w:rPr>
          <w:rFonts w:ascii="Century" w:hAnsi="Century" w:hint="eastAsia"/>
          <w:rtl/>
        </w:rPr>
        <w:t>בנכס</w:t>
      </w:r>
      <w:r w:rsidRPr="001C3C3D">
        <w:rPr>
          <w:rFonts w:ascii="Century" w:hAnsi="Century"/>
          <w:rtl/>
        </w:rPr>
        <w:t xml:space="preserve"> </w:t>
      </w:r>
      <w:r w:rsidRPr="001C3C3D">
        <w:rPr>
          <w:rFonts w:ascii="Century" w:hAnsi="Century" w:hint="eastAsia"/>
          <w:rtl/>
        </w:rPr>
        <w:t>עוברת</w:t>
      </w:r>
      <w:r w:rsidRPr="001C3C3D">
        <w:rPr>
          <w:rFonts w:ascii="Century" w:hAnsi="Century"/>
          <w:rtl/>
        </w:rPr>
        <w:t xml:space="preserve"> </w:t>
      </w:r>
      <w:r w:rsidRPr="001C3C3D">
        <w:rPr>
          <w:rFonts w:ascii="Century" w:hAnsi="Century" w:hint="eastAsia"/>
          <w:rtl/>
        </w:rPr>
        <w:t>מאליה</w:t>
      </w:r>
      <w:r w:rsidRPr="001C3C3D">
        <w:rPr>
          <w:rFonts w:ascii="Century" w:hAnsi="Century"/>
          <w:rtl/>
        </w:rPr>
        <w:t xml:space="preserve"> </w:t>
      </w:r>
      <w:r w:rsidRPr="001C3C3D">
        <w:rPr>
          <w:rFonts w:ascii="Century" w:hAnsi="Century" w:hint="eastAsia"/>
          <w:rtl/>
        </w:rPr>
        <w:t>לאפוטרופוס</w:t>
      </w:r>
      <w:r w:rsidRPr="001C3C3D">
        <w:rPr>
          <w:rFonts w:ascii="Century" w:hAnsi="Century"/>
          <w:rtl/>
        </w:rPr>
        <w:t xml:space="preserve"> </w:t>
      </w:r>
      <w:r w:rsidRPr="001C3C3D">
        <w:rPr>
          <w:rFonts w:ascii="Century" w:hAnsi="Century" w:hint="eastAsia"/>
          <w:rtl/>
        </w:rPr>
        <w:t>בשעת</w:t>
      </w:r>
      <w:r w:rsidRPr="001C3C3D">
        <w:rPr>
          <w:rFonts w:ascii="Century" w:hAnsi="Century"/>
          <w:rtl/>
        </w:rPr>
        <w:t xml:space="preserve"> </w:t>
      </w:r>
      <w:r w:rsidRPr="001C3C3D">
        <w:rPr>
          <w:rFonts w:ascii="Century" w:hAnsi="Century" w:hint="eastAsia"/>
          <w:rtl/>
        </w:rPr>
        <w:t>הקניית</w:t>
      </w:r>
      <w:r w:rsidRPr="001C3C3D">
        <w:rPr>
          <w:rFonts w:ascii="Century" w:hAnsi="Century"/>
          <w:rtl/>
        </w:rPr>
        <w:t xml:space="preserve"> </w:t>
      </w:r>
      <w:r w:rsidRPr="001C3C3D">
        <w:rPr>
          <w:rFonts w:ascii="Century" w:hAnsi="Century" w:hint="eastAsia"/>
          <w:rtl/>
        </w:rPr>
        <w:t>הנכס</w:t>
      </w:r>
      <w:r w:rsidRPr="001C3C3D">
        <w:rPr>
          <w:rFonts w:ascii="Century" w:hAnsi="Century"/>
          <w:rtl/>
        </w:rPr>
        <w:t xml:space="preserve">; </w:t>
      </w:r>
      <w:r w:rsidRPr="001C3C3D">
        <w:rPr>
          <w:rFonts w:ascii="Century" w:hAnsi="Century" w:hint="eastAsia"/>
          <w:rtl/>
        </w:rPr>
        <w:t>ויד</w:t>
      </w:r>
      <w:r w:rsidRPr="001C3C3D">
        <w:rPr>
          <w:rFonts w:ascii="Century" w:hAnsi="Century"/>
          <w:rtl/>
        </w:rPr>
        <w:t xml:space="preserve"> </w:t>
      </w:r>
      <w:r w:rsidRPr="001C3C3D">
        <w:rPr>
          <w:rFonts w:ascii="Century" w:hAnsi="Century" w:hint="eastAsia"/>
          <w:rtl/>
        </w:rPr>
        <w:t>האפוטרופוס</w:t>
      </w:r>
      <w:r w:rsidRPr="001C3C3D">
        <w:rPr>
          <w:rFonts w:ascii="Century" w:hAnsi="Century"/>
          <w:rtl/>
        </w:rPr>
        <w:t xml:space="preserve"> </w:t>
      </w:r>
      <w:r w:rsidRPr="001C3C3D">
        <w:rPr>
          <w:rFonts w:ascii="Century" w:hAnsi="Century" w:hint="eastAsia"/>
          <w:rtl/>
        </w:rPr>
        <w:t>כיד</w:t>
      </w:r>
      <w:r w:rsidRPr="001C3C3D">
        <w:rPr>
          <w:rFonts w:ascii="Century" w:hAnsi="Century"/>
          <w:rtl/>
        </w:rPr>
        <w:t xml:space="preserve"> </w:t>
      </w:r>
      <w:r w:rsidRPr="001C3C3D">
        <w:rPr>
          <w:rFonts w:ascii="Century" w:hAnsi="Century" w:hint="eastAsia"/>
          <w:rtl/>
        </w:rPr>
        <w:t>בעל</w:t>
      </w:r>
      <w:r w:rsidRPr="001C3C3D">
        <w:rPr>
          <w:rFonts w:ascii="Century" w:hAnsi="Century"/>
          <w:rtl/>
        </w:rPr>
        <w:t xml:space="preserve"> </w:t>
      </w:r>
      <w:r w:rsidRPr="001C3C3D">
        <w:rPr>
          <w:rFonts w:ascii="Century" w:hAnsi="Century" w:hint="eastAsia"/>
          <w:rtl/>
        </w:rPr>
        <w:t>הנכס</w:t>
      </w:r>
      <w:r>
        <w:rPr>
          <w:rFonts w:ascii="Century" w:hAnsi="Century" w:hint="cs"/>
          <w:rtl/>
        </w:rPr>
        <w:t xml:space="preserve">"; כן ראו בהקשר זה ע"א 54/82 </w:t>
      </w:r>
      <w:r>
        <w:rPr>
          <w:rFonts w:ascii="Century" w:hAnsi="Century" w:cs="Miriam" w:hint="cs"/>
          <w:b/>
          <w:spacing w:val="0"/>
          <w:sz w:val="22"/>
          <w:szCs w:val="24"/>
          <w:rtl/>
        </w:rPr>
        <w:t>לוי נ' עזבון מחמוד</w:t>
      </w:r>
      <w:r>
        <w:rPr>
          <w:rFonts w:ascii="Century" w:hAnsi="Century" w:hint="cs"/>
          <w:sz w:val="22"/>
          <w:rtl/>
        </w:rPr>
        <w:t>, פ"ד מ(1) 374, 386 (1986)</w:t>
      </w:r>
      <w:r>
        <w:rPr>
          <w:rFonts w:ascii="Century" w:hAnsi="Century" w:hint="cs"/>
          <w:rtl/>
        </w:rPr>
        <w:t xml:space="preserve">). מכאן שההסדר שנקבע בצו בדבר רכוש ממשלתי </w:t>
      </w:r>
      <w:r>
        <w:rPr>
          <w:rFonts w:ascii="Century" w:hAnsi="Century"/>
          <w:rtl/>
        </w:rPr>
        <w:t>–</w:t>
      </w:r>
      <w:r>
        <w:rPr>
          <w:rFonts w:ascii="Century" w:hAnsi="Century" w:hint="cs"/>
          <w:rtl/>
        </w:rPr>
        <w:t xml:space="preserve"> כשלעצמו </w:t>
      </w:r>
      <w:r>
        <w:rPr>
          <w:rFonts w:ascii="Century" w:hAnsi="Century"/>
          <w:rtl/>
        </w:rPr>
        <w:t>–</w:t>
      </w:r>
      <w:r>
        <w:rPr>
          <w:rFonts w:ascii="Century" w:hAnsi="Century" w:hint="cs"/>
          <w:rtl/>
        </w:rPr>
        <w:t xml:space="preserve"> אינו </w:t>
      </w:r>
      <w:r w:rsidRPr="00B51183">
        <w:rPr>
          <w:rFonts w:ascii="Century" w:hAnsi="Century" w:cs="Miriam" w:hint="cs"/>
          <w:b/>
          <w:spacing w:val="0"/>
          <w:sz w:val="22"/>
          <w:szCs w:val="24"/>
          <w:rtl/>
        </w:rPr>
        <w:t>זהה</w:t>
      </w:r>
      <w:r w:rsidRPr="00B51183">
        <w:rPr>
          <w:rFonts w:ascii="Century" w:hAnsi="Century" w:hint="cs"/>
          <w:rtl/>
        </w:rPr>
        <w:t xml:space="preserve"> </w:t>
      </w:r>
      <w:r>
        <w:rPr>
          <w:rFonts w:ascii="Century" w:hAnsi="Century" w:hint="cs"/>
          <w:rtl/>
        </w:rPr>
        <w:t xml:space="preserve">לזה שקבוע בחוק נכסי נפקדים, ומכאן </w:t>
      </w:r>
      <w:r w:rsidRPr="00E46CF7">
        <w:rPr>
          <w:rFonts w:ascii="Century" w:hAnsi="Century" w:hint="cs"/>
          <w:rtl/>
        </w:rPr>
        <w:t>הקושי</w:t>
      </w:r>
      <w:r>
        <w:rPr>
          <w:rFonts w:ascii="Century" w:hAnsi="Century" w:hint="cs"/>
          <w:rtl/>
        </w:rPr>
        <w:t xml:space="preserve"> לגזור גזירה שווה בין שניהם (כן ראו אצל לוין-שנור, ללא תקנה, בעמ' </w:t>
      </w:r>
      <w:r w:rsidRPr="00041290">
        <w:rPr>
          <w:rFonts w:ascii="Century" w:hAnsi="Century" w:hint="cs"/>
          <w:rtl/>
        </w:rPr>
        <w:t>327-</w:t>
      </w:r>
      <w:r w:rsidRPr="00C226E1">
        <w:rPr>
          <w:rFonts w:ascii="Century" w:hAnsi="Century"/>
          <w:rtl/>
        </w:rPr>
        <w:t>325</w:t>
      </w:r>
      <w:r>
        <w:rPr>
          <w:rFonts w:ascii="Century" w:hAnsi="Century" w:hint="cs"/>
          <w:rtl/>
        </w:rPr>
        <w:t>).</w:t>
      </w:r>
    </w:p>
    <w:p w:rsidR="004C7127" w:rsidRDefault="004C7127" w:rsidP="004C7127">
      <w:pPr>
        <w:pStyle w:val="Ruller41"/>
        <w:rPr>
          <w:rFonts w:ascii="Century" w:hAnsi="Century"/>
          <w:rtl/>
        </w:rPr>
      </w:pPr>
    </w:p>
    <w:p w:rsidR="004C7127" w:rsidRPr="001E2FC1" w:rsidRDefault="004C7127" w:rsidP="004C7127">
      <w:pPr>
        <w:pStyle w:val="Ruller4"/>
      </w:pPr>
      <w:r>
        <w:rPr>
          <w:rFonts w:hint="cs"/>
          <w:rtl/>
        </w:rPr>
        <w:t>הסדר נוסף שנושא כאמור דמיון לשוני לסעיף 5 הוא זה שקבוע בסעיף 16 לחוק האפוטרופוס הכללי. לשונו של סעיף זה קובעת ש"</w:t>
      </w:r>
      <w:r w:rsidRPr="002B4D8F">
        <w:rPr>
          <w:rFonts w:hint="eastAsia"/>
          <w:rtl/>
        </w:rPr>
        <w:t>פעולה</w:t>
      </w:r>
      <w:r w:rsidRPr="002B4D8F">
        <w:rPr>
          <w:rtl/>
        </w:rPr>
        <w:t xml:space="preserve"> </w:t>
      </w:r>
      <w:r w:rsidRPr="002B4D8F">
        <w:rPr>
          <w:rFonts w:hint="eastAsia"/>
          <w:rtl/>
        </w:rPr>
        <w:t>שנעשתה</w:t>
      </w:r>
      <w:r w:rsidRPr="002B4D8F">
        <w:rPr>
          <w:rtl/>
        </w:rPr>
        <w:t xml:space="preserve"> </w:t>
      </w:r>
      <w:r w:rsidRPr="002B4D8F">
        <w:rPr>
          <w:rFonts w:hint="eastAsia"/>
          <w:rtl/>
        </w:rPr>
        <w:t>בתום</w:t>
      </w:r>
      <w:r w:rsidRPr="002B4D8F">
        <w:rPr>
          <w:rtl/>
        </w:rPr>
        <w:t xml:space="preserve"> </w:t>
      </w:r>
      <w:r w:rsidRPr="002B4D8F">
        <w:rPr>
          <w:rFonts w:hint="eastAsia"/>
          <w:rtl/>
        </w:rPr>
        <w:t>לב</w:t>
      </w:r>
      <w:r w:rsidRPr="002B4D8F">
        <w:rPr>
          <w:rtl/>
        </w:rPr>
        <w:t xml:space="preserve"> </w:t>
      </w:r>
      <w:r w:rsidRPr="002B4D8F">
        <w:rPr>
          <w:rFonts w:hint="eastAsia"/>
          <w:rtl/>
        </w:rPr>
        <w:t>בין</w:t>
      </w:r>
      <w:r w:rsidRPr="002B4D8F">
        <w:rPr>
          <w:rtl/>
        </w:rPr>
        <w:t xml:space="preserve"> </w:t>
      </w:r>
      <w:r w:rsidRPr="002B4D8F">
        <w:rPr>
          <w:rFonts w:hint="eastAsia"/>
          <w:rtl/>
        </w:rPr>
        <w:t>האפוטרופוס</w:t>
      </w:r>
      <w:r w:rsidRPr="002B4D8F">
        <w:rPr>
          <w:rtl/>
        </w:rPr>
        <w:t xml:space="preserve"> </w:t>
      </w:r>
      <w:r w:rsidRPr="002B4D8F">
        <w:rPr>
          <w:rFonts w:hint="eastAsia"/>
          <w:rtl/>
        </w:rPr>
        <w:t>הכללי</w:t>
      </w:r>
      <w:r w:rsidRPr="002B4D8F">
        <w:rPr>
          <w:rtl/>
        </w:rPr>
        <w:t xml:space="preserve"> </w:t>
      </w:r>
      <w:r w:rsidRPr="002B4D8F">
        <w:rPr>
          <w:rFonts w:hint="eastAsia"/>
          <w:rtl/>
        </w:rPr>
        <w:t>לבין</w:t>
      </w:r>
      <w:r w:rsidRPr="002B4D8F">
        <w:rPr>
          <w:rtl/>
        </w:rPr>
        <w:t xml:space="preserve"> </w:t>
      </w:r>
      <w:r w:rsidRPr="002B4D8F">
        <w:rPr>
          <w:rFonts w:hint="eastAsia"/>
          <w:rtl/>
        </w:rPr>
        <w:t>אדם</w:t>
      </w:r>
      <w:r w:rsidRPr="002B4D8F">
        <w:rPr>
          <w:rtl/>
        </w:rPr>
        <w:t xml:space="preserve"> </w:t>
      </w:r>
      <w:r w:rsidRPr="002B4D8F">
        <w:rPr>
          <w:rFonts w:hint="eastAsia"/>
          <w:rtl/>
        </w:rPr>
        <w:t>אחר</w:t>
      </w:r>
      <w:r w:rsidRPr="002B4D8F">
        <w:rPr>
          <w:rtl/>
        </w:rPr>
        <w:t xml:space="preserve">, </w:t>
      </w:r>
      <w:r w:rsidRPr="002B4D8F">
        <w:rPr>
          <w:rFonts w:hint="eastAsia"/>
          <w:rtl/>
        </w:rPr>
        <w:t>מתוך</w:t>
      </w:r>
      <w:r w:rsidRPr="002B4D8F">
        <w:rPr>
          <w:rtl/>
        </w:rPr>
        <w:t xml:space="preserve"> </w:t>
      </w:r>
      <w:r w:rsidRPr="002B4D8F">
        <w:rPr>
          <w:rFonts w:hint="eastAsia"/>
          <w:rtl/>
        </w:rPr>
        <w:t>הנחה</w:t>
      </w:r>
      <w:r w:rsidRPr="002B4D8F">
        <w:rPr>
          <w:rtl/>
        </w:rPr>
        <w:t xml:space="preserve"> </w:t>
      </w:r>
      <w:r w:rsidRPr="002B4D8F">
        <w:rPr>
          <w:rFonts w:hint="eastAsia"/>
          <w:rtl/>
        </w:rPr>
        <w:t>שנכס</w:t>
      </w:r>
      <w:r w:rsidRPr="002B4D8F">
        <w:rPr>
          <w:rtl/>
        </w:rPr>
        <w:t xml:space="preserve"> </w:t>
      </w:r>
      <w:r w:rsidRPr="002B4D8F">
        <w:rPr>
          <w:rFonts w:hint="eastAsia"/>
          <w:rtl/>
        </w:rPr>
        <w:t>פלוני</w:t>
      </w:r>
      <w:r w:rsidRPr="002B4D8F">
        <w:rPr>
          <w:rtl/>
        </w:rPr>
        <w:t xml:space="preserve"> </w:t>
      </w:r>
      <w:r w:rsidRPr="002B4D8F">
        <w:rPr>
          <w:rFonts w:hint="eastAsia"/>
          <w:rtl/>
        </w:rPr>
        <w:t>הוא</w:t>
      </w:r>
      <w:r w:rsidRPr="002B4D8F">
        <w:rPr>
          <w:rtl/>
        </w:rPr>
        <w:t xml:space="preserve"> </w:t>
      </w:r>
      <w:r w:rsidRPr="002B4D8F">
        <w:rPr>
          <w:rFonts w:hint="eastAsia"/>
          <w:rtl/>
        </w:rPr>
        <w:t>נכס</w:t>
      </w:r>
      <w:r w:rsidRPr="002B4D8F">
        <w:rPr>
          <w:rtl/>
        </w:rPr>
        <w:t xml:space="preserve"> </w:t>
      </w:r>
      <w:r w:rsidRPr="002B4D8F">
        <w:rPr>
          <w:rFonts w:hint="eastAsia"/>
          <w:rtl/>
        </w:rPr>
        <w:t>עזוב</w:t>
      </w:r>
      <w:r w:rsidRPr="002B4D8F">
        <w:rPr>
          <w:rtl/>
        </w:rPr>
        <w:t xml:space="preserve">, </w:t>
      </w:r>
      <w:r w:rsidRPr="002B4D8F">
        <w:rPr>
          <w:rFonts w:hint="eastAsia"/>
          <w:rtl/>
        </w:rPr>
        <w:t>תעמוד</w:t>
      </w:r>
      <w:r w:rsidRPr="002B4D8F">
        <w:rPr>
          <w:rtl/>
        </w:rPr>
        <w:t xml:space="preserve"> </w:t>
      </w:r>
      <w:r w:rsidRPr="002B4D8F">
        <w:rPr>
          <w:rFonts w:hint="eastAsia"/>
          <w:rtl/>
        </w:rPr>
        <w:t>בתקפה</w:t>
      </w:r>
      <w:r w:rsidRPr="002B4D8F">
        <w:rPr>
          <w:rtl/>
        </w:rPr>
        <w:t xml:space="preserve"> </w:t>
      </w:r>
      <w:r w:rsidRPr="002B4D8F">
        <w:rPr>
          <w:rFonts w:hint="eastAsia"/>
          <w:rtl/>
        </w:rPr>
        <w:t>גם</w:t>
      </w:r>
      <w:r w:rsidRPr="002B4D8F">
        <w:rPr>
          <w:rtl/>
        </w:rPr>
        <w:t xml:space="preserve"> </w:t>
      </w:r>
      <w:r w:rsidRPr="002B4D8F">
        <w:rPr>
          <w:rFonts w:hint="eastAsia"/>
          <w:rtl/>
        </w:rPr>
        <w:t>אם</w:t>
      </w:r>
      <w:r w:rsidRPr="002B4D8F">
        <w:rPr>
          <w:rtl/>
        </w:rPr>
        <w:t xml:space="preserve"> </w:t>
      </w:r>
      <w:r w:rsidRPr="002B4D8F">
        <w:rPr>
          <w:rFonts w:hint="eastAsia"/>
          <w:rtl/>
        </w:rPr>
        <w:t>נתגלה</w:t>
      </w:r>
      <w:r w:rsidRPr="002B4D8F">
        <w:rPr>
          <w:rtl/>
        </w:rPr>
        <w:t xml:space="preserve"> </w:t>
      </w:r>
      <w:r w:rsidRPr="002B4D8F">
        <w:rPr>
          <w:rFonts w:hint="eastAsia"/>
          <w:rtl/>
        </w:rPr>
        <w:t>לאחר</w:t>
      </w:r>
      <w:r w:rsidRPr="002B4D8F">
        <w:rPr>
          <w:rtl/>
        </w:rPr>
        <w:t xml:space="preserve"> </w:t>
      </w:r>
      <w:r w:rsidRPr="002B4D8F">
        <w:rPr>
          <w:rFonts w:hint="eastAsia"/>
          <w:rtl/>
        </w:rPr>
        <w:t>מכן</w:t>
      </w:r>
      <w:r w:rsidRPr="002B4D8F">
        <w:rPr>
          <w:rtl/>
        </w:rPr>
        <w:t xml:space="preserve"> </w:t>
      </w:r>
      <w:r w:rsidRPr="002B4D8F">
        <w:rPr>
          <w:rFonts w:hint="eastAsia"/>
          <w:rtl/>
        </w:rPr>
        <w:t>שהנכס</w:t>
      </w:r>
      <w:r w:rsidRPr="002B4D8F">
        <w:rPr>
          <w:rtl/>
        </w:rPr>
        <w:t xml:space="preserve"> </w:t>
      </w:r>
      <w:r w:rsidRPr="002B4D8F">
        <w:rPr>
          <w:rFonts w:hint="eastAsia"/>
          <w:rtl/>
        </w:rPr>
        <w:t>לא</w:t>
      </w:r>
      <w:r w:rsidRPr="002B4D8F">
        <w:rPr>
          <w:rtl/>
        </w:rPr>
        <w:t xml:space="preserve"> </w:t>
      </w:r>
      <w:r w:rsidRPr="002B4D8F">
        <w:rPr>
          <w:rFonts w:hint="eastAsia"/>
          <w:rtl/>
        </w:rPr>
        <w:t>היה</w:t>
      </w:r>
      <w:r w:rsidRPr="002B4D8F">
        <w:rPr>
          <w:rtl/>
        </w:rPr>
        <w:t xml:space="preserve"> </w:t>
      </w:r>
      <w:r w:rsidRPr="002B4D8F">
        <w:rPr>
          <w:rFonts w:hint="eastAsia"/>
          <w:rtl/>
        </w:rPr>
        <w:t>עזוב</w:t>
      </w:r>
      <w:r>
        <w:rPr>
          <w:rFonts w:hint="cs"/>
          <w:rtl/>
        </w:rPr>
        <w:t xml:space="preserve">". אף בהקשר זה ניתן לשים לב כי מדובר בסיטואציה עובדתית דומה, של פעולה של רשות שלטונית בנכסים שבניהולה. ואולם, יש לתת את הדעת לכך שגם ביחס לסעיף זה קיימת מעטפת הסדרים שאין לה מקבילה בצו בדבר רכוש ממשלתי. כך, פעולות של האפוטרופוס הכללי שתוקפן תלוי ברישום בפנקס שמתנהל על פי דין או פעולותיו בנכסים ששווים גבוה טעון </w:t>
      </w:r>
      <w:r>
        <w:rPr>
          <w:rFonts w:ascii="Century" w:hAnsi="Century" w:cs="Miriam" w:hint="cs"/>
          <w:b/>
          <w:spacing w:val="0"/>
          <w:sz w:val="22"/>
          <w:szCs w:val="24"/>
          <w:rtl/>
        </w:rPr>
        <w:t>אישור מראש</w:t>
      </w:r>
      <w:r>
        <w:rPr>
          <w:rFonts w:ascii="Century" w:hAnsi="Century" w:hint="cs"/>
          <w:sz w:val="22"/>
          <w:rtl/>
        </w:rPr>
        <w:t xml:space="preserve"> של בית משפט (סעיף 9(ג)(1)-(2) לחוק האפוטרופוס הכללי). הליך מובנה זה של ביקורת שיפוטית אינו קיים ביחס לנכסים שלגביהם חל סעיף 5 לצו בדבר רכוש ממשלתי </w:t>
      </w:r>
      <w:r>
        <w:rPr>
          <w:rFonts w:ascii="Century" w:hAnsi="Century"/>
          <w:sz w:val="22"/>
          <w:rtl/>
        </w:rPr>
        <w:t>–</w:t>
      </w:r>
      <w:r>
        <w:rPr>
          <w:rFonts w:ascii="Century" w:hAnsi="Century" w:hint="cs"/>
          <w:sz w:val="22"/>
          <w:rtl/>
        </w:rPr>
        <w:t xml:space="preserve"> וברי כי אין מדובר בהבדל טכני או פרוצדוראלי (ואציין כי הפסיקה בנוגע להפעלת סעיף 16 מועטה, ראו בר"ע 7/81 </w:t>
      </w:r>
      <w:r>
        <w:rPr>
          <w:rFonts w:ascii="Century" w:hAnsi="Century" w:cs="Miriam" w:hint="cs"/>
          <w:b/>
          <w:spacing w:val="0"/>
          <w:sz w:val="22"/>
          <w:szCs w:val="24"/>
          <w:rtl/>
        </w:rPr>
        <w:t>האפוטרופוס הכללי נ' עיריית חולון</w:t>
      </w:r>
      <w:r>
        <w:rPr>
          <w:rFonts w:ascii="Century" w:hAnsi="Century" w:hint="cs"/>
          <w:sz w:val="22"/>
          <w:rtl/>
        </w:rPr>
        <w:t xml:space="preserve">, פ"ד לו(1) 484, 487 (1982); דויטש, כרך ד, בעמ' 311). </w:t>
      </w:r>
    </w:p>
    <w:p w:rsidR="004C7127" w:rsidRPr="001E2FC1" w:rsidRDefault="004C7127" w:rsidP="004C7127">
      <w:pPr>
        <w:pStyle w:val="Ruller4"/>
        <w:numPr>
          <w:ilvl w:val="0"/>
          <w:numId w:val="0"/>
        </w:numPr>
      </w:pPr>
    </w:p>
    <w:p w:rsidR="004C7127" w:rsidRPr="00874B27" w:rsidRDefault="004C7127" w:rsidP="004C7127">
      <w:pPr>
        <w:pStyle w:val="Ruller4"/>
      </w:pPr>
      <w:r>
        <w:rPr>
          <w:rFonts w:ascii="Century" w:hAnsi="Century" w:hint="cs"/>
          <w:sz w:val="22"/>
          <w:rtl/>
        </w:rPr>
        <w:t xml:space="preserve">הסדר אחר שאליו התייחסו הצדדים הוא זה שקבוע בסעיף 10 לחוק המקרקעין. ואולם, ברי כי סעיף זה נבדל מהותית מזה שבסעיף 5, בראש ובראשונה בשל תכליתו המובהקת של סעיף 10 לבצר את מעמדו של מרשם המקרקעין. מתכלית זו נגזרת ומוכתבת פרשנות </w:t>
      </w:r>
      <w:r w:rsidRPr="00FC77BF">
        <w:rPr>
          <w:rFonts w:ascii="Century" w:hAnsi="Century" w:hint="cs"/>
          <w:sz w:val="22"/>
          <w:rtl/>
        </w:rPr>
        <w:t>הסעיף ותנאיו (ראו גם פסקה 37 לעיל).</w:t>
      </w:r>
      <w:r>
        <w:rPr>
          <w:rFonts w:ascii="Century" w:hAnsi="Century" w:hint="cs"/>
          <w:sz w:val="22"/>
          <w:rtl/>
        </w:rPr>
        <w:t xml:space="preserve"> סעיף 5 לא נועד להגן על תכלית מעין זו, ואף לא נטען כן על ידי מי מהצדדים. זאת ועוד, סעיף 10 לחוק המקרקעין כולל אף הוא דרישת תמורה שלא נזכרת בסעיף 5. מכאן שקיים קושי ממשי להישען בפרשנות סעיף 5 על תקנת השוק במקרקעין. </w:t>
      </w:r>
    </w:p>
    <w:p w:rsidR="004C7127" w:rsidRDefault="004C7127" w:rsidP="004C7127">
      <w:pPr>
        <w:pStyle w:val="Ruller4"/>
        <w:numPr>
          <w:ilvl w:val="0"/>
          <w:numId w:val="0"/>
        </w:numPr>
        <w:rPr>
          <w:rtl/>
        </w:rPr>
      </w:pPr>
    </w:p>
    <w:p w:rsidR="004C7127" w:rsidRDefault="004C7127" w:rsidP="004C7127">
      <w:pPr>
        <w:pStyle w:val="Ruller4"/>
      </w:pPr>
      <w:r>
        <w:rPr>
          <w:rFonts w:ascii="Century" w:hAnsi="Century" w:hint="cs"/>
          <w:sz w:val="22"/>
          <w:rtl/>
        </w:rPr>
        <w:t xml:space="preserve">בנקודה זו, מצאתי להתייחס בתמצית לתכליתו של סעיף 5 לצו. כפי שנקבע בפסק הדין נושא הדיון הנוסף הסעיף "נועד לאפשר לממונה לנהל את הנכסים שהוכרזו כרכוש ממשלתי, תוך הגנה על אינטרס ההסתמכות של הצדדים שהתקשרו עימו" (פסקה 35 לפסק דינה של הנשיאה). קביעה זו מקובלת גם עלי (ואציין כי אף הפרשנות שמוצעת על ידי המשיבים 3-1 לסעיף 5 בכללותו לא חורגת במהותה מתכלית זו). ההצדקה להגן </w:t>
      </w:r>
      <w:r>
        <w:rPr>
          <w:rFonts w:ascii="Century" w:hAnsi="Century" w:hint="cs"/>
          <w:sz w:val="22"/>
          <w:rtl/>
        </w:rPr>
        <w:lastRenderedPageBreak/>
        <w:t xml:space="preserve">על אינטרס ההסתמכות של המתקשרים עם הממונה נובעת גם מכך שהם פועלים באקלים משפטי של מידע חלקי </w:t>
      </w:r>
      <w:r w:rsidRPr="003A2BE3">
        <w:rPr>
          <w:rFonts w:ascii="Century" w:hAnsi="Century" w:hint="cs"/>
          <w:sz w:val="22"/>
          <w:rtl/>
        </w:rPr>
        <w:t>(</w:t>
      </w:r>
      <w:r w:rsidRPr="00C226E1">
        <w:rPr>
          <w:rFonts w:ascii="Century" w:hAnsi="Century" w:hint="eastAsia"/>
          <w:sz w:val="22"/>
          <w:rtl/>
        </w:rPr>
        <w:t>ראו</w:t>
      </w:r>
      <w:r w:rsidRPr="00C226E1">
        <w:rPr>
          <w:rFonts w:ascii="Century" w:hAnsi="Century"/>
          <w:sz w:val="22"/>
          <w:rtl/>
        </w:rPr>
        <w:t xml:space="preserve"> </w:t>
      </w:r>
      <w:r w:rsidRPr="00C226E1">
        <w:rPr>
          <w:rFonts w:ascii="Century" w:hAnsi="Century" w:hint="eastAsia"/>
          <w:sz w:val="22"/>
          <w:rtl/>
        </w:rPr>
        <w:t>את</w:t>
      </w:r>
      <w:r w:rsidRPr="00C226E1">
        <w:rPr>
          <w:rFonts w:ascii="Century" w:hAnsi="Century"/>
          <w:sz w:val="22"/>
          <w:rtl/>
        </w:rPr>
        <w:t xml:space="preserve"> </w:t>
      </w:r>
      <w:r w:rsidRPr="00C226E1">
        <w:rPr>
          <w:rFonts w:ascii="Century" w:hAnsi="Century" w:hint="eastAsia"/>
          <w:sz w:val="22"/>
          <w:rtl/>
        </w:rPr>
        <w:t>האמור</w:t>
      </w:r>
      <w:r w:rsidRPr="00C226E1">
        <w:rPr>
          <w:rFonts w:ascii="Century" w:hAnsi="Century"/>
          <w:sz w:val="22"/>
          <w:rtl/>
        </w:rPr>
        <w:t xml:space="preserve"> </w:t>
      </w:r>
      <w:r w:rsidRPr="00C226E1">
        <w:rPr>
          <w:rFonts w:ascii="Century" w:hAnsi="Century" w:hint="eastAsia"/>
          <w:sz w:val="22"/>
          <w:rtl/>
        </w:rPr>
        <w:t>בהקשר</w:t>
      </w:r>
      <w:r w:rsidRPr="00C226E1">
        <w:rPr>
          <w:rFonts w:ascii="Century" w:hAnsi="Century"/>
          <w:sz w:val="22"/>
          <w:rtl/>
        </w:rPr>
        <w:t xml:space="preserve"> </w:t>
      </w:r>
      <w:r w:rsidRPr="00C226E1">
        <w:rPr>
          <w:rFonts w:ascii="Century" w:hAnsi="Century" w:hint="eastAsia"/>
          <w:sz w:val="22"/>
          <w:rtl/>
        </w:rPr>
        <w:t>זה</w:t>
      </w:r>
      <w:r w:rsidRPr="00C226E1">
        <w:rPr>
          <w:rFonts w:ascii="Century" w:hAnsi="Century"/>
          <w:sz w:val="22"/>
          <w:rtl/>
        </w:rPr>
        <w:t xml:space="preserve"> </w:t>
      </w:r>
      <w:r w:rsidRPr="00C226E1">
        <w:rPr>
          <w:rFonts w:ascii="Century" w:hAnsi="Century" w:hint="eastAsia"/>
          <w:sz w:val="22"/>
          <w:rtl/>
        </w:rPr>
        <w:t>בסעיף</w:t>
      </w:r>
      <w:r w:rsidRPr="00C226E1">
        <w:rPr>
          <w:rFonts w:ascii="Century" w:hAnsi="Century"/>
          <w:sz w:val="22"/>
          <w:rtl/>
        </w:rPr>
        <w:t xml:space="preserve"> 23 </w:t>
      </w:r>
      <w:r w:rsidRPr="00C226E1">
        <w:rPr>
          <w:rFonts w:ascii="Century" w:hAnsi="Century" w:hint="eastAsia"/>
          <w:sz w:val="22"/>
          <w:rtl/>
        </w:rPr>
        <w:t>להשלמת</w:t>
      </w:r>
      <w:r w:rsidRPr="00C226E1">
        <w:rPr>
          <w:rFonts w:ascii="Century" w:hAnsi="Century"/>
          <w:sz w:val="22"/>
          <w:rtl/>
        </w:rPr>
        <w:t xml:space="preserve"> </w:t>
      </w:r>
      <w:r w:rsidRPr="00C226E1">
        <w:rPr>
          <w:rFonts w:ascii="Century" w:hAnsi="Century" w:hint="eastAsia"/>
          <w:sz w:val="22"/>
          <w:rtl/>
        </w:rPr>
        <w:t>הטיעון</w:t>
      </w:r>
      <w:r w:rsidRPr="00C226E1">
        <w:rPr>
          <w:rFonts w:ascii="Century" w:hAnsi="Century"/>
          <w:sz w:val="22"/>
          <w:rtl/>
        </w:rPr>
        <w:t xml:space="preserve"> </w:t>
      </w:r>
      <w:r w:rsidRPr="00C226E1">
        <w:rPr>
          <w:rFonts w:ascii="Century" w:hAnsi="Century" w:hint="eastAsia"/>
          <w:sz w:val="22"/>
          <w:rtl/>
        </w:rPr>
        <w:t>מטעם</w:t>
      </w:r>
      <w:r w:rsidRPr="00C226E1">
        <w:rPr>
          <w:rFonts w:ascii="Century" w:hAnsi="Century"/>
          <w:sz w:val="22"/>
          <w:rtl/>
        </w:rPr>
        <w:t xml:space="preserve"> </w:t>
      </w:r>
      <w:r w:rsidRPr="00C226E1">
        <w:rPr>
          <w:rFonts w:ascii="Century" w:hAnsi="Century" w:hint="eastAsia"/>
          <w:sz w:val="22"/>
          <w:rtl/>
        </w:rPr>
        <w:t>המדינה</w:t>
      </w:r>
      <w:r>
        <w:rPr>
          <w:rFonts w:ascii="Century" w:hAnsi="Century" w:hint="cs"/>
          <w:sz w:val="22"/>
          <w:rtl/>
        </w:rPr>
        <w:t xml:space="preserve">; כן ראו פסקה </w:t>
      </w:r>
      <w:r w:rsidRPr="00FC77BF">
        <w:rPr>
          <w:rFonts w:ascii="Century" w:hAnsi="Century" w:hint="cs"/>
          <w:sz w:val="22"/>
          <w:rtl/>
        </w:rPr>
        <w:t>62</w:t>
      </w:r>
      <w:r>
        <w:rPr>
          <w:rFonts w:ascii="Century" w:hAnsi="Century" w:hint="cs"/>
          <w:sz w:val="22"/>
          <w:rtl/>
        </w:rPr>
        <w:t xml:space="preserve"> להלן</w:t>
      </w:r>
      <w:r w:rsidRPr="003A2BE3">
        <w:rPr>
          <w:rFonts w:ascii="Century" w:hAnsi="Century" w:hint="cs"/>
          <w:sz w:val="22"/>
          <w:rtl/>
        </w:rPr>
        <w:t>).</w:t>
      </w:r>
      <w:r>
        <w:rPr>
          <w:rFonts w:ascii="Century" w:hAnsi="Century" w:hint="cs"/>
          <w:sz w:val="22"/>
          <w:rtl/>
        </w:rPr>
        <w:t xml:space="preserve"> בכך קיימת נקודת השקה חשובה בין ההסדר שקבוע בסעיף 5 להסדרים אחרים שנוגעים להסתמכות רוכש על התנהלות רשות שלטונית ברכוש שעשוי להתעורר קושי בקביעת זהות בעליו (סעיף 17 לחוק נכסי נפקדים, ראו למשל בעניין</w:t>
      </w:r>
      <w:r>
        <w:rPr>
          <w:rFonts w:hint="cs"/>
          <w:rtl/>
        </w:rPr>
        <w:t xml:space="preserve"> </w:t>
      </w:r>
      <w:r>
        <w:rPr>
          <w:rFonts w:ascii="Century" w:hAnsi="Century" w:cs="Miriam" w:hint="cs"/>
          <w:b/>
          <w:spacing w:val="0"/>
          <w:szCs w:val="24"/>
          <w:rtl/>
        </w:rPr>
        <w:t>עלא-אל-דין</w:t>
      </w:r>
      <w:r>
        <w:rPr>
          <w:rFonts w:ascii="Century" w:hAnsi="Century" w:hint="cs"/>
          <w:sz w:val="22"/>
          <w:rtl/>
        </w:rPr>
        <w:t xml:space="preserve">, בעמ' 436; כן ראו את האמור בעניין </w:t>
      </w:r>
      <w:r>
        <w:rPr>
          <w:rFonts w:ascii="Century" w:hAnsi="Century" w:cs="Miriam" w:hint="cs"/>
          <w:b/>
          <w:spacing w:val="0"/>
          <w:sz w:val="22"/>
          <w:szCs w:val="24"/>
          <w:rtl/>
        </w:rPr>
        <w:t>עיריית חולון</w:t>
      </w:r>
      <w:r>
        <w:rPr>
          <w:rFonts w:ascii="Century" w:hAnsi="Century" w:hint="cs"/>
          <w:sz w:val="22"/>
          <w:rtl/>
        </w:rPr>
        <w:t>, בעמ' 487 ביחס לסעיף 16 לחוק האפוטרופוס הכללי). לצד האמור, יש לציין כי בטענות הצדדים וכן לאורך ההליך הובאה גם הטענה שהסעיף נועד להגן על חיי המסחר או להקל על "ההתנהלות השוטפת" בנכסים שבניהולו של הממונה (ראו למשל פסקה 144 לפסק הדין של בית המשפט המחוזי בהליך האזרחי; כן ראו עמדת המדינה במסגרת הערעור האזרחי, סעיף 68 לסיכומיה; ויניצקי, תקנת השוק, בעמ' 368).</w:t>
      </w:r>
      <w:r>
        <w:rPr>
          <w:rFonts w:hint="cs"/>
          <w:rtl/>
        </w:rPr>
        <w:t xml:space="preserve"> לעמדה זו אין בידי להצטרף. </w:t>
      </w:r>
    </w:p>
    <w:p w:rsidR="004C7127" w:rsidRDefault="004C7127" w:rsidP="004C7127">
      <w:pPr>
        <w:pStyle w:val="Ruller4"/>
        <w:numPr>
          <w:ilvl w:val="0"/>
          <w:numId w:val="0"/>
        </w:numPr>
      </w:pPr>
    </w:p>
    <w:p w:rsidR="004C7127" w:rsidRDefault="004C7127" w:rsidP="004C7127">
      <w:pPr>
        <w:pStyle w:val="Ruller4"/>
      </w:pPr>
      <w:r>
        <w:rPr>
          <w:rFonts w:ascii="Century" w:hAnsi="Century" w:hint="cs"/>
          <w:sz w:val="22"/>
          <w:rtl/>
        </w:rPr>
        <w:t>אכן, הסדרי תקנת שוק שונים נועדו, בחלק מן המקרים, להקל על תנאי המסחר ולהוריד עלויות עסקה (ראו ביחס לתקנת השוק במיטלטלין אצל דויטש, כרך ד, בעמ' 191, וביחס לתקנת השוק במקרקעין ראו שם,</w:t>
      </w:r>
      <w:r>
        <w:rPr>
          <w:rFonts w:hint="cs"/>
          <w:rtl/>
        </w:rPr>
        <w:t xml:space="preserve"> בעמ' 235</w:t>
      </w:r>
      <w:r w:rsidRPr="00283D2E">
        <w:rPr>
          <w:rFonts w:ascii="Century" w:hAnsi="Century" w:hint="cs"/>
          <w:sz w:val="22"/>
          <w:rtl/>
        </w:rPr>
        <w:t xml:space="preserve">; כן ראו האמור בהקשר זה </w:t>
      </w:r>
      <w:r w:rsidRPr="00B20F7B">
        <w:rPr>
          <w:rFonts w:ascii="Century" w:hAnsi="Century" w:hint="cs"/>
          <w:sz w:val="22"/>
          <w:rtl/>
        </w:rPr>
        <w:t xml:space="preserve">בפסקה 15 לפסק דינו של השופט (כתוארו אז) </w:t>
      </w:r>
      <w:r w:rsidRPr="00B20F7B">
        <w:rPr>
          <w:rFonts w:ascii="Century" w:hAnsi="Century" w:cs="Miriam" w:hint="cs"/>
          <w:b/>
          <w:spacing w:val="0"/>
          <w:sz w:val="22"/>
          <w:szCs w:val="24"/>
          <w:rtl/>
        </w:rPr>
        <w:t>נ' הנדל</w:t>
      </w:r>
      <w:r w:rsidRPr="00B20F7B">
        <w:rPr>
          <w:rFonts w:ascii="Century" w:hAnsi="Century" w:hint="cs"/>
          <w:sz w:val="22"/>
          <w:rtl/>
        </w:rPr>
        <w:t xml:space="preserve"> בפסק הדין נושא הדיון הנוסף). </w:t>
      </w:r>
      <w:r w:rsidRPr="00B20F7B">
        <w:rPr>
          <w:rFonts w:hint="cs"/>
          <w:rtl/>
        </w:rPr>
        <w:t xml:space="preserve">תקנות השוק במקרקעין ובמיטלטלין (בסעיפים 10 לחוק המקרקעין ו-34 לחוק המכר) נוגעות לאינטראקציות מסחריות יומיומיות שנערכות אינספור פעמים מדי יום גם על ידי צדדים "פשוטים" (בין סוחר לבין קונה; בין מי שמוכר מקרקעין לבין מי שרוכש מקרקעין). העסקאות שבהן עוסק סעיף 5 הן עסקאות שנוגעות לקרקעות באזור, שצד להן הוא הממונה על הרכוש הממשלתי </w:t>
      </w:r>
      <w:r w:rsidRPr="00B20F7B">
        <w:rPr>
          <w:rtl/>
        </w:rPr>
        <w:t>–</w:t>
      </w:r>
      <w:r w:rsidRPr="00B20F7B">
        <w:rPr>
          <w:rFonts w:hint="cs"/>
          <w:rtl/>
        </w:rPr>
        <w:t xml:space="preserve"> שכזכור מונה על ידי המפקד הצבאי, שמוטלת עליו מכוח דיני התפיסה הלוחמתית החובה לשמור על רכוש זה. צדה השני של העסקה, הוא פעמים רבות גורם מיישב דוגמת ההסתדרות הציונית (ראו הנתונים בעניין </w:t>
      </w:r>
      <w:r w:rsidRPr="00B20F7B">
        <w:rPr>
          <w:rFonts w:ascii="Century" w:hAnsi="Century" w:cs="Miriam" w:hint="cs"/>
          <w:b/>
          <w:spacing w:val="0"/>
          <w:sz w:val="22"/>
          <w:szCs w:val="24"/>
          <w:rtl/>
        </w:rPr>
        <w:t>סלואד</w:t>
      </w:r>
      <w:r w:rsidRPr="00B20F7B">
        <w:rPr>
          <w:rFonts w:ascii="Century" w:hAnsi="Century" w:hint="cs"/>
          <w:sz w:val="22"/>
          <w:rtl/>
        </w:rPr>
        <w:t>, פסקה 49</w:t>
      </w:r>
      <w:r w:rsidRPr="00B20F7B">
        <w:rPr>
          <w:rFonts w:hint="cs"/>
          <w:rtl/>
        </w:rPr>
        <w:t xml:space="preserve"> לפסק דינה של הנשיאה </w:t>
      </w:r>
      <w:r w:rsidRPr="00B20F7B">
        <w:rPr>
          <w:rFonts w:ascii="Century" w:hAnsi="Century" w:cs="Miriam" w:hint="cs"/>
          <w:b/>
          <w:spacing w:val="0"/>
          <w:sz w:val="22"/>
          <w:szCs w:val="24"/>
          <w:rtl/>
        </w:rPr>
        <w:t>א' חיות</w:t>
      </w:r>
      <w:r w:rsidRPr="00B20F7B">
        <w:rPr>
          <w:rFonts w:hint="cs"/>
          <w:rtl/>
        </w:rPr>
        <w:t xml:space="preserve">). מעבר לחובות שמוטלות על צדדים אלה, אפיוניהם שונים בתכלית מצדדים "פשוטים" לאינטראקציות מסחריות יומיומיות. זאת ועוד, "הכבדה" בנטל המוטל מכוח סעיף 5 משמעה </w:t>
      </w:r>
      <w:r>
        <w:rPr>
          <w:rFonts w:hint="cs"/>
          <w:rtl/>
        </w:rPr>
        <w:t>פחות "טעויות" בעסקאות ברכוש זה.</w:t>
      </w:r>
      <w:r w:rsidRPr="00B20F7B">
        <w:rPr>
          <w:rFonts w:hint="cs"/>
          <w:rtl/>
        </w:rPr>
        <w:t xml:space="preserve"> משכך ספק בעיני אם שיקול הגדלת "עלויות העסקה" (שעשוי להיות תוצאה של פרשנות מצמצמת של תנאי</w:t>
      </w:r>
      <w:r>
        <w:rPr>
          <w:rFonts w:hint="cs"/>
          <w:rtl/>
        </w:rPr>
        <w:t xml:space="preserve"> סעיף 5) הוא שיקול מכריע בפרשנות ההסדר ותנאיו. זאת ועוד, איני סבור כי "שוק הקרקעות" באזור, הוא שוק שבו העלאת עלויות העסקה בין הממונה לבין המתקשרים עמו משמעה בהכרח קושי בעריכת עסקאות עם הממונה בנוגע למקרקעין (וזאת בשים לב בין היתר לדברי המחזיקים שלפיהם אין כל חלופה להתקשרות בעסקאות עם הממונה להתיישבות באזור; ראו סעיף 21 להשלמת הטיעון מטעם המשיבים 39-24).</w:t>
      </w:r>
    </w:p>
    <w:p w:rsidR="004C7127" w:rsidRDefault="004C7127" w:rsidP="004C7127">
      <w:pPr>
        <w:pStyle w:val="Ruller4"/>
        <w:numPr>
          <w:ilvl w:val="0"/>
          <w:numId w:val="0"/>
        </w:numPr>
        <w:bidi w:val="0"/>
      </w:pPr>
    </w:p>
    <w:p w:rsidR="004C7127" w:rsidRDefault="004C7127" w:rsidP="004C7127">
      <w:pPr>
        <w:pStyle w:val="Ruller4"/>
        <w:rPr>
          <w:rtl/>
        </w:rPr>
      </w:pPr>
      <w:r>
        <w:rPr>
          <w:rFonts w:hint="cs"/>
          <w:rtl/>
        </w:rPr>
        <w:lastRenderedPageBreak/>
        <w:t xml:space="preserve">נוסף על הדומה והשונה בין תקנות השוק השונות שהובאו לעיל, יש לשים לב כי כפי שנקבע בפסק הדין נושא הדיון הנוסף, אין בכוחו של סעיף 5 להעביר את זכות </w:t>
      </w:r>
      <w:r w:rsidRPr="0046570A">
        <w:rPr>
          <w:rFonts w:ascii="Century" w:hAnsi="Century" w:cs="Miriam" w:hint="cs"/>
          <w:b/>
          <w:spacing w:val="0"/>
          <w:sz w:val="22"/>
          <w:szCs w:val="24"/>
          <w:rtl/>
        </w:rPr>
        <w:t>הבעלות</w:t>
      </w:r>
      <w:r>
        <w:rPr>
          <w:rFonts w:hint="cs"/>
          <w:rtl/>
        </w:rPr>
        <w:t xml:space="preserve"> בנכסים, אלא זכויות פחותות מכך, בהתאם לסוג העסקה הרלוונטית (זאת, להבדיל מתוצאת החלתן של תקנות שוק אחרות).</w:t>
      </w:r>
      <w:r>
        <w:rPr>
          <w:rFonts w:ascii="Century" w:hAnsi="Century" w:hint="cs"/>
          <w:sz w:val="22"/>
          <w:rtl/>
        </w:rPr>
        <w:t xml:space="preserve"> </w:t>
      </w:r>
      <w:r>
        <w:rPr>
          <w:rFonts w:hint="cs"/>
          <w:rtl/>
        </w:rPr>
        <w:t xml:space="preserve">זאת ועוד, הבדל נוסף נעוץ בכך שהזכות שמוקנית מכוח סעיף 5 היא זכות זמנית, שאמורה לפקוע לכל המאוחר עם סיום התפיסה הלוחמתית (פסקה 37 לפסק דינה של </w:t>
      </w:r>
      <w:r w:rsidRPr="001E3384">
        <w:rPr>
          <w:rFonts w:hint="cs"/>
          <w:rtl/>
        </w:rPr>
        <w:t xml:space="preserve">הנשיאה). סוגיה מורכבת נוספת שנובעת מהבדל זה היא מה הדין כאשר נקבע שעסקה חוסה תחת סעיף 5, אך יש לה מועד תפוגה חוזי: האם בסוף תקופת העסקה, למחזיק בנכס נשארות זכויות כלשהן בו? </w:t>
      </w:r>
      <w:r w:rsidRPr="001E3384">
        <w:rPr>
          <w:rFonts w:hint="eastAsia"/>
          <w:rtl/>
        </w:rPr>
        <w:t>האם</w:t>
      </w:r>
      <w:r w:rsidRPr="001E3384">
        <w:rPr>
          <w:rFonts w:hint="cs"/>
          <w:rtl/>
        </w:rPr>
        <w:t xml:space="preserve"> רשאי הממונה</w:t>
      </w:r>
      <w:r w:rsidRPr="001E3384">
        <w:rPr>
          <w:rtl/>
        </w:rPr>
        <w:t xml:space="preserve"> </w:t>
      </w:r>
      <w:r w:rsidRPr="001E3384">
        <w:rPr>
          <w:rFonts w:hint="eastAsia"/>
          <w:rtl/>
        </w:rPr>
        <w:t>להאריך</w:t>
      </w:r>
      <w:r w:rsidRPr="001E3384">
        <w:rPr>
          <w:rtl/>
        </w:rPr>
        <w:t xml:space="preserve"> </w:t>
      </w:r>
      <w:r w:rsidRPr="001E3384">
        <w:rPr>
          <w:rFonts w:hint="eastAsia"/>
          <w:rtl/>
        </w:rPr>
        <w:t>עסקה</w:t>
      </w:r>
      <w:r w:rsidRPr="001E3384">
        <w:rPr>
          <w:rtl/>
        </w:rPr>
        <w:t xml:space="preserve"> </w:t>
      </w:r>
      <w:r w:rsidRPr="001E3384">
        <w:rPr>
          <w:rFonts w:hint="eastAsia"/>
          <w:rtl/>
        </w:rPr>
        <w:t>כאמור</w:t>
      </w:r>
      <w:r w:rsidRPr="001E3384">
        <w:rPr>
          <w:rFonts w:hint="cs"/>
          <w:rtl/>
        </w:rPr>
        <w:t xml:space="preserve">, אף לאחר שהתברר כי אין מדובר ברכוש ממשלתי? (ראו והשוו בשינויים המחויבים לעניין </w:t>
      </w:r>
      <w:r w:rsidRPr="001E3384">
        <w:rPr>
          <w:rFonts w:ascii="Century" w:hAnsi="Century" w:cs="Miriam" w:hint="cs"/>
          <w:b/>
          <w:spacing w:val="0"/>
          <w:sz w:val="22"/>
          <w:szCs w:val="24"/>
          <w:rtl/>
        </w:rPr>
        <w:t>מירזה</w:t>
      </w:r>
      <w:r w:rsidRPr="001E3384">
        <w:rPr>
          <w:rFonts w:ascii="Century" w:hAnsi="Century" w:hint="cs"/>
          <w:sz w:val="22"/>
          <w:rtl/>
        </w:rPr>
        <w:t xml:space="preserve">, בעמ' </w:t>
      </w:r>
      <w:r w:rsidRPr="001E3384">
        <w:rPr>
          <w:rFonts w:hint="cs"/>
          <w:rtl/>
        </w:rPr>
        <w:t>1467; כן ראו</w:t>
      </w:r>
      <w:r>
        <w:rPr>
          <w:rFonts w:hint="cs"/>
          <w:rtl/>
        </w:rPr>
        <w:t xml:space="preserve"> סעיף 17(ב) לחוק נכסי נפקדים). אעיר כי שאלות מורכבות אלו </w:t>
      </w:r>
      <w:r>
        <w:rPr>
          <w:rtl/>
        </w:rPr>
        <w:t>–</w:t>
      </w:r>
      <w:r>
        <w:rPr>
          <w:rFonts w:hint="cs"/>
          <w:rtl/>
        </w:rPr>
        <w:t xml:space="preserve"> שלא נפרסו בהן טענות הצדדים </w:t>
      </w:r>
      <w:r>
        <w:rPr>
          <w:rtl/>
        </w:rPr>
        <w:t>–</w:t>
      </w:r>
      <w:r>
        <w:rPr>
          <w:rFonts w:hint="cs"/>
          <w:rtl/>
        </w:rPr>
        <w:t xml:space="preserve"> אינן מחייבות הכרעה במקרה דנן, וזאת בשים לב למסקנתי שתובא בהמשך הדברים. </w:t>
      </w:r>
    </w:p>
    <w:p w:rsidR="004C7127" w:rsidRDefault="004C7127" w:rsidP="004C7127">
      <w:pPr>
        <w:pStyle w:val="Ruller41"/>
        <w:rPr>
          <w:rtl/>
        </w:rPr>
      </w:pPr>
    </w:p>
    <w:p w:rsidR="004C7127" w:rsidRDefault="004C7127" w:rsidP="004C7127">
      <w:pPr>
        <w:pStyle w:val="Ruller4"/>
        <w:rPr>
          <w:rtl/>
        </w:rPr>
      </w:pPr>
      <w:r>
        <w:rPr>
          <w:rFonts w:hint="cs"/>
          <w:rtl/>
        </w:rPr>
        <w:t>הערה אחרונה נוגעת לדרישת התמורה מצד הגורם לו מקצה הממונה את המקרקעין. סעיף 5 אינו כולל, כלשונו, דרישה כאמור. בדומה, גם ההסדרים שעליהם עמדנו לעיל, בחוק נכסי נפקדים ובחוק האפוטרופוס הכללי לא כוללים בלשונם דרישה כאמור (ראו אצל דויטש, כרך ד, בעמ' 310-309, 312). עם זאת, היועץ המשפטי לממשלה הביע עמדתו כי יש לקרוא אותה לתוך הסעיף בדרך של פרשנות (סיכום הדיון מיום 7.12.2016, בעמ' 4). קריאה שכזו יכולה להיות ראויה נוכח הצורך בקוהרנטיות עם יתר תקנות השוק ועם דיני "תחרות הזכויות" בכללותם. כפי שמציין היועץ המשפטי לממשלה בסיכום הדיון שהובא לעיל "כאשר מדובר בהתקשרויות עם גופים מיישבים או משכנים, הפרקטיקה באזור בעבר הייתה שההתקשרות עצמה איננה כרוכה בתשלום תמורה כספית מצד הגורם המתקשר, כאשר התמורה שניתנת מצדו הינה קידום תכנית מתאר לשטח המוקצה, פיתוחו ושיווקו" (שם). בהקשר זה מציין דויטש בספרו, ביחס לתקנת השוק שבחוק נכסי נפקדים, כי ייתכן שדרישת תמורה לא מצויה בלשון סעיף 17 מאחר ש"קשה להעלות על הדעת מקרה שבו רשות על פי דין תבצע הקנייה במתנה" (דויטש, כרך ד, בעמ' 310). בין כך ובין אחרת, אף סוגיה זו לא מצריכה הכרעה בענייננו, ודי לנו בשלב זה במסקנה כי אף בגין היעדרה של דרישת התמורה, שונה ההסדר שקבוע בסעיף 5 מהסדרים אחרים בדין הישראלי שכוללים דרישה זו (ראו באופן כללי אצל דויטש, כרך ג, בעמ' 183).</w:t>
      </w:r>
    </w:p>
    <w:p w:rsidR="004C7127" w:rsidRDefault="004C7127" w:rsidP="004C7127">
      <w:pPr>
        <w:pStyle w:val="Ruller41"/>
        <w:rPr>
          <w:rtl/>
        </w:rPr>
      </w:pPr>
    </w:p>
    <w:p w:rsidR="004C7127" w:rsidRDefault="004C7127" w:rsidP="004C7127">
      <w:pPr>
        <w:pStyle w:val="Ruller4"/>
        <w:rPr>
          <w:rtl/>
        </w:rPr>
      </w:pPr>
      <w:r>
        <w:rPr>
          <w:rFonts w:hint="cs"/>
          <w:rtl/>
        </w:rPr>
        <w:t xml:space="preserve">רואים אנו אפוא כי הסדרי תקנת השוק שונים זה מזה, בלשונם, ביסודותיהם ובתכליתם. המשותף לכולם, הוא </w:t>
      </w:r>
      <w:r>
        <w:rPr>
          <w:rtl/>
        </w:rPr>
        <w:t>–</w:t>
      </w:r>
      <w:r>
        <w:rPr>
          <w:rFonts w:hint="cs"/>
          <w:rtl/>
        </w:rPr>
        <w:t xml:space="preserve"> כפי שצויין </w:t>
      </w:r>
      <w:r>
        <w:rPr>
          <w:rtl/>
        </w:rPr>
        <w:t>–</w:t>
      </w:r>
      <w:r>
        <w:rPr>
          <w:rFonts w:hint="cs"/>
          <w:rtl/>
        </w:rPr>
        <w:t xml:space="preserve"> הכוח המשמעותי שטמון בהם לשלול </w:t>
      </w:r>
      <w:r w:rsidRPr="00B20F7B">
        <w:rPr>
          <w:rFonts w:hint="cs"/>
          <w:rtl/>
        </w:rPr>
        <w:lastRenderedPageBreak/>
        <w:t xml:space="preserve">את זכות הבעלים ולהקנות זכויות בנכס לידי צד רחוק. הסדרים אלה נשענים על מבנה משפטי רגיש ומורכב, שכולל יסודות שונים שאך בהתקיימם מוצדקת הפעלת הכוח הרב שהם אוצרים. נוכח שונות זו בין ההסדרים ובסביבתם החקיקתית, קשה בעיני לגזור גזירה שווה מפרשנות שניתנה לתנאי כזה או אחר בתקנת שוק פלונית לצורך פרשנות תנאי סעיף 5. אין לכחד, היעדרה של התייחסות ממצה ביחס לסעיף 5, בספרות ובפסיקה, עשויה להצריך בחינה השוואתית של הסדרי תקנת שוק אחרים (זאת, בין היתר מאחר שמשך עשורים רבים לא נעשה שימוש משמעותי בסעיף זה; כעולה מהחומרים שלפנינו, לשיטת היועץ המשפטי לממשלה, </w:t>
      </w:r>
      <w:r w:rsidRPr="00B20F7B">
        <w:rPr>
          <w:rFonts w:hint="eastAsia"/>
          <w:rtl/>
        </w:rPr>
        <w:t>בשנים</w:t>
      </w:r>
      <w:r w:rsidRPr="00B20F7B">
        <w:rPr>
          <w:rtl/>
        </w:rPr>
        <w:t xml:space="preserve"> </w:t>
      </w:r>
      <w:r w:rsidRPr="00B20F7B">
        <w:rPr>
          <w:rFonts w:hint="eastAsia"/>
          <w:rtl/>
        </w:rPr>
        <w:t>האחרונות</w:t>
      </w:r>
      <w:r w:rsidRPr="00B20F7B">
        <w:rPr>
          <w:rtl/>
        </w:rPr>
        <w:t xml:space="preserve"> "</w:t>
      </w:r>
      <w:r w:rsidRPr="00B20F7B">
        <w:rPr>
          <w:rFonts w:hint="eastAsia"/>
          <w:rtl/>
        </w:rPr>
        <w:t>שב</w:t>
      </w:r>
      <w:r w:rsidRPr="00B20F7B">
        <w:rPr>
          <w:rtl/>
        </w:rPr>
        <w:t xml:space="preserve"> </w:t>
      </w:r>
      <w:r w:rsidRPr="00B20F7B">
        <w:rPr>
          <w:rFonts w:hint="eastAsia"/>
          <w:rtl/>
        </w:rPr>
        <w:t>ועלה</w:t>
      </w:r>
      <w:r w:rsidRPr="00B20F7B">
        <w:rPr>
          <w:rtl/>
        </w:rPr>
        <w:t xml:space="preserve"> </w:t>
      </w:r>
      <w:r w:rsidRPr="00B20F7B">
        <w:rPr>
          <w:rFonts w:hint="eastAsia"/>
          <w:rtl/>
        </w:rPr>
        <w:t>הצורך</w:t>
      </w:r>
      <w:r w:rsidRPr="00B20F7B">
        <w:rPr>
          <w:rtl/>
        </w:rPr>
        <w:t xml:space="preserve"> </w:t>
      </w:r>
      <w:r w:rsidRPr="00B20F7B">
        <w:rPr>
          <w:rFonts w:hint="eastAsia"/>
          <w:rtl/>
        </w:rPr>
        <w:t>לעשות</w:t>
      </w:r>
      <w:r w:rsidRPr="00B20F7B">
        <w:rPr>
          <w:rtl/>
        </w:rPr>
        <w:t xml:space="preserve"> </w:t>
      </w:r>
      <w:r w:rsidRPr="00B20F7B">
        <w:rPr>
          <w:rFonts w:hint="eastAsia"/>
          <w:rtl/>
        </w:rPr>
        <w:t>שימוש</w:t>
      </w:r>
      <w:r w:rsidRPr="00B20F7B">
        <w:rPr>
          <w:rtl/>
        </w:rPr>
        <w:t xml:space="preserve"> </w:t>
      </w:r>
      <w:r w:rsidRPr="00B20F7B">
        <w:rPr>
          <w:rFonts w:hint="eastAsia"/>
          <w:rtl/>
        </w:rPr>
        <w:t>בהוראות</w:t>
      </w:r>
      <w:r w:rsidRPr="00B20F7B">
        <w:rPr>
          <w:rtl/>
        </w:rPr>
        <w:t xml:space="preserve"> </w:t>
      </w:r>
      <w:r w:rsidRPr="00B20F7B">
        <w:rPr>
          <w:rFonts w:hint="eastAsia"/>
          <w:rtl/>
        </w:rPr>
        <w:t>הסעיף</w:t>
      </w:r>
      <w:r w:rsidRPr="00B20F7B">
        <w:rPr>
          <w:rtl/>
        </w:rPr>
        <w:t>"</w:t>
      </w:r>
      <w:r w:rsidRPr="00B20F7B">
        <w:rPr>
          <w:rFonts w:hint="cs"/>
          <w:rtl/>
        </w:rPr>
        <w:t xml:space="preserve"> נוכח עבודת הצוות לתיחום אדמות מדינה, "צוות קו כחול", שהביאה לכך ששטחים שנחשבו לאדמות מדינה נגרעו מתחומי ההכרזות, ראו ב</w:t>
      </w:r>
      <w:r w:rsidRPr="00B20F7B">
        <w:rPr>
          <w:rFonts w:ascii="Century" w:hAnsi="Century" w:hint="cs"/>
          <w:sz w:val="22"/>
          <w:rtl/>
        </w:rPr>
        <w:t xml:space="preserve">סיכום הדיון מיום 7.12.2016, בעמ' 2-1; כן ראו </w:t>
      </w:r>
      <w:r w:rsidRPr="00B20F7B">
        <w:rPr>
          <w:rFonts w:hint="cs"/>
          <w:rtl/>
        </w:rPr>
        <w:t xml:space="preserve">הצוות המקצועי לגיבוש מתווה להסדרת בנייה באיו"ש </w:t>
      </w:r>
      <w:r w:rsidRPr="00B20F7B">
        <w:rPr>
          <w:rFonts w:ascii="Century" w:hAnsi="Century" w:cs="Miriam" w:hint="cs"/>
          <w:b/>
          <w:spacing w:val="0"/>
          <w:sz w:val="22"/>
          <w:szCs w:val="24"/>
          <w:rtl/>
        </w:rPr>
        <w:t xml:space="preserve">דו"ח מסכם </w:t>
      </w:r>
      <w:r w:rsidRPr="00B20F7B">
        <w:rPr>
          <w:rFonts w:ascii="Century" w:hAnsi="Century" w:hint="cs"/>
          <w:sz w:val="22"/>
          <w:rtl/>
        </w:rPr>
        <w:t>89-88</w:t>
      </w:r>
      <w:r w:rsidRPr="00B20F7B">
        <w:rPr>
          <w:rFonts w:ascii="Century" w:hAnsi="Century" w:cs="Miriam" w:hint="cs"/>
          <w:b/>
          <w:spacing w:val="0"/>
          <w:sz w:val="22"/>
          <w:szCs w:val="24"/>
          <w:rtl/>
        </w:rPr>
        <w:t xml:space="preserve"> </w:t>
      </w:r>
      <w:r w:rsidRPr="00B20F7B">
        <w:rPr>
          <w:rFonts w:ascii="Century" w:hAnsi="Century" w:hint="cs"/>
          <w:sz w:val="22"/>
          <w:rtl/>
        </w:rPr>
        <w:t>(15.2.2018)</w:t>
      </w:r>
      <w:r w:rsidRPr="00B20F7B">
        <w:rPr>
          <w:rFonts w:hint="cs"/>
          <w:rtl/>
        </w:rPr>
        <w:t>). בצד האמור, עמדתי היא שההיקשים להסדרי</w:t>
      </w:r>
      <w:r>
        <w:rPr>
          <w:rFonts w:hint="cs"/>
          <w:rtl/>
        </w:rPr>
        <w:t xml:space="preserve"> תקנת שוק אחרים צריכה להיעשות בזהירות רבה, תוך מתן משקל לטיב הזכויות שעליהן חל סעיף 5; לסוג הנכסים שעליהם הוא חל; ולתכלית שניצבת בבסיסו.</w:t>
      </w:r>
    </w:p>
    <w:p w:rsidR="004C7127" w:rsidRPr="00614937" w:rsidRDefault="004C7127" w:rsidP="004C7127">
      <w:pPr>
        <w:pStyle w:val="Ruller4"/>
        <w:numPr>
          <w:ilvl w:val="0"/>
          <w:numId w:val="0"/>
        </w:numPr>
        <w:rPr>
          <w:rtl/>
        </w:rPr>
      </w:pPr>
    </w:p>
    <w:p w:rsidR="004C7127" w:rsidRDefault="004C7127" w:rsidP="004C7127">
      <w:pPr>
        <w:pStyle w:val="Ruller4"/>
        <w:rPr>
          <w:rtl/>
        </w:rPr>
      </w:pPr>
      <w:r>
        <w:rPr>
          <w:rFonts w:hint="cs"/>
          <w:rtl/>
        </w:rPr>
        <w:t xml:space="preserve">עמדנו אפוא על שלושה קווים מנחים לדיון בפרשנות תנאי סעיף 5 לצו בדבר רכוש ממשלתי: ראשית, עלינו לתת את הדעת לכך שמדובר בהוראה המופעלת בשטח הנתון לתפיסה לוחמתית, ולכן בפרשנותה יש להתחשב בחובות שמוטלות על המפקד הצבאי ועל הממונה; שנית, מדובר בהסדר שהוא "מעין תקנת שוק" ומשכך הוא אוצר כוח משפטי רב וחריג לפגיעה בזכותו הקניינית הכשרה של בעל הנכס; שלישית, יש לנקוט משנה זהירות בביצוע היקשים מתקנות שוק אחרות, נוכח השוני שבין ההסדר שקבוע בסעיף 5 לבין הסדרים חוקיים אחרים. בנתון להערות אלה נפנה לדיון בתנאיו של סעיף 5, ובמוקדם, חובת תום הלב. </w:t>
      </w:r>
    </w:p>
    <w:p w:rsidR="004C7127" w:rsidRDefault="004C7127" w:rsidP="004C7127">
      <w:pPr>
        <w:pStyle w:val="Ruller41"/>
        <w:rPr>
          <w:rtl/>
        </w:rPr>
      </w:pPr>
    </w:p>
    <w:p w:rsidR="004C7127" w:rsidRPr="003036BC" w:rsidRDefault="004C7127" w:rsidP="004C7127">
      <w:pPr>
        <w:pStyle w:val="1"/>
        <w:spacing w:before="0"/>
        <w:rPr>
          <w:rFonts w:ascii="Century" w:hAnsi="Century" w:cs="Miriam"/>
          <w:b/>
          <w:color w:val="auto"/>
          <w:spacing w:val="0"/>
          <w:sz w:val="22"/>
          <w:szCs w:val="24"/>
          <w:rtl/>
        </w:rPr>
      </w:pPr>
      <w:r w:rsidRPr="003036BC">
        <w:rPr>
          <w:rFonts w:ascii="Century" w:hAnsi="Century" w:cs="Miriam" w:hint="eastAsia"/>
          <w:b/>
          <w:color w:val="auto"/>
          <w:spacing w:val="0"/>
          <w:sz w:val="22"/>
          <w:szCs w:val="24"/>
          <w:rtl/>
        </w:rPr>
        <w:t>אמות</w:t>
      </w:r>
      <w:r w:rsidRPr="003036BC">
        <w:rPr>
          <w:rFonts w:ascii="Century" w:hAnsi="Century" w:cs="Miriam"/>
          <w:b/>
          <w:color w:val="auto"/>
          <w:spacing w:val="0"/>
          <w:sz w:val="22"/>
          <w:szCs w:val="24"/>
          <w:rtl/>
        </w:rPr>
        <w:t xml:space="preserve"> </w:t>
      </w:r>
      <w:r w:rsidRPr="003036BC">
        <w:rPr>
          <w:rFonts w:ascii="Century" w:hAnsi="Century" w:cs="Miriam" w:hint="eastAsia"/>
          <w:b/>
          <w:color w:val="auto"/>
          <w:spacing w:val="0"/>
          <w:sz w:val="22"/>
          <w:szCs w:val="24"/>
          <w:rtl/>
        </w:rPr>
        <w:t>המידה</w:t>
      </w:r>
      <w:r w:rsidRPr="003036BC">
        <w:rPr>
          <w:rFonts w:ascii="Century" w:hAnsi="Century" w:cs="Miriam"/>
          <w:b/>
          <w:color w:val="auto"/>
          <w:spacing w:val="0"/>
          <w:sz w:val="22"/>
          <w:szCs w:val="24"/>
          <w:rtl/>
        </w:rPr>
        <w:t xml:space="preserve"> </w:t>
      </w:r>
      <w:r w:rsidRPr="003036BC">
        <w:rPr>
          <w:rFonts w:ascii="Century" w:hAnsi="Century" w:cs="Miriam" w:hint="eastAsia"/>
          <w:b/>
          <w:color w:val="auto"/>
          <w:spacing w:val="0"/>
          <w:sz w:val="22"/>
          <w:szCs w:val="24"/>
          <w:rtl/>
        </w:rPr>
        <w:t>המשפטיות</w:t>
      </w:r>
      <w:r w:rsidRPr="003036BC">
        <w:rPr>
          <w:rFonts w:ascii="Century" w:hAnsi="Century" w:cs="Miriam"/>
          <w:b/>
          <w:color w:val="auto"/>
          <w:spacing w:val="0"/>
          <w:sz w:val="22"/>
          <w:szCs w:val="24"/>
          <w:rtl/>
        </w:rPr>
        <w:t xml:space="preserve"> </w:t>
      </w:r>
      <w:r w:rsidRPr="003036BC">
        <w:rPr>
          <w:rFonts w:ascii="Century" w:hAnsi="Century" w:cs="Miriam" w:hint="eastAsia"/>
          <w:b/>
          <w:color w:val="auto"/>
          <w:spacing w:val="0"/>
          <w:sz w:val="22"/>
          <w:szCs w:val="24"/>
          <w:rtl/>
        </w:rPr>
        <w:t>לבחינת</w:t>
      </w:r>
      <w:r w:rsidRPr="003036BC">
        <w:rPr>
          <w:rFonts w:ascii="Century" w:hAnsi="Century" w:cs="Miriam"/>
          <w:b/>
          <w:color w:val="auto"/>
          <w:spacing w:val="0"/>
          <w:sz w:val="22"/>
          <w:szCs w:val="24"/>
          <w:rtl/>
        </w:rPr>
        <w:t xml:space="preserve"> </w:t>
      </w:r>
      <w:r w:rsidRPr="003036BC">
        <w:rPr>
          <w:rFonts w:ascii="Century" w:hAnsi="Century" w:cs="Miriam" w:hint="eastAsia"/>
          <w:b/>
          <w:color w:val="auto"/>
          <w:spacing w:val="0"/>
          <w:sz w:val="22"/>
          <w:szCs w:val="24"/>
          <w:rtl/>
        </w:rPr>
        <w:t>עקרון</w:t>
      </w:r>
      <w:r w:rsidRPr="003036BC">
        <w:rPr>
          <w:rFonts w:ascii="Century" w:hAnsi="Century" w:cs="Miriam"/>
          <w:b/>
          <w:color w:val="auto"/>
          <w:spacing w:val="0"/>
          <w:sz w:val="22"/>
          <w:szCs w:val="24"/>
          <w:rtl/>
        </w:rPr>
        <w:t xml:space="preserve"> </w:t>
      </w:r>
      <w:r w:rsidRPr="003036BC">
        <w:rPr>
          <w:rFonts w:ascii="Century" w:hAnsi="Century" w:cs="Miriam" w:hint="eastAsia"/>
          <w:b/>
          <w:color w:val="auto"/>
          <w:spacing w:val="0"/>
          <w:sz w:val="22"/>
          <w:szCs w:val="24"/>
          <w:rtl/>
        </w:rPr>
        <w:t>תום</w:t>
      </w:r>
      <w:r w:rsidRPr="003036BC">
        <w:rPr>
          <w:rFonts w:ascii="Century" w:hAnsi="Century" w:cs="Miriam"/>
          <w:b/>
          <w:color w:val="auto"/>
          <w:spacing w:val="0"/>
          <w:sz w:val="22"/>
          <w:szCs w:val="24"/>
          <w:rtl/>
        </w:rPr>
        <w:t xml:space="preserve"> </w:t>
      </w:r>
      <w:r w:rsidRPr="003036BC">
        <w:rPr>
          <w:rFonts w:ascii="Century" w:hAnsi="Century" w:cs="Miriam" w:hint="eastAsia"/>
          <w:b/>
          <w:color w:val="auto"/>
          <w:spacing w:val="0"/>
          <w:sz w:val="22"/>
          <w:szCs w:val="24"/>
          <w:rtl/>
        </w:rPr>
        <w:t>הלב</w:t>
      </w:r>
      <w:r w:rsidRPr="003036BC">
        <w:rPr>
          <w:rFonts w:ascii="Century" w:hAnsi="Century" w:cs="Miriam"/>
          <w:b/>
          <w:color w:val="auto"/>
          <w:spacing w:val="0"/>
          <w:sz w:val="22"/>
          <w:szCs w:val="24"/>
          <w:rtl/>
        </w:rPr>
        <w:t xml:space="preserve"> </w:t>
      </w:r>
      <w:r w:rsidRPr="003036BC">
        <w:rPr>
          <w:rFonts w:ascii="Century" w:hAnsi="Century" w:cs="Miriam" w:hint="eastAsia"/>
          <w:b/>
          <w:color w:val="auto"/>
          <w:spacing w:val="0"/>
          <w:sz w:val="22"/>
          <w:szCs w:val="24"/>
          <w:rtl/>
        </w:rPr>
        <w:t>בסעיף</w:t>
      </w:r>
      <w:r w:rsidRPr="003036BC">
        <w:rPr>
          <w:rFonts w:ascii="Century" w:hAnsi="Century" w:cs="Miriam"/>
          <w:b/>
          <w:color w:val="auto"/>
          <w:spacing w:val="0"/>
          <w:sz w:val="22"/>
          <w:szCs w:val="24"/>
          <w:rtl/>
        </w:rPr>
        <w:t xml:space="preserve"> 5</w:t>
      </w:r>
    </w:p>
    <w:p w:rsidR="004C7127" w:rsidRDefault="004C7127" w:rsidP="004C7127">
      <w:pPr>
        <w:pStyle w:val="Ruller4"/>
        <w:numPr>
          <w:ilvl w:val="0"/>
          <w:numId w:val="0"/>
        </w:numPr>
      </w:pPr>
    </w:p>
    <w:p w:rsidR="004C7127" w:rsidRDefault="004C7127" w:rsidP="004C7127">
      <w:pPr>
        <w:pStyle w:val="Ruller4"/>
      </w:pPr>
      <w:r>
        <w:rPr>
          <w:rFonts w:hint="cs"/>
          <w:rtl/>
        </w:rPr>
        <w:t xml:space="preserve">סעיף 5 לצו בדבר רכוש ממשלתי כולל כאמור שלושה יסודות: קיומה של עסקה במקרקעין; תום לב; וסיווגם של המקרקעין כרכוש ממשלתי. במוקד הדיון הנוסף ניצבת דרישת תום הלב, ואמות המידה המשפטיות לבחינת התקיימותה של דרישה זו. אציין כבר עתה כי עיקר המחלוקת בין הצדדים (ועיקר המחלוקת בפסק הדין נושא הדיון הנוסף) נוגעת לתום הלב שנדרש מהממונה בעסקה שנטען לגביה שהיא חוסה תחת סעיף 5. האם תום הלב שנדרש מכוחו של סעיף זה הוא אובייקטיבי או סובייקטיבי; ואף אם סובייקטיבי </w:t>
      </w:r>
      <w:r>
        <w:rPr>
          <w:rtl/>
        </w:rPr>
        <w:t>–</w:t>
      </w:r>
      <w:r>
        <w:rPr>
          <w:rFonts w:hint="cs"/>
          <w:rtl/>
        </w:rPr>
        <w:t xml:space="preserve"> מה הם הסייגים לתום לב מעין זה. </w:t>
      </w:r>
    </w:p>
    <w:p w:rsidR="004C7127" w:rsidRDefault="004C7127" w:rsidP="004C7127">
      <w:pPr>
        <w:pStyle w:val="Ruller4"/>
        <w:numPr>
          <w:ilvl w:val="0"/>
          <w:numId w:val="0"/>
        </w:numPr>
      </w:pPr>
    </w:p>
    <w:p w:rsidR="004C7127" w:rsidRDefault="004C7127" w:rsidP="004C7127">
      <w:pPr>
        <w:pStyle w:val="Ruller4"/>
        <w:rPr>
          <w:rFonts w:ascii="Century" w:hAnsi="Century"/>
          <w:sz w:val="22"/>
        </w:rPr>
      </w:pPr>
      <w:r>
        <w:rPr>
          <w:rFonts w:hint="cs"/>
          <w:rtl/>
        </w:rPr>
        <w:t xml:space="preserve">במסגרת גלגוליו השונים של ההליך דנן הן בית המשפט המחוזי, הן בית משפט זה מצאו כי חובת תום הלב מוטלת על שני הצדדים לעסקה. עם זאת, הובעו דעות שונות בכל הנוגע לסטנדרט תום הלב שנדרש מהממונה. בית המשפט המחוזי מצא, בהיקש מחוק נכסי נפקדים, שתום הלב שנדרש לצורך הסעיף הוא תום לבו הסובייקטיבי של הממונה </w:t>
      </w:r>
      <w:r>
        <w:rPr>
          <w:rtl/>
        </w:rPr>
        <w:t>–</w:t>
      </w:r>
      <w:r>
        <w:rPr>
          <w:rFonts w:hint="cs"/>
          <w:rtl/>
        </w:rPr>
        <w:t xml:space="preserve"> אמונה "כנה והגיונית", וזאת אף אם היא מוטעית ואף אם הטעות נובעת מרשלנות. נקבע שם כי החלטת הממונה תחשב כחסרת תום לב רק אם יימצא שהוא ידע או חשד שלא מתקיימים תנאי החוק (ראו סעיפים 164-161 לפסק הדין). בפסק הדין נושא הדיון הנוסף, קבעה הנשיאה (אליה הצטרף כאמור המשנה לנשיאה </w:t>
      </w:r>
      <w:r>
        <w:rPr>
          <w:rFonts w:ascii="Century" w:hAnsi="Century" w:cs="Miriam" w:hint="cs"/>
          <w:b/>
          <w:spacing w:val="0"/>
          <w:sz w:val="22"/>
          <w:szCs w:val="24"/>
          <w:rtl/>
        </w:rPr>
        <w:t>ח' מלצר</w:t>
      </w:r>
      <w:r>
        <w:rPr>
          <w:rFonts w:hint="cs"/>
          <w:rtl/>
        </w:rPr>
        <w:t xml:space="preserve">) כי תום הלב שנדרש מהממונה הוא תום לב סובייקטיבי, אך יש לבחון אותו באמת מידה קפדנית ו"ברף הגבוה", וזאת, בהישען על אמת המידה שנקבעה ביחס לתום הלב של האפוטרופוס לנכסי נפקדים בע"א 6783/98 </w:t>
      </w:r>
      <w:r>
        <w:rPr>
          <w:rFonts w:ascii="Century" w:hAnsi="Century" w:cs="Miriam" w:hint="cs"/>
          <w:b/>
          <w:spacing w:val="0"/>
          <w:sz w:val="22"/>
          <w:szCs w:val="24"/>
          <w:rtl/>
        </w:rPr>
        <w:t>האפוטרופוס לנכסי נפקדים נ' עיזבון מוסא</w:t>
      </w:r>
      <w:r>
        <w:rPr>
          <w:rFonts w:ascii="Century" w:hAnsi="Century" w:hint="cs"/>
          <w:sz w:val="22"/>
          <w:rtl/>
        </w:rPr>
        <w:t>, פ"ד נו(4) 161</w:t>
      </w:r>
      <w:r>
        <w:rPr>
          <w:rFonts w:hint="cs"/>
          <w:rtl/>
        </w:rPr>
        <w:t xml:space="preserve"> </w:t>
      </w:r>
      <w:r>
        <w:rPr>
          <w:rFonts w:ascii="Century" w:hAnsi="Century" w:hint="cs"/>
          <w:sz w:val="22"/>
          <w:rtl/>
        </w:rPr>
        <w:t xml:space="preserve">(2002) (להלן: עניין </w:t>
      </w:r>
      <w:r>
        <w:rPr>
          <w:rFonts w:ascii="Century" w:hAnsi="Century" w:cs="Miriam" w:hint="cs"/>
          <w:b/>
          <w:spacing w:val="0"/>
          <w:sz w:val="22"/>
          <w:szCs w:val="24"/>
          <w:rtl/>
        </w:rPr>
        <w:t>עיזבון מוסא</w:t>
      </w:r>
      <w:r>
        <w:rPr>
          <w:rFonts w:ascii="Century" w:hAnsi="Century" w:hint="cs"/>
          <w:sz w:val="22"/>
          <w:rtl/>
        </w:rPr>
        <w:t xml:space="preserve">). </w:t>
      </w:r>
      <w:r>
        <w:rPr>
          <w:rFonts w:hint="cs"/>
          <w:rtl/>
        </w:rPr>
        <w:t xml:space="preserve">נקבע כי קביעת אמת מידה זו מוצדקת בהינתן שמדובר במקרקעין שנמצאים בשטח שנתון לתפיסה לוחמתית. השופט (כתוארו אז) </w:t>
      </w:r>
      <w:r w:rsidRPr="00F044D5">
        <w:rPr>
          <w:rFonts w:ascii="Century" w:hAnsi="Century" w:cs="Miriam" w:hint="cs"/>
          <w:b/>
          <w:spacing w:val="0"/>
          <w:sz w:val="22"/>
          <w:szCs w:val="24"/>
          <w:rtl/>
        </w:rPr>
        <w:t>נ' הנדל</w:t>
      </w:r>
      <w:r>
        <w:rPr>
          <w:rFonts w:ascii="Century" w:hAnsi="Century" w:hint="cs"/>
          <w:sz w:val="22"/>
          <w:rtl/>
        </w:rPr>
        <w:t xml:space="preserve"> ציין כי חובת תום הלב משמיעה שהממונה לא יוכל להתעלם מנתונים חריגים אך גם אין להטיל עליו "חובת זהירות"</w:t>
      </w:r>
      <w:r w:rsidRPr="00B71203">
        <w:rPr>
          <w:rFonts w:ascii="Century" w:hAnsi="Century"/>
          <w:sz w:val="22"/>
          <w:rtl/>
        </w:rPr>
        <w:t>.</w:t>
      </w:r>
      <w:r>
        <w:rPr>
          <w:rFonts w:ascii="Century" w:hAnsi="Century" w:hint="cs"/>
          <w:sz w:val="22"/>
          <w:rtl/>
        </w:rPr>
        <w:t xml:space="preserve"> הודגש כי הטלת נטל בירור כבד מדי על הממונה יפגע ביכולתו של רוכש הזכות להסתמך על עמדת הממונה. לעמדתי, הפער העיוני בין העמדות שהובאו בפסק הדין נושא הדיון הנוסף בעניין זה אינו גדול, ועיקרו בשאלת </w:t>
      </w:r>
      <w:r>
        <w:rPr>
          <w:rFonts w:ascii="Century" w:hAnsi="Century" w:cs="Miriam" w:hint="cs"/>
          <w:b/>
          <w:spacing w:val="0"/>
          <w:sz w:val="22"/>
          <w:szCs w:val="24"/>
          <w:rtl/>
        </w:rPr>
        <w:t xml:space="preserve">יישום </w:t>
      </w:r>
      <w:r>
        <w:rPr>
          <w:rFonts w:ascii="Century" w:hAnsi="Century" w:hint="cs"/>
          <w:sz w:val="22"/>
          <w:rtl/>
        </w:rPr>
        <w:t xml:space="preserve">אמת מידה זו בנסיבות ענייננו. </w:t>
      </w:r>
    </w:p>
    <w:p w:rsidR="004C7127" w:rsidRDefault="004C7127" w:rsidP="004C7127">
      <w:pPr>
        <w:pStyle w:val="Ruller4"/>
        <w:numPr>
          <w:ilvl w:val="0"/>
          <w:numId w:val="0"/>
        </w:numPr>
        <w:rPr>
          <w:rFonts w:ascii="Century" w:hAnsi="Century"/>
          <w:sz w:val="22"/>
        </w:rPr>
      </w:pPr>
    </w:p>
    <w:p w:rsidR="004C7127" w:rsidRDefault="004C7127" w:rsidP="004C7127">
      <w:pPr>
        <w:pStyle w:val="Ruller4"/>
        <w:rPr>
          <w:rtl/>
        </w:rPr>
      </w:pPr>
      <w:r>
        <w:rPr>
          <w:rFonts w:hint="cs"/>
          <w:rtl/>
        </w:rPr>
        <w:t xml:space="preserve">השאלה המקדמית </w:t>
      </w:r>
      <w:r>
        <w:rPr>
          <w:rtl/>
        </w:rPr>
        <w:t>–</w:t>
      </w:r>
      <w:r>
        <w:rPr>
          <w:rFonts w:hint="cs"/>
          <w:rtl/>
        </w:rPr>
        <w:t xml:space="preserve"> שכאמור הוכרעה פה אחד בפסק הדין נושא הדיון הנוסף </w:t>
      </w:r>
      <w:r>
        <w:rPr>
          <w:rtl/>
        </w:rPr>
        <w:t>–</w:t>
      </w:r>
      <w:r>
        <w:rPr>
          <w:rFonts w:hint="cs"/>
          <w:rtl/>
        </w:rPr>
        <w:t xml:space="preserve">היא אפוא על מי מטיל סעיף 5 חובת תום לב. אין חולק כי על המתקשר עם הממונה מוטלת חובת תום לב </w:t>
      </w:r>
      <w:r>
        <w:rPr>
          <w:rtl/>
        </w:rPr>
        <w:t>–</w:t>
      </w:r>
      <w:r>
        <w:rPr>
          <w:rFonts w:hint="cs"/>
          <w:rtl/>
        </w:rPr>
        <w:t xml:space="preserve"> וחובה זו דומה לחובות שקיימות ביחס להסדרי תקנת שוק מקבילים רבים אחרים. זאת, מכיוון שברור שכאשר רוכש יודע על קיומן של זכויות קודמות בנכס, וגרם ל"תאונה המשפטית" ביודעין, אין לתת לו ליהנות מכוחה של תקנת השוק (ראו אצל דויטש, כרך ג, בעמ' 184). כך ככלל, וכך גם בכל הנוגע לסעיף 5 (להיקפה של חובת תום הלב של המתקשר עם הממונה ולאופן בחינתה אדרש בהמשך). עם זאת, בניתוח המוגבל שקיים ביחס לסעיף 5 נקבע כי הוא מטיל חובת תום לב גם על הממונה (פסק הדין נושא הדיון הנוסף, פסקה 44 לפסק דינה של הנשיאה; ערר (איו"ש) 121/15 </w:t>
      </w:r>
      <w:r w:rsidRPr="005A5D05">
        <w:rPr>
          <w:rFonts w:cs="Miriam" w:hint="cs"/>
          <w:b/>
          <w:spacing w:val="0"/>
          <w:szCs w:val="24"/>
          <w:rtl/>
        </w:rPr>
        <w:t>צלאח נ' הממונה על הרכוש הממשלתי והנטוש באיו"ש</w:t>
      </w:r>
      <w:r w:rsidRPr="005A5D05">
        <w:rPr>
          <w:rFonts w:ascii="Century" w:hAnsi="Century" w:hint="cs"/>
          <w:sz w:val="22"/>
          <w:rtl/>
        </w:rPr>
        <w:t xml:space="preserve">, סעיף 2 לחוות דעתה של השופטת סא"ל </w:t>
      </w:r>
      <w:r w:rsidRPr="005A5D05">
        <w:rPr>
          <w:rFonts w:ascii="Century" w:hAnsi="Century" w:cs="Miriam" w:hint="cs"/>
          <w:b/>
          <w:spacing w:val="0"/>
          <w:sz w:val="22"/>
          <w:szCs w:val="24"/>
          <w:rtl/>
        </w:rPr>
        <w:t>ד' קאופמן</w:t>
      </w:r>
      <w:r w:rsidRPr="005A5D05">
        <w:rPr>
          <w:rFonts w:cs="Miriam" w:hint="cs"/>
          <w:b/>
          <w:spacing w:val="0"/>
          <w:szCs w:val="24"/>
          <w:rtl/>
        </w:rPr>
        <w:t xml:space="preserve"> </w:t>
      </w:r>
      <w:r>
        <w:rPr>
          <w:rFonts w:hint="cs"/>
          <w:rtl/>
        </w:rPr>
        <w:t xml:space="preserve">(28.2.2017) (להלן: הערר בעניין </w:t>
      </w:r>
      <w:r w:rsidRPr="005A5D05">
        <w:rPr>
          <w:rFonts w:cs="Miriam" w:hint="cs"/>
          <w:b/>
          <w:spacing w:val="0"/>
          <w:szCs w:val="24"/>
          <w:rtl/>
        </w:rPr>
        <w:t>צלאח</w:t>
      </w:r>
      <w:r>
        <w:rPr>
          <w:rFonts w:hint="cs"/>
          <w:rtl/>
        </w:rPr>
        <w:t xml:space="preserve">)). </w:t>
      </w:r>
    </w:p>
    <w:p w:rsidR="004C7127" w:rsidRPr="005A5D05" w:rsidRDefault="004C7127" w:rsidP="004C7127">
      <w:pPr>
        <w:pStyle w:val="Ruller41"/>
      </w:pPr>
    </w:p>
    <w:p w:rsidR="004C7127" w:rsidRDefault="004C7127" w:rsidP="004C7127">
      <w:pPr>
        <w:pStyle w:val="Ruller4"/>
      </w:pPr>
      <w:r>
        <w:rPr>
          <w:rFonts w:hint="cs"/>
          <w:rtl/>
        </w:rPr>
        <w:lastRenderedPageBreak/>
        <w:t xml:space="preserve">כזכור, סעיף 5 חל על עסקאות </w:t>
      </w:r>
      <w:r w:rsidRPr="001655F4">
        <w:rPr>
          <w:rFonts w:ascii="Century" w:hAnsi="Century" w:cs="Miriam" w:hint="cs"/>
          <w:b/>
          <w:spacing w:val="0"/>
          <w:sz w:val="22"/>
          <w:szCs w:val="24"/>
          <w:rtl/>
        </w:rPr>
        <w:t>שנעשו</w:t>
      </w:r>
      <w:r w:rsidRPr="001655F4">
        <w:rPr>
          <w:rFonts w:hint="cs"/>
          <w:rtl/>
        </w:rPr>
        <w:t xml:space="preserve"> </w:t>
      </w:r>
      <w:r>
        <w:rPr>
          <w:rFonts w:ascii="Century" w:hAnsi="Century" w:cs="Miriam" w:hint="cs"/>
          <w:b/>
          <w:spacing w:val="0"/>
          <w:sz w:val="22"/>
          <w:szCs w:val="24"/>
          <w:rtl/>
        </w:rPr>
        <w:t xml:space="preserve">בתום לב </w:t>
      </w:r>
      <w:r>
        <w:rPr>
          <w:rFonts w:ascii="Century" w:hAnsi="Century" w:hint="cs"/>
          <w:sz w:val="22"/>
          <w:rtl/>
        </w:rPr>
        <w:t xml:space="preserve">בין הממונה לבין אדם אחר, ברכוש שהממונה חשבו בשעת העסקה לרכוש ממשלתי. בחינת הלך רוחו ומחשבותיו של הממונה מובנית אפוא בלשון הסעיף. לשון זו דומה, כפי שכבר ציינתי לעיל, ללשונו של </w:t>
      </w:r>
      <w:r>
        <w:rPr>
          <w:rFonts w:hint="cs"/>
          <w:rtl/>
        </w:rPr>
        <w:t xml:space="preserve">סעיף 17 לחוק נכסי נפקדים אשר פורש בפסיקת בית משפט זה כך שחובת תום הלב מוטלת על האפוטרופוס לנכסי נפקדים (עניין </w:t>
      </w:r>
      <w:r w:rsidRPr="00723A1C">
        <w:rPr>
          <w:rFonts w:ascii="Century" w:hAnsi="Century" w:cs="Miriam" w:hint="cs"/>
          <w:b/>
          <w:spacing w:val="0"/>
          <w:sz w:val="22"/>
          <w:szCs w:val="24"/>
          <w:rtl/>
        </w:rPr>
        <w:t>עקל</w:t>
      </w:r>
      <w:r>
        <w:rPr>
          <w:rFonts w:ascii="Century" w:hAnsi="Century" w:hint="cs"/>
          <w:sz w:val="22"/>
          <w:rtl/>
        </w:rPr>
        <w:t xml:space="preserve">, פסקאות 59 ו-61 לפסק דינו של השופט </w:t>
      </w:r>
      <w:r>
        <w:rPr>
          <w:rFonts w:ascii="Century" w:hAnsi="Century" w:cs="Miriam" w:hint="cs"/>
          <w:b/>
          <w:spacing w:val="0"/>
          <w:sz w:val="22"/>
          <w:szCs w:val="24"/>
          <w:rtl/>
        </w:rPr>
        <w:t xml:space="preserve">ג' </w:t>
      </w:r>
      <w:r w:rsidRPr="00723A1C">
        <w:rPr>
          <w:rFonts w:ascii="Century" w:hAnsi="Century" w:cs="Miriam" w:hint="cs"/>
          <w:b/>
          <w:spacing w:val="0"/>
          <w:sz w:val="22"/>
          <w:szCs w:val="24"/>
          <w:rtl/>
        </w:rPr>
        <w:t>קרא</w:t>
      </w:r>
      <w:r>
        <w:rPr>
          <w:rFonts w:ascii="Century" w:hAnsi="Century" w:hint="cs"/>
          <w:sz w:val="22"/>
          <w:rtl/>
        </w:rPr>
        <w:t xml:space="preserve"> ופסקה 14 לפסק דינו של השופט </w:t>
      </w:r>
      <w:r>
        <w:rPr>
          <w:rFonts w:ascii="Century" w:hAnsi="Century" w:cs="Miriam" w:hint="cs"/>
          <w:b/>
          <w:spacing w:val="0"/>
          <w:sz w:val="22"/>
          <w:szCs w:val="24"/>
          <w:rtl/>
        </w:rPr>
        <w:t>ע' גרוסקופף</w:t>
      </w:r>
      <w:r>
        <w:rPr>
          <w:rFonts w:ascii="Century" w:hAnsi="Century" w:hint="cs"/>
          <w:sz w:val="22"/>
          <w:rtl/>
        </w:rPr>
        <w:t xml:space="preserve">; </w:t>
      </w:r>
      <w:r w:rsidRPr="00B907A1">
        <w:rPr>
          <w:rFonts w:ascii="Century" w:hAnsi="Century" w:hint="eastAsia"/>
          <w:sz w:val="22"/>
          <w:rtl/>
        </w:rPr>
        <w:t>ע</w:t>
      </w:r>
      <w:r>
        <w:rPr>
          <w:rFonts w:hint="cs"/>
          <w:rtl/>
        </w:rPr>
        <w:t xml:space="preserve">"א 1501/99 </w:t>
      </w:r>
      <w:r>
        <w:rPr>
          <w:rFonts w:ascii="Century" w:hAnsi="Century" w:cs="Miriam" w:hint="cs"/>
          <w:b/>
          <w:spacing w:val="0"/>
          <w:sz w:val="22"/>
          <w:szCs w:val="24"/>
          <w:rtl/>
        </w:rPr>
        <w:t xml:space="preserve">דריני נ' משרד </w:t>
      </w:r>
      <w:r w:rsidRPr="003451BA">
        <w:rPr>
          <w:rFonts w:ascii="Century" w:hAnsi="Century" w:cs="Miriam" w:hint="cs"/>
          <w:b/>
          <w:spacing w:val="0"/>
          <w:sz w:val="22"/>
          <w:szCs w:val="24"/>
          <w:rtl/>
        </w:rPr>
        <w:t>האוצר</w:t>
      </w:r>
      <w:r>
        <w:rPr>
          <w:rFonts w:ascii="Century" w:hAnsi="Century" w:hint="cs"/>
          <w:sz w:val="22"/>
          <w:rtl/>
        </w:rPr>
        <w:t xml:space="preserve">, פסקה 4 (20.12.2004); </w:t>
      </w:r>
      <w:r w:rsidRPr="003451BA">
        <w:rPr>
          <w:rFonts w:ascii="Century" w:hAnsi="Century" w:hint="cs"/>
          <w:sz w:val="22"/>
          <w:rtl/>
        </w:rPr>
        <w:t>עניין</w:t>
      </w:r>
      <w:r w:rsidRPr="003451BA">
        <w:rPr>
          <w:rFonts w:hint="cs"/>
          <w:rtl/>
        </w:rPr>
        <w:t xml:space="preserve"> </w:t>
      </w:r>
      <w:r>
        <w:rPr>
          <w:rFonts w:ascii="Century" w:hAnsi="Century" w:cs="Miriam" w:hint="cs"/>
          <w:b/>
          <w:spacing w:val="0"/>
          <w:sz w:val="22"/>
          <w:szCs w:val="24"/>
          <w:rtl/>
        </w:rPr>
        <w:t>חוות מקורה</w:t>
      </w:r>
      <w:r>
        <w:rPr>
          <w:rFonts w:ascii="Century" w:hAnsi="Century" w:hint="cs"/>
          <w:sz w:val="22"/>
          <w:rtl/>
        </w:rPr>
        <w:t>, בעמ' 19-17</w:t>
      </w:r>
      <w:r>
        <w:rPr>
          <w:rFonts w:hint="cs"/>
          <w:rtl/>
        </w:rPr>
        <w:t xml:space="preserve">; ע"א 3747/90 </w:t>
      </w:r>
      <w:r>
        <w:rPr>
          <w:rFonts w:ascii="Century" w:hAnsi="Century" w:cs="Miriam" w:hint="cs"/>
          <w:b/>
          <w:spacing w:val="0"/>
          <w:sz w:val="22"/>
          <w:szCs w:val="24"/>
          <w:rtl/>
        </w:rPr>
        <w:t xml:space="preserve">האפוטרופוס על נכסי נפקדים נ' עיזבון </w:t>
      </w:r>
      <w:r w:rsidRPr="003E1830">
        <w:rPr>
          <w:rFonts w:ascii="Century" w:hAnsi="Century" w:cs="Miriam" w:hint="cs"/>
          <w:b/>
          <w:spacing w:val="0"/>
          <w:sz w:val="22"/>
          <w:szCs w:val="24"/>
          <w:rtl/>
        </w:rPr>
        <w:t>מוסא</w:t>
      </w:r>
      <w:r>
        <w:rPr>
          <w:rFonts w:ascii="Century" w:hAnsi="Century" w:hint="cs"/>
          <w:sz w:val="22"/>
          <w:rtl/>
        </w:rPr>
        <w:t xml:space="preserve">, פ"ד מו(4) 361, 366 (1992); </w:t>
      </w:r>
      <w:r w:rsidRPr="003E1830">
        <w:rPr>
          <w:rFonts w:ascii="Century" w:hAnsi="Century" w:hint="cs"/>
          <w:sz w:val="22"/>
          <w:rtl/>
        </w:rPr>
        <w:t>עניין</w:t>
      </w:r>
      <w:r w:rsidRPr="003E1830">
        <w:rPr>
          <w:rFonts w:hint="cs"/>
          <w:rtl/>
        </w:rPr>
        <w:t xml:space="preserve"> </w:t>
      </w:r>
      <w:r>
        <w:rPr>
          <w:rFonts w:ascii="Century" w:hAnsi="Century" w:cs="Miriam" w:hint="cs"/>
          <w:b/>
          <w:spacing w:val="0"/>
          <w:szCs w:val="24"/>
          <w:rtl/>
        </w:rPr>
        <w:t>עלא-אל-דין</w:t>
      </w:r>
      <w:r>
        <w:rPr>
          <w:rFonts w:ascii="Century" w:hAnsi="Century" w:hint="cs"/>
          <w:sz w:val="22"/>
          <w:rtl/>
        </w:rPr>
        <w:t>, בעמ' 437-436</w:t>
      </w:r>
      <w:r>
        <w:rPr>
          <w:rFonts w:hint="cs"/>
          <w:rtl/>
        </w:rPr>
        <w:t xml:space="preserve">; כן ראו אצל דויטש, כרך ד, בעמ' 310). אף מעבר ללשונו של הסעיף, ומהפסיקה שפירשה את סעיף 17 לחוק נכסי נפקדים, הטלת חובת תום הלב גם על הממונה נגזרת מתכליתו של סעיף 5. ההצדקה להגן על אינטרס ההסתמכות של מי שמתקשר עם הממונה נובעת מהכרה בכך </w:t>
      </w:r>
      <w:r w:rsidRPr="008E0C05">
        <w:rPr>
          <w:rFonts w:hint="cs"/>
          <w:rtl/>
        </w:rPr>
        <w:t xml:space="preserve">שמדובר בעסקאות שבהן הממונה עורך את הבדיקות הנדרשות ביחס למקרקעין שאותם הוא מקצה </w:t>
      </w:r>
      <w:r w:rsidRPr="008E0C05">
        <w:rPr>
          <w:rFonts w:hint="eastAsia"/>
          <w:rtl/>
        </w:rPr>
        <w:t>ול</w:t>
      </w:r>
      <w:r w:rsidRPr="008E0C05">
        <w:rPr>
          <w:rFonts w:hint="cs"/>
          <w:rtl/>
        </w:rPr>
        <w:t xml:space="preserve">זכויות בהם (השוו: דויטש, כרך ד, בעמ' 311). מסקנה אחרת </w:t>
      </w:r>
      <w:r w:rsidRPr="008E0C05">
        <w:rPr>
          <w:rtl/>
        </w:rPr>
        <w:t>–</w:t>
      </w:r>
      <w:r w:rsidRPr="008E0C05">
        <w:rPr>
          <w:rFonts w:hint="cs"/>
          <w:rtl/>
        </w:rPr>
        <w:t xml:space="preserve"> שלפיה אין להידרש</w:t>
      </w:r>
      <w:r>
        <w:rPr>
          <w:rFonts w:hint="cs"/>
          <w:rtl/>
        </w:rPr>
        <w:t xml:space="preserve"> למחשבתו הסובייקטיבית של הממונה </w:t>
      </w:r>
      <w:r>
        <w:rPr>
          <w:rtl/>
        </w:rPr>
        <w:t>–</w:t>
      </w:r>
      <w:r>
        <w:rPr>
          <w:rFonts w:hint="cs"/>
          <w:rtl/>
        </w:rPr>
        <w:t xml:space="preserve"> עשויה להפוך את סעיף 5 למעין הסדר הפקעת מקרקעין, שבמסגרתו יכול הממונה להעביר מקרקעין מידי בעליו לידי רוכש מאוחר, וזאת באופן שעל פני הדברים לא עולה בקנה אחד עם חובותיו (וראו בהקשר זה גם האמור בפסקה 16 לפסק דינו של השופט (כתוארו אז) </w:t>
      </w:r>
      <w:r>
        <w:rPr>
          <w:rFonts w:ascii="Century" w:hAnsi="Century" w:cs="Miriam" w:hint="cs"/>
          <w:b/>
          <w:spacing w:val="0"/>
          <w:sz w:val="22"/>
          <w:szCs w:val="24"/>
          <w:rtl/>
        </w:rPr>
        <w:t>נ' הנדל</w:t>
      </w:r>
      <w:r>
        <w:rPr>
          <w:rFonts w:ascii="Century" w:hAnsi="Century" w:hint="cs"/>
          <w:sz w:val="22"/>
          <w:rtl/>
        </w:rPr>
        <w:t xml:space="preserve"> בפסק הדין נושא הדיון הנוסף</w:t>
      </w:r>
      <w:r>
        <w:rPr>
          <w:rFonts w:hint="cs"/>
          <w:rtl/>
        </w:rPr>
        <w:t xml:space="preserve">). </w:t>
      </w:r>
    </w:p>
    <w:p w:rsidR="004C7127" w:rsidRDefault="004C7127" w:rsidP="004C7127">
      <w:pPr>
        <w:pStyle w:val="Ruller41"/>
        <w:rPr>
          <w:rtl/>
        </w:rPr>
      </w:pPr>
    </w:p>
    <w:p w:rsidR="004C7127" w:rsidRDefault="004C7127" w:rsidP="004C7127">
      <w:pPr>
        <w:pStyle w:val="Ruller4"/>
      </w:pPr>
      <w:r>
        <w:rPr>
          <w:rFonts w:hint="cs"/>
          <w:rtl/>
        </w:rPr>
        <w:t xml:space="preserve">המשיבים 39-24 טענו כי דרישה זו, לבחינת תום לבו של הממונה, "מוטלת בספק", וזאת בהפניה לדבריו של דויטש בספרו </w:t>
      </w:r>
      <w:r>
        <w:rPr>
          <w:rtl/>
        </w:rPr>
        <w:t>–</w:t>
      </w:r>
      <w:r>
        <w:rPr>
          <w:rFonts w:hint="cs"/>
          <w:rtl/>
        </w:rPr>
        <w:t xml:space="preserve"> שמתייחסים לדרישת תום הלב בסעיף 17 לחוק נכסי נפקדים. אף המדינה הפנתה לדברים אלה של דויטש לתמיכה בטענתה שאין לקבוע רף תום לב מוגבר בעניינו של הממונה. כעולה מהאמור בספרו של דויטש, בשים לב לכך שהרוכש זכאי להסתמך </w:t>
      </w:r>
      <w:r w:rsidRPr="00280075">
        <w:rPr>
          <w:rFonts w:hint="cs"/>
          <w:rtl/>
        </w:rPr>
        <w:t>על תקינות פעולותיה של הרשות הציבורי</w:t>
      </w:r>
      <w:r>
        <w:rPr>
          <w:rFonts w:hint="cs"/>
          <w:rtl/>
        </w:rPr>
        <w:t>ת</w:t>
      </w:r>
      <w:r w:rsidRPr="00280075">
        <w:rPr>
          <w:rFonts w:hint="cs"/>
          <w:rtl/>
        </w:rPr>
        <w:t>, ראוי להשמיט מהחוק את הדרישה שמכפיפה את הרוכש ל"מצבו המנטלי של האפוטרופוס" (דויטש, כרך ד, בעמ' 310; כן ראו ויניצקי, תקנת השוק, בעמ' 391). כאמור לעיל, אני סבור שהן לשונו, הן תכליתו של סעיף 5</w:t>
      </w:r>
      <w:r>
        <w:rPr>
          <w:rFonts w:hint="cs"/>
          <w:rtl/>
        </w:rPr>
        <w:t xml:space="preserve"> משמיעות לנו כי הממונה יהא תם לב בהתקשרותו בעסקה. אוסיף ואציין כי בספרו, מציין דויטש שכאשר עסקינן בעסקאות מקרקעין, יש לדרוש מהזכאי המאוחר (המתקשרים עם הממונה, בענייננו), לעמוד בחובת תום לב </w:t>
      </w:r>
      <w:r>
        <w:rPr>
          <w:rFonts w:ascii="Century" w:hAnsi="Century" w:cs="Miriam" w:hint="cs"/>
          <w:b/>
          <w:spacing w:val="0"/>
          <w:sz w:val="22"/>
          <w:szCs w:val="24"/>
          <w:rtl/>
        </w:rPr>
        <w:t xml:space="preserve">אובייקטיבית </w:t>
      </w:r>
      <w:r>
        <w:rPr>
          <w:rFonts w:hint="cs"/>
          <w:rtl/>
        </w:rPr>
        <w:t xml:space="preserve">(דויטש, כרך ג, בעמ' 223-222; כן ראו בכרך ד, בעמ' 309, ה"ש 115). לשיטת דויטש, זכאי מאוחר </w:t>
      </w:r>
      <w:r>
        <w:rPr>
          <w:rtl/>
        </w:rPr>
        <w:t>–</w:t>
      </w:r>
      <w:r>
        <w:rPr>
          <w:rFonts w:hint="cs"/>
          <w:rtl/>
        </w:rPr>
        <w:t xml:space="preserve"> ובהקבלה לענייננו, המתקשר עם הממונה </w:t>
      </w:r>
      <w:r>
        <w:rPr>
          <w:rtl/>
        </w:rPr>
        <w:t>–</w:t>
      </w:r>
      <w:r>
        <w:rPr>
          <w:rFonts w:hint="cs"/>
          <w:rtl/>
        </w:rPr>
        <w:t xml:space="preserve"> שהתרשל בעריכת בדיקות ראויות ביחס למקרקעין לא יוכל לחסות תחת תקנת השוק. כאמור, בהינתן השיקולים שנדרשים לעניין, וכפי שאפרט גם להלן, איני סבור כי די בהטלת דרישה שכזו על רוכש הזכות כדי לענות על דרישת תום הלב שמשמיע הסעיף. </w:t>
      </w:r>
    </w:p>
    <w:p w:rsidR="004C7127" w:rsidRPr="00A45A5B" w:rsidRDefault="004C7127" w:rsidP="004C7127">
      <w:pPr>
        <w:pStyle w:val="Ruller41"/>
        <w:rPr>
          <w:rtl/>
        </w:rPr>
      </w:pPr>
    </w:p>
    <w:p w:rsidR="004C7127" w:rsidRDefault="004C7127" w:rsidP="004C7127">
      <w:pPr>
        <w:pStyle w:val="Ruller4"/>
        <w:rPr>
          <w:rtl/>
        </w:rPr>
      </w:pPr>
      <w:r>
        <w:rPr>
          <w:rFonts w:hint="cs"/>
          <w:rtl/>
        </w:rPr>
        <w:t xml:space="preserve">לפני שנפנה לדיון באמות המידה לבחינת תום לבם של הממונה ושל המתקשר עמו, מצאתי להידרש לסטנדרט תום הלב שנקבע ביחס לזכאי המאוחר בתקנות שוק באופן כללי (דרישת תום לב ביחס לגורם אחר, דוגמת זו שקבועה בחוק נכסי נפקדים היא, כאמור, חריגה). על הדברים עמד חברי השופט </w:t>
      </w:r>
      <w:r w:rsidRPr="00F01EA9">
        <w:rPr>
          <w:rFonts w:ascii="Century" w:hAnsi="Century" w:hint="cs"/>
          <w:sz w:val="22"/>
          <w:rtl/>
        </w:rPr>
        <w:t xml:space="preserve">(כתוארו אז) </w:t>
      </w:r>
      <w:r w:rsidRPr="00F01EA9">
        <w:rPr>
          <w:rFonts w:ascii="Century" w:hAnsi="Century" w:cs="Miriam" w:hint="cs"/>
          <w:b/>
          <w:spacing w:val="0"/>
          <w:sz w:val="22"/>
          <w:szCs w:val="24"/>
          <w:rtl/>
        </w:rPr>
        <w:t xml:space="preserve">נ' הנדל </w:t>
      </w:r>
      <w:r w:rsidRPr="00F01EA9">
        <w:rPr>
          <w:rFonts w:ascii="Century" w:hAnsi="Century" w:hint="cs"/>
          <w:sz w:val="22"/>
          <w:rtl/>
        </w:rPr>
        <w:t>בפסק הדין נושא הדיון הנוסף (ראו פסקאות 15-13 לפסק דינו)</w:t>
      </w:r>
      <w:r>
        <w:rPr>
          <w:rFonts w:hint="cs"/>
          <w:rtl/>
        </w:rPr>
        <w:t xml:space="preserve">, ועל כן אסתפק בהתייחסות קצרה. סטנדרט תום הלב שבו נדרשים לעמוד המבקשים לחסות תחת תקנות שוק אחרות הוא, במרבית המקרים, תום לב סובייקטיבי. כך למשל, ביחס לתום הלב לפי סעיף 10 לחוק המקרקעין נקבע, מפי הנשיא </w:t>
      </w:r>
      <w:r>
        <w:rPr>
          <w:rFonts w:ascii="Century" w:hAnsi="Century" w:cs="Miriam" w:hint="cs"/>
          <w:b/>
          <w:spacing w:val="0"/>
          <w:sz w:val="22"/>
          <w:szCs w:val="24"/>
          <w:rtl/>
        </w:rPr>
        <w:t>א' ברק</w:t>
      </w:r>
      <w:r>
        <w:rPr>
          <w:rFonts w:hint="cs"/>
          <w:rtl/>
        </w:rPr>
        <w:t>:</w:t>
      </w:r>
    </w:p>
    <w:p w:rsidR="004C7127" w:rsidRDefault="004C7127" w:rsidP="004C7127">
      <w:pPr>
        <w:pStyle w:val="Ruller41"/>
        <w:rPr>
          <w:rtl/>
        </w:rPr>
      </w:pPr>
    </w:p>
    <w:p w:rsidR="004C7127" w:rsidRPr="00557202" w:rsidRDefault="004C7127" w:rsidP="004C7127">
      <w:pPr>
        <w:pStyle w:val="Ruller5"/>
        <w:rPr>
          <w:rtl/>
        </w:rPr>
      </w:pPr>
      <w:r>
        <w:rPr>
          <w:rFonts w:hint="cs"/>
          <w:rtl/>
        </w:rPr>
        <w:t>"'</w:t>
      </w:r>
      <w:r w:rsidRPr="00557202">
        <w:rPr>
          <w:rFonts w:hint="eastAsia"/>
          <w:rtl/>
        </w:rPr>
        <w:t>תום</w:t>
      </w:r>
      <w:r w:rsidRPr="00557202">
        <w:rPr>
          <w:rtl/>
        </w:rPr>
        <w:t>-</w:t>
      </w:r>
      <w:r w:rsidRPr="00557202">
        <w:rPr>
          <w:rFonts w:hint="eastAsia"/>
          <w:rtl/>
        </w:rPr>
        <w:t>הלב</w:t>
      </w:r>
      <w:r>
        <w:rPr>
          <w:rFonts w:hint="cs"/>
          <w:rtl/>
        </w:rPr>
        <w:t>'</w:t>
      </w:r>
      <w:r w:rsidRPr="00557202">
        <w:rPr>
          <w:rtl/>
        </w:rPr>
        <w:t xml:space="preserve"> </w:t>
      </w:r>
      <w:r w:rsidRPr="00557202">
        <w:rPr>
          <w:rFonts w:hint="eastAsia"/>
          <w:rtl/>
        </w:rPr>
        <w:t>בהקשר</w:t>
      </w:r>
      <w:r w:rsidRPr="00557202">
        <w:rPr>
          <w:rtl/>
        </w:rPr>
        <w:t xml:space="preserve"> </w:t>
      </w:r>
      <w:r w:rsidRPr="00557202">
        <w:rPr>
          <w:rFonts w:hint="eastAsia"/>
          <w:rtl/>
        </w:rPr>
        <w:t>הסובייקטיבי</w:t>
      </w:r>
      <w:r w:rsidRPr="00557202">
        <w:rPr>
          <w:rtl/>
        </w:rPr>
        <w:t xml:space="preserve"> </w:t>
      </w:r>
      <w:r w:rsidRPr="00557202">
        <w:rPr>
          <w:rFonts w:hint="eastAsia"/>
          <w:rtl/>
        </w:rPr>
        <w:t>הוא</w:t>
      </w:r>
      <w:r w:rsidRPr="00557202">
        <w:rPr>
          <w:rtl/>
        </w:rPr>
        <w:t xml:space="preserve"> </w:t>
      </w:r>
      <w:r w:rsidRPr="00557202">
        <w:rPr>
          <w:rFonts w:hint="eastAsia"/>
          <w:rtl/>
        </w:rPr>
        <w:t>מצב</w:t>
      </w:r>
      <w:r w:rsidRPr="00557202">
        <w:rPr>
          <w:rtl/>
        </w:rPr>
        <w:t xml:space="preserve"> </w:t>
      </w:r>
      <w:r w:rsidRPr="00557202">
        <w:rPr>
          <w:rFonts w:hint="eastAsia"/>
          <w:rtl/>
        </w:rPr>
        <w:t>נפשי</w:t>
      </w:r>
      <w:r w:rsidRPr="00557202">
        <w:rPr>
          <w:rtl/>
        </w:rPr>
        <w:t xml:space="preserve">. </w:t>
      </w:r>
      <w:r w:rsidRPr="00557202">
        <w:rPr>
          <w:rFonts w:hint="eastAsia"/>
          <w:rtl/>
        </w:rPr>
        <w:t>משמעותו</w:t>
      </w:r>
      <w:r w:rsidRPr="00557202">
        <w:rPr>
          <w:rtl/>
        </w:rPr>
        <w:t xml:space="preserve"> </w:t>
      </w:r>
      <w:r w:rsidRPr="00557202">
        <w:rPr>
          <w:rFonts w:hint="eastAsia"/>
          <w:rtl/>
        </w:rPr>
        <w:t>יושר</w:t>
      </w:r>
      <w:r w:rsidRPr="00557202">
        <w:rPr>
          <w:rtl/>
        </w:rPr>
        <w:t xml:space="preserve"> </w:t>
      </w:r>
      <w:r w:rsidRPr="00557202">
        <w:rPr>
          <w:rFonts w:hint="eastAsia"/>
          <w:rtl/>
        </w:rPr>
        <w:t>הלב</w:t>
      </w:r>
      <w:r w:rsidRPr="00557202">
        <w:rPr>
          <w:rtl/>
        </w:rPr>
        <w:t xml:space="preserve">. </w:t>
      </w:r>
      <w:r>
        <w:rPr>
          <w:rFonts w:hint="cs"/>
          <w:rtl/>
        </w:rPr>
        <w:t xml:space="preserve">[...] </w:t>
      </w:r>
      <w:r w:rsidRPr="00557202">
        <w:rPr>
          <w:rFonts w:hint="eastAsia"/>
          <w:rtl/>
        </w:rPr>
        <w:t>משמעותו</w:t>
      </w:r>
      <w:r w:rsidRPr="00557202">
        <w:rPr>
          <w:rtl/>
        </w:rPr>
        <w:t xml:space="preserve"> </w:t>
      </w:r>
      <w:r w:rsidRPr="00557202">
        <w:rPr>
          <w:rFonts w:hint="eastAsia"/>
          <w:rtl/>
        </w:rPr>
        <w:t>אמונה</w:t>
      </w:r>
      <w:r w:rsidRPr="00557202">
        <w:rPr>
          <w:rtl/>
        </w:rPr>
        <w:t xml:space="preserve">, </w:t>
      </w:r>
      <w:r w:rsidRPr="00557202">
        <w:rPr>
          <w:rFonts w:hint="eastAsia"/>
          <w:rtl/>
        </w:rPr>
        <w:t>הלכה</w:t>
      </w:r>
      <w:r w:rsidRPr="00557202">
        <w:rPr>
          <w:rtl/>
        </w:rPr>
        <w:t xml:space="preserve"> </w:t>
      </w:r>
      <w:r w:rsidRPr="00557202">
        <w:rPr>
          <w:rFonts w:hint="eastAsia"/>
          <w:rtl/>
        </w:rPr>
        <w:t>למעשה</w:t>
      </w:r>
      <w:r w:rsidRPr="00557202">
        <w:rPr>
          <w:rtl/>
        </w:rPr>
        <w:t xml:space="preserve">, </w:t>
      </w:r>
      <w:r w:rsidRPr="00557202">
        <w:rPr>
          <w:rFonts w:hint="eastAsia"/>
          <w:rtl/>
        </w:rPr>
        <w:t>של</w:t>
      </w:r>
      <w:r w:rsidRPr="00557202">
        <w:rPr>
          <w:rtl/>
        </w:rPr>
        <w:t xml:space="preserve"> </w:t>
      </w:r>
      <w:r w:rsidRPr="00557202">
        <w:rPr>
          <w:rFonts w:hint="eastAsia"/>
          <w:rtl/>
        </w:rPr>
        <w:t>הקונה</w:t>
      </w:r>
      <w:r w:rsidRPr="00557202">
        <w:rPr>
          <w:rtl/>
        </w:rPr>
        <w:t xml:space="preserve"> </w:t>
      </w:r>
      <w:r w:rsidRPr="00557202">
        <w:rPr>
          <w:rFonts w:hint="eastAsia"/>
          <w:rtl/>
        </w:rPr>
        <w:t>כי</w:t>
      </w:r>
      <w:r w:rsidRPr="00557202">
        <w:rPr>
          <w:rtl/>
        </w:rPr>
        <w:t xml:space="preserve"> </w:t>
      </w:r>
      <w:r w:rsidRPr="00557202">
        <w:rPr>
          <w:rFonts w:hint="eastAsia"/>
          <w:rtl/>
        </w:rPr>
        <w:t>המוכר</w:t>
      </w:r>
      <w:r w:rsidRPr="00557202">
        <w:rPr>
          <w:rtl/>
        </w:rPr>
        <w:t xml:space="preserve"> </w:t>
      </w:r>
      <w:r w:rsidRPr="00557202">
        <w:rPr>
          <w:rFonts w:hint="eastAsia"/>
          <w:rtl/>
        </w:rPr>
        <w:t>הוא</w:t>
      </w:r>
      <w:r w:rsidRPr="00557202">
        <w:rPr>
          <w:rtl/>
        </w:rPr>
        <w:t xml:space="preserve"> </w:t>
      </w:r>
      <w:r w:rsidRPr="00557202">
        <w:rPr>
          <w:rFonts w:hint="eastAsia"/>
          <w:rtl/>
        </w:rPr>
        <w:t>בעל</w:t>
      </w:r>
      <w:r w:rsidRPr="00557202">
        <w:rPr>
          <w:rtl/>
        </w:rPr>
        <w:t xml:space="preserve"> </w:t>
      </w:r>
      <w:r w:rsidRPr="00557202">
        <w:rPr>
          <w:rFonts w:hint="eastAsia"/>
          <w:rtl/>
        </w:rPr>
        <w:t>זכות</w:t>
      </w:r>
      <w:r w:rsidRPr="00557202">
        <w:rPr>
          <w:rtl/>
        </w:rPr>
        <w:t xml:space="preserve"> </w:t>
      </w:r>
      <w:r w:rsidRPr="00557202">
        <w:rPr>
          <w:rFonts w:hint="eastAsia"/>
          <w:rtl/>
        </w:rPr>
        <w:t>במקרקעין</w:t>
      </w:r>
      <w:r w:rsidRPr="00557202">
        <w:rPr>
          <w:rtl/>
        </w:rPr>
        <w:t xml:space="preserve"> </w:t>
      </w:r>
      <w:r w:rsidRPr="00557202">
        <w:rPr>
          <w:rFonts w:hint="eastAsia"/>
          <w:rtl/>
        </w:rPr>
        <w:t>כאמור</w:t>
      </w:r>
      <w:r w:rsidRPr="00557202">
        <w:rPr>
          <w:rtl/>
        </w:rPr>
        <w:t xml:space="preserve"> </w:t>
      </w:r>
      <w:r w:rsidRPr="00557202">
        <w:rPr>
          <w:rFonts w:hint="eastAsia"/>
          <w:rtl/>
        </w:rPr>
        <w:t>במרשם</w:t>
      </w:r>
      <w:r w:rsidRPr="00557202">
        <w:rPr>
          <w:rtl/>
        </w:rPr>
        <w:t xml:space="preserve">, </w:t>
      </w:r>
      <w:r w:rsidRPr="00557202">
        <w:rPr>
          <w:rFonts w:hint="eastAsia"/>
          <w:rtl/>
        </w:rPr>
        <w:t>וכי</w:t>
      </w:r>
      <w:r w:rsidRPr="00557202">
        <w:rPr>
          <w:rtl/>
        </w:rPr>
        <w:t xml:space="preserve"> </w:t>
      </w:r>
      <w:r w:rsidRPr="00557202">
        <w:rPr>
          <w:rFonts w:hint="eastAsia"/>
          <w:rtl/>
        </w:rPr>
        <w:t>הוא</w:t>
      </w:r>
      <w:r w:rsidRPr="00557202">
        <w:rPr>
          <w:rtl/>
        </w:rPr>
        <w:t xml:space="preserve"> </w:t>
      </w:r>
      <w:r w:rsidRPr="00557202">
        <w:rPr>
          <w:rFonts w:hint="eastAsia"/>
          <w:rtl/>
        </w:rPr>
        <w:t>רשאי</w:t>
      </w:r>
      <w:r w:rsidRPr="00557202">
        <w:rPr>
          <w:rtl/>
        </w:rPr>
        <w:t xml:space="preserve"> </w:t>
      </w:r>
      <w:r w:rsidRPr="00557202">
        <w:rPr>
          <w:rFonts w:hint="eastAsia"/>
          <w:rtl/>
        </w:rPr>
        <w:t>להעביר</w:t>
      </w:r>
      <w:r w:rsidRPr="00557202">
        <w:rPr>
          <w:rtl/>
        </w:rPr>
        <w:t xml:space="preserve"> </w:t>
      </w:r>
      <w:r w:rsidRPr="00557202">
        <w:rPr>
          <w:rFonts w:hint="eastAsia"/>
          <w:rtl/>
        </w:rPr>
        <w:t>את</w:t>
      </w:r>
      <w:r w:rsidRPr="00557202">
        <w:rPr>
          <w:rtl/>
        </w:rPr>
        <w:t xml:space="preserve"> </w:t>
      </w:r>
      <w:r w:rsidRPr="00557202">
        <w:rPr>
          <w:rFonts w:hint="eastAsia"/>
          <w:rtl/>
        </w:rPr>
        <w:t>זכותו</w:t>
      </w:r>
      <w:r w:rsidRPr="00557202">
        <w:rPr>
          <w:rtl/>
        </w:rPr>
        <w:t xml:space="preserve"> </w:t>
      </w:r>
      <w:r w:rsidRPr="00557202">
        <w:rPr>
          <w:rFonts w:hint="eastAsia"/>
          <w:rtl/>
        </w:rPr>
        <w:t>זו</w:t>
      </w:r>
      <w:r w:rsidRPr="00557202">
        <w:rPr>
          <w:rtl/>
        </w:rPr>
        <w:t xml:space="preserve"> </w:t>
      </w:r>
      <w:r w:rsidRPr="00557202">
        <w:rPr>
          <w:rFonts w:hint="eastAsia"/>
          <w:rtl/>
        </w:rPr>
        <w:t>נקייה</w:t>
      </w:r>
      <w:r w:rsidRPr="00557202">
        <w:rPr>
          <w:rtl/>
        </w:rPr>
        <w:t xml:space="preserve"> </w:t>
      </w:r>
      <w:r w:rsidRPr="00557202">
        <w:rPr>
          <w:rFonts w:hint="eastAsia"/>
          <w:rtl/>
        </w:rPr>
        <w:t>מכל</w:t>
      </w:r>
      <w:r w:rsidRPr="00557202">
        <w:rPr>
          <w:rtl/>
        </w:rPr>
        <w:t xml:space="preserve"> </w:t>
      </w:r>
      <w:r w:rsidRPr="00557202">
        <w:rPr>
          <w:rFonts w:hint="eastAsia"/>
          <w:rtl/>
        </w:rPr>
        <w:t>זכות</w:t>
      </w:r>
      <w:r w:rsidRPr="00557202">
        <w:rPr>
          <w:rtl/>
        </w:rPr>
        <w:t xml:space="preserve"> </w:t>
      </w:r>
      <w:r w:rsidRPr="00557202">
        <w:rPr>
          <w:rFonts w:hint="eastAsia"/>
          <w:rtl/>
        </w:rPr>
        <w:t>של</w:t>
      </w:r>
      <w:r w:rsidRPr="00557202">
        <w:rPr>
          <w:rtl/>
        </w:rPr>
        <w:t xml:space="preserve"> </w:t>
      </w:r>
      <w:r w:rsidRPr="00557202">
        <w:rPr>
          <w:rFonts w:hint="eastAsia"/>
          <w:rtl/>
        </w:rPr>
        <w:t>אדם</w:t>
      </w:r>
      <w:r w:rsidRPr="00557202">
        <w:rPr>
          <w:rtl/>
        </w:rPr>
        <w:t xml:space="preserve"> </w:t>
      </w:r>
      <w:r w:rsidRPr="00557202">
        <w:rPr>
          <w:rFonts w:hint="eastAsia"/>
          <w:rtl/>
        </w:rPr>
        <w:t>אחר</w:t>
      </w:r>
      <w:r w:rsidRPr="00557202">
        <w:rPr>
          <w:rtl/>
        </w:rPr>
        <w:t xml:space="preserve">. </w:t>
      </w:r>
      <w:r w:rsidRPr="00557202">
        <w:rPr>
          <w:rFonts w:hint="eastAsia"/>
          <w:rtl/>
        </w:rPr>
        <w:t>אמונה</w:t>
      </w:r>
      <w:r w:rsidRPr="00557202">
        <w:rPr>
          <w:rtl/>
        </w:rPr>
        <w:t xml:space="preserve"> </w:t>
      </w:r>
      <w:r w:rsidRPr="00557202">
        <w:rPr>
          <w:rFonts w:hint="eastAsia"/>
          <w:rtl/>
        </w:rPr>
        <w:t>כזו</w:t>
      </w:r>
      <w:r w:rsidRPr="00557202">
        <w:rPr>
          <w:rtl/>
        </w:rPr>
        <w:t xml:space="preserve"> </w:t>
      </w:r>
      <w:r w:rsidRPr="00557202">
        <w:rPr>
          <w:rFonts w:hint="eastAsia"/>
          <w:rtl/>
        </w:rPr>
        <w:t>אינה</w:t>
      </w:r>
      <w:r w:rsidRPr="00557202">
        <w:rPr>
          <w:rtl/>
        </w:rPr>
        <w:t xml:space="preserve"> </w:t>
      </w:r>
      <w:r w:rsidRPr="00557202">
        <w:rPr>
          <w:rFonts w:hint="eastAsia"/>
          <w:rtl/>
        </w:rPr>
        <w:t>קיימת</w:t>
      </w:r>
      <w:r w:rsidRPr="00557202">
        <w:rPr>
          <w:rtl/>
        </w:rPr>
        <w:t xml:space="preserve"> </w:t>
      </w:r>
      <w:r w:rsidRPr="00557202">
        <w:rPr>
          <w:rFonts w:hint="eastAsia"/>
          <w:rtl/>
        </w:rPr>
        <w:t>אם</w:t>
      </w:r>
      <w:r w:rsidRPr="00557202">
        <w:rPr>
          <w:rtl/>
        </w:rPr>
        <w:t xml:space="preserve"> </w:t>
      </w:r>
      <w:r w:rsidRPr="00557202">
        <w:rPr>
          <w:rFonts w:hint="eastAsia"/>
          <w:rtl/>
        </w:rPr>
        <w:t>הקונה</w:t>
      </w:r>
      <w:r w:rsidRPr="00557202">
        <w:rPr>
          <w:rtl/>
        </w:rPr>
        <w:t xml:space="preserve"> </w:t>
      </w:r>
      <w:r w:rsidRPr="00557202">
        <w:rPr>
          <w:rFonts w:hint="eastAsia"/>
          <w:rtl/>
        </w:rPr>
        <w:t>יודע</w:t>
      </w:r>
      <w:r w:rsidRPr="00557202">
        <w:rPr>
          <w:rtl/>
        </w:rPr>
        <w:t xml:space="preserve"> </w:t>
      </w:r>
      <w:r w:rsidRPr="00557202">
        <w:rPr>
          <w:rFonts w:hint="eastAsia"/>
          <w:rtl/>
        </w:rPr>
        <w:t>שלמוכר</w:t>
      </w:r>
      <w:r w:rsidRPr="00557202">
        <w:rPr>
          <w:rtl/>
        </w:rPr>
        <w:t xml:space="preserve"> </w:t>
      </w:r>
      <w:r w:rsidRPr="00557202">
        <w:rPr>
          <w:rFonts w:hint="eastAsia"/>
          <w:rtl/>
        </w:rPr>
        <w:t>אין</w:t>
      </w:r>
      <w:r w:rsidRPr="00557202">
        <w:rPr>
          <w:rtl/>
        </w:rPr>
        <w:t xml:space="preserve"> </w:t>
      </w:r>
      <w:r w:rsidRPr="00557202">
        <w:rPr>
          <w:rFonts w:hint="eastAsia"/>
          <w:rtl/>
        </w:rPr>
        <w:t>זכות</w:t>
      </w:r>
      <w:r w:rsidRPr="00557202">
        <w:rPr>
          <w:rtl/>
        </w:rPr>
        <w:t xml:space="preserve"> </w:t>
      </w:r>
      <w:r w:rsidRPr="00557202">
        <w:rPr>
          <w:rFonts w:hint="eastAsia"/>
          <w:rtl/>
        </w:rPr>
        <w:t>במקרקעין</w:t>
      </w:r>
      <w:r w:rsidRPr="00557202">
        <w:rPr>
          <w:rtl/>
        </w:rPr>
        <w:t xml:space="preserve"> </w:t>
      </w:r>
      <w:r w:rsidRPr="00557202">
        <w:rPr>
          <w:rFonts w:hint="eastAsia"/>
          <w:rtl/>
        </w:rPr>
        <w:t>או</w:t>
      </w:r>
      <w:r w:rsidRPr="00557202">
        <w:rPr>
          <w:rtl/>
        </w:rPr>
        <w:t xml:space="preserve"> </w:t>
      </w:r>
      <w:r w:rsidRPr="00557202">
        <w:rPr>
          <w:rFonts w:hint="eastAsia"/>
          <w:rtl/>
        </w:rPr>
        <w:t>שזכותו</w:t>
      </w:r>
      <w:r w:rsidRPr="00557202">
        <w:rPr>
          <w:rtl/>
        </w:rPr>
        <w:t xml:space="preserve"> </w:t>
      </w:r>
      <w:r w:rsidRPr="00557202">
        <w:rPr>
          <w:rFonts w:hint="eastAsia"/>
          <w:rtl/>
        </w:rPr>
        <w:t>מוטלת</w:t>
      </w:r>
      <w:r w:rsidRPr="00557202">
        <w:rPr>
          <w:rtl/>
        </w:rPr>
        <w:t xml:space="preserve"> </w:t>
      </w:r>
      <w:r w:rsidRPr="00557202">
        <w:rPr>
          <w:rFonts w:hint="eastAsia"/>
          <w:rtl/>
        </w:rPr>
        <w:t>בספק</w:t>
      </w:r>
      <w:r w:rsidRPr="00557202">
        <w:rPr>
          <w:rtl/>
        </w:rPr>
        <w:t xml:space="preserve">. </w:t>
      </w:r>
      <w:r w:rsidRPr="00557202">
        <w:rPr>
          <w:rFonts w:hint="eastAsia"/>
          <w:rtl/>
        </w:rPr>
        <w:t>כמו</w:t>
      </w:r>
      <w:r w:rsidRPr="00557202">
        <w:rPr>
          <w:rtl/>
        </w:rPr>
        <w:t xml:space="preserve"> </w:t>
      </w:r>
      <w:r w:rsidRPr="00557202">
        <w:rPr>
          <w:rFonts w:hint="eastAsia"/>
          <w:rtl/>
        </w:rPr>
        <w:t>כן</w:t>
      </w:r>
      <w:r w:rsidRPr="00557202">
        <w:rPr>
          <w:rtl/>
        </w:rPr>
        <w:t xml:space="preserve"> </w:t>
      </w:r>
      <w:r w:rsidRPr="00557202">
        <w:rPr>
          <w:rFonts w:hint="eastAsia"/>
          <w:rtl/>
        </w:rPr>
        <w:t>אמונה</w:t>
      </w:r>
      <w:r w:rsidRPr="00557202">
        <w:rPr>
          <w:rtl/>
        </w:rPr>
        <w:t xml:space="preserve"> </w:t>
      </w:r>
      <w:r w:rsidRPr="00557202">
        <w:rPr>
          <w:rFonts w:hint="eastAsia"/>
          <w:rtl/>
        </w:rPr>
        <w:t>זו</w:t>
      </w:r>
      <w:r w:rsidRPr="00557202">
        <w:rPr>
          <w:rtl/>
        </w:rPr>
        <w:t xml:space="preserve"> </w:t>
      </w:r>
      <w:r w:rsidRPr="00557202">
        <w:rPr>
          <w:rFonts w:hint="eastAsia"/>
          <w:rtl/>
        </w:rPr>
        <w:t>אינה</w:t>
      </w:r>
      <w:r w:rsidRPr="00557202">
        <w:rPr>
          <w:rtl/>
        </w:rPr>
        <w:t xml:space="preserve"> </w:t>
      </w:r>
      <w:r w:rsidRPr="00557202">
        <w:rPr>
          <w:rFonts w:hint="eastAsia"/>
          <w:rtl/>
        </w:rPr>
        <w:t>קיימת</w:t>
      </w:r>
      <w:r w:rsidRPr="00557202">
        <w:rPr>
          <w:rtl/>
        </w:rPr>
        <w:t xml:space="preserve"> </w:t>
      </w:r>
      <w:r w:rsidRPr="00557202">
        <w:rPr>
          <w:rFonts w:hint="eastAsia"/>
          <w:rtl/>
        </w:rPr>
        <w:t>אם</w:t>
      </w:r>
      <w:r w:rsidRPr="00557202">
        <w:rPr>
          <w:rtl/>
        </w:rPr>
        <w:t xml:space="preserve"> </w:t>
      </w:r>
      <w:r w:rsidRPr="00557202">
        <w:rPr>
          <w:rFonts w:hint="eastAsia"/>
          <w:rtl/>
        </w:rPr>
        <w:t>הקונה</w:t>
      </w:r>
      <w:r w:rsidRPr="00557202">
        <w:rPr>
          <w:rtl/>
        </w:rPr>
        <w:t xml:space="preserve"> </w:t>
      </w:r>
      <w:r w:rsidRPr="00557202">
        <w:rPr>
          <w:rFonts w:hint="eastAsia"/>
          <w:rtl/>
        </w:rPr>
        <w:t>לא</w:t>
      </w:r>
      <w:r w:rsidRPr="00557202">
        <w:rPr>
          <w:rtl/>
        </w:rPr>
        <w:t xml:space="preserve"> </w:t>
      </w:r>
      <w:r w:rsidRPr="00557202">
        <w:rPr>
          <w:rFonts w:hint="eastAsia"/>
          <w:rtl/>
        </w:rPr>
        <w:t>ידע</w:t>
      </w:r>
      <w:r w:rsidRPr="00557202">
        <w:rPr>
          <w:rtl/>
        </w:rPr>
        <w:t xml:space="preserve"> </w:t>
      </w:r>
      <w:r w:rsidRPr="00557202">
        <w:rPr>
          <w:rFonts w:hint="eastAsia"/>
          <w:rtl/>
        </w:rPr>
        <w:t>שלמוכר</w:t>
      </w:r>
      <w:r w:rsidRPr="00557202">
        <w:rPr>
          <w:rtl/>
        </w:rPr>
        <w:t xml:space="preserve"> </w:t>
      </w:r>
      <w:r w:rsidRPr="00557202">
        <w:rPr>
          <w:rFonts w:hint="eastAsia"/>
          <w:rtl/>
        </w:rPr>
        <w:t>אין</w:t>
      </w:r>
      <w:r w:rsidRPr="00557202">
        <w:rPr>
          <w:rtl/>
        </w:rPr>
        <w:t xml:space="preserve"> </w:t>
      </w:r>
      <w:r w:rsidRPr="00557202">
        <w:rPr>
          <w:rFonts w:hint="eastAsia"/>
          <w:rtl/>
        </w:rPr>
        <w:t>זכות</w:t>
      </w:r>
      <w:r w:rsidRPr="00557202">
        <w:rPr>
          <w:rtl/>
        </w:rPr>
        <w:t xml:space="preserve"> </w:t>
      </w:r>
      <w:r w:rsidRPr="00557202">
        <w:rPr>
          <w:rFonts w:hint="eastAsia"/>
          <w:rtl/>
        </w:rPr>
        <w:t>במקרקעין</w:t>
      </w:r>
      <w:r w:rsidRPr="00557202">
        <w:rPr>
          <w:rtl/>
        </w:rPr>
        <w:t xml:space="preserve"> </w:t>
      </w:r>
      <w:r w:rsidRPr="00557202">
        <w:rPr>
          <w:rFonts w:hint="eastAsia"/>
          <w:rtl/>
        </w:rPr>
        <w:t>או</w:t>
      </w:r>
      <w:r w:rsidRPr="00557202">
        <w:rPr>
          <w:rtl/>
        </w:rPr>
        <w:t xml:space="preserve"> </w:t>
      </w:r>
      <w:r w:rsidRPr="00557202">
        <w:rPr>
          <w:rFonts w:hint="eastAsia"/>
          <w:rtl/>
        </w:rPr>
        <w:t>שזכותו</w:t>
      </w:r>
      <w:r w:rsidRPr="00557202">
        <w:rPr>
          <w:rtl/>
        </w:rPr>
        <w:t xml:space="preserve"> </w:t>
      </w:r>
      <w:r w:rsidRPr="00557202">
        <w:rPr>
          <w:rFonts w:hint="eastAsia"/>
          <w:rtl/>
        </w:rPr>
        <w:t>מוטלת</w:t>
      </w:r>
      <w:r w:rsidRPr="00557202">
        <w:rPr>
          <w:rtl/>
        </w:rPr>
        <w:t xml:space="preserve"> </w:t>
      </w:r>
      <w:r w:rsidRPr="00557202">
        <w:rPr>
          <w:rFonts w:hint="eastAsia"/>
          <w:rtl/>
        </w:rPr>
        <w:t>בספק</w:t>
      </w:r>
      <w:r w:rsidRPr="00557202">
        <w:rPr>
          <w:rtl/>
        </w:rPr>
        <w:t xml:space="preserve">, </w:t>
      </w:r>
      <w:r w:rsidRPr="00557202">
        <w:rPr>
          <w:rFonts w:hint="eastAsia"/>
          <w:rtl/>
        </w:rPr>
        <w:t>אך</w:t>
      </w:r>
      <w:r w:rsidRPr="00557202">
        <w:rPr>
          <w:rtl/>
        </w:rPr>
        <w:t xml:space="preserve"> </w:t>
      </w:r>
      <w:r w:rsidRPr="00557202">
        <w:rPr>
          <w:rFonts w:hint="eastAsia"/>
          <w:rtl/>
        </w:rPr>
        <w:t>הוא</w:t>
      </w:r>
      <w:r w:rsidRPr="00557202">
        <w:rPr>
          <w:rtl/>
        </w:rPr>
        <w:t xml:space="preserve"> </w:t>
      </w:r>
      <w:r w:rsidRPr="00557202">
        <w:rPr>
          <w:rFonts w:hint="eastAsia"/>
          <w:rtl/>
        </w:rPr>
        <w:t>חשד</w:t>
      </w:r>
      <w:r w:rsidRPr="00557202">
        <w:rPr>
          <w:rtl/>
        </w:rPr>
        <w:t xml:space="preserve"> </w:t>
      </w:r>
      <w:r w:rsidRPr="00557202">
        <w:rPr>
          <w:rFonts w:hint="eastAsia"/>
          <w:rtl/>
        </w:rPr>
        <w:t>באשר</w:t>
      </w:r>
      <w:r w:rsidRPr="00557202">
        <w:rPr>
          <w:rtl/>
        </w:rPr>
        <w:t xml:space="preserve"> </w:t>
      </w:r>
      <w:r w:rsidRPr="00557202">
        <w:rPr>
          <w:rFonts w:hint="eastAsia"/>
          <w:rtl/>
        </w:rPr>
        <w:t>לזכותו</w:t>
      </w:r>
      <w:r w:rsidRPr="00557202">
        <w:rPr>
          <w:rtl/>
        </w:rPr>
        <w:t xml:space="preserve"> </w:t>
      </w:r>
      <w:r w:rsidRPr="00557202">
        <w:rPr>
          <w:rFonts w:hint="eastAsia"/>
          <w:rtl/>
        </w:rPr>
        <w:t>של</w:t>
      </w:r>
      <w:r w:rsidRPr="00557202">
        <w:rPr>
          <w:rtl/>
        </w:rPr>
        <w:t xml:space="preserve"> </w:t>
      </w:r>
      <w:r w:rsidRPr="00557202">
        <w:rPr>
          <w:rFonts w:hint="eastAsia"/>
          <w:rtl/>
        </w:rPr>
        <w:t>המוכר</w:t>
      </w:r>
      <w:r w:rsidRPr="00557202">
        <w:rPr>
          <w:rtl/>
        </w:rPr>
        <w:t xml:space="preserve"> </w:t>
      </w:r>
      <w:r w:rsidRPr="00557202">
        <w:rPr>
          <w:rFonts w:hint="eastAsia"/>
          <w:rtl/>
        </w:rPr>
        <w:t>ובמודע</w:t>
      </w:r>
      <w:r w:rsidRPr="00557202">
        <w:rPr>
          <w:rtl/>
        </w:rPr>
        <w:t xml:space="preserve"> </w:t>
      </w:r>
      <w:r w:rsidRPr="00557202">
        <w:rPr>
          <w:rFonts w:hint="eastAsia"/>
          <w:rtl/>
        </w:rPr>
        <w:t>נמנע</w:t>
      </w:r>
      <w:r w:rsidRPr="00557202">
        <w:rPr>
          <w:rtl/>
        </w:rPr>
        <w:t xml:space="preserve"> </w:t>
      </w:r>
      <w:r w:rsidRPr="00557202">
        <w:rPr>
          <w:rFonts w:hint="eastAsia"/>
          <w:rtl/>
        </w:rPr>
        <w:t>מלברר</w:t>
      </w:r>
      <w:r w:rsidRPr="00557202">
        <w:rPr>
          <w:rtl/>
        </w:rPr>
        <w:t xml:space="preserve"> </w:t>
      </w:r>
      <w:r w:rsidRPr="00557202">
        <w:rPr>
          <w:rFonts w:hint="eastAsia"/>
          <w:rtl/>
        </w:rPr>
        <w:t>הדבר</w:t>
      </w:r>
      <w:r w:rsidRPr="00557202">
        <w:rPr>
          <w:rtl/>
        </w:rPr>
        <w:t xml:space="preserve">. </w:t>
      </w:r>
      <w:r w:rsidRPr="00557202">
        <w:rPr>
          <w:rFonts w:hint="eastAsia"/>
          <w:rtl/>
        </w:rPr>
        <w:t>זהו</w:t>
      </w:r>
      <w:r w:rsidRPr="00557202">
        <w:rPr>
          <w:rtl/>
        </w:rPr>
        <w:t xml:space="preserve"> </w:t>
      </w:r>
      <w:r w:rsidRPr="00557202">
        <w:rPr>
          <w:rFonts w:hint="eastAsia"/>
          <w:rtl/>
        </w:rPr>
        <w:t>מצב</w:t>
      </w:r>
      <w:r w:rsidRPr="00557202">
        <w:rPr>
          <w:rtl/>
        </w:rPr>
        <w:t xml:space="preserve"> </w:t>
      </w:r>
      <w:r w:rsidRPr="00557202">
        <w:rPr>
          <w:rFonts w:hint="eastAsia"/>
          <w:rtl/>
        </w:rPr>
        <w:t>של</w:t>
      </w:r>
      <w:r w:rsidRPr="00557202">
        <w:rPr>
          <w:rtl/>
        </w:rPr>
        <w:t xml:space="preserve"> </w:t>
      </w:r>
      <w:r w:rsidRPr="00557202">
        <w:rPr>
          <w:rFonts w:hint="eastAsia"/>
          <w:rtl/>
        </w:rPr>
        <w:t>עצימת</w:t>
      </w:r>
      <w:r w:rsidRPr="00557202">
        <w:rPr>
          <w:rtl/>
        </w:rPr>
        <w:t xml:space="preserve"> </w:t>
      </w:r>
      <w:r w:rsidRPr="00557202">
        <w:rPr>
          <w:rFonts w:hint="eastAsia"/>
          <w:rtl/>
        </w:rPr>
        <w:t>עיניים</w:t>
      </w:r>
      <w:r w:rsidRPr="00557202">
        <w:rPr>
          <w:rtl/>
        </w:rPr>
        <w:t xml:space="preserve">. </w:t>
      </w:r>
      <w:r w:rsidRPr="00557202">
        <w:rPr>
          <w:rFonts w:hint="eastAsia"/>
          <w:rtl/>
        </w:rPr>
        <w:t>הוא</w:t>
      </w:r>
      <w:r w:rsidRPr="00557202">
        <w:rPr>
          <w:rtl/>
        </w:rPr>
        <w:t xml:space="preserve"> </w:t>
      </w:r>
      <w:r w:rsidRPr="00557202">
        <w:rPr>
          <w:rFonts w:hint="eastAsia"/>
          <w:rtl/>
        </w:rPr>
        <w:t>שקול</w:t>
      </w:r>
      <w:r w:rsidRPr="00557202">
        <w:rPr>
          <w:rtl/>
        </w:rPr>
        <w:t xml:space="preserve"> </w:t>
      </w:r>
      <w:r w:rsidRPr="00557202">
        <w:rPr>
          <w:rFonts w:hint="eastAsia"/>
          <w:rtl/>
        </w:rPr>
        <w:t>כנגד</w:t>
      </w:r>
      <w:r w:rsidRPr="00557202">
        <w:rPr>
          <w:rtl/>
        </w:rPr>
        <w:t xml:space="preserve"> </w:t>
      </w:r>
      <w:r w:rsidRPr="00557202">
        <w:rPr>
          <w:rFonts w:hint="eastAsia"/>
          <w:rtl/>
        </w:rPr>
        <w:t>ידיעה</w:t>
      </w:r>
      <w:r w:rsidRPr="00557202">
        <w:rPr>
          <w:rtl/>
        </w:rPr>
        <w:t xml:space="preserve"> </w:t>
      </w:r>
      <w:r w:rsidRPr="00557202">
        <w:rPr>
          <w:rFonts w:hint="eastAsia"/>
          <w:rtl/>
        </w:rPr>
        <w:t>והוא</w:t>
      </w:r>
      <w:r w:rsidRPr="00557202">
        <w:rPr>
          <w:rtl/>
        </w:rPr>
        <w:t xml:space="preserve"> </w:t>
      </w:r>
      <w:r w:rsidRPr="00557202">
        <w:rPr>
          <w:rFonts w:hint="eastAsia"/>
          <w:rtl/>
        </w:rPr>
        <w:t>שולל</w:t>
      </w:r>
      <w:r w:rsidRPr="00557202">
        <w:rPr>
          <w:rtl/>
        </w:rPr>
        <w:t xml:space="preserve"> </w:t>
      </w:r>
      <w:r w:rsidRPr="00557202">
        <w:rPr>
          <w:rFonts w:hint="eastAsia"/>
          <w:rtl/>
        </w:rPr>
        <w:t>תום</w:t>
      </w:r>
      <w:r w:rsidRPr="00557202">
        <w:rPr>
          <w:rtl/>
        </w:rPr>
        <w:t>-</w:t>
      </w:r>
      <w:r w:rsidRPr="00557202">
        <w:rPr>
          <w:rFonts w:hint="eastAsia"/>
          <w:rtl/>
        </w:rPr>
        <w:t>לב</w:t>
      </w:r>
      <w:r w:rsidRPr="00557202">
        <w:rPr>
          <w:rtl/>
        </w:rPr>
        <w:t xml:space="preserve">. </w:t>
      </w:r>
      <w:r w:rsidRPr="00557202">
        <w:rPr>
          <w:rFonts w:hint="eastAsia"/>
          <w:rtl/>
        </w:rPr>
        <w:t>לעומת</w:t>
      </w:r>
      <w:r w:rsidRPr="00557202">
        <w:rPr>
          <w:rtl/>
        </w:rPr>
        <w:t xml:space="preserve"> </w:t>
      </w:r>
      <w:r w:rsidRPr="00557202">
        <w:rPr>
          <w:rFonts w:hint="eastAsia"/>
          <w:rtl/>
        </w:rPr>
        <w:t>זאת</w:t>
      </w:r>
      <w:r w:rsidRPr="00557202">
        <w:rPr>
          <w:rtl/>
        </w:rPr>
        <w:t xml:space="preserve"> </w:t>
      </w:r>
      <w:r w:rsidRPr="00557202">
        <w:rPr>
          <w:rFonts w:hint="eastAsia"/>
          <w:rtl/>
        </w:rPr>
        <w:t>אמונתו</w:t>
      </w:r>
      <w:r w:rsidRPr="00557202">
        <w:rPr>
          <w:rtl/>
        </w:rPr>
        <w:t xml:space="preserve"> </w:t>
      </w:r>
      <w:r w:rsidRPr="00557202">
        <w:rPr>
          <w:rFonts w:hint="eastAsia"/>
          <w:rtl/>
        </w:rPr>
        <w:t>של</w:t>
      </w:r>
      <w:r w:rsidRPr="00557202">
        <w:rPr>
          <w:rtl/>
        </w:rPr>
        <w:t xml:space="preserve"> </w:t>
      </w:r>
      <w:r w:rsidRPr="00557202">
        <w:rPr>
          <w:rFonts w:hint="eastAsia"/>
          <w:rtl/>
        </w:rPr>
        <w:t>הקונה</w:t>
      </w:r>
      <w:r w:rsidRPr="00557202">
        <w:rPr>
          <w:rtl/>
        </w:rPr>
        <w:t xml:space="preserve"> </w:t>
      </w:r>
      <w:r w:rsidRPr="00557202">
        <w:rPr>
          <w:rFonts w:hint="eastAsia"/>
          <w:rtl/>
        </w:rPr>
        <w:t>אינה</w:t>
      </w:r>
      <w:r w:rsidRPr="00557202">
        <w:rPr>
          <w:rtl/>
        </w:rPr>
        <w:t xml:space="preserve"> </w:t>
      </w:r>
      <w:r w:rsidRPr="00557202">
        <w:rPr>
          <w:rFonts w:hint="eastAsia"/>
          <w:rtl/>
        </w:rPr>
        <w:t>נפגעת</w:t>
      </w:r>
      <w:r w:rsidRPr="00557202">
        <w:rPr>
          <w:rtl/>
        </w:rPr>
        <w:t xml:space="preserve"> </w:t>
      </w:r>
      <w:r w:rsidRPr="00557202">
        <w:rPr>
          <w:rFonts w:hint="eastAsia"/>
          <w:rtl/>
        </w:rPr>
        <w:t>אם</w:t>
      </w:r>
      <w:r w:rsidRPr="00557202">
        <w:rPr>
          <w:rtl/>
        </w:rPr>
        <w:t xml:space="preserve"> </w:t>
      </w:r>
      <w:r w:rsidRPr="00557202">
        <w:rPr>
          <w:rFonts w:hint="eastAsia"/>
          <w:rtl/>
        </w:rPr>
        <w:t>הוא</w:t>
      </w:r>
      <w:r w:rsidRPr="00557202">
        <w:rPr>
          <w:rtl/>
        </w:rPr>
        <w:t xml:space="preserve"> </w:t>
      </w:r>
      <w:r w:rsidRPr="00557202">
        <w:rPr>
          <w:rFonts w:hint="eastAsia"/>
          <w:rtl/>
        </w:rPr>
        <w:t>לא</w:t>
      </w:r>
      <w:r w:rsidRPr="00557202">
        <w:rPr>
          <w:rtl/>
        </w:rPr>
        <w:t xml:space="preserve"> </w:t>
      </w:r>
      <w:r w:rsidRPr="00557202">
        <w:rPr>
          <w:rFonts w:hint="eastAsia"/>
          <w:rtl/>
        </w:rPr>
        <w:t>ידע</w:t>
      </w:r>
      <w:r w:rsidRPr="00557202">
        <w:rPr>
          <w:rtl/>
        </w:rPr>
        <w:t xml:space="preserve"> </w:t>
      </w:r>
      <w:r w:rsidRPr="00557202">
        <w:rPr>
          <w:rFonts w:hint="eastAsia"/>
          <w:rtl/>
        </w:rPr>
        <w:t>כי</w:t>
      </w:r>
      <w:r w:rsidRPr="00557202">
        <w:rPr>
          <w:rtl/>
        </w:rPr>
        <w:t xml:space="preserve"> </w:t>
      </w:r>
      <w:r w:rsidRPr="00557202">
        <w:rPr>
          <w:rFonts w:hint="eastAsia"/>
          <w:rtl/>
        </w:rPr>
        <w:t>למוכר</w:t>
      </w:r>
      <w:r w:rsidRPr="00557202">
        <w:rPr>
          <w:rtl/>
        </w:rPr>
        <w:t xml:space="preserve"> </w:t>
      </w:r>
      <w:r w:rsidRPr="00557202">
        <w:rPr>
          <w:rFonts w:hint="eastAsia"/>
          <w:rtl/>
        </w:rPr>
        <w:t>אין</w:t>
      </w:r>
      <w:r w:rsidRPr="00557202">
        <w:rPr>
          <w:rtl/>
        </w:rPr>
        <w:t xml:space="preserve"> </w:t>
      </w:r>
      <w:r w:rsidRPr="00557202">
        <w:rPr>
          <w:rFonts w:hint="eastAsia"/>
          <w:rtl/>
        </w:rPr>
        <w:t>זכות</w:t>
      </w:r>
      <w:r w:rsidRPr="00557202">
        <w:rPr>
          <w:rtl/>
        </w:rPr>
        <w:t xml:space="preserve"> </w:t>
      </w:r>
      <w:r w:rsidRPr="00557202">
        <w:rPr>
          <w:rFonts w:hint="eastAsia"/>
          <w:rtl/>
        </w:rPr>
        <w:t>במקרקעין</w:t>
      </w:r>
      <w:r w:rsidRPr="00557202">
        <w:rPr>
          <w:rtl/>
        </w:rPr>
        <w:t xml:space="preserve"> </w:t>
      </w:r>
      <w:r w:rsidRPr="00557202">
        <w:rPr>
          <w:rFonts w:hint="eastAsia"/>
          <w:rtl/>
        </w:rPr>
        <w:t>או</w:t>
      </w:r>
      <w:r w:rsidRPr="00557202">
        <w:rPr>
          <w:rtl/>
        </w:rPr>
        <w:t xml:space="preserve"> </w:t>
      </w:r>
      <w:r w:rsidRPr="00557202">
        <w:rPr>
          <w:rFonts w:hint="eastAsia"/>
          <w:rtl/>
        </w:rPr>
        <w:t>אם</w:t>
      </w:r>
      <w:r w:rsidRPr="00557202">
        <w:rPr>
          <w:rtl/>
        </w:rPr>
        <w:t xml:space="preserve"> </w:t>
      </w:r>
      <w:r w:rsidRPr="00557202">
        <w:rPr>
          <w:rFonts w:hint="eastAsia"/>
          <w:rtl/>
        </w:rPr>
        <w:t>הוא</w:t>
      </w:r>
      <w:r w:rsidRPr="00557202">
        <w:rPr>
          <w:rtl/>
        </w:rPr>
        <w:t xml:space="preserve"> </w:t>
      </w:r>
      <w:r w:rsidRPr="00557202">
        <w:rPr>
          <w:rFonts w:hint="eastAsia"/>
          <w:rtl/>
        </w:rPr>
        <w:t>לא</w:t>
      </w:r>
      <w:r w:rsidRPr="00557202">
        <w:rPr>
          <w:rtl/>
        </w:rPr>
        <w:t xml:space="preserve"> </w:t>
      </w:r>
      <w:r w:rsidRPr="00557202">
        <w:rPr>
          <w:rFonts w:hint="eastAsia"/>
          <w:rtl/>
        </w:rPr>
        <w:t>חשד</w:t>
      </w:r>
      <w:r w:rsidRPr="00557202">
        <w:rPr>
          <w:rtl/>
        </w:rPr>
        <w:t xml:space="preserve"> </w:t>
      </w:r>
      <w:r w:rsidRPr="00557202">
        <w:rPr>
          <w:rFonts w:hint="eastAsia"/>
          <w:rtl/>
        </w:rPr>
        <w:t>בזכותו</w:t>
      </w:r>
      <w:r w:rsidRPr="00557202">
        <w:rPr>
          <w:rtl/>
        </w:rPr>
        <w:t xml:space="preserve"> </w:t>
      </w:r>
      <w:r w:rsidRPr="00557202">
        <w:rPr>
          <w:rFonts w:hint="eastAsia"/>
          <w:rtl/>
        </w:rPr>
        <w:t>זו</w:t>
      </w:r>
      <w:r w:rsidRPr="00557202">
        <w:rPr>
          <w:rtl/>
        </w:rPr>
        <w:t xml:space="preserve">, </w:t>
      </w:r>
      <w:r w:rsidRPr="00557202">
        <w:rPr>
          <w:rFonts w:hint="eastAsia"/>
          <w:rtl/>
        </w:rPr>
        <w:t>אך</w:t>
      </w:r>
      <w:r w:rsidRPr="00557202">
        <w:rPr>
          <w:rtl/>
        </w:rPr>
        <w:t xml:space="preserve"> </w:t>
      </w:r>
      <w:r w:rsidRPr="00557202">
        <w:rPr>
          <w:rFonts w:hint="eastAsia"/>
          <w:rtl/>
        </w:rPr>
        <w:t>היה</w:t>
      </w:r>
      <w:r w:rsidRPr="00557202">
        <w:rPr>
          <w:rtl/>
        </w:rPr>
        <w:t xml:space="preserve"> </w:t>
      </w:r>
      <w:r w:rsidRPr="00557202">
        <w:rPr>
          <w:rFonts w:hint="eastAsia"/>
          <w:rtl/>
        </w:rPr>
        <w:t>יודע</w:t>
      </w:r>
      <w:r w:rsidRPr="00557202">
        <w:rPr>
          <w:rtl/>
        </w:rPr>
        <w:t xml:space="preserve"> </w:t>
      </w:r>
      <w:r w:rsidRPr="00557202">
        <w:rPr>
          <w:rFonts w:hint="eastAsia"/>
          <w:rtl/>
        </w:rPr>
        <w:t>או</w:t>
      </w:r>
      <w:r w:rsidRPr="00557202">
        <w:rPr>
          <w:rtl/>
        </w:rPr>
        <w:t xml:space="preserve"> </w:t>
      </w:r>
      <w:r w:rsidRPr="00557202">
        <w:rPr>
          <w:rFonts w:hint="eastAsia"/>
          <w:rtl/>
        </w:rPr>
        <w:t>היה</w:t>
      </w:r>
      <w:r w:rsidRPr="00557202">
        <w:rPr>
          <w:rtl/>
        </w:rPr>
        <w:t xml:space="preserve"> </w:t>
      </w:r>
      <w:r w:rsidRPr="00557202">
        <w:rPr>
          <w:rFonts w:hint="eastAsia"/>
          <w:rtl/>
        </w:rPr>
        <w:t>חושד</w:t>
      </w:r>
      <w:r w:rsidRPr="00557202">
        <w:rPr>
          <w:rtl/>
        </w:rPr>
        <w:t xml:space="preserve"> </w:t>
      </w:r>
      <w:r w:rsidRPr="00557202">
        <w:rPr>
          <w:rFonts w:hint="eastAsia"/>
          <w:rtl/>
        </w:rPr>
        <w:t>אילו</w:t>
      </w:r>
      <w:r w:rsidRPr="00557202">
        <w:rPr>
          <w:rtl/>
        </w:rPr>
        <w:t xml:space="preserve"> </w:t>
      </w:r>
      <w:r w:rsidRPr="00557202">
        <w:rPr>
          <w:rFonts w:hint="eastAsia"/>
          <w:rtl/>
        </w:rPr>
        <w:t>נקט</w:t>
      </w:r>
      <w:r w:rsidRPr="00557202">
        <w:rPr>
          <w:rtl/>
        </w:rPr>
        <w:t xml:space="preserve"> </w:t>
      </w:r>
      <w:r w:rsidRPr="00557202">
        <w:rPr>
          <w:rFonts w:hint="eastAsia"/>
          <w:rtl/>
        </w:rPr>
        <w:t>אמצעים</w:t>
      </w:r>
      <w:r w:rsidRPr="00557202">
        <w:rPr>
          <w:rtl/>
        </w:rPr>
        <w:t xml:space="preserve"> </w:t>
      </w:r>
      <w:r w:rsidRPr="00557202">
        <w:rPr>
          <w:rFonts w:hint="eastAsia"/>
          <w:rtl/>
        </w:rPr>
        <w:t>שקונה</w:t>
      </w:r>
      <w:r w:rsidRPr="00557202">
        <w:rPr>
          <w:rtl/>
        </w:rPr>
        <w:t xml:space="preserve"> </w:t>
      </w:r>
      <w:r w:rsidRPr="00557202">
        <w:rPr>
          <w:rFonts w:hint="eastAsia"/>
          <w:rtl/>
        </w:rPr>
        <w:t>סביר</w:t>
      </w:r>
      <w:r w:rsidRPr="00557202">
        <w:rPr>
          <w:rtl/>
        </w:rPr>
        <w:t xml:space="preserve"> </w:t>
      </w:r>
      <w:r w:rsidRPr="00557202">
        <w:rPr>
          <w:rFonts w:hint="eastAsia"/>
          <w:rtl/>
        </w:rPr>
        <w:t>היה</w:t>
      </w:r>
      <w:r w:rsidRPr="00557202">
        <w:rPr>
          <w:rtl/>
        </w:rPr>
        <w:t xml:space="preserve"> </w:t>
      </w:r>
      <w:r w:rsidRPr="00557202">
        <w:rPr>
          <w:rFonts w:hint="eastAsia"/>
          <w:rtl/>
        </w:rPr>
        <w:t>נוקט</w:t>
      </w:r>
      <w:r w:rsidRPr="00557202">
        <w:rPr>
          <w:rtl/>
        </w:rPr>
        <w:t xml:space="preserve">. </w:t>
      </w:r>
      <w:r w:rsidRPr="00557202">
        <w:rPr>
          <w:rFonts w:hint="eastAsia"/>
          <w:rtl/>
        </w:rPr>
        <w:t>במצב</w:t>
      </w:r>
      <w:r w:rsidRPr="00557202">
        <w:rPr>
          <w:rtl/>
        </w:rPr>
        <w:t xml:space="preserve"> </w:t>
      </w:r>
      <w:r w:rsidRPr="00557202">
        <w:rPr>
          <w:rFonts w:hint="eastAsia"/>
          <w:rtl/>
        </w:rPr>
        <w:t>דברים</w:t>
      </w:r>
      <w:r w:rsidRPr="00557202">
        <w:rPr>
          <w:rtl/>
        </w:rPr>
        <w:t xml:space="preserve"> </w:t>
      </w:r>
      <w:r w:rsidRPr="00557202">
        <w:rPr>
          <w:rFonts w:hint="eastAsia"/>
          <w:rtl/>
        </w:rPr>
        <w:t>זה</w:t>
      </w:r>
      <w:r w:rsidRPr="00557202">
        <w:rPr>
          <w:rtl/>
        </w:rPr>
        <w:t xml:space="preserve"> </w:t>
      </w:r>
      <w:r w:rsidRPr="00557202">
        <w:rPr>
          <w:rFonts w:hint="eastAsia"/>
          <w:rtl/>
        </w:rPr>
        <w:t>הקונה</w:t>
      </w:r>
      <w:r w:rsidRPr="00557202">
        <w:rPr>
          <w:rtl/>
        </w:rPr>
        <w:t xml:space="preserve"> </w:t>
      </w:r>
      <w:r w:rsidRPr="00557202">
        <w:rPr>
          <w:rFonts w:hint="eastAsia"/>
          <w:rtl/>
        </w:rPr>
        <w:t>התרשל</w:t>
      </w:r>
      <w:r w:rsidRPr="00557202">
        <w:rPr>
          <w:rtl/>
        </w:rPr>
        <w:t xml:space="preserve"> </w:t>
      </w:r>
      <w:r>
        <w:rPr>
          <w:rFonts w:hint="cs"/>
          <w:rtl/>
        </w:rPr>
        <w:t xml:space="preserve">[...] </w:t>
      </w:r>
      <w:r w:rsidRPr="00557202">
        <w:rPr>
          <w:rFonts w:hint="eastAsia"/>
          <w:rtl/>
        </w:rPr>
        <w:t>אך</w:t>
      </w:r>
      <w:r w:rsidRPr="00557202">
        <w:rPr>
          <w:rtl/>
        </w:rPr>
        <w:t xml:space="preserve"> </w:t>
      </w:r>
      <w:r w:rsidRPr="00557202">
        <w:rPr>
          <w:rFonts w:hint="eastAsia"/>
          <w:rtl/>
        </w:rPr>
        <w:t>אין</w:t>
      </w:r>
      <w:r w:rsidRPr="00557202">
        <w:rPr>
          <w:rtl/>
        </w:rPr>
        <w:t xml:space="preserve"> </w:t>
      </w:r>
      <w:r w:rsidRPr="00557202">
        <w:rPr>
          <w:rFonts w:hint="eastAsia"/>
          <w:rtl/>
        </w:rPr>
        <w:t>בהתרשלותו</w:t>
      </w:r>
      <w:r w:rsidRPr="00557202">
        <w:rPr>
          <w:rtl/>
        </w:rPr>
        <w:t xml:space="preserve"> </w:t>
      </w:r>
      <w:r w:rsidRPr="00557202">
        <w:rPr>
          <w:rFonts w:hint="eastAsia"/>
          <w:rtl/>
        </w:rPr>
        <w:t>כדי</w:t>
      </w:r>
      <w:r w:rsidRPr="00557202">
        <w:rPr>
          <w:rtl/>
        </w:rPr>
        <w:t xml:space="preserve"> </w:t>
      </w:r>
      <w:r w:rsidRPr="00557202">
        <w:rPr>
          <w:rFonts w:hint="eastAsia"/>
          <w:rtl/>
        </w:rPr>
        <w:t>לשלול</w:t>
      </w:r>
      <w:r w:rsidRPr="00557202">
        <w:rPr>
          <w:rtl/>
        </w:rPr>
        <w:t xml:space="preserve"> </w:t>
      </w:r>
      <w:r w:rsidRPr="00557202">
        <w:rPr>
          <w:rFonts w:hint="eastAsia"/>
          <w:rtl/>
        </w:rPr>
        <w:t>את</w:t>
      </w:r>
      <w:r w:rsidRPr="00557202">
        <w:rPr>
          <w:rtl/>
        </w:rPr>
        <w:t xml:space="preserve"> </w:t>
      </w:r>
      <w:r w:rsidRPr="00557202">
        <w:rPr>
          <w:rFonts w:hint="eastAsia"/>
          <w:rtl/>
        </w:rPr>
        <w:t>תום</w:t>
      </w:r>
      <w:r w:rsidRPr="00557202">
        <w:rPr>
          <w:rtl/>
        </w:rPr>
        <w:t>-</w:t>
      </w:r>
      <w:r w:rsidRPr="00557202">
        <w:rPr>
          <w:rFonts w:hint="eastAsia"/>
          <w:rtl/>
        </w:rPr>
        <w:t>לבו</w:t>
      </w:r>
      <w:r w:rsidRPr="00557202">
        <w:rPr>
          <w:rtl/>
        </w:rPr>
        <w:t xml:space="preserve">. </w:t>
      </w:r>
      <w:r>
        <w:rPr>
          <w:rFonts w:hint="cs"/>
          <w:rtl/>
        </w:rPr>
        <w:t>'</w:t>
      </w:r>
      <w:r w:rsidRPr="00557202">
        <w:rPr>
          <w:rFonts w:hint="eastAsia"/>
          <w:rtl/>
        </w:rPr>
        <w:t>רשלנות</w:t>
      </w:r>
      <w:r w:rsidRPr="00557202">
        <w:rPr>
          <w:rtl/>
        </w:rPr>
        <w:t xml:space="preserve"> </w:t>
      </w:r>
      <w:r w:rsidRPr="00557202">
        <w:rPr>
          <w:rFonts w:hint="eastAsia"/>
          <w:rtl/>
        </w:rPr>
        <w:t>ותום</w:t>
      </w:r>
      <w:r w:rsidRPr="00557202">
        <w:rPr>
          <w:rtl/>
        </w:rPr>
        <w:t xml:space="preserve"> </w:t>
      </w:r>
      <w:r w:rsidRPr="00557202">
        <w:rPr>
          <w:rFonts w:hint="eastAsia"/>
          <w:rtl/>
        </w:rPr>
        <w:t>לב</w:t>
      </w:r>
      <w:r w:rsidRPr="00557202">
        <w:rPr>
          <w:rtl/>
        </w:rPr>
        <w:t xml:space="preserve"> </w:t>
      </w:r>
      <w:r w:rsidRPr="00557202">
        <w:rPr>
          <w:rFonts w:hint="eastAsia"/>
          <w:rtl/>
        </w:rPr>
        <w:t>יכולים</w:t>
      </w:r>
      <w:r w:rsidRPr="00557202">
        <w:rPr>
          <w:rtl/>
        </w:rPr>
        <w:t xml:space="preserve"> </w:t>
      </w:r>
      <w:r w:rsidRPr="00557202">
        <w:rPr>
          <w:rFonts w:hint="eastAsia"/>
          <w:rtl/>
        </w:rPr>
        <w:t>לדור</w:t>
      </w:r>
      <w:r w:rsidRPr="00557202">
        <w:rPr>
          <w:rtl/>
        </w:rPr>
        <w:t xml:space="preserve"> </w:t>
      </w:r>
      <w:r w:rsidRPr="00557202">
        <w:rPr>
          <w:rFonts w:hint="eastAsia"/>
          <w:rtl/>
        </w:rPr>
        <w:t>בכפיפה</w:t>
      </w:r>
      <w:r w:rsidRPr="00557202">
        <w:rPr>
          <w:rtl/>
        </w:rPr>
        <w:t xml:space="preserve"> </w:t>
      </w:r>
      <w:r w:rsidRPr="00557202">
        <w:rPr>
          <w:rFonts w:hint="eastAsia"/>
          <w:rtl/>
        </w:rPr>
        <w:t>אחת</w:t>
      </w:r>
      <w:r>
        <w:rPr>
          <w:rFonts w:hint="cs"/>
          <w:rtl/>
        </w:rPr>
        <w:t>'</w:t>
      </w:r>
      <w:r w:rsidRPr="00557202">
        <w:rPr>
          <w:rtl/>
        </w:rPr>
        <w:t xml:space="preserve"> (</w:t>
      </w:r>
      <w:r w:rsidRPr="0092354D">
        <w:rPr>
          <w:rFonts w:ascii="Century" w:hAnsi="Century" w:cs="Miriam" w:hint="eastAsia"/>
          <w:b/>
          <w:spacing w:val="0"/>
          <w:szCs w:val="24"/>
          <w:rtl/>
        </w:rPr>
        <w:t>השופט</w:t>
      </w:r>
      <w:r w:rsidRPr="0092354D">
        <w:rPr>
          <w:rFonts w:ascii="Century" w:hAnsi="Century" w:cs="Miriam"/>
          <w:b/>
          <w:spacing w:val="0"/>
          <w:szCs w:val="24"/>
          <w:rtl/>
        </w:rPr>
        <w:t xml:space="preserve"> </w:t>
      </w:r>
      <w:r w:rsidRPr="0092354D">
        <w:rPr>
          <w:rFonts w:ascii="Century" w:hAnsi="Century" w:cs="Miriam" w:hint="eastAsia"/>
          <w:b/>
          <w:spacing w:val="0"/>
          <w:szCs w:val="24"/>
          <w:rtl/>
        </w:rPr>
        <w:t>ח</w:t>
      </w:r>
      <w:r w:rsidRPr="0092354D">
        <w:rPr>
          <w:rFonts w:ascii="Century" w:hAnsi="Century" w:cs="Miriam"/>
          <w:b/>
          <w:spacing w:val="0"/>
          <w:szCs w:val="24"/>
          <w:rtl/>
        </w:rPr>
        <w:t xml:space="preserve">' </w:t>
      </w:r>
      <w:r w:rsidRPr="0092354D">
        <w:rPr>
          <w:rFonts w:ascii="Century" w:hAnsi="Century" w:cs="Miriam" w:hint="eastAsia"/>
          <w:b/>
          <w:spacing w:val="0"/>
          <w:szCs w:val="24"/>
          <w:rtl/>
        </w:rPr>
        <w:t>כהן</w:t>
      </w:r>
      <w:r w:rsidRPr="0092354D">
        <w:rPr>
          <w:rtl/>
        </w:rPr>
        <w:t xml:space="preserve"> </w:t>
      </w:r>
      <w:r w:rsidRPr="00557202">
        <w:rPr>
          <w:rFonts w:hint="eastAsia"/>
          <w:rtl/>
        </w:rPr>
        <w:t>בע</w:t>
      </w:r>
      <w:r w:rsidRPr="00557202">
        <w:rPr>
          <w:rtl/>
        </w:rPr>
        <w:t>"</w:t>
      </w:r>
      <w:r w:rsidRPr="00557202">
        <w:rPr>
          <w:rFonts w:hint="eastAsia"/>
          <w:rtl/>
        </w:rPr>
        <w:t>א</w:t>
      </w:r>
      <w:r w:rsidRPr="00557202">
        <w:rPr>
          <w:rtl/>
        </w:rPr>
        <w:t xml:space="preserve"> 92/78 </w:t>
      </w:r>
      <w:r w:rsidRPr="00D036C4">
        <w:rPr>
          <w:rFonts w:ascii="Century" w:hAnsi="Century" w:cs="Miriam" w:hint="eastAsia"/>
          <w:b/>
          <w:spacing w:val="0"/>
          <w:szCs w:val="24"/>
          <w:rtl/>
        </w:rPr>
        <w:t>שטרית</w:t>
      </w:r>
      <w:r w:rsidRPr="00D036C4">
        <w:rPr>
          <w:rFonts w:ascii="Century" w:hAnsi="Century" w:cs="Miriam"/>
          <w:b/>
          <w:spacing w:val="0"/>
          <w:szCs w:val="24"/>
          <w:rtl/>
        </w:rPr>
        <w:t xml:space="preserve"> </w:t>
      </w:r>
      <w:r w:rsidRPr="00D036C4">
        <w:rPr>
          <w:rFonts w:ascii="Century" w:hAnsi="Century" w:cs="Miriam" w:hint="eastAsia"/>
          <w:b/>
          <w:spacing w:val="0"/>
          <w:szCs w:val="24"/>
          <w:rtl/>
        </w:rPr>
        <w:t>נ</w:t>
      </w:r>
      <w:r w:rsidRPr="00D036C4">
        <w:rPr>
          <w:rFonts w:ascii="Century" w:hAnsi="Century" w:cs="Miriam"/>
          <w:b/>
          <w:spacing w:val="0"/>
          <w:szCs w:val="24"/>
          <w:rtl/>
        </w:rPr>
        <w:t xml:space="preserve">' </w:t>
      </w:r>
      <w:r w:rsidRPr="00D036C4">
        <w:rPr>
          <w:rFonts w:ascii="Century" w:hAnsi="Century" w:cs="Miriam" w:hint="eastAsia"/>
          <w:b/>
          <w:spacing w:val="0"/>
          <w:szCs w:val="24"/>
          <w:rtl/>
        </w:rPr>
        <w:t>קאר</w:t>
      </w:r>
      <w:r w:rsidRPr="00D036C4">
        <w:rPr>
          <w:rFonts w:ascii="Century" w:hAnsi="Century" w:cs="Miriam"/>
          <w:b/>
          <w:spacing w:val="0"/>
          <w:szCs w:val="24"/>
          <w:rtl/>
        </w:rPr>
        <w:t xml:space="preserve"> </w:t>
      </w:r>
      <w:r w:rsidRPr="00D036C4">
        <w:rPr>
          <w:rFonts w:ascii="Century" w:hAnsi="Century" w:cs="Miriam" w:hint="eastAsia"/>
          <w:b/>
          <w:spacing w:val="0"/>
          <w:szCs w:val="24"/>
          <w:rtl/>
        </w:rPr>
        <w:t>טורס</w:t>
      </w:r>
      <w:r w:rsidRPr="00D036C4">
        <w:rPr>
          <w:rFonts w:ascii="Century" w:hAnsi="Century" w:cs="Miriam"/>
          <w:b/>
          <w:spacing w:val="0"/>
          <w:szCs w:val="24"/>
          <w:rtl/>
        </w:rPr>
        <w:t xml:space="preserve"> (</w:t>
      </w:r>
      <w:r w:rsidRPr="00D036C4">
        <w:rPr>
          <w:rFonts w:ascii="Century" w:hAnsi="Century" w:cs="Miriam" w:hint="eastAsia"/>
          <w:b/>
          <w:spacing w:val="0"/>
          <w:szCs w:val="24"/>
          <w:rtl/>
        </w:rPr>
        <w:t>ישראל</w:t>
      </w:r>
      <w:r w:rsidRPr="00D036C4">
        <w:rPr>
          <w:rFonts w:ascii="Century" w:hAnsi="Century" w:cs="Miriam"/>
          <w:b/>
          <w:spacing w:val="0"/>
          <w:szCs w:val="24"/>
          <w:rtl/>
        </w:rPr>
        <w:t xml:space="preserve">) </w:t>
      </w:r>
      <w:r w:rsidRPr="00D036C4">
        <w:rPr>
          <w:rFonts w:ascii="Century" w:hAnsi="Century" w:cs="Miriam" w:hint="eastAsia"/>
          <w:b/>
          <w:spacing w:val="0"/>
          <w:szCs w:val="24"/>
          <w:rtl/>
        </w:rPr>
        <w:t>בע</w:t>
      </w:r>
      <w:r w:rsidRPr="00D036C4">
        <w:rPr>
          <w:rFonts w:ascii="Century" w:hAnsi="Century" w:cs="Miriam"/>
          <w:b/>
          <w:spacing w:val="0"/>
          <w:szCs w:val="24"/>
          <w:rtl/>
        </w:rPr>
        <w:t>"</w:t>
      </w:r>
      <w:r w:rsidRPr="00D036C4">
        <w:rPr>
          <w:rFonts w:ascii="Century" w:hAnsi="Century" w:cs="Miriam" w:hint="eastAsia"/>
          <w:b/>
          <w:spacing w:val="0"/>
          <w:szCs w:val="24"/>
          <w:rtl/>
        </w:rPr>
        <w:t>מ</w:t>
      </w:r>
      <w:r w:rsidRPr="00D036C4">
        <w:rPr>
          <w:rFonts w:ascii="Century" w:hAnsi="Century" w:cs="Miriam"/>
          <w:b/>
          <w:spacing w:val="0"/>
          <w:szCs w:val="24"/>
          <w:rtl/>
        </w:rPr>
        <w:t xml:space="preserve">, </w:t>
      </w:r>
      <w:r w:rsidRPr="00D036C4">
        <w:rPr>
          <w:rFonts w:ascii="Century" w:hAnsi="Century" w:cs="Miriam" w:hint="eastAsia"/>
          <w:b/>
          <w:spacing w:val="0"/>
          <w:szCs w:val="24"/>
          <w:rtl/>
        </w:rPr>
        <w:t>חברה</w:t>
      </w:r>
      <w:r w:rsidRPr="00D036C4">
        <w:rPr>
          <w:rFonts w:ascii="Century" w:hAnsi="Century" w:cs="Miriam"/>
          <w:b/>
          <w:spacing w:val="0"/>
          <w:szCs w:val="24"/>
          <w:rtl/>
        </w:rPr>
        <w:t xml:space="preserve"> </w:t>
      </w:r>
      <w:r w:rsidRPr="00D036C4">
        <w:rPr>
          <w:rFonts w:ascii="Century" w:hAnsi="Century" w:cs="Miriam" w:hint="eastAsia"/>
          <w:b/>
          <w:spacing w:val="0"/>
          <w:szCs w:val="24"/>
          <w:rtl/>
        </w:rPr>
        <w:t>להשכרת</w:t>
      </w:r>
      <w:r w:rsidRPr="00D036C4">
        <w:rPr>
          <w:rFonts w:ascii="Century" w:hAnsi="Century" w:cs="Miriam"/>
          <w:b/>
          <w:spacing w:val="0"/>
          <w:szCs w:val="24"/>
          <w:rtl/>
        </w:rPr>
        <w:t xml:space="preserve"> </w:t>
      </w:r>
      <w:r w:rsidRPr="00D036C4">
        <w:rPr>
          <w:rFonts w:ascii="Century" w:hAnsi="Century" w:cs="Miriam" w:hint="eastAsia"/>
          <w:b/>
          <w:spacing w:val="0"/>
          <w:szCs w:val="24"/>
          <w:rtl/>
        </w:rPr>
        <w:t>רכב</w:t>
      </w:r>
      <w:r>
        <w:rPr>
          <w:rFonts w:hint="cs"/>
          <w:rtl/>
        </w:rPr>
        <w:t>,</w:t>
      </w:r>
      <w:r w:rsidRPr="00557202">
        <w:rPr>
          <w:rtl/>
        </w:rPr>
        <w:t xml:space="preserve"> </w:t>
      </w:r>
      <w:r w:rsidRPr="00557202">
        <w:rPr>
          <w:rFonts w:hint="eastAsia"/>
          <w:rtl/>
        </w:rPr>
        <w:t>בעמ</w:t>
      </w:r>
      <w:r w:rsidRPr="00557202">
        <w:rPr>
          <w:rtl/>
        </w:rPr>
        <w:t>' 333)</w:t>
      </w:r>
      <w:r>
        <w:rPr>
          <w:rFonts w:hint="cs"/>
          <w:rtl/>
        </w:rPr>
        <w:t xml:space="preserve">" (עניין </w:t>
      </w:r>
      <w:r>
        <w:rPr>
          <w:rFonts w:ascii="Century" w:hAnsi="Century" w:cs="Miriam" w:hint="cs"/>
          <w:b/>
          <w:spacing w:val="0"/>
          <w:szCs w:val="24"/>
          <w:rtl/>
        </w:rPr>
        <w:t>סונדרס</w:t>
      </w:r>
      <w:r>
        <w:rPr>
          <w:rFonts w:hint="cs"/>
          <w:rtl/>
        </w:rPr>
        <w:t>, בעמ' 852)</w:t>
      </w:r>
      <w:r w:rsidRPr="00557202">
        <w:rPr>
          <w:rtl/>
        </w:rPr>
        <w:t>.</w:t>
      </w:r>
    </w:p>
    <w:p w:rsidR="004C7127" w:rsidRDefault="004C7127" w:rsidP="004C7127">
      <w:pPr>
        <w:pStyle w:val="Ruller4"/>
        <w:numPr>
          <w:ilvl w:val="0"/>
          <w:numId w:val="0"/>
        </w:numPr>
        <w:rPr>
          <w:rtl/>
        </w:rPr>
      </w:pPr>
    </w:p>
    <w:p w:rsidR="004C7127" w:rsidRPr="00A20667" w:rsidRDefault="004C7127" w:rsidP="004C7127">
      <w:pPr>
        <w:pStyle w:val="Ruller4"/>
        <w:numPr>
          <w:ilvl w:val="0"/>
          <w:numId w:val="0"/>
        </w:numPr>
        <w:rPr>
          <w:rFonts w:ascii="Century" w:hAnsi="Century"/>
          <w:sz w:val="22"/>
          <w:rtl/>
        </w:rPr>
      </w:pPr>
      <w:r>
        <w:rPr>
          <w:rtl/>
        </w:rPr>
        <w:tab/>
      </w:r>
      <w:r>
        <w:rPr>
          <w:rFonts w:hint="cs"/>
          <w:rtl/>
        </w:rPr>
        <w:t xml:space="preserve">דברים דומים ניתן למצוא גם ביחס לתקנות שוק אחרות (וראו לגבי תום הלב הנדרש לפי סעיף 34 לחוק המכר: </w:t>
      </w:r>
      <w:r>
        <w:rPr>
          <w:rFonts w:ascii="Century" w:hAnsi="Century" w:hint="cs"/>
          <w:sz w:val="22"/>
          <w:rtl/>
        </w:rPr>
        <w:t xml:space="preserve">ע"א 716/72 </w:t>
      </w:r>
      <w:r>
        <w:rPr>
          <w:rFonts w:ascii="Century" w:hAnsi="Century" w:cs="Miriam" w:hint="cs"/>
          <w:b/>
          <w:spacing w:val="0"/>
          <w:sz w:val="22"/>
          <w:szCs w:val="24"/>
          <w:rtl/>
        </w:rPr>
        <w:t>רוזנשטרייך נ' חברה א"י לאוטומובילים בע"מ</w:t>
      </w:r>
      <w:r>
        <w:rPr>
          <w:rFonts w:ascii="Century" w:hAnsi="Century" w:hint="cs"/>
          <w:sz w:val="22"/>
          <w:rtl/>
        </w:rPr>
        <w:t>, פ"ד כז(2) 709, 713 (1973)</w:t>
      </w:r>
      <w:r>
        <w:rPr>
          <w:rFonts w:hint="cs"/>
          <w:rtl/>
        </w:rPr>
        <w:t xml:space="preserve"> (להלן: עניין </w:t>
      </w:r>
      <w:r w:rsidRPr="00930B5F">
        <w:rPr>
          <w:rFonts w:ascii="Century" w:hAnsi="Century" w:cs="Miriam" w:hint="cs"/>
          <w:b/>
          <w:spacing w:val="0"/>
          <w:sz w:val="22"/>
          <w:szCs w:val="24"/>
          <w:rtl/>
        </w:rPr>
        <w:t>רוזנשטרייך</w:t>
      </w:r>
      <w:r>
        <w:rPr>
          <w:rFonts w:hint="cs"/>
          <w:rtl/>
        </w:rPr>
        <w:t xml:space="preserve">); ראו באופן כללי אצל דויטש, כרך ג, בעמ' 219; והשוו למשל לאמור </w:t>
      </w:r>
      <w:r w:rsidRPr="00617393">
        <w:rPr>
          <w:rFonts w:hint="cs"/>
          <w:rtl/>
        </w:rPr>
        <w:t xml:space="preserve">בע"א 7916/13 </w:t>
      </w:r>
      <w:r w:rsidRPr="00617393">
        <w:rPr>
          <w:rFonts w:ascii="Century" w:hAnsi="Century" w:cs="Miriam" w:hint="cs"/>
          <w:b/>
          <w:spacing w:val="0"/>
          <w:sz w:val="22"/>
          <w:szCs w:val="24"/>
          <w:rtl/>
        </w:rPr>
        <w:t>ג'אביט נ' רוזן רכב</w:t>
      </w:r>
      <w:r w:rsidRPr="00617393">
        <w:rPr>
          <w:rFonts w:ascii="Century" w:hAnsi="Century" w:hint="cs"/>
          <w:sz w:val="22"/>
          <w:rtl/>
        </w:rPr>
        <w:t>, פסקה 6 (18.6.2014)</w:t>
      </w:r>
      <w:r>
        <w:rPr>
          <w:rFonts w:hint="cs"/>
          <w:rtl/>
        </w:rPr>
        <w:t>, ביחס לתקנת השוק שקבועה ב</w:t>
      </w:r>
      <w:r w:rsidRPr="00CA0986">
        <w:rPr>
          <w:rFonts w:hint="eastAsia"/>
          <w:rtl/>
        </w:rPr>
        <w:t>סעיף</w:t>
      </w:r>
      <w:r w:rsidRPr="00CA0986">
        <w:rPr>
          <w:rtl/>
        </w:rPr>
        <w:t xml:space="preserve"> 5 </w:t>
      </w:r>
      <w:r w:rsidRPr="00CA0986">
        <w:rPr>
          <w:rFonts w:hint="eastAsia"/>
          <w:rtl/>
        </w:rPr>
        <w:t>לחוק</w:t>
      </w:r>
      <w:r w:rsidRPr="00CA0986">
        <w:rPr>
          <w:rtl/>
        </w:rPr>
        <w:t xml:space="preserve"> </w:t>
      </w:r>
      <w:r w:rsidRPr="00CA0986">
        <w:rPr>
          <w:rFonts w:hint="eastAsia"/>
          <w:rtl/>
        </w:rPr>
        <w:t>המשכון</w:t>
      </w:r>
      <w:r w:rsidRPr="00CA0986">
        <w:rPr>
          <w:rtl/>
        </w:rPr>
        <w:t xml:space="preserve">, </w:t>
      </w:r>
      <w:r w:rsidRPr="00CA0986">
        <w:rPr>
          <w:rFonts w:hint="eastAsia"/>
          <w:rtl/>
        </w:rPr>
        <w:t>התשכ</w:t>
      </w:r>
      <w:r w:rsidRPr="00CA0986">
        <w:rPr>
          <w:rtl/>
        </w:rPr>
        <w:t>"</w:t>
      </w:r>
      <w:r w:rsidRPr="00CA0986">
        <w:rPr>
          <w:rFonts w:hint="eastAsia"/>
          <w:rtl/>
        </w:rPr>
        <w:t>ז</w:t>
      </w:r>
      <w:r w:rsidRPr="00CA0986">
        <w:rPr>
          <w:rtl/>
        </w:rPr>
        <w:t>-</w:t>
      </w:r>
      <w:r>
        <w:rPr>
          <w:rFonts w:hint="cs"/>
          <w:rtl/>
        </w:rPr>
        <w:t xml:space="preserve">1967). ניתן לומר כי ככלל אמת המידה הסובייקטיבית ביחס לרוכש הזכות משמיעה לו דרישה שיפעל ביושר ובאמונה, ובכלל זאת שלא יעצום עיניו מלראות עובדות גלויות ש"עשויות להעמידו על המשמר" (ע"א 842/79 </w:t>
      </w:r>
      <w:r>
        <w:rPr>
          <w:rFonts w:ascii="Century" w:hAnsi="Century" w:cs="Miriam" w:hint="cs"/>
          <w:b/>
          <w:spacing w:val="0"/>
          <w:sz w:val="22"/>
          <w:szCs w:val="24"/>
          <w:rtl/>
        </w:rPr>
        <w:t>נס נ' גולדה</w:t>
      </w:r>
      <w:r>
        <w:rPr>
          <w:rFonts w:hint="cs"/>
          <w:rtl/>
        </w:rPr>
        <w:t xml:space="preserve">, פ"ד לו(1) 204, 212 (1981)). רעיונית, מדובר אפוא במצב ביניים: בין ידיעה בפועל לבין אי ידיעה רשלנית; כלומר כשאדם עצם את עיניו מלראות או אטם את אוזניו מלשמוע, נראה בו כמי שיודע את אשר חפץ </w:t>
      </w:r>
      <w:r>
        <w:rPr>
          <w:rFonts w:hint="cs"/>
          <w:rtl/>
        </w:rPr>
        <w:lastRenderedPageBreak/>
        <w:t xml:space="preserve">לא לגלות (השוו: ע"א 7785/99 </w:t>
      </w:r>
      <w:r>
        <w:rPr>
          <w:rFonts w:ascii="Century" w:hAnsi="Century" w:cs="Miriam" w:hint="cs"/>
          <w:b/>
          <w:spacing w:val="0"/>
          <w:sz w:val="22"/>
          <w:szCs w:val="24"/>
          <w:rtl/>
        </w:rPr>
        <w:t>ארוך נ' פאריינטי</w:t>
      </w:r>
      <w:r>
        <w:rPr>
          <w:rFonts w:ascii="Century" w:hAnsi="Century" w:hint="cs"/>
          <w:sz w:val="22"/>
          <w:rtl/>
        </w:rPr>
        <w:t>, פ"ד נה(3) 85, 94 (2001)</w:t>
      </w:r>
      <w:r>
        <w:rPr>
          <w:rFonts w:hint="cs"/>
          <w:rtl/>
        </w:rPr>
        <w:t xml:space="preserve">). נראה אפוא כי דרישת הבסיס לתום הלב הסובייקטיבי היא שהזכאי המאוחר לא יעצום את עיניו מלראות את האזהרות בדבר קיומו של בעלים שקדם לו בזמן, מאחר שבמצב דברים מעין זה קשה עד מאוד להצדיק את העדפתו על פני בעל הזכות. </w:t>
      </w:r>
    </w:p>
    <w:p w:rsidR="004C7127" w:rsidRDefault="004C7127" w:rsidP="004C7127">
      <w:pPr>
        <w:pStyle w:val="Ruller41"/>
        <w:rPr>
          <w:rtl/>
        </w:rPr>
      </w:pPr>
    </w:p>
    <w:p w:rsidR="004C7127" w:rsidRPr="00E33BE0" w:rsidRDefault="004C7127" w:rsidP="004C7127">
      <w:pPr>
        <w:pStyle w:val="Ruller4"/>
      </w:pPr>
      <w:r>
        <w:rPr>
          <w:rtl/>
        </w:rPr>
        <w:tab/>
      </w:r>
      <w:r>
        <w:rPr>
          <w:rFonts w:hint="cs"/>
          <w:rtl/>
        </w:rPr>
        <w:t xml:space="preserve">בהקשר זה, כפי שצוין לא אחת </w:t>
      </w:r>
      <w:r>
        <w:rPr>
          <w:rtl/>
        </w:rPr>
        <w:t>–</w:t>
      </w:r>
      <w:r>
        <w:rPr>
          <w:rFonts w:hint="cs"/>
          <w:rtl/>
        </w:rPr>
        <w:t xml:space="preserve"> שאלת חשדו ועצימת עיניו של פלוני, עשויה להיות מוכרעת בסופו של דבר על בסיס נתונים אובייקטיביים. נתונים אלה מתוארים לא אחת בפסיקה במונחים ציוריים דוגמת "פעמוני אזהרה" ו-"נורות אדומות", ועניינם בפרטים שנודעו לפלוני אגב העסקה והעדר בדיקה ראויה שלהם תשלול ממנו את הגנת תום הלב (עניין </w:t>
      </w:r>
      <w:r w:rsidRPr="009761D6">
        <w:rPr>
          <w:rFonts w:ascii="Century" w:hAnsi="Century" w:cs="Miriam" w:hint="cs"/>
          <w:b/>
          <w:spacing w:val="0"/>
          <w:sz w:val="22"/>
          <w:szCs w:val="24"/>
          <w:rtl/>
        </w:rPr>
        <w:t>עקל</w:t>
      </w:r>
      <w:r>
        <w:rPr>
          <w:rFonts w:ascii="Century" w:hAnsi="Century" w:hint="cs"/>
          <w:sz w:val="22"/>
          <w:rtl/>
        </w:rPr>
        <w:t xml:space="preserve">, פסקה 16 לפסק דינו של השופט </w:t>
      </w:r>
      <w:r>
        <w:rPr>
          <w:rFonts w:ascii="Century" w:hAnsi="Century" w:cs="Miriam" w:hint="cs"/>
          <w:b/>
          <w:spacing w:val="0"/>
          <w:sz w:val="22"/>
          <w:szCs w:val="24"/>
          <w:rtl/>
        </w:rPr>
        <w:t>ע' גרוסקופף</w:t>
      </w:r>
      <w:r>
        <w:rPr>
          <w:rFonts w:ascii="Century" w:hAnsi="Century" w:hint="cs"/>
          <w:sz w:val="22"/>
          <w:rtl/>
        </w:rPr>
        <w:t xml:space="preserve">; </w:t>
      </w:r>
      <w:r w:rsidRPr="00B907A1">
        <w:rPr>
          <w:rFonts w:ascii="Century" w:hAnsi="Century" w:hint="eastAsia"/>
          <w:sz w:val="22"/>
          <w:rtl/>
        </w:rPr>
        <w:t>עניין</w:t>
      </w:r>
      <w:r w:rsidRPr="009761D6">
        <w:rPr>
          <w:rFonts w:hint="cs"/>
          <w:rtl/>
        </w:rPr>
        <w:t xml:space="preserve"> </w:t>
      </w:r>
      <w:r>
        <w:rPr>
          <w:rFonts w:ascii="Century" w:hAnsi="Century" w:cs="Miriam" w:hint="cs"/>
          <w:b/>
          <w:spacing w:val="0"/>
          <w:sz w:val="22"/>
          <w:szCs w:val="24"/>
          <w:rtl/>
        </w:rPr>
        <w:t>מורדכיוב</w:t>
      </w:r>
      <w:r>
        <w:rPr>
          <w:rFonts w:hint="cs"/>
          <w:rtl/>
        </w:rPr>
        <w:t xml:space="preserve">, פסקה מא; עניין </w:t>
      </w:r>
      <w:r>
        <w:rPr>
          <w:rFonts w:ascii="Century" w:hAnsi="Century" w:cs="Miriam" w:hint="cs"/>
          <w:b/>
          <w:spacing w:val="0"/>
          <w:szCs w:val="24"/>
          <w:rtl/>
        </w:rPr>
        <w:t>סונדרס</w:t>
      </w:r>
      <w:r>
        <w:rPr>
          <w:rFonts w:ascii="Century" w:hAnsi="Century" w:hint="cs"/>
          <w:rtl/>
        </w:rPr>
        <w:t>, בעמ' 840</w:t>
      </w:r>
      <w:r>
        <w:rPr>
          <w:rFonts w:hint="cs"/>
          <w:rtl/>
        </w:rPr>
        <w:t xml:space="preserve">). יש לשוב ולהדגיש </w:t>
      </w:r>
      <w:r>
        <w:rPr>
          <w:rtl/>
        </w:rPr>
        <w:t>–</w:t>
      </w:r>
      <w:r>
        <w:rPr>
          <w:rFonts w:hint="cs"/>
          <w:rtl/>
        </w:rPr>
        <w:t xml:space="preserve"> אין מדובר בחוכמה שבדיעבד או בדרישת "חכמת שלמה" </w:t>
      </w:r>
      <w:r>
        <w:rPr>
          <w:rtl/>
        </w:rPr>
        <w:t>–</w:t>
      </w:r>
      <w:r>
        <w:rPr>
          <w:rFonts w:hint="cs"/>
          <w:rtl/>
        </w:rPr>
        <w:t xml:space="preserve"> אלא בהתקיימות נסיבות שבהן יתעורר חשד בראשו של אדם מן היישוב. וכפי שנקבע בעניין </w:t>
      </w:r>
      <w:r>
        <w:rPr>
          <w:rFonts w:ascii="Century" w:hAnsi="Century" w:cs="Miriam" w:hint="cs"/>
          <w:b/>
          <w:spacing w:val="0"/>
          <w:szCs w:val="24"/>
          <w:rtl/>
        </w:rPr>
        <w:t>סונדרס</w:t>
      </w:r>
      <w:r>
        <w:rPr>
          <w:rFonts w:hint="cs"/>
          <w:rtl/>
        </w:rPr>
        <w:t xml:space="preserve"> ובעניין </w:t>
      </w:r>
      <w:r w:rsidRPr="009F3765">
        <w:rPr>
          <w:rFonts w:ascii="Century" w:hAnsi="Century" w:cs="Miriam" w:hint="cs"/>
          <w:b/>
          <w:spacing w:val="0"/>
          <w:szCs w:val="24"/>
          <w:rtl/>
        </w:rPr>
        <w:t>מורדכיוב</w:t>
      </w:r>
      <w:r w:rsidRPr="009F3765">
        <w:rPr>
          <w:rFonts w:hint="cs"/>
          <w:rtl/>
        </w:rPr>
        <w:t xml:space="preserve"> </w:t>
      </w:r>
      <w:r>
        <w:rPr>
          <w:rFonts w:hint="cs"/>
          <w:rtl/>
        </w:rPr>
        <w:t xml:space="preserve">שאוזכרו לעיל, כעוצמת צלצולי פעמון האזהרה </w:t>
      </w:r>
      <w:r>
        <w:rPr>
          <w:rtl/>
        </w:rPr>
        <w:t>–</w:t>
      </w:r>
      <w:r>
        <w:rPr>
          <w:rFonts w:hint="cs"/>
          <w:rtl/>
        </w:rPr>
        <w:t xml:space="preserve"> כן עוצמת הבדיקה הנדרשת (כן ראו עניין </w:t>
      </w:r>
      <w:r>
        <w:rPr>
          <w:rFonts w:ascii="Century" w:hAnsi="Century" w:cs="Miriam" w:hint="cs"/>
          <w:b/>
          <w:spacing w:val="0"/>
          <w:sz w:val="22"/>
          <w:szCs w:val="24"/>
          <w:rtl/>
        </w:rPr>
        <w:t>אלג'אבר</w:t>
      </w:r>
      <w:r>
        <w:rPr>
          <w:rFonts w:ascii="Century" w:hAnsi="Century" w:hint="cs"/>
          <w:sz w:val="22"/>
          <w:rtl/>
        </w:rPr>
        <w:t>, פסקה 15</w:t>
      </w:r>
      <w:r>
        <w:rPr>
          <w:rFonts w:hint="cs"/>
          <w:rtl/>
        </w:rPr>
        <w:t xml:space="preserve">). מדובר אפוא בסטנדרט סובייקטיבי עם שוליים אובייקטיביים (ראו והשוו לאמור בפסק דינו של השופט </w:t>
      </w:r>
      <w:r>
        <w:rPr>
          <w:rFonts w:ascii="Century" w:hAnsi="Century" w:cs="Miriam" w:hint="cs"/>
          <w:b/>
          <w:spacing w:val="0"/>
          <w:sz w:val="22"/>
          <w:szCs w:val="24"/>
          <w:rtl/>
        </w:rPr>
        <w:t xml:space="preserve">ע' גרוסקופף </w:t>
      </w:r>
      <w:r>
        <w:rPr>
          <w:rFonts w:ascii="Century" w:hAnsi="Century" w:hint="cs"/>
          <w:sz w:val="22"/>
          <w:rtl/>
        </w:rPr>
        <w:t xml:space="preserve">בעניין </w:t>
      </w:r>
      <w:r w:rsidRPr="00CE615C">
        <w:rPr>
          <w:rFonts w:ascii="Century" w:hAnsi="Century" w:cs="Miriam" w:hint="cs"/>
          <w:b/>
          <w:spacing w:val="0"/>
          <w:sz w:val="22"/>
          <w:szCs w:val="24"/>
          <w:rtl/>
        </w:rPr>
        <w:t>עקל</w:t>
      </w:r>
      <w:r>
        <w:rPr>
          <w:rFonts w:ascii="Century" w:hAnsi="Century" w:hint="cs"/>
          <w:sz w:val="22"/>
          <w:rtl/>
        </w:rPr>
        <w:t xml:space="preserve">, פסקאות 19-14; </w:t>
      </w:r>
      <w:r w:rsidRPr="007026DF">
        <w:rPr>
          <w:rFonts w:ascii="Century" w:hAnsi="Century" w:hint="cs"/>
          <w:sz w:val="22"/>
          <w:rtl/>
        </w:rPr>
        <w:t>ראו</w:t>
      </w:r>
      <w:r w:rsidRPr="00CE615C">
        <w:rPr>
          <w:rFonts w:hint="cs"/>
          <w:rtl/>
        </w:rPr>
        <w:t xml:space="preserve"> </w:t>
      </w:r>
      <w:r>
        <w:rPr>
          <w:rFonts w:hint="cs"/>
          <w:rtl/>
        </w:rPr>
        <w:t xml:space="preserve">גם בפסק הדין נושא הדיון הנוסף, פסקה 13 לפסק דינו של השופט (כתוארו אז) </w:t>
      </w:r>
      <w:r>
        <w:rPr>
          <w:rFonts w:ascii="Century" w:hAnsi="Century" w:cs="Miriam" w:hint="cs"/>
          <w:b/>
          <w:spacing w:val="0"/>
          <w:sz w:val="22"/>
          <w:szCs w:val="24"/>
          <w:rtl/>
        </w:rPr>
        <w:t>נ' הנדל</w:t>
      </w:r>
      <w:r>
        <w:rPr>
          <w:rFonts w:hint="cs"/>
          <w:rtl/>
        </w:rPr>
        <w:t xml:space="preserve">). </w:t>
      </w:r>
    </w:p>
    <w:p w:rsidR="004C7127" w:rsidRDefault="004C7127" w:rsidP="004C7127">
      <w:pPr>
        <w:pStyle w:val="Ruller4"/>
        <w:numPr>
          <w:ilvl w:val="0"/>
          <w:numId w:val="0"/>
        </w:numPr>
      </w:pPr>
    </w:p>
    <w:p w:rsidR="004C7127" w:rsidRDefault="004C7127" w:rsidP="004C7127">
      <w:pPr>
        <w:pStyle w:val="Ruller4"/>
      </w:pPr>
      <w:r>
        <w:rPr>
          <w:rFonts w:hint="cs"/>
          <w:rtl/>
        </w:rPr>
        <w:t xml:space="preserve">שאלה נוספת נוגעת לנקודה בזמן שבה יש לבחון את התקיימות תנאי סעיף 5, ובכלל זאת את תום הלב של הצדדים. אף בסוגיה זו לא הרחיבו הצדדים לפנינו, אך נראה כי סוגיה זו לא מחייבת הכרעה, שכן כפי שאראה בהמשך דבריי, במרבית נקודות הזמן שבהן ניתן היה לבחון את תום לבם של הצדדים בענייננו, לא ניתן לומר שהם עמדו בדרישת תום הלב. </w:t>
      </w:r>
    </w:p>
    <w:p w:rsidR="004C7127" w:rsidRDefault="004C7127" w:rsidP="004C7127">
      <w:pPr>
        <w:pStyle w:val="Ruller41"/>
        <w:rPr>
          <w:rtl/>
        </w:rPr>
      </w:pPr>
    </w:p>
    <w:p w:rsidR="004C7127" w:rsidRPr="00CF27D2" w:rsidRDefault="004C7127" w:rsidP="004C7127">
      <w:pPr>
        <w:pStyle w:val="2"/>
        <w:spacing w:before="0"/>
        <w:rPr>
          <w:rFonts w:ascii="Century" w:hAnsi="Century" w:cs="Miriam"/>
          <w:b/>
          <w:color w:val="auto"/>
          <w:spacing w:val="0"/>
          <w:sz w:val="22"/>
          <w:szCs w:val="24"/>
          <w:rtl/>
        </w:rPr>
      </w:pPr>
      <w:r w:rsidRPr="00CF27D2">
        <w:rPr>
          <w:rFonts w:ascii="Century" w:hAnsi="Century" w:cs="Miriam" w:hint="cs"/>
          <w:b/>
          <w:color w:val="auto"/>
          <w:spacing w:val="0"/>
          <w:sz w:val="22"/>
          <w:szCs w:val="24"/>
          <w:rtl/>
        </w:rPr>
        <w:t xml:space="preserve">(א) </w:t>
      </w:r>
      <w:r w:rsidRPr="00CF27D2">
        <w:rPr>
          <w:rFonts w:ascii="Century" w:hAnsi="Century" w:cs="Miriam"/>
          <w:b/>
          <w:color w:val="auto"/>
          <w:spacing w:val="0"/>
          <w:sz w:val="22"/>
          <w:szCs w:val="24"/>
          <w:rtl/>
        </w:rPr>
        <w:tab/>
      </w:r>
      <w:r w:rsidRPr="00CF27D2">
        <w:rPr>
          <w:rFonts w:ascii="Century" w:hAnsi="Century" w:cs="Miriam" w:hint="cs"/>
          <w:b/>
          <w:color w:val="auto"/>
          <w:spacing w:val="0"/>
          <w:sz w:val="22"/>
          <w:szCs w:val="24"/>
          <w:rtl/>
        </w:rPr>
        <w:t>תום הלב של הממונה</w:t>
      </w:r>
    </w:p>
    <w:p w:rsidR="004C7127" w:rsidRDefault="004C7127" w:rsidP="004C7127">
      <w:pPr>
        <w:pStyle w:val="Ruller41"/>
        <w:rPr>
          <w:rtl/>
        </w:rPr>
      </w:pPr>
    </w:p>
    <w:p w:rsidR="004C7127" w:rsidRDefault="004C7127" w:rsidP="004C7127">
      <w:pPr>
        <w:pStyle w:val="Ruller4"/>
        <w:rPr>
          <w:rtl/>
        </w:rPr>
      </w:pPr>
      <w:r>
        <w:rPr>
          <w:rFonts w:hint="cs"/>
          <w:rtl/>
        </w:rPr>
        <w:t xml:space="preserve">בחינת תום לבו </w:t>
      </w:r>
      <w:r w:rsidRPr="00D3249B">
        <w:rPr>
          <w:rFonts w:hint="cs"/>
          <w:rtl/>
        </w:rPr>
        <w:t>של הממונה היא למעשה בחינת תום לבו של הממונה על הרכוש הממשלתי כמוסד.</w:t>
      </w:r>
      <w:r>
        <w:rPr>
          <w:rFonts w:hint="cs"/>
          <w:rtl/>
        </w:rPr>
        <w:t xml:space="preserve"> כפי שצו</w:t>
      </w:r>
      <w:r w:rsidRPr="00D3249B">
        <w:rPr>
          <w:rFonts w:hint="cs"/>
          <w:rtl/>
        </w:rPr>
        <w:t xml:space="preserve">ין </w:t>
      </w:r>
      <w:r>
        <w:rPr>
          <w:rFonts w:hint="cs"/>
          <w:rtl/>
        </w:rPr>
        <w:t xml:space="preserve">בכל הנוגע לבחינת תום לבו של האפוטרופוס לנכסי נפקדים, עלינו </w:t>
      </w:r>
      <w:r w:rsidRPr="00D3249B">
        <w:rPr>
          <w:rFonts w:hint="cs"/>
          <w:rtl/>
        </w:rPr>
        <w:t xml:space="preserve">לעמוד "על מכלול הפעולות שנעשות במשרדו </w:t>
      </w:r>
      <w:r w:rsidRPr="00D3249B">
        <w:rPr>
          <w:rtl/>
        </w:rPr>
        <w:t>–</w:t>
      </w:r>
      <w:r w:rsidRPr="00D3249B">
        <w:rPr>
          <w:rFonts w:hint="cs"/>
          <w:rtl/>
        </w:rPr>
        <w:t xml:space="preserve"> כבעל הסמכות החוקית </w:t>
      </w:r>
      <w:r w:rsidRPr="00D3249B">
        <w:rPr>
          <w:rtl/>
        </w:rPr>
        <w:t>–</w:t>
      </w:r>
      <w:r w:rsidRPr="00D3249B">
        <w:rPr>
          <w:rFonts w:hint="cs"/>
          <w:rtl/>
        </w:rPr>
        <w:t xml:space="preserve"> ואין כל הצדקה שלא להביט אל מעבר ל'מסך</w:t>
      </w:r>
      <w:r>
        <w:rPr>
          <w:rFonts w:hint="cs"/>
          <w:rtl/>
        </w:rPr>
        <w:t xml:space="preserve"> הסמכות' ולהסתפק בבחינת תום-לבו של האדם שביצע את הפעולה המסוימת בנכס. הפרדה בין הנפשות הפועלות במשרד האפוטרופוס והתבוננות מ</w:t>
      </w:r>
      <w:r>
        <w:rPr>
          <w:rFonts w:ascii="FrankRuehl" w:hAnsi="FrankRuehl"/>
          <w:rtl/>
        </w:rPr>
        <w:t>ַ</w:t>
      </w:r>
      <w:r>
        <w:rPr>
          <w:rFonts w:hint="cs"/>
          <w:rtl/>
        </w:rPr>
        <w:t xml:space="preserve">פרדת כאמור הן מלאכותיות, באשר אחריותו של האפוטרופוס </w:t>
      </w:r>
      <w:r>
        <w:rPr>
          <w:rtl/>
        </w:rPr>
        <w:t>–</w:t>
      </w:r>
      <w:r>
        <w:rPr>
          <w:rFonts w:hint="cs"/>
          <w:rtl/>
        </w:rPr>
        <w:t xml:space="preserve"> כבעל הסמכות החוקית </w:t>
      </w:r>
      <w:r>
        <w:rPr>
          <w:rtl/>
        </w:rPr>
        <w:t>–</w:t>
      </w:r>
      <w:r>
        <w:rPr>
          <w:rFonts w:hint="cs"/>
          <w:rtl/>
        </w:rPr>
        <w:t xml:space="preserve"> משתרעת על פעולותיהם של הפועלים מטעמו" (</w:t>
      </w:r>
      <w:r w:rsidRPr="00D3249B">
        <w:rPr>
          <w:rFonts w:ascii="Century" w:hAnsi="Century" w:hint="cs"/>
          <w:sz w:val="22"/>
          <w:rtl/>
        </w:rPr>
        <w:t xml:space="preserve">ע"א </w:t>
      </w:r>
      <w:r w:rsidRPr="00D3249B">
        <w:rPr>
          <w:rFonts w:ascii="Century" w:hAnsi="Century" w:hint="cs"/>
          <w:sz w:val="22"/>
          <w:rtl/>
        </w:rPr>
        <w:lastRenderedPageBreak/>
        <w:t xml:space="preserve">5685/94 </w:t>
      </w:r>
      <w:r w:rsidRPr="00D3249B">
        <w:rPr>
          <w:rFonts w:ascii="Century" w:hAnsi="Century" w:cs="Miriam" w:hint="cs"/>
          <w:b/>
          <w:spacing w:val="0"/>
          <w:sz w:val="22"/>
          <w:szCs w:val="24"/>
          <w:rtl/>
        </w:rPr>
        <w:t>עמותת א.ל.ע.ד. אל עיר דוד נ' עיזבון אלעבסי</w:t>
      </w:r>
      <w:r w:rsidRPr="00D3249B">
        <w:rPr>
          <w:rFonts w:ascii="Century" w:hAnsi="Century" w:hint="cs"/>
          <w:sz w:val="22"/>
          <w:rtl/>
        </w:rPr>
        <w:t>, פ"ד נג(4) 730, 745 (1999)</w:t>
      </w:r>
      <w:r>
        <w:rPr>
          <w:rFonts w:hint="cs"/>
          <w:rtl/>
        </w:rPr>
        <w:t xml:space="preserve"> ). בפסק הדין נושא הדיון הנוסף נפסק פה אחד כי תום הלב הנדרש מהממונה הוא תום לב סובייקטיבי, אך הובעו דעות שונות לעניין האפיון המדויק של תום לב זה. אף אני בדעה כי יש לבחון את תום לבו של הממונה באופן סובייקטיבי, אך לפני כך, אבקש להתייחס גם לגישה שסבורה שיש לבחון את תום לבו באופן אובייקטיבי (גישה שבה צידדו המשיבים 3-1). הגם שלא מצאתי להכריע שאלה הם פני הדברים, איני סבור כי עמדה זו משוללת כל יסוד. </w:t>
      </w:r>
    </w:p>
    <w:p w:rsidR="004C7127" w:rsidRPr="00777473" w:rsidRDefault="004C7127" w:rsidP="004C7127">
      <w:pPr>
        <w:pStyle w:val="Ruller41"/>
      </w:pPr>
    </w:p>
    <w:p w:rsidR="004C7127" w:rsidRDefault="004C7127" w:rsidP="004C7127">
      <w:pPr>
        <w:pStyle w:val="Ruller4"/>
        <w:rPr>
          <w:rtl/>
        </w:rPr>
      </w:pPr>
      <w:r>
        <w:rPr>
          <w:rFonts w:ascii="Century" w:hAnsi="Century" w:hint="cs"/>
          <w:sz w:val="22"/>
          <w:rtl/>
        </w:rPr>
        <w:t xml:space="preserve">ככלל, עסקה במקרקעין היא עסקה מורכבת ובעלת משמעויות ניכרות ומשכך נעשית לרוב בליווי משפטי צמוד. הדבר נכון ביתר שאת כאשר עסקינן במקרקעין באזור, שם קיים חוסר ודאות מובנה בשל מורכבותה של המציאות המשפטית והעובדתית. הטלת חובת זהירות על הממונה בהתקשרותו עם צדדים שלישיים, עולה על פני הדברים, בקנה אחד עם חובתו לשמור על הקניין באזור (חובה שעליה כבר עמדתי לעיל). תוצאתה של הימנעות מחובה כאמור היא שעסקאות שעשה הממונה ברשלנות, ואף ברשלנות חריפה </w:t>
      </w:r>
      <w:r>
        <w:rPr>
          <w:rFonts w:ascii="Century" w:hAnsi="Century"/>
          <w:sz w:val="22"/>
          <w:rtl/>
        </w:rPr>
        <w:t>–</w:t>
      </w:r>
      <w:r>
        <w:rPr>
          <w:rFonts w:ascii="Century" w:hAnsi="Century" w:hint="cs"/>
          <w:sz w:val="22"/>
          <w:rtl/>
        </w:rPr>
        <w:t xml:space="preserve"> עשויות להיות מוכשרות מכוח סעיף 5 (וראו והשוו לעמדה שרשלנות רבתי כשלעצמה יכולה להיות ראיה בדבר חוסר תום לב </w:t>
      </w:r>
      <w:r w:rsidRPr="00C6426D">
        <w:rPr>
          <w:rFonts w:ascii="Century" w:hAnsi="Century" w:cs="Miriam" w:hint="cs"/>
          <w:b/>
          <w:spacing w:val="0"/>
          <w:sz w:val="22"/>
          <w:szCs w:val="24"/>
          <w:rtl/>
        </w:rPr>
        <w:t>סובייקטיבי</w:t>
      </w:r>
      <w:r>
        <w:rPr>
          <w:rFonts w:ascii="Century" w:hAnsi="Century" w:hint="cs"/>
          <w:sz w:val="22"/>
          <w:rtl/>
        </w:rPr>
        <w:t xml:space="preserve">: ע"א 352/74 </w:t>
      </w:r>
      <w:r>
        <w:rPr>
          <w:rFonts w:ascii="Century" w:hAnsi="Century" w:cs="Miriam" w:hint="cs"/>
          <w:b/>
          <w:spacing w:val="0"/>
          <w:sz w:val="22"/>
          <w:szCs w:val="24"/>
          <w:rtl/>
        </w:rPr>
        <w:t>מ' דנקנר ובניו בע"מ נ' פסט את מטרני</w:t>
      </w:r>
      <w:r>
        <w:rPr>
          <w:rFonts w:ascii="Century" w:hAnsi="Century" w:hint="cs"/>
          <w:sz w:val="22"/>
          <w:rtl/>
        </w:rPr>
        <w:t xml:space="preserve">, פ"ד ל(2) 796, 804 (1976); עניין </w:t>
      </w:r>
      <w:r>
        <w:rPr>
          <w:rFonts w:ascii="Century" w:hAnsi="Century" w:cs="Miriam" w:hint="cs"/>
          <w:b/>
          <w:spacing w:val="0"/>
          <w:sz w:val="22"/>
          <w:szCs w:val="24"/>
          <w:rtl/>
        </w:rPr>
        <w:t>רוזנשטרייך</w:t>
      </w:r>
      <w:r>
        <w:rPr>
          <w:rFonts w:ascii="Century" w:hAnsi="Century" w:hint="cs"/>
          <w:sz w:val="22"/>
          <w:rtl/>
        </w:rPr>
        <w:t xml:space="preserve">, בעמ' 715; ד"נ 15/70 </w:t>
      </w:r>
      <w:r>
        <w:rPr>
          <w:rFonts w:ascii="Century" w:hAnsi="Century" w:cs="Miriam" w:hint="cs"/>
          <w:b/>
          <w:spacing w:val="0"/>
          <w:sz w:val="22"/>
          <w:szCs w:val="24"/>
          <w:rtl/>
        </w:rPr>
        <w:t>קוד בע"מ נ' תל חנן, חברה לאחסנה ומסחר בע"מ</w:t>
      </w:r>
      <w:r>
        <w:rPr>
          <w:rFonts w:ascii="Century" w:hAnsi="Century" w:hint="cs"/>
          <w:sz w:val="22"/>
          <w:rtl/>
        </w:rPr>
        <w:t xml:space="preserve">, פ"ד כו(1) 36, 40 (1971); גואלטירו פרוקצ'יה "קווים לתורת תום-הלב" </w:t>
      </w:r>
      <w:r>
        <w:rPr>
          <w:rFonts w:ascii="Century" w:hAnsi="Century" w:cs="Miriam" w:hint="cs"/>
          <w:b/>
          <w:spacing w:val="0"/>
          <w:sz w:val="22"/>
          <w:szCs w:val="24"/>
          <w:rtl/>
        </w:rPr>
        <w:t xml:space="preserve">עיוני משפט </w:t>
      </w:r>
      <w:r>
        <w:rPr>
          <w:rFonts w:ascii="Century" w:hAnsi="Century" w:hint="cs"/>
          <w:sz w:val="22"/>
          <w:rtl/>
        </w:rPr>
        <w:t xml:space="preserve">יג(1) 41, 53-52 (1988)). מתן "הכשר" משפטי לפעולות שעשה הממונה ברשלנות בוטה במקרקעין באזור מתנגשת, על פני הדברים, בחובתו של המפקד הצבאי באזור. ודוקו, עמדה זו אף הובעה בעבר על ידי ועדת ערר באזור, שמצאה שהשאלה הרלוונטית לבחינת תום ליבו של הממונה היא "כיצד ראה [הממונה על הרכוש הממשלתי </w:t>
      </w:r>
      <w:r>
        <w:rPr>
          <w:rFonts w:ascii="Century" w:hAnsi="Century"/>
          <w:sz w:val="22"/>
          <w:rtl/>
        </w:rPr>
        <w:t>–</w:t>
      </w:r>
      <w:r>
        <w:rPr>
          <w:rFonts w:ascii="Century" w:hAnsi="Century" w:hint="cs"/>
          <w:sz w:val="22"/>
          <w:rtl/>
        </w:rPr>
        <w:t xml:space="preserve"> ע' פ'] את פני הדברים והאם ראייתו היתה סבירה בעינינו ובעיניו? שאם אין הדבר כן </w:t>
      </w:r>
      <w:r>
        <w:rPr>
          <w:rFonts w:ascii="Century" w:hAnsi="Century"/>
          <w:sz w:val="22"/>
          <w:rtl/>
        </w:rPr>
        <w:t>–</w:t>
      </w:r>
      <w:r>
        <w:rPr>
          <w:rFonts w:ascii="Century" w:hAnsi="Century" w:hint="cs"/>
          <w:sz w:val="22"/>
          <w:rtl/>
        </w:rPr>
        <w:t xml:space="preserve"> לא ניתן לאמר שפעל בתום-לב" (ערר (איו"ש) 16/82 </w:t>
      </w:r>
      <w:r>
        <w:rPr>
          <w:rFonts w:ascii="Century" w:hAnsi="Century" w:cs="Miriam" w:hint="cs"/>
          <w:b/>
          <w:spacing w:val="0"/>
          <w:sz w:val="22"/>
          <w:szCs w:val="24"/>
          <w:rtl/>
        </w:rPr>
        <w:t>אלבינא נ' הממונה על הרכוש הממשלתי</w:t>
      </w:r>
      <w:r>
        <w:rPr>
          <w:rFonts w:ascii="Century" w:hAnsi="Century" w:hint="cs"/>
          <w:sz w:val="22"/>
          <w:rtl/>
        </w:rPr>
        <w:t>, בעמ' 5</w:t>
      </w:r>
      <w:r>
        <w:rPr>
          <w:rFonts w:ascii="Century" w:hAnsi="Century" w:cs="Miriam" w:hint="cs"/>
          <w:b/>
          <w:spacing w:val="0"/>
          <w:sz w:val="22"/>
          <w:szCs w:val="24"/>
          <w:rtl/>
        </w:rPr>
        <w:t xml:space="preserve"> </w:t>
      </w:r>
      <w:r>
        <w:rPr>
          <w:rFonts w:ascii="Century" w:hAnsi="Century" w:hint="cs"/>
          <w:sz w:val="22"/>
          <w:rtl/>
        </w:rPr>
        <w:t xml:space="preserve">(25.11.1983), כפי שמאוזכר ומצוטט אצל אייל זמיר </w:t>
      </w:r>
      <w:r>
        <w:rPr>
          <w:rFonts w:ascii="Century" w:hAnsi="Century" w:cs="Miriam" w:hint="cs"/>
          <w:b/>
          <w:spacing w:val="0"/>
          <w:sz w:val="22"/>
          <w:szCs w:val="24"/>
          <w:rtl/>
        </w:rPr>
        <w:t>אדמות המדינה ביהודה ושומרון</w:t>
      </w:r>
      <w:r w:rsidRPr="00BB0C1A">
        <w:rPr>
          <w:rFonts w:ascii="Century" w:hAnsi="Century" w:cs="Miriam" w:hint="cs"/>
          <w:b/>
          <w:spacing w:val="0"/>
          <w:sz w:val="22"/>
          <w:szCs w:val="24"/>
          <w:rtl/>
        </w:rPr>
        <w:t xml:space="preserve">: </w:t>
      </w:r>
      <w:r>
        <w:rPr>
          <w:rFonts w:ascii="Century" w:hAnsi="Century" w:cs="Miriam" w:hint="cs"/>
          <w:b/>
          <w:spacing w:val="0"/>
          <w:sz w:val="22"/>
          <w:szCs w:val="24"/>
          <w:rtl/>
        </w:rPr>
        <w:t xml:space="preserve">סקירה משפטית </w:t>
      </w:r>
      <w:r w:rsidRPr="009E2CCC">
        <w:rPr>
          <w:rFonts w:ascii="Century" w:hAnsi="Century" w:hint="cs"/>
          <w:sz w:val="22"/>
          <w:rtl/>
        </w:rPr>
        <w:t>31 (</w:t>
      </w:r>
      <w:r>
        <w:rPr>
          <w:rFonts w:ascii="Century" w:hAnsi="Century" w:hint="cs"/>
          <w:sz w:val="22"/>
          <w:rtl/>
        </w:rPr>
        <w:t>1985</w:t>
      </w:r>
      <w:r w:rsidRPr="009E2CCC">
        <w:rPr>
          <w:rFonts w:ascii="Century" w:hAnsi="Century" w:hint="cs"/>
          <w:sz w:val="22"/>
          <w:rtl/>
        </w:rPr>
        <w:t>)</w:t>
      </w:r>
      <w:r>
        <w:rPr>
          <w:rFonts w:ascii="Century" w:hAnsi="Century" w:hint="cs"/>
          <w:sz w:val="22"/>
          <w:rtl/>
        </w:rPr>
        <w:t xml:space="preserve">). </w:t>
      </w:r>
      <w:r>
        <w:rPr>
          <w:rFonts w:hint="cs"/>
          <w:rtl/>
        </w:rPr>
        <w:t xml:space="preserve">חרף האמור, הטלת נטל אובייקטיבי על הממונה עלולה לחתור, תחת הרציונל של הגנה על אינטרס ההסתמכות של המתקשר עם הממונה </w:t>
      </w:r>
      <w:r>
        <w:rPr>
          <w:rtl/>
        </w:rPr>
        <w:t>–</w:t>
      </w:r>
      <w:r>
        <w:rPr>
          <w:rFonts w:hint="cs"/>
          <w:rtl/>
        </w:rPr>
        <w:t xml:space="preserve"> שאין לו דרך לדעת ולוודא כי הממונה אכן עמד בסטנדרט ההתנהגות שמצופה ממנו. נקודת האיזון הראויה היא בעיני זו שנקבעה בפסק דינה של הנשיאה במסגרת פסק הדין נושא הדיון הנוסף, שמטילה חובת תום לב סובייקטיבית "ברף הגבוה" </w:t>
      </w:r>
      <w:r>
        <w:rPr>
          <w:rtl/>
        </w:rPr>
        <w:t>–</w:t>
      </w:r>
      <w:r>
        <w:rPr>
          <w:rFonts w:hint="cs"/>
          <w:rtl/>
        </w:rPr>
        <w:t xml:space="preserve"> אך כזו שעדיין לא מטילה על הממונה "חובת זהירות". דרישת תום לב מעין זו, כפי שאציג להלן, מאזנת נכונה בין השיקולים שפורטו לעיל. </w:t>
      </w:r>
    </w:p>
    <w:p w:rsidR="004C7127" w:rsidRDefault="004C7127" w:rsidP="004C7127">
      <w:pPr>
        <w:pStyle w:val="Ruller41"/>
        <w:rPr>
          <w:rtl/>
        </w:rPr>
      </w:pPr>
    </w:p>
    <w:p w:rsidR="004C7127" w:rsidRDefault="004C7127" w:rsidP="004C7127">
      <w:pPr>
        <w:pStyle w:val="Ruller4"/>
      </w:pPr>
      <w:r>
        <w:rPr>
          <w:rFonts w:hint="cs"/>
          <w:rtl/>
        </w:rPr>
        <w:lastRenderedPageBreak/>
        <w:t xml:space="preserve">ההגנה שלה זוכה המתקשר עם הממונה מכוחו של סעיף 5 היא, כפי שכבר ציינתי, הגנה חריגה שמאפשרת לממונה להעביר זכויות שלא נמצאות בידיו. הגנה זו חריגה במיוחד כשעסקינן בעסקאות במקרקעי האזור. מגבלות אלו מחייבות כי כאשר מתקשר הממונה בעסקאות במקרקעין באזור הוא יעשה זאת לאחר שנתן מענה מספק (לשיטתו) לכל נורה אדומה שראה ולכל צופר אזהרה ששמע. עמדה זו מבטאת איזון ראוי והולם בין ההגנה הראויה על אינטרס ההסתמכות של המתקשר עמו לבין חובותיו </w:t>
      </w:r>
      <w:r>
        <w:rPr>
          <w:rtl/>
        </w:rPr>
        <w:t>–</w:t>
      </w:r>
      <w:r>
        <w:rPr>
          <w:rFonts w:hint="cs"/>
          <w:rtl/>
        </w:rPr>
        <w:t xml:space="preserve"> כגורם מינהלי באופן כללי ובפרט כממונה על הרכוש הממשלתי באזור. עמדה זו הובעה, עוד קודם לפסק הדין נושא הדיון הנוסף בהחלטת ועדת העררים הצבאית באזור בערר בעניין </w:t>
      </w:r>
      <w:r>
        <w:rPr>
          <w:rFonts w:cs="Miriam" w:hint="cs"/>
          <w:b/>
          <w:spacing w:val="0"/>
          <w:szCs w:val="24"/>
          <w:rtl/>
        </w:rPr>
        <w:t>צלאח</w:t>
      </w:r>
      <w:r>
        <w:rPr>
          <w:rFonts w:hint="cs"/>
          <w:rtl/>
        </w:rPr>
        <w:t xml:space="preserve">, שעליו עמדו הצדדים בטיעוניהם. דעת הרוב בהקשר זה שם מצאה כי סעיף 5 "מהווה פגיעה חמורה בזכויות הקניין של בעל המקרקעין 'המקורי' ועל כן יש לדרוש מן הממונה על הרכוש הממשלתי, בהיותו נציג הריבון, רף גבוה של דרישת תום הלב" (סעיף 3 לחוות דעתה של השופטת סא"ל </w:t>
      </w:r>
      <w:r>
        <w:rPr>
          <w:rFonts w:ascii="Century" w:hAnsi="Century" w:cs="Miriam" w:hint="cs"/>
          <w:b/>
          <w:spacing w:val="0"/>
          <w:sz w:val="22"/>
          <w:szCs w:val="24"/>
          <w:rtl/>
        </w:rPr>
        <w:t>ד' קאופמן</w:t>
      </w:r>
      <w:r>
        <w:rPr>
          <w:rFonts w:hint="cs"/>
          <w:rtl/>
        </w:rPr>
        <w:t xml:space="preserve">). עמדה דומה לזו בוטאה בעבר גם ביחס לתום הלב שנדרש מהאפוטרופוס לנכסי נפקדים, כשנקבע שיש לבחון את תום לבו באמת מידה קפדנית, אמת מידה שאינה מקלה עם רשויות שמבקשות לחסות בצלה של הגנת תום הלב (ע"א 6858/99 </w:t>
      </w:r>
      <w:r>
        <w:rPr>
          <w:rFonts w:ascii="Century" w:hAnsi="Century" w:cs="Miriam" w:hint="cs"/>
          <w:b/>
          <w:spacing w:val="0"/>
          <w:sz w:val="22"/>
          <w:szCs w:val="24"/>
          <w:rtl/>
        </w:rPr>
        <w:t>האפוטרופוס לנכסי נפקדים נ' טברי</w:t>
      </w:r>
      <w:r>
        <w:rPr>
          <w:rFonts w:ascii="Century" w:hAnsi="Century" w:hint="cs"/>
          <w:sz w:val="22"/>
          <w:rtl/>
        </w:rPr>
        <w:t>, פ"ד נח(4) 577, 581 (2004);</w:t>
      </w:r>
      <w:r>
        <w:rPr>
          <w:rFonts w:hint="cs"/>
          <w:rtl/>
        </w:rPr>
        <w:t xml:space="preserve"> עניין </w:t>
      </w:r>
      <w:r>
        <w:rPr>
          <w:rFonts w:ascii="Century" w:hAnsi="Century" w:cs="Miriam" w:hint="cs"/>
          <w:b/>
          <w:spacing w:val="0"/>
          <w:sz w:val="22"/>
          <w:szCs w:val="24"/>
          <w:rtl/>
        </w:rPr>
        <w:t>עיזבון מוסא</w:t>
      </w:r>
      <w:r>
        <w:rPr>
          <w:rFonts w:hint="cs"/>
          <w:rtl/>
        </w:rPr>
        <w:t xml:space="preserve">, בעמ' 176). עמדה זו, מגלמת את המורכבות שיש בהתקשרות עמו ביחס לנכסים באזור. בדומה, ציין בעבר בית משפט זה בכל הנוגע לסעיף 16 לחוק האפוטרופוס הכללי: </w:t>
      </w:r>
    </w:p>
    <w:p w:rsidR="004C7127" w:rsidRPr="00C577DF" w:rsidRDefault="004C7127" w:rsidP="004C7127">
      <w:pPr>
        <w:pStyle w:val="Ruller4"/>
        <w:numPr>
          <w:ilvl w:val="0"/>
          <w:numId w:val="0"/>
        </w:numPr>
        <w:rPr>
          <w:rtl/>
        </w:rPr>
      </w:pPr>
    </w:p>
    <w:p w:rsidR="004C7127" w:rsidRDefault="004C7127" w:rsidP="004C7127">
      <w:pPr>
        <w:pStyle w:val="Ruller5"/>
      </w:pPr>
      <w:r>
        <w:rPr>
          <w:rFonts w:hint="cs"/>
          <w:rtl/>
        </w:rPr>
        <w:t xml:space="preserve">"טיבם וטבעם של נכסים עזובים, שלא אחת קשה למצוא בעניינם ראיות רגילות ומקובלות להוכחת בעליו של הנכס, והצורך לדאוג לניהולם התקין והיעיל על ידי האפוטרופוס הכללי [...] מחייב, כי איתורם של הנכסים [...] ייעשה על פי דרכי הבדיקה והחקירה, העומדים לרשותו של האפוטרופוס הכללי, ולפי הנחת דעתו, ומתוך הנחה, כי חקירה זו של גוף ציבורי מוסמך אכן תקינה ויעילה היא. ומאחר שרק בהנחה עסקינן, מצא החוק לנכון לקבוע, כי 'פעולה שנעשתה בתום לב בין האפוטרופוס הכללי לבין אדם אחר, מתוך הנחה שנכס פלוני הוא נכס עזוב, תעמוד בתקפה גם אם נתגלה לאחר מכן שהנכס לא היה עזוב' (סעיף 16 לחוק) [...]. </w:t>
      </w:r>
      <w:r w:rsidRPr="00393A51">
        <w:rPr>
          <w:rFonts w:ascii="Century" w:hAnsi="Century" w:cs="Miriam" w:hint="cs"/>
          <w:b/>
          <w:spacing w:val="0"/>
          <w:szCs w:val="24"/>
          <w:rtl/>
        </w:rPr>
        <w:t xml:space="preserve">מתוך כלל הוראות אלה עלה בידינו, מצד אחד, פיקוח וטיפול נאותים בנכסים עזובים על-ידי האפוטרופוס הכללי, ומצד אחר </w:t>
      </w:r>
      <w:r w:rsidRPr="00393A51">
        <w:rPr>
          <w:rFonts w:ascii="Century" w:hAnsi="Century" w:cs="Miriam"/>
          <w:b/>
          <w:spacing w:val="0"/>
          <w:szCs w:val="24"/>
          <w:rtl/>
        </w:rPr>
        <w:t>–</w:t>
      </w:r>
      <w:r w:rsidRPr="00393A51">
        <w:rPr>
          <w:rFonts w:ascii="Century" w:hAnsi="Century" w:cs="Miriam" w:hint="cs"/>
          <w:b/>
          <w:spacing w:val="0"/>
          <w:szCs w:val="24"/>
          <w:rtl/>
        </w:rPr>
        <w:t xml:space="preserve"> הגנה מלאה וטובה על כל מי שבא במשא ומתן עם האפוטרופוס הכללי</w:t>
      </w:r>
      <w:r w:rsidRPr="00393A51">
        <w:rPr>
          <w:rFonts w:hint="cs"/>
          <w:rtl/>
        </w:rPr>
        <w:t xml:space="preserve"> </w:t>
      </w:r>
      <w:r>
        <w:rPr>
          <w:rFonts w:hint="cs"/>
          <w:rtl/>
        </w:rPr>
        <w:t xml:space="preserve">[...]" (ההדגשות הוספו </w:t>
      </w:r>
      <w:r>
        <w:rPr>
          <w:rtl/>
        </w:rPr>
        <w:t>–</w:t>
      </w:r>
      <w:r>
        <w:rPr>
          <w:rFonts w:hint="cs"/>
          <w:rtl/>
        </w:rPr>
        <w:t xml:space="preserve"> ע' פ'; עניין </w:t>
      </w:r>
      <w:r>
        <w:rPr>
          <w:rFonts w:ascii="Century" w:hAnsi="Century" w:cs="Miriam" w:hint="cs"/>
          <w:b/>
          <w:spacing w:val="0"/>
          <w:szCs w:val="24"/>
          <w:rtl/>
        </w:rPr>
        <w:t>עיריית חולון</w:t>
      </w:r>
      <w:r>
        <w:rPr>
          <w:rFonts w:ascii="Century" w:hAnsi="Century" w:hint="cs"/>
          <w:rtl/>
        </w:rPr>
        <w:t>, בעמ' 489</w:t>
      </w:r>
      <w:r>
        <w:rPr>
          <w:rFonts w:hint="cs"/>
          <w:rtl/>
        </w:rPr>
        <w:t xml:space="preserve">). </w:t>
      </w:r>
    </w:p>
    <w:p w:rsidR="004C7127" w:rsidRDefault="004C7127" w:rsidP="004C7127">
      <w:pPr>
        <w:pStyle w:val="Ruller4"/>
        <w:numPr>
          <w:ilvl w:val="0"/>
          <w:numId w:val="0"/>
        </w:numPr>
      </w:pPr>
      <w:r>
        <w:rPr>
          <w:rFonts w:hint="cs"/>
          <w:rtl/>
        </w:rPr>
        <w:t xml:space="preserve"> </w:t>
      </w:r>
    </w:p>
    <w:p w:rsidR="004C7127" w:rsidRDefault="004C7127" w:rsidP="004C7127">
      <w:pPr>
        <w:pStyle w:val="Ruller4"/>
        <w:numPr>
          <w:ilvl w:val="0"/>
          <w:numId w:val="0"/>
        </w:numPr>
        <w:rPr>
          <w:rtl/>
        </w:rPr>
      </w:pPr>
      <w:r>
        <w:rPr>
          <w:rtl/>
        </w:rPr>
        <w:tab/>
      </w:r>
      <w:r>
        <w:rPr>
          <w:rFonts w:hint="cs"/>
          <w:rtl/>
        </w:rPr>
        <w:t xml:space="preserve">ובהקבלה לענייננו, ההגנה על ההסתמכות של המתקשר עם הממונה נשענת על רציונאל יסודי משולב: מדובר בנכסים שמצב הזכויות בהם מורכב (ועשוי להיות קשה </w:t>
      </w:r>
      <w:r>
        <w:rPr>
          <w:rFonts w:hint="cs"/>
          <w:rtl/>
        </w:rPr>
        <w:lastRenderedPageBreak/>
        <w:t xml:space="preserve">לבירור עבור הצד שמתקשר עם הממונה); ובצד האמור הממונה עורך "טיפול ופיקוח נאותים" לפני התקשרויותיו שנוגעות לנכסים אלה. הבירור העובדתי והפיקוח המשפטי שעורך הממונה הם ההצדקה לכך שמי שמתקשר עמו יזכה לקבל זכות "נקייה" (הגם שכאמור, אין מדובר בזכות הבעלות בנכס). משכך, ברור בעיניי כי אין הממונה יכול לחסות תחת טענת תום הלב כאשר הוא מתעלם מנורות אזהרה או נותן להן מענה חלקי בלבד. לא ניתן ביד אחת להישען על הבדיקות שעורך הממונה כרציונל שעליו נסמך סעיף 5 וביד השנייה לטעון שיש להקל בסטנדרט שבו הוא נדרש לעמוד כדי להפעיל את העצמה הרבה הגלומה בסעיף. מקום שבו מתקיים חשד לאי סדר, או לחוסר התאמה </w:t>
      </w:r>
      <w:r>
        <w:rPr>
          <w:rtl/>
        </w:rPr>
        <w:t>–</w:t>
      </w:r>
      <w:r>
        <w:rPr>
          <w:rFonts w:hint="cs"/>
          <w:rtl/>
        </w:rPr>
        <w:t xml:space="preserve"> על הממונה לפעול לבירורם, לתת מענה לחשד ולהעמיד את הדברים על דיוקם. לא יעשה כן, לא יוכל לחסות תחת הגנת תום הלב. רק כך ניתן לומר שהמפקד הצבאי יוצא ידי חובתו כמתחייב מניהולו את השטחים שנתונים לתפיסה לוחמתית. </w:t>
      </w:r>
    </w:p>
    <w:p w:rsidR="004C7127" w:rsidRDefault="004C7127" w:rsidP="004C7127">
      <w:pPr>
        <w:pStyle w:val="Ruller41"/>
        <w:rPr>
          <w:rtl/>
        </w:rPr>
      </w:pPr>
    </w:p>
    <w:p w:rsidR="004C7127" w:rsidRDefault="004C7127" w:rsidP="004C7127">
      <w:pPr>
        <w:pStyle w:val="Ruller4"/>
      </w:pPr>
      <w:r>
        <w:rPr>
          <w:rFonts w:hint="cs"/>
          <w:rtl/>
        </w:rPr>
        <w:t>הטענה המרכזית נגד העמדה שלפיה על הממונה לעמוד בתום לב סובייקטיבי ברף הגבוה היא שקביעה מעין זו "עלולה לעקר את תכליתו של סעיף 5" להגן על הסתמכות המתקשרים עם הממונה (ראו סעיף 94 לבקשה לדיון נוסף). אין בידי לקבל את הטענה.</w:t>
      </w:r>
      <w:r>
        <w:rPr>
          <w:rFonts w:ascii="Century" w:hAnsi="Century" w:hint="cs"/>
          <w:sz w:val="22"/>
          <w:rtl/>
        </w:rPr>
        <w:t xml:space="preserve"> ברי כי ככל שדרישת תום הלב גבוהה יותר, היקף פריסתו של סעיף 5 יצומצם. ואולם, בבחינת היקף תחולתו יש לתת את הדעת לקווים המנחים של דיוננו </w:t>
      </w:r>
      <w:r>
        <w:rPr>
          <w:rFonts w:ascii="Century" w:hAnsi="Century"/>
          <w:sz w:val="22"/>
          <w:rtl/>
        </w:rPr>
        <w:t>–</w:t>
      </w:r>
      <w:r>
        <w:rPr>
          <w:rFonts w:ascii="Century" w:hAnsi="Century" w:hint="cs"/>
          <w:sz w:val="22"/>
          <w:rtl/>
        </w:rPr>
        <w:t xml:space="preserve"> ובהם חובתו של המפקד הצבאי באזור וחריגותו של מנגנון תקנת השוק ככלל. כפי שהראינו, האיזונים הראויים המתחייבים מהמאטריה בה עסקינן, הם אלה שמובילים לדרישת תום הלב ברף אותו הצענו, ורק בהינתן הרף האמור, ישנה הצדקה למתן ההגנה שמקנה סעיף 5 לאינטרס ההסתמכות של המתקשר עם הממונה. </w:t>
      </w:r>
    </w:p>
    <w:p w:rsidR="004C7127" w:rsidRDefault="004C7127" w:rsidP="004C7127">
      <w:pPr>
        <w:pStyle w:val="Ruller41"/>
        <w:rPr>
          <w:rtl/>
        </w:rPr>
      </w:pPr>
    </w:p>
    <w:p w:rsidR="004C7127" w:rsidRDefault="004C7127" w:rsidP="004C7127">
      <w:pPr>
        <w:pStyle w:val="2"/>
        <w:spacing w:before="0"/>
        <w:rPr>
          <w:rFonts w:ascii="Century" w:hAnsi="Century" w:cs="Miriam"/>
          <w:b/>
          <w:color w:val="auto"/>
          <w:spacing w:val="0"/>
          <w:sz w:val="22"/>
          <w:szCs w:val="24"/>
          <w:rtl/>
        </w:rPr>
      </w:pPr>
      <w:r w:rsidRPr="00CF27D2">
        <w:rPr>
          <w:rFonts w:ascii="Century" w:hAnsi="Century" w:cs="Miriam" w:hint="cs"/>
          <w:b/>
          <w:color w:val="auto"/>
          <w:spacing w:val="0"/>
          <w:sz w:val="22"/>
          <w:szCs w:val="24"/>
          <w:rtl/>
        </w:rPr>
        <w:t xml:space="preserve">(ב) </w:t>
      </w:r>
      <w:r w:rsidRPr="00CF27D2">
        <w:rPr>
          <w:rFonts w:ascii="Century" w:hAnsi="Century" w:cs="Miriam"/>
          <w:b/>
          <w:color w:val="auto"/>
          <w:spacing w:val="0"/>
          <w:sz w:val="22"/>
          <w:szCs w:val="24"/>
          <w:rtl/>
        </w:rPr>
        <w:tab/>
      </w:r>
      <w:r w:rsidRPr="00CF27D2">
        <w:rPr>
          <w:rFonts w:ascii="Century" w:hAnsi="Century" w:cs="Miriam" w:hint="cs"/>
          <w:b/>
          <w:color w:val="auto"/>
          <w:spacing w:val="0"/>
          <w:sz w:val="22"/>
          <w:szCs w:val="24"/>
          <w:rtl/>
        </w:rPr>
        <w:t>תום הלב של המתקשר עם הממונה</w:t>
      </w:r>
    </w:p>
    <w:p w:rsidR="004C7127" w:rsidRPr="00A1182A" w:rsidRDefault="004C7127" w:rsidP="004C7127"/>
    <w:p w:rsidR="004C7127" w:rsidRDefault="004C7127" w:rsidP="004C7127">
      <w:pPr>
        <w:pStyle w:val="Ruller4"/>
      </w:pPr>
      <w:r>
        <w:rPr>
          <w:rFonts w:hint="cs"/>
          <w:rtl/>
        </w:rPr>
        <w:t xml:space="preserve">בהינתן דברינו בהתייחס לתום לבו של הממונה, איני סבור כי יש לדרוש ממי שמתקשר עמו תום לב מוגבר, או תום לב שחורג מההגדרה המקובלת של תום לב סובייקטיבי. מדובר בסיטואציה שבה מתקשר "אדם אחר" עם הממונה בעסקה בקשר לרכוש ממשלתי. סעיף 5 מאפשר לאותו אדם להסתמך על פעולותיו של הממונה כרשות מינהלית שערכה את הבדיקות ההולמות בדבר כשרות העסקה. הסתמכות זו ראויה להגנה בין היתר מאחר שתום לבו של הממונה נבחן אף הוא כחלק מהפעלת סעיף 5. טעם נוסף שמצדיק לא להטיל חובה מוגברת על המתקשר עם הממונה נעוץ בקושי שניצב לפתחו באיסוף מידע רלוונטי בנוגע לבעלות במקרקעין באזור. קושי זה נובע הן מכך שרק מיעוט מהמקרקעין באזור מוסדרים, הן מכך שמרשם המקרקעין אינו פתוח לעיון (ראו: הצו בדבר מקרקעין (עיון במרשמים) (יהודה והשומרון) (מס' 1737), התשע"ד-2014; בג"ץ </w:t>
      </w:r>
      <w:r>
        <w:rPr>
          <w:rFonts w:hint="cs"/>
          <w:rtl/>
        </w:rPr>
        <w:lastRenderedPageBreak/>
        <w:t xml:space="preserve">6870/14 </w:t>
      </w:r>
      <w:r>
        <w:rPr>
          <w:rFonts w:ascii="Century" w:hAnsi="Century" w:cs="Miriam" w:hint="cs"/>
          <w:b/>
          <w:spacing w:val="0"/>
          <w:sz w:val="22"/>
          <w:szCs w:val="24"/>
          <w:rtl/>
        </w:rPr>
        <w:t xml:space="preserve">רגבים נ' ראש המינהל </w:t>
      </w:r>
      <w:r w:rsidRPr="00224246">
        <w:rPr>
          <w:rFonts w:ascii="Century" w:hAnsi="Century" w:cs="Miriam" w:hint="cs"/>
          <w:b/>
          <w:spacing w:val="0"/>
          <w:sz w:val="22"/>
          <w:szCs w:val="24"/>
          <w:rtl/>
        </w:rPr>
        <w:t>האזרחי</w:t>
      </w:r>
      <w:r>
        <w:rPr>
          <w:rFonts w:ascii="Century" w:hAnsi="Century" w:hint="cs"/>
          <w:sz w:val="22"/>
          <w:rtl/>
        </w:rPr>
        <w:t xml:space="preserve">, פסקאות 13-11 (3.1.2017); רע"א 2505/16 </w:t>
      </w:r>
      <w:r>
        <w:rPr>
          <w:rFonts w:ascii="Century" w:hAnsi="Century" w:cs="Miriam" w:hint="cs"/>
          <w:b/>
          <w:spacing w:val="0"/>
          <w:sz w:val="22"/>
          <w:szCs w:val="24"/>
          <w:rtl/>
        </w:rPr>
        <w:t>אנג'ל נ' המינהל האזרחי ביהודה ושומרון</w:t>
      </w:r>
      <w:r>
        <w:rPr>
          <w:rFonts w:ascii="Century" w:hAnsi="Century" w:hint="cs"/>
          <w:sz w:val="22"/>
          <w:rtl/>
        </w:rPr>
        <w:t xml:space="preserve">, פסקאות 31-30 (22.12.2016); </w:t>
      </w:r>
      <w:r w:rsidRPr="00D367D1">
        <w:rPr>
          <w:rFonts w:ascii="Century" w:hAnsi="Century" w:hint="eastAsia"/>
          <w:sz w:val="22"/>
          <w:rtl/>
        </w:rPr>
        <w:t>רונית</w:t>
      </w:r>
      <w:r w:rsidRPr="00224246">
        <w:rPr>
          <w:rtl/>
        </w:rPr>
        <w:t xml:space="preserve"> </w:t>
      </w:r>
      <w:r w:rsidRPr="005E794B">
        <w:rPr>
          <w:rFonts w:hint="eastAsia"/>
          <w:rtl/>
        </w:rPr>
        <w:t>לוין</w:t>
      </w:r>
      <w:r w:rsidRPr="005E794B">
        <w:rPr>
          <w:rtl/>
        </w:rPr>
        <w:t>-</w:t>
      </w:r>
      <w:r w:rsidRPr="005E794B">
        <w:rPr>
          <w:rFonts w:hint="eastAsia"/>
          <w:rtl/>
        </w:rPr>
        <w:t>שנור</w:t>
      </w:r>
      <w:r w:rsidRPr="005E794B">
        <w:rPr>
          <w:rtl/>
        </w:rPr>
        <w:t xml:space="preserve"> </w:t>
      </w:r>
      <w:r w:rsidRPr="00D367D1">
        <w:rPr>
          <w:rFonts w:ascii="Century" w:hAnsi="Century" w:cs="Miriam" w:hint="eastAsia"/>
          <w:b/>
          <w:spacing w:val="0"/>
          <w:sz w:val="22"/>
          <w:szCs w:val="24"/>
          <w:rtl/>
        </w:rPr>
        <w:t>דיני</w:t>
      </w:r>
      <w:r w:rsidRPr="00D367D1">
        <w:rPr>
          <w:rFonts w:ascii="Century" w:hAnsi="Century" w:cs="Miriam"/>
          <w:b/>
          <w:spacing w:val="0"/>
          <w:sz w:val="22"/>
          <w:szCs w:val="24"/>
          <w:rtl/>
        </w:rPr>
        <w:t xml:space="preserve"> </w:t>
      </w:r>
      <w:r w:rsidRPr="00D367D1">
        <w:rPr>
          <w:rFonts w:ascii="Century" w:hAnsi="Century" w:cs="Miriam" w:hint="eastAsia"/>
          <w:b/>
          <w:spacing w:val="0"/>
          <w:sz w:val="22"/>
          <w:szCs w:val="24"/>
          <w:rtl/>
        </w:rPr>
        <w:t>רישום</w:t>
      </w:r>
      <w:r w:rsidRPr="00D367D1">
        <w:rPr>
          <w:rFonts w:ascii="Century" w:hAnsi="Century" w:cs="Miriam"/>
          <w:b/>
          <w:spacing w:val="0"/>
          <w:sz w:val="22"/>
          <w:szCs w:val="24"/>
          <w:rtl/>
        </w:rPr>
        <w:t xml:space="preserve"> </w:t>
      </w:r>
      <w:r w:rsidRPr="00D367D1">
        <w:rPr>
          <w:rFonts w:ascii="Century" w:hAnsi="Century" w:cs="Miriam" w:hint="eastAsia"/>
          <w:b/>
          <w:spacing w:val="0"/>
          <w:sz w:val="22"/>
          <w:szCs w:val="24"/>
          <w:rtl/>
        </w:rPr>
        <w:t>מקרקעין</w:t>
      </w:r>
      <w:r w:rsidRPr="00D367D1">
        <w:rPr>
          <w:rFonts w:ascii="Century" w:hAnsi="Century" w:cs="Miriam"/>
          <w:b/>
          <w:spacing w:val="0"/>
          <w:sz w:val="22"/>
          <w:szCs w:val="24"/>
          <w:rtl/>
        </w:rPr>
        <w:t xml:space="preserve"> – </w:t>
      </w:r>
      <w:r w:rsidRPr="00D367D1">
        <w:rPr>
          <w:rFonts w:ascii="Century" w:hAnsi="Century" w:cs="Miriam" w:hint="eastAsia"/>
          <w:b/>
          <w:spacing w:val="0"/>
          <w:sz w:val="22"/>
          <w:szCs w:val="24"/>
          <w:rtl/>
        </w:rPr>
        <w:t>הרישום</w:t>
      </w:r>
      <w:r w:rsidRPr="00D367D1">
        <w:rPr>
          <w:rFonts w:ascii="Century" w:hAnsi="Century" w:cs="Miriam"/>
          <w:b/>
          <w:spacing w:val="0"/>
          <w:sz w:val="22"/>
          <w:szCs w:val="24"/>
          <w:rtl/>
        </w:rPr>
        <w:t xml:space="preserve">, </w:t>
      </w:r>
      <w:r w:rsidRPr="00D367D1">
        <w:rPr>
          <w:rFonts w:ascii="Century" w:hAnsi="Century" w:cs="Miriam" w:hint="eastAsia"/>
          <w:b/>
          <w:spacing w:val="0"/>
          <w:sz w:val="22"/>
          <w:szCs w:val="24"/>
          <w:rtl/>
        </w:rPr>
        <w:t>ההסדר</w:t>
      </w:r>
      <w:r w:rsidRPr="00D367D1">
        <w:rPr>
          <w:rFonts w:ascii="Century" w:hAnsi="Century" w:cs="Miriam"/>
          <w:b/>
          <w:spacing w:val="0"/>
          <w:sz w:val="22"/>
          <w:szCs w:val="24"/>
          <w:rtl/>
        </w:rPr>
        <w:t xml:space="preserve"> </w:t>
      </w:r>
      <w:r w:rsidRPr="00D367D1">
        <w:rPr>
          <w:rFonts w:ascii="Century" w:hAnsi="Century" w:cs="Miriam" w:hint="eastAsia"/>
          <w:b/>
          <w:spacing w:val="0"/>
          <w:sz w:val="22"/>
          <w:szCs w:val="24"/>
          <w:rtl/>
        </w:rPr>
        <w:t>ותוצאותיהם</w:t>
      </w:r>
      <w:r w:rsidRPr="00D367D1">
        <w:rPr>
          <w:rFonts w:ascii="Century" w:hAnsi="Century" w:cs="Miriam"/>
          <w:b/>
          <w:spacing w:val="0"/>
          <w:sz w:val="22"/>
          <w:szCs w:val="24"/>
          <w:rtl/>
        </w:rPr>
        <w:t xml:space="preserve"> </w:t>
      </w:r>
      <w:r w:rsidRPr="00D367D1">
        <w:rPr>
          <w:rFonts w:ascii="Century" w:hAnsi="Century" w:cs="Miriam" w:hint="eastAsia"/>
          <w:b/>
          <w:spacing w:val="0"/>
          <w:sz w:val="22"/>
          <w:szCs w:val="24"/>
          <w:rtl/>
        </w:rPr>
        <w:t>בישראל</w:t>
      </w:r>
      <w:r w:rsidRPr="00D367D1">
        <w:rPr>
          <w:rFonts w:ascii="Century" w:hAnsi="Century" w:cs="Miriam"/>
          <w:b/>
          <w:spacing w:val="0"/>
          <w:sz w:val="22"/>
          <w:szCs w:val="24"/>
          <w:rtl/>
        </w:rPr>
        <w:t xml:space="preserve"> </w:t>
      </w:r>
      <w:r w:rsidRPr="00D367D1">
        <w:rPr>
          <w:rFonts w:ascii="Century" w:hAnsi="Century" w:cs="Miriam" w:hint="eastAsia"/>
          <w:b/>
          <w:spacing w:val="0"/>
          <w:sz w:val="22"/>
          <w:szCs w:val="24"/>
          <w:rtl/>
        </w:rPr>
        <w:t>והגדה</w:t>
      </w:r>
      <w:r w:rsidRPr="00D367D1">
        <w:rPr>
          <w:rFonts w:ascii="Century" w:hAnsi="Century" w:cs="Miriam"/>
          <w:b/>
          <w:spacing w:val="0"/>
          <w:sz w:val="22"/>
          <w:szCs w:val="24"/>
          <w:rtl/>
        </w:rPr>
        <w:t xml:space="preserve"> </w:t>
      </w:r>
      <w:r w:rsidRPr="00D367D1">
        <w:rPr>
          <w:rFonts w:ascii="Century" w:hAnsi="Century" w:cs="Miriam" w:hint="eastAsia"/>
          <w:b/>
          <w:spacing w:val="0"/>
          <w:sz w:val="22"/>
          <w:szCs w:val="24"/>
          <w:rtl/>
        </w:rPr>
        <w:t>המערבית</w:t>
      </w:r>
      <w:r w:rsidRPr="005E794B">
        <w:rPr>
          <w:rtl/>
        </w:rPr>
        <w:t xml:space="preserve"> </w:t>
      </w:r>
      <w:r>
        <w:rPr>
          <w:rFonts w:hint="cs"/>
          <w:rtl/>
        </w:rPr>
        <w:t xml:space="preserve">החל מעמ' </w:t>
      </w:r>
      <w:r w:rsidRPr="005E794B">
        <w:rPr>
          <w:rtl/>
        </w:rPr>
        <w:t>279 (2012)</w:t>
      </w:r>
      <w:r>
        <w:rPr>
          <w:rFonts w:hint="cs"/>
          <w:rtl/>
        </w:rPr>
        <w:t xml:space="preserve">). כל שנדרש מהמתקשר עם הממונה הוא אפוא לא להיכנס ביודעין לתוך תאונה משפטית. וכפי שמקובל על הצדדים כולם להליך זה, נטל סובייקטיבי זה מחייב גם, מטבע הדברים, כי הרוכש לא יעצום את עיניו מלראות את התרחשות התאונה המשפטית, ולא יתנהל בהליך נפש של חוסר איכפתיות (ראו והשוו: עניין </w:t>
      </w:r>
      <w:r w:rsidRPr="00B24EB9">
        <w:rPr>
          <w:rFonts w:ascii="Century" w:hAnsi="Century" w:cs="Miriam" w:hint="cs"/>
          <w:b/>
          <w:spacing w:val="0"/>
          <w:sz w:val="22"/>
          <w:szCs w:val="24"/>
          <w:rtl/>
        </w:rPr>
        <w:t>עלא</w:t>
      </w:r>
      <w:r>
        <w:rPr>
          <w:rFonts w:ascii="Century" w:hAnsi="Century" w:cs="Miriam" w:hint="cs"/>
          <w:b/>
          <w:spacing w:val="0"/>
          <w:sz w:val="22"/>
          <w:szCs w:val="24"/>
          <w:rtl/>
        </w:rPr>
        <w:t>-</w:t>
      </w:r>
      <w:r w:rsidRPr="00B24EB9">
        <w:rPr>
          <w:rFonts w:ascii="Century" w:hAnsi="Century" w:cs="Miriam" w:hint="cs"/>
          <w:b/>
          <w:spacing w:val="0"/>
          <w:sz w:val="22"/>
          <w:szCs w:val="24"/>
          <w:rtl/>
        </w:rPr>
        <w:t>אל</w:t>
      </w:r>
      <w:r>
        <w:rPr>
          <w:rFonts w:ascii="Century" w:hAnsi="Century" w:cs="Miriam" w:hint="cs"/>
          <w:b/>
          <w:spacing w:val="0"/>
          <w:sz w:val="22"/>
          <w:szCs w:val="24"/>
          <w:rtl/>
        </w:rPr>
        <w:t>-</w:t>
      </w:r>
      <w:r w:rsidRPr="00B24EB9">
        <w:rPr>
          <w:rFonts w:ascii="Century" w:hAnsi="Century" w:cs="Miriam" w:hint="cs"/>
          <w:b/>
          <w:spacing w:val="0"/>
          <w:sz w:val="22"/>
          <w:szCs w:val="24"/>
          <w:rtl/>
        </w:rPr>
        <w:t>דין</w:t>
      </w:r>
      <w:r>
        <w:rPr>
          <w:rFonts w:hint="cs"/>
          <w:rtl/>
        </w:rPr>
        <w:t xml:space="preserve">, בעמ' 437). </w:t>
      </w:r>
    </w:p>
    <w:p w:rsidR="004C7127" w:rsidRDefault="004C7127" w:rsidP="004C7127">
      <w:pPr>
        <w:pStyle w:val="Ruller4"/>
        <w:numPr>
          <w:ilvl w:val="0"/>
          <w:numId w:val="0"/>
        </w:numPr>
      </w:pPr>
    </w:p>
    <w:p w:rsidR="004C7127" w:rsidRDefault="004C7127" w:rsidP="004C7127">
      <w:pPr>
        <w:pStyle w:val="Ruller4"/>
        <w:rPr>
          <w:rtl/>
        </w:rPr>
      </w:pPr>
      <w:r>
        <w:rPr>
          <w:rFonts w:hint="cs"/>
          <w:rtl/>
        </w:rPr>
        <w:t>בצד האמור אציין כי חלק ניכר מהעסקאות שמבצע הממונה הן עם "גורמים מיישבים", ובראשם החטיבה להתיישבות בהסתדרות הציונית. שאלה היא אם לא ראוי להטיל על "שחקן מרכזי" שהוא גורם מתוחכם ובעל יכולות מקצועיות ומוסדיות כמו ההסתדרות הציונית חובה מוגברת מזו שמוטלת על אדם פרטי שמתקשר בעסקה עם הממונה. מדובר בעיני בשאלה לא פשוטה, בהינתן האפיונים האמורים, ובהיותה של ההסתדרות הציונית</w:t>
      </w:r>
      <w:r w:rsidDel="00AB6EB2">
        <w:rPr>
          <w:rFonts w:hint="cs"/>
          <w:rtl/>
        </w:rPr>
        <w:t xml:space="preserve"> </w:t>
      </w:r>
      <w:r>
        <w:rPr>
          <w:rFonts w:hint="cs"/>
          <w:rtl/>
        </w:rPr>
        <w:t xml:space="preserve">"שחקנית חוזרת", שמודעת למלוא המורכבויות שמתעוררות אגב עסקאות באזור (ראו והשוו: ע"א 1256/13 </w:t>
      </w:r>
      <w:r>
        <w:rPr>
          <w:rFonts w:ascii="Century" w:hAnsi="Century" w:cs="Miriam" w:hint="cs"/>
          <w:b/>
          <w:spacing w:val="0"/>
          <w:sz w:val="22"/>
          <w:szCs w:val="24"/>
          <w:rtl/>
        </w:rPr>
        <w:t>הקדש טנוס ווהבא אל חאג' נ' אזורים בניין (1965) בע"מ</w:t>
      </w:r>
      <w:r>
        <w:rPr>
          <w:rFonts w:ascii="Century" w:hAnsi="Century" w:hint="cs"/>
          <w:sz w:val="22"/>
          <w:rtl/>
        </w:rPr>
        <w:t>, פסקה 26 (16.1.2020);</w:t>
      </w:r>
      <w:r>
        <w:rPr>
          <w:rFonts w:ascii="Century" w:hAnsi="Century" w:cs="Miriam" w:hint="cs"/>
          <w:b/>
          <w:spacing w:val="0"/>
          <w:sz w:val="22"/>
          <w:szCs w:val="24"/>
          <w:rtl/>
        </w:rPr>
        <w:t xml:space="preserve"> </w:t>
      </w:r>
      <w:r>
        <w:rPr>
          <w:rFonts w:hint="cs"/>
          <w:rtl/>
        </w:rPr>
        <w:t xml:space="preserve">ע"א 7750/10 </w:t>
      </w:r>
      <w:r>
        <w:rPr>
          <w:rFonts w:ascii="Century" w:hAnsi="Century" w:cs="Miriam" w:hint="cs"/>
          <w:b/>
          <w:spacing w:val="0"/>
          <w:sz w:val="22"/>
          <w:szCs w:val="24"/>
          <w:rtl/>
        </w:rPr>
        <w:t>בן גיאת נ' הכשרת היישוב ביטוח בע"מ</w:t>
      </w:r>
      <w:r>
        <w:rPr>
          <w:rFonts w:ascii="Century" w:hAnsi="Century" w:hint="cs"/>
          <w:sz w:val="22"/>
          <w:rtl/>
        </w:rPr>
        <w:t xml:space="preserve">, פסקאות 23-22 לפסק דינו של השופט </w:t>
      </w:r>
      <w:r>
        <w:rPr>
          <w:rFonts w:ascii="Century" w:hAnsi="Century" w:cs="Miriam" w:hint="cs"/>
          <w:b/>
          <w:spacing w:val="0"/>
          <w:sz w:val="22"/>
          <w:szCs w:val="24"/>
          <w:rtl/>
        </w:rPr>
        <w:t>י' עמית</w:t>
      </w:r>
      <w:r>
        <w:rPr>
          <w:rFonts w:ascii="Century" w:hAnsi="Century" w:hint="cs"/>
          <w:sz w:val="22"/>
          <w:rtl/>
        </w:rPr>
        <w:t>, פסקה 5 לפסק דיני (11.8.2011)</w:t>
      </w:r>
      <w:r>
        <w:rPr>
          <w:rFonts w:hint="cs"/>
          <w:rtl/>
        </w:rPr>
        <w:t xml:space="preserve">). ואולם, סוגיה זו אינה נדרשת להכרעה בנסיבות המקרה דנן שבהן, כפי שאבהיר להלן, לא עמדה ההסתדרות הציונית אף ברף ה"רגיל" של תום הלב הסובייקטיבי. </w:t>
      </w:r>
    </w:p>
    <w:p w:rsidR="004C7127" w:rsidRDefault="004C7127" w:rsidP="004C7127">
      <w:pPr>
        <w:pStyle w:val="Ruller41"/>
        <w:rPr>
          <w:rtl/>
        </w:rPr>
      </w:pPr>
    </w:p>
    <w:p w:rsidR="004C7127" w:rsidRDefault="004C7127" w:rsidP="004C7127">
      <w:pPr>
        <w:pStyle w:val="1"/>
        <w:spacing w:before="0"/>
        <w:rPr>
          <w:rFonts w:ascii="Century" w:hAnsi="Century" w:cs="Miriam"/>
          <w:b/>
          <w:color w:val="auto"/>
          <w:spacing w:val="0"/>
          <w:sz w:val="22"/>
          <w:szCs w:val="24"/>
          <w:rtl/>
        </w:rPr>
      </w:pPr>
      <w:r>
        <w:rPr>
          <w:rFonts w:ascii="Century" w:hAnsi="Century" w:cs="Miriam" w:hint="cs"/>
          <w:b/>
          <w:color w:val="auto"/>
          <w:spacing w:val="0"/>
          <w:sz w:val="22"/>
          <w:szCs w:val="24"/>
          <w:rtl/>
        </w:rPr>
        <w:t xml:space="preserve">שאלות נוספות בדבר יתר תנאי סעיף 5 </w:t>
      </w:r>
    </w:p>
    <w:p w:rsidR="004C7127" w:rsidRDefault="004C7127" w:rsidP="004C7127">
      <w:pPr>
        <w:rPr>
          <w:rtl/>
        </w:rPr>
      </w:pPr>
    </w:p>
    <w:p w:rsidR="004C7127" w:rsidRDefault="004C7127" w:rsidP="004C7127">
      <w:pPr>
        <w:pStyle w:val="Ruller4"/>
        <w:rPr>
          <w:rtl/>
        </w:rPr>
      </w:pPr>
      <w:r>
        <w:rPr>
          <w:rFonts w:hint="cs"/>
          <w:rtl/>
        </w:rPr>
        <w:t xml:space="preserve">משסיימנו את הדיון בשאלת אמות המידה המשפטיות לבחינת עקרון תום הלב בסעיף 5, יכולנו לפנות ישירות ליישומן על המקרה דנן. עם זאת, כפי שהגדיר השופט </w:t>
      </w:r>
      <w:r w:rsidRPr="00AB6EB2">
        <w:rPr>
          <w:rFonts w:ascii="Century" w:hAnsi="Century" w:cs="Miriam" w:hint="cs"/>
          <w:b/>
          <w:spacing w:val="0"/>
          <w:sz w:val="22"/>
          <w:szCs w:val="24"/>
          <w:rtl/>
        </w:rPr>
        <w:t xml:space="preserve">י' עמית </w:t>
      </w:r>
      <w:r w:rsidRPr="00AB6EB2">
        <w:rPr>
          <w:rFonts w:ascii="Century" w:hAnsi="Century" w:hint="cs"/>
          <w:sz w:val="22"/>
          <w:rtl/>
        </w:rPr>
        <w:t xml:space="preserve">בהחלטתו להורות על קיום דיון נוסף, הדיון יתקיים גם </w:t>
      </w:r>
      <w:r w:rsidRPr="00AB6EB2">
        <w:rPr>
          <w:rFonts w:ascii="Century" w:hAnsi="Century" w:cs="Miriam" w:hint="cs"/>
          <w:b/>
          <w:spacing w:val="0"/>
          <w:sz w:val="22"/>
          <w:szCs w:val="24"/>
          <w:rtl/>
        </w:rPr>
        <w:t>ביישום</w:t>
      </w:r>
      <w:r w:rsidRPr="00AB6EB2">
        <w:rPr>
          <w:rFonts w:ascii="Century" w:hAnsi="Century" w:hint="cs"/>
          <w:sz w:val="22"/>
          <w:rtl/>
        </w:rPr>
        <w:t xml:space="preserve"> יתר תנאי סעיף 5. תנאים אלה נוגעים לשאלת קיומה של עסקה בין הממונה לבין "אדם אחר"; ול</w:t>
      </w:r>
      <w:r w:rsidRPr="00AB6EB2">
        <w:rPr>
          <w:rFonts w:hint="eastAsia"/>
          <w:sz w:val="22"/>
          <w:rtl/>
        </w:rPr>
        <w:t>כך</w:t>
      </w:r>
      <w:r w:rsidRPr="00AB6EB2">
        <w:rPr>
          <w:sz w:val="22"/>
          <w:rtl/>
        </w:rPr>
        <w:t xml:space="preserve"> </w:t>
      </w:r>
      <w:r w:rsidRPr="00AB6EB2">
        <w:rPr>
          <w:rFonts w:hint="eastAsia"/>
          <w:sz w:val="22"/>
          <w:rtl/>
        </w:rPr>
        <w:t>שמדובר</w:t>
      </w:r>
      <w:r w:rsidRPr="00AB6EB2">
        <w:rPr>
          <w:sz w:val="22"/>
          <w:rtl/>
        </w:rPr>
        <w:t xml:space="preserve"> </w:t>
      </w:r>
      <w:r w:rsidRPr="00AB6EB2">
        <w:rPr>
          <w:rFonts w:hint="eastAsia"/>
          <w:sz w:val="22"/>
          <w:rtl/>
        </w:rPr>
        <w:t>ברכוש</w:t>
      </w:r>
      <w:r w:rsidRPr="00AB6EB2">
        <w:rPr>
          <w:sz w:val="22"/>
          <w:rtl/>
        </w:rPr>
        <w:t xml:space="preserve"> </w:t>
      </w:r>
      <w:r w:rsidRPr="00AB6EB2">
        <w:rPr>
          <w:rFonts w:hint="eastAsia"/>
          <w:sz w:val="22"/>
          <w:rtl/>
        </w:rPr>
        <w:t>שאותו</w:t>
      </w:r>
      <w:r w:rsidRPr="00AB6EB2">
        <w:rPr>
          <w:sz w:val="22"/>
          <w:rtl/>
        </w:rPr>
        <w:t xml:space="preserve"> </w:t>
      </w:r>
      <w:r w:rsidRPr="00AB6EB2">
        <w:rPr>
          <w:rFonts w:hint="eastAsia"/>
          <w:sz w:val="22"/>
          <w:rtl/>
        </w:rPr>
        <w:t>חשב</w:t>
      </w:r>
      <w:r w:rsidRPr="00AB6EB2">
        <w:rPr>
          <w:sz w:val="22"/>
          <w:rtl/>
        </w:rPr>
        <w:t xml:space="preserve"> </w:t>
      </w:r>
      <w:r w:rsidRPr="00AB6EB2">
        <w:rPr>
          <w:rFonts w:hint="eastAsia"/>
          <w:sz w:val="22"/>
          <w:rtl/>
        </w:rPr>
        <w:t>הממונה</w:t>
      </w:r>
      <w:r w:rsidRPr="00AB6EB2">
        <w:rPr>
          <w:sz w:val="22"/>
          <w:rtl/>
        </w:rPr>
        <w:t xml:space="preserve">, </w:t>
      </w:r>
      <w:r w:rsidRPr="00AB6EB2">
        <w:rPr>
          <w:rFonts w:hint="eastAsia"/>
          <w:sz w:val="22"/>
          <w:rtl/>
        </w:rPr>
        <w:t>בשעת</w:t>
      </w:r>
      <w:r w:rsidRPr="00AB6EB2">
        <w:rPr>
          <w:sz w:val="22"/>
          <w:rtl/>
        </w:rPr>
        <w:t xml:space="preserve"> </w:t>
      </w:r>
      <w:r w:rsidRPr="00AB6EB2">
        <w:rPr>
          <w:rFonts w:hint="eastAsia"/>
          <w:sz w:val="22"/>
          <w:rtl/>
        </w:rPr>
        <w:t>העסקה</w:t>
      </w:r>
      <w:r w:rsidRPr="00AB6EB2">
        <w:rPr>
          <w:sz w:val="22"/>
          <w:rtl/>
        </w:rPr>
        <w:t xml:space="preserve">, </w:t>
      </w:r>
      <w:r w:rsidRPr="00AB6EB2">
        <w:rPr>
          <w:rFonts w:hint="eastAsia"/>
          <w:sz w:val="22"/>
          <w:rtl/>
        </w:rPr>
        <w:t>לרכוש</w:t>
      </w:r>
      <w:r w:rsidRPr="00AB6EB2">
        <w:rPr>
          <w:sz w:val="22"/>
          <w:rtl/>
        </w:rPr>
        <w:t xml:space="preserve"> </w:t>
      </w:r>
      <w:r w:rsidRPr="00AB6EB2">
        <w:rPr>
          <w:rFonts w:hint="eastAsia"/>
          <w:sz w:val="22"/>
          <w:rtl/>
        </w:rPr>
        <w:t>ממשלתי</w:t>
      </w:r>
      <w:r w:rsidRPr="00AB6EB2">
        <w:rPr>
          <w:sz w:val="22"/>
          <w:rtl/>
        </w:rPr>
        <w:t xml:space="preserve">. </w:t>
      </w:r>
      <w:r w:rsidRPr="00AB6EB2">
        <w:rPr>
          <w:rFonts w:hint="eastAsia"/>
          <w:sz w:val="22"/>
          <w:rtl/>
        </w:rPr>
        <w:t>הנשיאה</w:t>
      </w:r>
      <w:r w:rsidRPr="00AB6EB2">
        <w:rPr>
          <w:sz w:val="22"/>
          <w:rtl/>
        </w:rPr>
        <w:t xml:space="preserve"> </w:t>
      </w:r>
      <w:r w:rsidRPr="00AB6EB2">
        <w:rPr>
          <w:rFonts w:cs="Miriam" w:hint="eastAsia"/>
          <w:b/>
          <w:spacing w:val="0"/>
          <w:sz w:val="22"/>
          <w:szCs w:val="24"/>
          <w:rtl/>
        </w:rPr>
        <w:t>א</w:t>
      </w:r>
      <w:r w:rsidRPr="00AB6EB2">
        <w:rPr>
          <w:rFonts w:cs="Miriam"/>
          <w:b/>
          <w:spacing w:val="0"/>
          <w:sz w:val="22"/>
          <w:szCs w:val="24"/>
          <w:rtl/>
        </w:rPr>
        <w:t xml:space="preserve">' </w:t>
      </w:r>
      <w:r w:rsidRPr="00AB6EB2">
        <w:rPr>
          <w:rFonts w:cs="Miriam" w:hint="eastAsia"/>
          <w:b/>
          <w:spacing w:val="0"/>
          <w:sz w:val="22"/>
          <w:szCs w:val="24"/>
          <w:rtl/>
        </w:rPr>
        <w:t>חיות</w:t>
      </w:r>
      <w:r w:rsidRPr="00AB6EB2">
        <w:rPr>
          <w:sz w:val="22"/>
          <w:rtl/>
        </w:rPr>
        <w:t xml:space="preserve"> </w:t>
      </w:r>
      <w:r w:rsidRPr="00AB6EB2">
        <w:rPr>
          <w:rFonts w:hint="eastAsia"/>
          <w:sz w:val="22"/>
          <w:rtl/>
        </w:rPr>
        <w:t>התייחסה</w:t>
      </w:r>
      <w:r w:rsidRPr="00AB6EB2">
        <w:rPr>
          <w:sz w:val="22"/>
          <w:rtl/>
        </w:rPr>
        <w:t xml:space="preserve"> </w:t>
      </w:r>
      <w:r w:rsidRPr="00AB6EB2">
        <w:rPr>
          <w:rFonts w:hint="eastAsia"/>
          <w:sz w:val="22"/>
          <w:rtl/>
        </w:rPr>
        <w:t>בפסק</w:t>
      </w:r>
      <w:r w:rsidRPr="00AB6EB2">
        <w:rPr>
          <w:sz w:val="22"/>
          <w:rtl/>
        </w:rPr>
        <w:t xml:space="preserve"> </w:t>
      </w:r>
      <w:r w:rsidRPr="00AB6EB2">
        <w:rPr>
          <w:rFonts w:hint="eastAsia"/>
          <w:sz w:val="22"/>
          <w:rtl/>
        </w:rPr>
        <w:t>דינה</w:t>
      </w:r>
      <w:r w:rsidRPr="00AB6EB2">
        <w:rPr>
          <w:sz w:val="22"/>
          <w:rtl/>
        </w:rPr>
        <w:t xml:space="preserve"> </w:t>
      </w:r>
      <w:r w:rsidRPr="00AB6EB2">
        <w:rPr>
          <w:rFonts w:hint="eastAsia"/>
          <w:sz w:val="22"/>
          <w:rtl/>
        </w:rPr>
        <w:t>לקשיים</w:t>
      </w:r>
      <w:r w:rsidRPr="00AB6EB2">
        <w:rPr>
          <w:sz w:val="22"/>
          <w:rtl/>
        </w:rPr>
        <w:t xml:space="preserve"> </w:t>
      </w:r>
      <w:r w:rsidRPr="00AB6EB2">
        <w:rPr>
          <w:rFonts w:cs="Miriam" w:hint="eastAsia"/>
          <w:b/>
          <w:spacing w:val="0"/>
          <w:sz w:val="22"/>
          <w:szCs w:val="24"/>
          <w:rtl/>
        </w:rPr>
        <w:t>עקרוניים</w:t>
      </w:r>
      <w:r w:rsidRPr="00AB6EB2">
        <w:rPr>
          <w:rFonts w:cs="Miriam"/>
          <w:b/>
          <w:spacing w:val="0"/>
          <w:sz w:val="22"/>
          <w:szCs w:val="24"/>
          <w:rtl/>
        </w:rPr>
        <w:t>-</w:t>
      </w:r>
      <w:r w:rsidRPr="00AB6EB2">
        <w:rPr>
          <w:rFonts w:cs="Miriam" w:hint="eastAsia"/>
          <w:b/>
          <w:spacing w:val="0"/>
          <w:sz w:val="22"/>
          <w:szCs w:val="24"/>
          <w:rtl/>
        </w:rPr>
        <w:t>משפטיים</w:t>
      </w:r>
      <w:r w:rsidRPr="00AB6EB2">
        <w:rPr>
          <w:sz w:val="22"/>
          <w:rtl/>
        </w:rPr>
        <w:t xml:space="preserve"> </w:t>
      </w:r>
      <w:r w:rsidRPr="00AB6EB2">
        <w:rPr>
          <w:rFonts w:hint="eastAsia"/>
          <w:sz w:val="22"/>
          <w:rtl/>
        </w:rPr>
        <w:t>שמתעוררים</w:t>
      </w:r>
      <w:r w:rsidRPr="00AB6EB2">
        <w:rPr>
          <w:sz w:val="22"/>
          <w:rtl/>
        </w:rPr>
        <w:t xml:space="preserve"> </w:t>
      </w:r>
      <w:r w:rsidRPr="00AB6EB2">
        <w:rPr>
          <w:rFonts w:hint="eastAsia"/>
          <w:sz w:val="22"/>
          <w:rtl/>
        </w:rPr>
        <w:t>אגב</w:t>
      </w:r>
      <w:r w:rsidRPr="00AB6EB2">
        <w:rPr>
          <w:sz w:val="22"/>
          <w:rtl/>
        </w:rPr>
        <w:t xml:space="preserve"> </w:t>
      </w:r>
      <w:r w:rsidRPr="00AB6EB2">
        <w:rPr>
          <w:rFonts w:hint="eastAsia"/>
          <w:sz w:val="22"/>
          <w:rtl/>
        </w:rPr>
        <w:t>יישום</w:t>
      </w:r>
      <w:r w:rsidRPr="00AB6EB2">
        <w:rPr>
          <w:sz w:val="22"/>
          <w:rtl/>
        </w:rPr>
        <w:t xml:space="preserve"> </w:t>
      </w:r>
      <w:r w:rsidRPr="00AB6EB2">
        <w:rPr>
          <w:rFonts w:hint="eastAsia"/>
          <w:sz w:val="22"/>
          <w:rtl/>
        </w:rPr>
        <w:t>הדין</w:t>
      </w:r>
      <w:r w:rsidRPr="00AB6EB2">
        <w:rPr>
          <w:sz w:val="22"/>
          <w:rtl/>
        </w:rPr>
        <w:t xml:space="preserve"> </w:t>
      </w:r>
      <w:r w:rsidRPr="00AB6EB2">
        <w:rPr>
          <w:rFonts w:hint="eastAsia"/>
          <w:sz w:val="22"/>
          <w:rtl/>
        </w:rPr>
        <w:t>במקרה</w:t>
      </w:r>
      <w:r w:rsidRPr="00AB6EB2">
        <w:rPr>
          <w:sz w:val="22"/>
          <w:rtl/>
        </w:rPr>
        <w:t xml:space="preserve"> </w:t>
      </w:r>
      <w:r w:rsidRPr="00AB6EB2">
        <w:rPr>
          <w:rFonts w:hint="eastAsia"/>
          <w:sz w:val="22"/>
          <w:rtl/>
        </w:rPr>
        <w:t>דנן</w:t>
      </w:r>
      <w:r w:rsidRPr="00AB6EB2">
        <w:rPr>
          <w:sz w:val="22"/>
          <w:rtl/>
        </w:rPr>
        <w:t xml:space="preserve"> </w:t>
      </w:r>
      <w:r w:rsidRPr="00AB6EB2">
        <w:rPr>
          <w:rFonts w:hint="eastAsia"/>
          <w:sz w:val="22"/>
          <w:rtl/>
        </w:rPr>
        <w:t>בכל</w:t>
      </w:r>
      <w:r w:rsidRPr="00AB6EB2">
        <w:rPr>
          <w:sz w:val="22"/>
          <w:rtl/>
        </w:rPr>
        <w:t xml:space="preserve"> </w:t>
      </w:r>
      <w:r w:rsidRPr="00AB6EB2">
        <w:rPr>
          <w:rFonts w:hint="eastAsia"/>
          <w:sz w:val="22"/>
          <w:rtl/>
        </w:rPr>
        <w:t>הנוגע</w:t>
      </w:r>
      <w:r w:rsidRPr="00AB6EB2">
        <w:rPr>
          <w:sz w:val="22"/>
          <w:rtl/>
        </w:rPr>
        <w:t xml:space="preserve"> </w:t>
      </w:r>
      <w:r w:rsidRPr="00AB6EB2">
        <w:rPr>
          <w:rFonts w:hint="eastAsia"/>
          <w:sz w:val="22"/>
          <w:rtl/>
        </w:rPr>
        <w:t>לתנאים</w:t>
      </w:r>
      <w:r w:rsidRPr="00AB6EB2">
        <w:rPr>
          <w:sz w:val="22"/>
          <w:rtl/>
        </w:rPr>
        <w:t xml:space="preserve"> </w:t>
      </w:r>
      <w:r w:rsidRPr="00AB6EB2">
        <w:rPr>
          <w:rFonts w:hint="eastAsia"/>
          <w:sz w:val="22"/>
          <w:rtl/>
        </w:rPr>
        <w:t>אלה</w:t>
      </w:r>
      <w:r w:rsidRPr="00AB6EB2">
        <w:rPr>
          <w:sz w:val="22"/>
          <w:rtl/>
        </w:rPr>
        <w:t xml:space="preserve">: </w:t>
      </w:r>
      <w:r w:rsidRPr="00AB6EB2">
        <w:rPr>
          <w:rFonts w:hint="eastAsia"/>
          <w:sz w:val="22"/>
          <w:rtl/>
        </w:rPr>
        <w:t>האם</w:t>
      </w:r>
      <w:r w:rsidRPr="00AB6EB2">
        <w:rPr>
          <w:sz w:val="22"/>
          <w:rtl/>
        </w:rPr>
        <w:t xml:space="preserve"> </w:t>
      </w:r>
      <w:r w:rsidRPr="00AB6EB2">
        <w:rPr>
          <w:rFonts w:hint="eastAsia"/>
          <w:sz w:val="22"/>
          <w:rtl/>
        </w:rPr>
        <w:t>ניתן</w:t>
      </w:r>
      <w:r w:rsidRPr="00AB6EB2">
        <w:rPr>
          <w:sz w:val="22"/>
          <w:rtl/>
        </w:rPr>
        <w:t xml:space="preserve"> </w:t>
      </w:r>
      <w:r w:rsidRPr="00AB6EB2">
        <w:rPr>
          <w:rFonts w:hint="eastAsia"/>
          <w:sz w:val="22"/>
          <w:rtl/>
        </w:rPr>
        <w:t>לראות</w:t>
      </w:r>
      <w:r w:rsidRPr="00AB6EB2">
        <w:rPr>
          <w:sz w:val="22"/>
          <w:rtl/>
        </w:rPr>
        <w:t xml:space="preserve"> </w:t>
      </w:r>
      <w:r w:rsidRPr="00AB6EB2">
        <w:rPr>
          <w:rFonts w:hint="eastAsia"/>
          <w:sz w:val="22"/>
          <w:rtl/>
        </w:rPr>
        <w:t>בגורם</w:t>
      </w:r>
      <w:r w:rsidRPr="00AB6EB2">
        <w:rPr>
          <w:sz w:val="22"/>
          <w:rtl/>
        </w:rPr>
        <w:t xml:space="preserve"> </w:t>
      </w:r>
      <w:r w:rsidRPr="00AB6EB2">
        <w:rPr>
          <w:rFonts w:hint="eastAsia"/>
          <w:sz w:val="22"/>
          <w:rtl/>
        </w:rPr>
        <w:t>מיישב</w:t>
      </w:r>
      <w:r w:rsidRPr="00AB6EB2">
        <w:rPr>
          <w:sz w:val="22"/>
          <w:rtl/>
        </w:rPr>
        <w:t xml:space="preserve"> </w:t>
      </w:r>
      <w:r w:rsidRPr="00AB6EB2">
        <w:rPr>
          <w:rFonts w:hint="eastAsia"/>
          <w:sz w:val="22"/>
          <w:rtl/>
        </w:rPr>
        <w:t>דוגמת</w:t>
      </w:r>
      <w:r w:rsidRPr="00AB6EB2">
        <w:rPr>
          <w:sz w:val="22"/>
          <w:rtl/>
        </w:rPr>
        <w:t xml:space="preserve"> </w:t>
      </w:r>
      <w:r w:rsidRPr="00AB6EB2">
        <w:rPr>
          <w:rFonts w:hint="eastAsia"/>
          <w:sz w:val="22"/>
          <w:rtl/>
        </w:rPr>
        <w:t>ההסתדרות</w:t>
      </w:r>
      <w:r w:rsidRPr="00AB6EB2">
        <w:rPr>
          <w:sz w:val="22"/>
          <w:rtl/>
        </w:rPr>
        <w:t xml:space="preserve"> </w:t>
      </w:r>
      <w:r w:rsidRPr="00AB6EB2">
        <w:rPr>
          <w:rFonts w:hint="eastAsia"/>
          <w:sz w:val="22"/>
          <w:rtl/>
        </w:rPr>
        <w:t>הציונית</w:t>
      </w:r>
      <w:r w:rsidRPr="00AB6EB2">
        <w:rPr>
          <w:sz w:val="22"/>
          <w:rtl/>
        </w:rPr>
        <w:t xml:space="preserve"> "</w:t>
      </w:r>
      <w:r w:rsidRPr="00AB6EB2">
        <w:rPr>
          <w:rFonts w:hint="eastAsia"/>
          <w:sz w:val="22"/>
          <w:rtl/>
        </w:rPr>
        <w:t>אדם</w:t>
      </w:r>
      <w:r w:rsidRPr="00AB6EB2">
        <w:rPr>
          <w:sz w:val="22"/>
          <w:rtl/>
        </w:rPr>
        <w:t xml:space="preserve"> </w:t>
      </w:r>
      <w:r w:rsidRPr="00AB6EB2">
        <w:rPr>
          <w:rFonts w:hint="eastAsia"/>
          <w:sz w:val="22"/>
          <w:rtl/>
        </w:rPr>
        <w:t>אחר</w:t>
      </w:r>
      <w:r w:rsidRPr="00AB6EB2">
        <w:rPr>
          <w:sz w:val="22"/>
          <w:rtl/>
        </w:rPr>
        <w:t xml:space="preserve">" </w:t>
      </w:r>
      <w:r w:rsidRPr="00AB6EB2">
        <w:rPr>
          <w:rFonts w:hint="eastAsia"/>
          <w:sz w:val="22"/>
          <w:rtl/>
        </w:rPr>
        <w:t>לצורך</w:t>
      </w:r>
      <w:r w:rsidRPr="00AB6EB2">
        <w:rPr>
          <w:sz w:val="22"/>
          <w:rtl/>
        </w:rPr>
        <w:t xml:space="preserve"> </w:t>
      </w:r>
      <w:r w:rsidRPr="00AB6EB2">
        <w:rPr>
          <w:rFonts w:hint="eastAsia"/>
          <w:sz w:val="22"/>
          <w:rtl/>
        </w:rPr>
        <w:t>הסעיף</w:t>
      </w:r>
      <w:r>
        <w:rPr>
          <w:rFonts w:hint="cs"/>
          <w:sz w:val="22"/>
          <w:rtl/>
        </w:rPr>
        <w:t xml:space="preserve"> (השוו בהקשר זה לדעת המיעוט של השופט </w:t>
      </w:r>
      <w:r>
        <w:rPr>
          <w:rFonts w:ascii="Century" w:hAnsi="Century" w:cs="Miriam" w:hint="cs"/>
          <w:b/>
          <w:spacing w:val="0"/>
          <w:sz w:val="22"/>
          <w:szCs w:val="24"/>
          <w:rtl/>
        </w:rPr>
        <w:t xml:space="preserve">ג' קרא </w:t>
      </w:r>
      <w:r>
        <w:rPr>
          <w:rFonts w:ascii="Century" w:hAnsi="Century" w:hint="cs"/>
          <w:sz w:val="22"/>
          <w:rtl/>
        </w:rPr>
        <w:t xml:space="preserve">בעניין </w:t>
      </w:r>
      <w:r>
        <w:rPr>
          <w:rFonts w:ascii="Century" w:hAnsi="Century" w:cs="Miriam" w:hint="cs"/>
          <w:b/>
          <w:spacing w:val="0"/>
          <w:sz w:val="22"/>
          <w:szCs w:val="24"/>
          <w:rtl/>
        </w:rPr>
        <w:t>עקל</w:t>
      </w:r>
      <w:r>
        <w:rPr>
          <w:rFonts w:hint="cs"/>
          <w:sz w:val="22"/>
          <w:rtl/>
        </w:rPr>
        <w:t>, פסקאות 56-48)</w:t>
      </w:r>
      <w:r w:rsidRPr="00AB6EB2">
        <w:rPr>
          <w:sz w:val="22"/>
          <w:rtl/>
        </w:rPr>
        <w:t xml:space="preserve">; </w:t>
      </w:r>
      <w:r w:rsidRPr="00AB6EB2">
        <w:rPr>
          <w:rFonts w:hint="eastAsia"/>
          <w:sz w:val="22"/>
          <w:rtl/>
        </w:rPr>
        <w:t>האם</w:t>
      </w:r>
      <w:r w:rsidRPr="00AB6EB2">
        <w:rPr>
          <w:sz w:val="22"/>
          <w:rtl/>
        </w:rPr>
        <w:t xml:space="preserve"> </w:t>
      </w:r>
      <w:r w:rsidRPr="00AB6EB2">
        <w:rPr>
          <w:rFonts w:hint="eastAsia"/>
          <w:sz w:val="22"/>
          <w:rtl/>
        </w:rPr>
        <w:t>עסקה</w:t>
      </w:r>
      <w:r w:rsidRPr="00AB6EB2">
        <w:rPr>
          <w:sz w:val="22"/>
          <w:rtl/>
        </w:rPr>
        <w:t xml:space="preserve"> </w:t>
      </w:r>
      <w:r w:rsidRPr="00AB6EB2">
        <w:rPr>
          <w:rFonts w:hint="eastAsia"/>
          <w:sz w:val="22"/>
          <w:rtl/>
        </w:rPr>
        <w:t>שלא</w:t>
      </w:r>
      <w:r w:rsidRPr="00AB6EB2">
        <w:rPr>
          <w:sz w:val="22"/>
          <w:rtl/>
        </w:rPr>
        <w:t xml:space="preserve"> </w:t>
      </w:r>
      <w:r w:rsidRPr="00AB6EB2">
        <w:rPr>
          <w:rFonts w:hint="eastAsia"/>
          <w:sz w:val="22"/>
          <w:rtl/>
        </w:rPr>
        <w:t>הסתיימה</w:t>
      </w:r>
      <w:r w:rsidRPr="00AB6EB2">
        <w:rPr>
          <w:sz w:val="22"/>
          <w:rtl/>
        </w:rPr>
        <w:t xml:space="preserve"> </w:t>
      </w:r>
      <w:r w:rsidRPr="00AB6EB2">
        <w:rPr>
          <w:rFonts w:hint="eastAsia"/>
          <w:sz w:val="22"/>
          <w:rtl/>
        </w:rPr>
        <w:t>ברישום</w:t>
      </w:r>
      <w:r w:rsidRPr="00AB6EB2">
        <w:rPr>
          <w:sz w:val="22"/>
          <w:rtl/>
        </w:rPr>
        <w:t xml:space="preserve"> </w:t>
      </w:r>
      <w:r w:rsidRPr="00AB6EB2">
        <w:rPr>
          <w:rFonts w:hint="eastAsia"/>
          <w:sz w:val="22"/>
          <w:rtl/>
        </w:rPr>
        <w:t>היא</w:t>
      </w:r>
      <w:r w:rsidRPr="00AB6EB2">
        <w:rPr>
          <w:sz w:val="22"/>
          <w:rtl/>
        </w:rPr>
        <w:t xml:space="preserve"> </w:t>
      </w:r>
      <w:r w:rsidRPr="00AB6EB2">
        <w:rPr>
          <w:rFonts w:hint="eastAsia"/>
          <w:sz w:val="22"/>
          <w:rtl/>
        </w:rPr>
        <w:t>עסקה</w:t>
      </w:r>
      <w:r w:rsidRPr="00AB6EB2">
        <w:rPr>
          <w:sz w:val="22"/>
          <w:rtl/>
        </w:rPr>
        <w:t xml:space="preserve"> </w:t>
      </w:r>
      <w:r w:rsidRPr="00AB6EB2">
        <w:rPr>
          <w:rFonts w:hint="eastAsia"/>
          <w:sz w:val="22"/>
          <w:rtl/>
        </w:rPr>
        <w:t>לצור</w:t>
      </w:r>
      <w:r>
        <w:rPr>
          <w:rFonts w:hint="cs"/>
          <w:sz w:val="22"/>
          <w:rtl/>
        </w:rPr>
        <w:t>ך</w:t>
      </w:r>
      <w:r w:rsidRPr="00AB6EB2">
        <w:rPr>
          <w:sz w:val="22"/>
          <w:rtl/>
        </w:rPr>
        <w:t xml:space="preserve"> </w:t>
      </w:r>
      <w:r w:rsidRPr="00AB6EB2">
        <w:rPr>
          <w:rFonts w:hint="eastAsia"/>
          <w:sz w:val="22"/>
          <w:rtl/>
        </w:rPr>
        <w:t>סעיף</w:t>
      </w:r>
      <w:r w:rsidRPr="00AB6EB2">
        <w:rPr>
          <w:sz w:val="22"/>
          <w:rtl/>
        </w:rPr>
        <w:t xml:space="preserve"> 5 (</w:t>
      </w:r>
      <w:r w:rsidRPr="00AB6EB2">
        <w:rPr>
          <w:rFonts w:hint="eastAsia"/>
          <w:sz w:val="22"/>
          <w:rtl/>
        </w:rPr>
        <w:t>בשתי</w:t>
      </w:r>
      <w:r w:rsidRPr="00AB6EB2">
        <w:rPr>
          <w:sz w:val="22"/>
          <w:rtl/>
        </w:rPr>
        <w:t xml:space="preserve"> </w:t>
      </w:r>
      <w:r w:rsidRPr="00AB6EB2">
        <w:rPr>
          <w:rFonts w:hint="eastAsia"/>
          <w:sz w:val="22"/>
          <w:rtl/>
        </w:rPr>
        <w:t>שאלות</w:t>
      </w:r>
      <w:r w:rsidRPr="00AB6EB2">
        <w:rPr>
          <w:sz w:val="22"/>
          <w:rtl/>
        </w:rPr>
        <w:t xml:space="preserve"> </w:t>
      </w:r>
      <w:r w:rsidRPr="00AB6EB2">
        <w:rPr>
          <w:rFonts w:hint="eastAsia"/>
          <w:sz w:val="22"/>
          <w:rtl/>
        </w:rPr>
        <w:t>אלו</w:t>
      </w:r>
      <w:r w:rsidRPr="00AB6EB2">
        <w:rPr>
          <w:sz w:val="22"/>
          <w:rtl/>
        </w:rPr>
        <w:t xml:space="preserve"> </w:t>
      </w:r>
      <w:r w:rsidRPr="00AB6EB2">
        <w:rPr>
          <w:rFonts w:hint="eastAsia"/>
          <w:sz w:val="22"/>
          <w:rtl/>
        </w:rPr>
        <w:t>לא</w:t>
      </w:r>
      <w:r w:rsidRPr="00AB6EB2">
        <w:rPr>
          <w:sz w:val="22"/>
          <w:rtl/>
        </w:rPr>
        <w:t xml:space="preserve"> </w:t>
      </w:r>
      <w:r w:rsidRPr="00AB6EB2">
        <w:rPr>
          <w:rFonts w:hint="eastAsia"/>
          <w:sz w:val="22"/>
          <w:rtl/>
        </w:rPr>
        <w:t>הכריעה</w:t>
      </w:r>
      <w:r w:rsidRPr="00AB6EB2">
        <w:rPr>
          <w:sz w:val="22"/>
          <w:rtl/>
        </w:rPr>
        <w:t xml:space="preserve"> </w:t>
      </w:r>
      <w:r w:rsidRPr="00AB6EB2">
        <w:rPr>
          <w:rFonts w:hint="eastAsia"/>
          <w:sz w:val="22"/>
          <w:rtl/>
        </w:rPr>
        <w:t>הנשיאה</w:t>
      </w:r>
      <w:r w:rsidRPr="00AB6EB2">
        <w:rPr>
          <w:sz w:val="22"/>
          <w:rtl/>
        </w:rPr>
        <w:t xml:space="preserve">, </w:t>
      </w:r>
      <w:r w:rsidRPr="00AB6EB2">
        <w:rPr>
          <w:rFonts w:hint="eastAsia"/>
          <w:sz w:val="22"/>
          <w:rtl/>
        </w:rPr>
        <w:t>פסקה</w:t>
      </w:r>
      <w:r w:rsidRPr="00AB6EB2">
        <w:rPr>
          <w:sz w:val="22"/>
          <w:rtl/>
        </w:rPr>
        <w:t xml:space="preserve"> 40 </w:t>
      </w:r>
      <w:r w:rsidRPr="00AB6EB2">
        <w:rPr>
          <w:rFonts w:hint="eastAsia"/>
          <w:sz w:val="22"/>
          <w:rtl/>
        </w:rPr>
        <w:t>לפסק</w:t>
      </w:r>
      <w:r w:rsidRPr="00AB6EB2">
        <w:rPr>
          <w:sz w:val="22"/>
          <w:rtl/>
        </w:rPr>
        <w:t xml:space="preserve"> </w:t>
      </w:r>
      <w:r w:rsidRPr="00AB6EB2">
        <w:rPr>
          <w:rFonts w:hint="eastAsia"/>
          <w:sz w:val="22"/>
          <w:rtl/>
        </w:rPr>
        <w:t>דינה</w:t>
      </w:r>
      <w:r w:rsidRPr="00AB6EB2">
        <w:rPr>
          <w:sz w:val="22"/>
          <w:rtl/>
        </w:rPr>
        <w:t xml:space="preserve">); </w:t>
      </w:r>
      <w:r w:rsidRPr="00AB6EB2">
        <w:rPr>
          <w:rFonts w:hint="eastAsia"/>
          <w:sz w:val="22"/>
          <w:rtl/>
        </w:rPr>
        <w:t>והאם</w:t>
      </w:r>
      <w:r w:rsidRPr="00AB6EB2">
        <w:rPr>
          <w:sz w:val="22"/>
          <w:rtl/>
        </w:rPr>
        <w:t xml:space="preserve"> </w:t>
      </w:r>
      <w:r w:rsidRPr="00AB6EB2">
        <w:rPr>
          <w:rFonts w:hint="eastAsia"/>
          <w:sz w:val="22"/>
          <w:rtl/>
        </w:rPr>
        <w:t>שטח</w:t>
      </w:r>
      <w:r w:rsidRPr="00AB6EB2">
        <w:rPr>
          <w:sz w:val="22"/>
          <w:rtl/>
        </w:rPr>
        <w:t xml:space="preserve"> </w:t>
      </w:r>
      <w:r w:rsidRPr="00AB6EB2">
        <w:rPr>
          <w:rFonts w:hint="eastAsia"/>
          <w:sz w:val="22"/>
          <w:rtl/>
        </w:rPr>
        <w:t>שנתפס</w:t>
      </w:r>
      <w:r w:rsidRPr="00AB6EB2">
        <w:rPr>
          <w:sz w:val="22"/>
          <w:rtl/>
        </w:rPr>
        <w:t xml:space="preserve"> </w:t>
      </w:r>
      <w:r w:rsidRPr="00AB6EB2">
        <w:rPr>
          <w:rFonts w:cs="Miriam" w:hint="eastAsia"/>
          <w:b/>
          <w:spacing w:val="0"/>
          <w:sz w:val="22"/>
          <w:szCs w:val="24"/>
          <w:rtl/>
        </w:rPr>
        <w:t>בצו</w:t>
      </w:r>
      <w:r w:rsidRPr="00AB6EB2">
        <w:rPr>
          <w:rFonts w:cs="Miriam"/>
          <w:b/>
          <w:spacing w:val="0"/>
          <w:sz w:val="22"/>
          <w:szCs w:val="24"/>
          <w:rtl/>
        </w:rPr>
        <w:t xml:space="preserve"> </w:t>
      </w:r>
      <w:r w:rsidRPr="00AB6EB2">
        <w:rPr>
          <w:rFonts w:cs="Miriam" w:hint="eastAsia"/>
          <w:b/>
          <w:spacing w:val="0"/>
          <w:sz w:val="22"/>
          <w:szCs w:val="24"/>
          <w:rtl/>
        </w:rPr>
        <w:t>תפיסה</w:t>
      </w:r>
      <w:r w:rsidRPr="00AB6EB2">
        <w:rPr>
          <w:rFonts w:cs="Miriam"/>
          <w:b/>
          <w:spacing w:val="0"/>
          <w:sz w:val="22"/>
          <w:szCs w:val="24"/>
          <w:rtl/>
        </w:rPr>
        <w:t xml:space="preserve"> </w:t>
      </w:r>
      <w:r w:rsidRPr="00AB6EB2">
        <w:rPr>
          <w:rFonts w:hint="eastAsia"/>
          <w:sz w:val="22"/>
          <w:rtl/>
        </w:rPr>
        <w:t>לצרכים</w:t>
      </w:r>
      <w:r w:rsidRPr="00AB6EB2">
        <w:rPr>
          <w:sz w:val="22"/>
          <w:rtl/>
        </w:rPr>
        <w:t xml:space="preserve"> </w:t>
      </w:r>
      <w:r w:rsidRPr="00AB6EB2">
        <w:rPr>
          <w:rFonts w:hint="eastAsia"/>
          <w:sz w:val="22"/>
          <w:rtl/>
        </w:rPr>
        <w:t>צבאיים</w:t>
      </w:r>
      <w:r w:rsidRPr="00AB6EB2">
        <w:rPr>
          <w:sz w:val="22"/>
          <w:rtl/>
        </w:rPr>
        <w:t xml:space="preserve"> </w:t>
      </w:r>
      <w:r w:rsidRPr="00AB6EB2">
        <w:rPr>
          <w:rFonts w:hint="eastAsia"/>
          <w:sz w:val="22"/>
          <w:rtl/>
        </w:rPr>
        <w:t>הוא</w:t>
      </w:r>
      <w:r w:rsidRPr="00AB6EB2">
        <w:rPr>
          <w:sz w:val="22"/>
          <w:rtl/>
        </w:rPr>
        <w:t xml:space="preserve"> </w:t>
      </w:r>
      <w:r w:rsidRPr="00AB6EB2">
        <w:rPr>
          <w:rFonts w:hint="eastAsia"/>
          <w:sz w:val="22"/>
          <w:rtl/>
        </w:rPr>
        <w:t>בבחינת</w:t>
      </w:r>
      <w:r w:rsidRPr="00AB6EB2">
        <w:rPr>
          <w:sz w:val="22"/>
          <w:rtl/>
        </w:rPr>
        <w:t xml:space="preserve"> "</w:t>
      </w:r>
      <w:r w:rsidRPr="00AB6EB2">
        <w:rPr>
          <w:rFonts w:hint="eastAsia"/>
          <w:sz w:val="22"/>
          <w:rtl/>
        </w:rPr>
        <w:t>רכוש</w:t>
      </w:r>
      <w:r w:rsidRPr="00AB6EB2">
        <w:rPr>
          <w:sz w:val="22"/>
          <w:rtl/>
        </w:rPr>
        <w:t xml:space="preserve"> </w:t>
      </w:r>
      <w:r w:rsidRPr="00AB6EB2">
        <w:rPr>
          <w:rFonts w:hint="eastAsia"/>
          <w:sz w:val="22"/>
          <w:rtl/>
        </w:rPr>
        <w:t>ממשלתי</w:t>
      </w:r>
      <w:r w:rsidRPr="00AB6EB2">
        <w:rPr>
          <w:sz w:val="22"/>
          <w:rtl/>
        </w:rPr>
        <w:t xml:space="preserve">". </w:t>
      </w:r>
      <w:r w:rsidRPr="00AB6EB2">
        <w:rPr>
          <w:rFonts w:hint="eastAsia"/>
          <w:sz w:val="22"/>
          <w:rtl/>
        </w:rPr>
        <w:t>על</w:t>
      </w:r>
      <w:r w:rsidRPr="00AB6EB2">
        <w:rPr>
          <w:sz w:val="22"/>
          <w:rtl/>
        </w:rPr>
        <w:t xml:space="preserve"> </w:t>
      </w:r>
      <w:r w:rsidRPr="00AB6EB2">
        <w:rPr>
          <w:rFonts w:hint="eastAsia"/>
          <w:sz w:val="22"/>
          <w:rtl/>
        </w:rPr>
        <w:t>שאלה</w:t>
      </w:r>
      <w:r w:rsidRPr="00AB6EB2">
        <w:rPr>
          <w:sz w:val="22"/>
          <w:rtl/>
        </w:rPr>
        <w:t xml:space="preserve"> </w:t>
      </w:r>
      <w:r w:rsidRPr="00AB6EB2">
        <w:rPr>
          <w:rFonts w:hint="eastAsia"/>
          <w:sz w:val="22"/>
          <w:rtl/>
        </w:rPr>
        <w:t>אחרונה</w:t>
      </w:r>
      <w:r w:rsidRPr="00AB6EB2">
        <w:rPr>
          <w:sz w:val="22"/>
          <w:rtl/>
        </w:rPr>
        <w:t xml:space="preserve"> </w:t>
      </w:r>
      <w:r w:rsidRPr="00AB6EB2">
        <w:rPr>
          <w:rFonts w:hint="eastAsia"/>
          <w:sz w:val="22"/>
          <w:rtl/>
        </w:rPr>
        <w:t>זו</w:t>
      </w:r>
      <w:r w:rsidRPr="00AB6EB2">
        <w:rPr>
          <w:sz w:val="22"/>
          <w:rtl/>
        </w:rPr>
        <w:t xml:space="preserve"> </w:t>
      </w:r>
      <w:r w:rsidRPr="00AB6EB2">
        <w:rPr>
          <w:rFonts w:hint="eastAsia"/>
          <w:sz w:val="22"/>
          <w:rtl/>
        </w:rPr>
        <w:t>ענתה</w:t>
      </w:r>
      <w:r w:rsidRPr="00AB6EB2">
        <w:rPr>
          <w:sz w:val="22"/>
          <w:rtl/>
        </w:rPr>
        <w:t xml:space="preserve"> </w:t>
      </w:r>
      <w:r w:rsidRPr="00AB6EB2">
        <w:rPr>
          <w:rFonts w:hint="eastAsia"/>
          <w:sz w:val="22"/>
          <w:rtl/>
        </w:rPr>
        <w:lastRenderedPageBreak/>
        <w:t>הנשיאה</w:t>
      </w:r>
      <w:r w:rsidRPr="00AB6EB2">
        <w:rPr>
          <w:sz w:val="22"/>
          <w:rtl/>
        </w:rPr>
        <w:t xml:space="preserve"> </w:t>
      </w:r>
      <w:r w:rsidRPr="00AB6EB2">
        <w:rPr>
          <w:rFonts w:hint="eastAsia"/>
          <w:sz w:val="22"/>
          <w:rtl/>
        </w:rPr>
        <w:t>בשלילה</w:t>
      </w:r>
      <w:r w:rsidRPr="00AB6EB2">
        <w:rPr>
          <w:sz w:val="22"/>
          <w:rtl/>
        </w:rPr>
        <w:t xml:space="preserve"> (</w:t>
      </w:r>
      <w:r w:rsidRPr="00AB6EB2">
        <w:rPr>
          <w:rFonts w:hint="eastAsia"/>
          <w:sz w:val="22"/>
          <w:rtl/>
        </w:rPr>
        <w:t>ראו</w:t>
      </w:r>
      <w:r w:rsidRPr="00AB6EB2">
        <w:rPr>
          <w:sz w:val="22"/>
          <w:rtl/>
        </w:rPr>
        <w:t xml:space="preserve"> </w:t>
      </w:r>
      <w:r w:rsidRPr="00AB6EB2">
        <w:rPr>
          <w:rFonts w:hint="eastAsia"/>
          <w:sz w:val="22"/>
          <w:rtl/>
        </w:rPr>
        <w:t>פסקאות</w:t>
      </w:r>
      <w:r w:rsidRPr="00AB6EB2">
        <w:rPr>
          <w:sz w:val="22"/>
          <w:rtl/>
        </w:rPr>
        <w:t xml:space="preserve"> 52-49 </w:t>
      </w:r>
      <w:r w:rsidRPr="00AB6EB2">
        <w:rPr>
          <w:rFonts w:hint="eastAsia"/>
          <w:sz w:val="22"/>
          <w:rtl/>
        </w:rPr>
        <w:t>לפסק</w:t>
      </w:r>
      <w:r w:rsidRPr="00AB6EB2">
        <w:rPr>
          <w:sz w:val="22"/>
          <w:rtl/>
        </w:rPr>
        <w:t xml:space="preserve"> </w:t>
      </w:r>
      <w:r w:rsidRPr="00AB6EB2">
        <w:rPr>
          <w:rFonts w:hint="eastAsia"/>
          <w:sz w:val="22"/>
          <w:rtl/>
        </w:rPr>
        <w:t>דינה</w:t>
      </w:r>
      <w:r w:rsidRPr="00AB6EB2">
        <w:rPr>
          <w:sz w:val="22"/>
          <w:rtl/>
        </w:rPr>
        <w:t xml:space="preserve">). </w:t>
      </w:r>
      <w:r w:rsidRPr="00AB6EB2">
        <w:rPr>
          <w:rFonts w:hint="eastAsia"/>
          <w:sz w:val="22"/>
          <w:rtl/>
        </w:rPr>
        <w:t>איני</w:t>
      </w:r>
      <w:r w:rsidRPr="00AB6EB2">
        <w:rPr>
          <w:sz w:val="22"/>
          <w:rtl/>
        </w:rPr>
        <w:t xml:space="preserve"> </w:t>
      </w:r>
      <w:r w:rsidRPr="00AB6EB2">
        <w:rPr>
          <w:rFonts w:hint="eastAsia"/>
          <w:sz w:val="22"/>
          <w:rtl/>
        </w:rPr>
        <w:t>רואה</w:t>
      </w:r>
      <w:r w:rsidRPr="00AB6EB2">
        <w:rPr>
          <w:sz w:val="22"/>
          <w:rtl/>
        </w:rPr>
        <w:t xml:space="preserve"> </w:t>
      </w:r>
      <w:r w:rsidRPr="00AB6EB2">
        <w:rPr>
          <w:rFonts w:hint="eastAsia"/>
          <w:sz w:val="22"/>
          <w:rtl/>
        </w:rPr>
        <w:t>לטעת</w:t>
      </w:r>
      <w:r w:rsidRPr="00AB6EB2">
        <w:rPr>
          <w:sz w:val="22"/>
          <w:rtl/>
        </w:rPr>
        <w:t xml:space="preserve"> </w:t>
      </w:r>
      <w:r w:rsidRPr="00AB6EB2">
        <w:rPr>
          <w:rFonts w:hint="eastAsia"/>
          <w:sz w:val="22"/>
          <w:rtl/>
        </w:rPr>
        <w:t>מסמרות</w:t>
      </w:r>
      <w:r w:rsidRPr="00AB6EB2">
        <w:rPr>
          <w:sz w:val="22"/>
          <w:rtl/>
        </w:rPr>
        <w:t xml:space="preserve"> </w:t>
      </w:r>
      <w:r w:rsidRPr="00AB6EB2">
        <w:rPr>
          <w:rFonts w:hint="eastAsia"/>
          <w:sz w:val="22"/>
          <w:rtl/>
        </w:rPr>
        <w:t>בשתי</w:t>
      </w:r>
      <w:r w:rsidRPr="00AB6EB2">
        <w:rPr>
          <w:sz w:val="22"/>
          <w:rtl/>
        </w:rPr>
        <w:t xml:space="preserve"> </w:t>
      </w:r>
      <w:r w:rsidRPr="00AB6EB2">
        <w:rPr>
          <w:rFonts w:hint="eastAsia"/>
          <w:sz w:val="22"/>
          <w:rtl/>
        </w:rPr>
        <w:t>השאלות</w:t>
      </w:r>
      <w:r w:rsidRPr="00AB6EB2">
        <w:rPr>
          <w:sz w:val="22"/>
          <w:rtl/>
        </w:rPr>
        <w:t xml:space="preserve"> </w:t>
      </w:r>
      <w:r w:rsidRPr="00AB6EB2">
        <w:rPr>
          <w:rFonts w:hint="eastAsia"/>
          <w:sz w:val="22"/>
          <w:rtl/>
        </w:rPr>
        <w:t>שלא</w:t>
      </w:r>
      <w:r w:rsidRPr="00AB6EB2">
        <w:rPr>
          <w:sz w:val="22"/>
          <w:rtl/>
        </w:rPr>
        <w:t xml:space="preserve"> </w:t>
      </w:r>
      <w:r w:rsidRPr="00AB6EB2">
        <w:rPr>
          <w:rFonts w:hint="eastAsia"/>
          <w:sz w:val="22"/>
          <w:rtl/>
        </w:rPr>
        <w:t>הוכרעו</w:t>
      </w:r>
      <w:r w:rsidRPr="00AB6EB2">
        <w:rPr>
          <w:sz w:val="22"/>
          <w:rtl/>
        </w:rPr>
        <w:t xml:space="preserve"> </w:t>
      </w:r>
      <w:r w:rsidRPr="00AB6EB2">
        <w:rPr>
          <w:rFonts w:hint="eastAsia"/>
          <w:sz w:val="22"/>
          <w:rtl/>
        </w:rPr>
        <w:t>ו</w:t>
      </w:r>
      <w:r>
        <w:rPr>
          <w:rFonts w:hint="cs"/>
          <w:sz w:val="22"/>
          <w:rtl/>
        </w:rPr>
        <w:t xml:space="preserve">לדון </w:t>
      </w:r>
      <w:r w:rsidRPr="00AB6EB2">
        <w:rPr>
          <w:rFonts w:hint="eastAsia"/>
          <w:sz w:val="22"/>
          <w:rtl/>
        </w:rPr>
        <w:t>בשאלה</w:t>
      </w:r>
      <w:r w:rsidRPr="00AB6EB2">
        <w:rPr>
          <w:sz w:val="22"/>
          <w:rtl/>
        </w:rPr>
        <w:t xml:space="preserve"> </w:t>
      </w:r>
      <w:r w:rsidRPr="00AB6EB2">
        <w:rPr>
          <w:rFonts w:hint="eastAsia"/>
          <w:sz w:val="22"/>
          <w:rtl/>
        </w:rPr>
        <w:t>הנוספת</w:t>
      </w:r>
      <w:r w:rsidRPr="00AB6EB2">
        <w:rPr>
          <w:sz w:val="22"/>
          <w:rtl/>
        </w:rPr>
        <w:t xml:space="preserve"> </w:t>
      </w:r>
      <w:r w:rsidRPr="00AB6EB2">
        <w:rPr>
          <w:rFonts w:hint="eastAsia"/>
          <w:sz w:val="22"/>
          <w:rtl/>
        </w:rPr>
        <w:t>שלא</w:t>
      </w:r>
      <w:r w:rsidRPr="00AB6EB2">
        <w:rPr>
          <w:sz w:val="22"/>
          <w:rtl/>
        </w:rPr>
        <w:t xml:space="preserve"> </w:t>
      </w:r>
      <w:r w:rsidRPr="00AB6EB2">
        <w:rPr>
          <w:rFonts w:hint="eastAsia"/>
          <w:sz w:val="22"/>
          <w:rtl/>
        </w:rPr>
        <w:t>עמדה</w:t>
      </w:r>
      <w:r w:rsidRPr="00AB6EB2">
        <w:rPr>
          <w:sz w:val="22"/>
          <w:rtl/>
        </w:rPr>
        <w:t xml:space="preserve"> </w:t>
      </w:r>
      <w:r w:rsidRPr="00AB6EB2">
        <w:rPr>
          <w:rFonts w:hint="eastAsia"/>
          <w:sz w:val="22"/>
          <w:rtl/>
        </w:rPr>
        <w:t>במוקד</w:t>
      </w:r>
      <w:r w:rsidRPr="00AB6EB2">
        <w:rPr>
          <w:sz w:val="22"/>
          <w:rtl/>
        </w:rPr>
        <w:t xml:space="preserve"> </w:t>
      </w:r>
      <w:r w:rsidRPr="00AB6EB2">
        <w:rPr>
          <w:rFonts w:hint="eastAsia"/>
          <w:sz w:val="22"/>
          <w:rtl/>
        </w:rPr>
        <w:t>הדיון</w:t>
      </w:r>
      <w:r w:rsidRPr="00AB6EB2">
        <w:rPr>
          <w:sz w:val="22"/>
          <w:rtl/>
        </w:rPr>
        <w:t xml:space="preserve"> </w:t>
      </w:r>
      <w:r w:rsidRPr="00AB6EB2">
        <w:rPr>
          <w:rFonts w:hint="eastAsia"/>
          <w:sz w:val="22"/>
          <w:rtl/>
        </w:rPr>
        <w:t>לפנינו</w:t>
      </w:r>
      <w:r w:rsidRPr="00AB6EB2">
        <w:rPr>
          <w:sz w:val="22"/>
          <w:rtl/>
        </w:rPr>
        <w:t xml:space="preserve">, </w:t>
      </w:r>
      <w:r w:rsidRPr="00AB6EB2">
        <w:rPr>
          <w:rFonts w:hint="eastAsia"/>
          <w:sz w:val="22"/>
          <w:rtl/>
        </w:rPr>
        <w:t>משאין</w:t>
      </w:r>
      <w:r w:rsidRPr="00AB6EB2">
        <w:rPr>
          <w:sz w:val="22"/>
          <w:rtl/>
        </w:rPr>
        <w:t xml:space="preserve"> </w:t>
      </w:r>
      <w:r w:rsidRPr="00AB6EB2">
        <w:rPr>
          <w:rFonts w:hint="eastAsia"/>
          <w:sz w:val="22"/>
          <w:rtl/>
        </w:rPr>
        <w:t>אל</w:t>
      </w:r>
      <w:r>
        <w:rPr>
          <w:rFonts w:hint="cs"/>
          <w:sz w:val="22"/>
          <w:rtl/>
        </w:rPr>
        <w:t>ו</w:t>
      </w:r>
      <w:r w:rsidRPr="00AB6EB2">
        <w:rPr>
          <w:sz w:val="22"/>
          <w:rtl/>
        </w:rPr>
        <w:t xml:space="preserve"> </w:t>
      </w:r>
      <w:r w:rsidRPr="00AB6EB2">
        <w:rPr>
          <w:rFonts w:hint="eastAsia"/>
          <w:sz w:val="22"/>
          <w:rtl/>
        </w:rPr>
        <w:t>נדרשות</w:t>
      </w:r>
      <w:r w:rsidRPr="00AB6EB2">
        <w:rPr>
          <w:sz w:val="22"/>
          <w:rtl/>
        </w:rPr>
        <w:t xml:space="preserve"> </w:t>
      </w:r>
      <w:r w:rsidRPr="00AB6EB2">
        <w:rPr>
          <w:rFonts w:hint="eastAsia"/>
          <w:sz w:val="22"/>
          <w:rtl/>
        </w:rPr>
        <w:t>להכרעה</w:t>
      </w:r>
      <w:r w:rsidRPr="00AB6EB2">
        <w:rPr>
          <w:sz w:val="22"/>
          <w:rtl/>
        </w:rPr>
        <w:t xml:space="preserve"> </w:t>
      </w:r>
      <w:r w:rsidRPr="007D7380">
        <w:rPr>
          <w:rFonts w:hint="cs"/>
          <w:rtl/>
        </w:rPr>
        <w:t xml:space="preserve">נוכח התוצאה שאליה </w:t>
      </w:r>
      <w:r>
        <w:rPr>
          <w:rFonts w:hint="cs"/>
          <w:rtl/>
        </w:rPr>
        <w:t>הגעתי כמפורט להלן</w:t>
      </w:r>
      <w:r w:rsidRPr="007D7380">
        <w:rPr>
          <w:rFonts w:hint="cs"/>
          <w:rtl/>
        </w:rPr>
        <w:t>, שלפיה אין העסקה שלפנינו צולחת את מבחן תום הלב</w:t>
      </w:r>
      <w:r>
        <w:rPr>
          <w:rFonts w:hint="cs"/>
          <w:rtl/>
        </w:rPr>
        <w:t>.</w:t>
      </w:r>
    </w:p>
    <w:p w:rsidR="004C7127" w:rsidRDefault="004C7127" w:rsidP="004C7127">
      <w:pPr>
        <w:pStyle w:val="Ruller41"/>
        <w:rPr>
          <w:rtl/>
        </w:rPr>
      </w:pPr>
    </w:p>
    <w:p w:rsidR="004C7127" w:rsidRPr="00907353" w:rsidRDefault="004C7127" w:rsidP="004C7127">
      <w:pPr>
        <w:pStyle w:val="Ruller4"/>
        <w:rPr>
          <w:rtl/>
        </w:rPr>
      </w:pPr>
      <w:r>
        <w:rPr>
          <w:rFonts w:ascii="Century" w:hAnsi="Century" w:hint="cs"/>
          <w:sz w:val="22"/>
          <w:rtl/>
        </w:rPr>
        <w:t>סוגיה אחרונה שלגביה לא הובאה התייחסות הצדדים היא שאלת התמורה. עמדת היועץ המשפטי לממשלה הייתה כי מדובר בדרישה שיש לקרוא אל תוך הסעיף בדרך של פרשנות. הגם שכך, עמדתו הייתה כי בשל הפרקטיקה באזור, שלפיה ההתקשרות עם הגורם המיישב לא כללה תשלום, יש לראות את התמורה כ"קידום תכנית מתאר לשטח המוקצה, פיתוחו ושיווקו" (סעיף 5.ד לסיכום הדיון מיום 7.12.2016). בהקשר זה</w:t>
      </w:r>
      <w:r>
        <w:rPr>
          <w:rFonts w:hint="cs"/>
          <w:rtl/>
        </w:rPr>
        <w:t xml:space="preserve">, ספק אם בפסק הדין נקבעה הלכה, וזאת מאחר שרק השופט (כתוארו אז) </w:t>
      </w:r>
      <w:r>
        <w:rPr>
          <w:rFonts w:ascii="Century" w:hAnsi="Century" w:cs="Miriam" w:hint="cs"/>
          <w:b/>
          <w:spacing w:val="0"/>
          <w:sz w:val="22"/>
          <w:szCs w:val="24"/>
          <w:rtl/>
        </w:rPr>
        <w:t>נ' הנדל</w:t>
      </w:r>
      <w:r>
        <w:rPr>
          <w:rFonts w:ascii="Century" w:hAnsi="Century" w:hint="cs"/>
          <w:sz w:val="22"/>
          <w:rtl/>
        </w:rPr>
        <w:t xml:space="preserve"> התייחס לדרישה זו, </w:t>
      </w:r>
      <w:r>
        <w:rPr>
          <w:rFonts w:hint="cs"/>
          <w:rtl/>
        </w:rPr>
        <w:t xml:space="preserve">וציין כי היא מתקיימת בנסיבות העניין, מאחר שנבנו מבנים בהתבסס על ההסכם בין הממונה לבין ההסתדרות הציונית, ודי בנתון זה כדי לענות "על יסוד ההסתמכות או התמורה" (פסקה 27). הגם שכך, ציין השופט </w:t>
      </w:r>
      <w:r>
        <w:rPr>
          <w:rFonts w:ascii="Century" w:hAnsi="Century" w:cs="Miriam" w:hint="cs"/>
          <w:b/>
          <w:spacing w:val="0"/>
          <w:sz w:val="22"/>
          <w:szCs w:val="24"/>
          <w:rtl/>
        </w:rPr>
        <w:t xml:space="preserve">הנדל </w:t>
      </w:r>
      <w:r>
        <w:rPr>
          <w:rFonts w:ascii="Century" w:hAnsi="Century" w:hint="cs"/>
          <w:sz w:val="22"/>
          <w:rtl/>
        </w:rPr>
        <w:t>כי אין צורך להידרש ולהכריע בסוגיה זו. משאלה הם פני הדברים, אף דיון נוסף זה אינו האכסניה המתאימה לבירור השאלה אם יש לקרוא אל תוך סעיף 5 דרישת תמורה (ואם הסתמכות יכולה להספיק כדי למלא דרישה זו).</w:t>
      </w:r>
    </w:p>
    <w:p w:rsidR="004C7127" w:rsidRPr="00907353" w:rsidRDefault="004C7127" w:rsidP="004C7127">
      <w:pPr>
        <w:pStyle w:val="Ruller4"/>
        <w:numPr>
          <w:ilvl w:val="0"/>
          <w:numId w:val="0"/>
        </w:numPr>
        <w:rPr>
          <w:rtl/>
        </w:rPr>
      </w:pPr>
    </w:p>
    <w:p w:rsidR="004C7127" w:rsidRDefault="004C7127" w:rsidP="004C7127">
      <w:pPr>
        <w:pStyle w:val="Ruller4"/>
      </w:pPr>
      <w:r>
        <w:rPr>
          <w:rFonts w:ascii="Century" w:hAnsi="Century" w:hint="cs"/>
          <w:sz w:val="22"/>
          <w:rtl/>
        </w:rPr>
        <w:t xml:space="preserve">סיכום ביניים: עמדנו על קווים מנחים לדיון בפרשנותו של סעיף 5 לצו בדבר רכוש ממשלתי. בנתון לקווים מנחים אלה, מצאתי כי דרישת תום הלב שבסעיף 5 מחייבת ששני הצדדים לעסקה </w:t>
      </w:r>
      <w:r>
        <w:rPr>
          <w:rFonts w:ascii="Century" w:hAnsi="Century"/>
          <w:sz w:val="22"/>
          <w:rtl/>
        </w:rPr>
        <w:t>–</w:t>
      </w:r>
      <w:r>
        <w:rPr>
          <w:rFonts w:ascii="Century" w:hAnsi="Century" w:hint="cs"/>
          <w:sz w:val="22"/>
          <w:rtl/>
        </w:rPr>
        <w:t xml:space="preserve"> הממונה והמתקשר עמו </w:t>
      </w:r>
      <w:r>
        <w:rPr>
          <w:rFonts w:ascii="Century" w:hAnsi="Century"/>
          <w:sz w:val="22"/>
          <w:rtl/>
        </w:rPr>
        <w:t>–</w:t>
      </w:r>
      <w:r>
        <w:rPr>
          <w:rFonts w:ascii="Century" w:hAnsi="Century" w:hint="cs"/>
          <w:sz w:val="22"/>
          <w:rtl/>
        </w:rPr>
        <w:t xml:space="preserve"> יהיו תמי לב בעסקה ביחס למקרקעין באזור. </w:t>
      </w:r>
      <w:r>
        <w:rPr>
          <w:rFonts w:hint="cs"/>
          <w:rtl/>
        </w:rPr>
        <w:t xml:space="preserve">תום הלב שנדרש מן הממונה הוא תום לב סובייקטיבי ברף גבוה, ואילו תום הלב של המתקשר עם הממונה נדרש להיות סובייקטיבי "רגיל". עוד עמדתי על כך שיתר תנאי סעיף 5 מעלים שאלות משפטיות מורכבות, שאין הדיון הנוסף דנן מצדיק בירורן, וזאת בפרט נוכח התוצאה שאליה הגעתי. משכך, בפרק הבא, שבו אבחן את התקיימות תנאי סעיף 5 במקרה דנן, אתייחס רק לשתיים מדרישות הסעיף </w:t>
      </w:r>
      <w:r>
        <w:rPr>
          <w:rtl/>
        </w:rPr>
        <w:t>–</w:t>
      </w:r>
      <w:r>
        <w:rPr>
          <w:rFonts w:hint="cs"/>
          <w:rtl/>
        </w:rPr>
        <w:t xml:space="preserve"> דרישת העסקה ודרישת תום הלב. </w:t>
      </w:r>
    </w:p>
    <w:p w:rsidR="004C7127" w:rsidRPr="00552A5E" w:rsidRDefault="004C7127" w:rsidP="004C7127">
      <w:pPr>
        <w:pStyle w:val="Ruller4"/>
        <w:numPr>
          <w:ilvl w:val="0"/>
          <w:numId w:val="0"/>
        </w:numPr>
        <w:rPr>
          <w:rtl/>
        </w:rPr>
      </w:pPr>
      <w:r w:rsidRPr="007D7380" w:rsidDel="00AB6EB2">
        <w:rPr>
          <w:rFonts w:hint="cs"/>
          <w:rtl/>
        </w:rPr>
        <w:t xml:space="preserve"> </w:t>
      </w:r>
    </w:p>
    <w:p w:rsidR="004C7127" w:rsidRPr="007C0C70" w:rsidRDefault="004C7127" w:rsidP="004C7127">
      <w:pPr>
        <w:pStyle w:val="1"/>
        <w:spacing w:before="0"/>
        <w:rPr>
          <w:rFonts w:ascii="Century" w:hAnsi="Century" w:cs="Miriam"/>
          <w:b/>
          <w:color w:val="auto"/>
          <w:spacing w:val="0"/>
          <w:sz w:val="22"/>
          <w:szCs w:val="24"/>
          <w:rtl/>
        </w:rPr>
      </w:pPr>
      <w:r w:rsidRPr="007C0C70">
        <w:rPr>
          <w:rFonts w:ascii="Century" w:hAnsi="Century" w:cs="Miriam" w:hint="cs"/>
          <w:b/>
          <w:color w:val="auto"/>
          <w:spacing w:val="0"/>
          <w:sz w:val="22"/>
          <w:szCs w:val="24"/>
          <w:rtl/>
        </w:rPr>
        <w:t xml:space="preserve">מן הכלל אל הפרט </w:t>
      </w:r>
    </w:p>
    <w:p w:rsidR="004C7127" w:rsidRDefault="004C7127" w:rsidP="004C7127">
      <w:pPr>
        <w:pStyle w:val="Ruller41"/>
        <w:rPr>
          <w:rtl/>
        </w:rPr>
      </w:pPr>
    </w:p>
    <w:p w:rsidR="004C7127" w:rsidRDefault="004C7127" w:rsidP="004C7127">
      <w:pPr>
        <w:pStyle w:val="Ruller4"/>
        <w:rPr>
          <w:rtl/>
        </w:rPr>
      </w:pPr>
      <w:r>
        <w:rPr>
          <w:rFonts w:hint="cs"/>
          <w:rtl/>
        </w:rPr>
        <w:t xml:space="preserve">נפנה לבחון עתה את התקיימות תנאי סעיף 5 בנסיבות ענייננו. סדר הדברים יהא כדלקמן: אחזור בתמצית על הרקע העובדתי הצריך לענייננו ואפנה לבחון, בנתון לתשתית המשפטית שהנחתי, את התקיימות תנאי העסקה ותום הלב שבסעיף 5 במקרה דנן. אקדים אחרית לראשית ואבהיר שמסופקני אם ניתן לומר כי נרקמה בין הממונה לבין </w:t>
      </w:r>
      <w:r>
        <w:rPr>
          <w:rFonts w:hint="cs"/>
          <w:rtl/>
        </w:rPr>
        <w:lastRenderedPageBreak/>
        <w:t xml:space="preserve">ההסתדרות הציונית עסקה שנוגעת למקרקעין שעליהם מוקם מצפה כרמים; וכי איני סבור שהצדדים עמדו בחובת תום הלב שמשמיע סעיף 5. </w:t>
      </w:r>
    </w:p>
    <w:p w:rsidR="004C7127" w:rsidRDefault="004C7127" w:rsidP="004C7127">
      <w:pPr>
        <w:pStyle w:val="Ruller41"/>
        <w:rPr>
          <w:rtl/>
        </w:rPr>
      </w:pPr>
    </w:p>
    <w:p w:rsidR="004C7127" w:rsidRDefault="004C7127" w:rsidP="004C7127">
      <w:pPr>
        <w:pStyle w:val="Ruller4"/>
      </w:pPr>
      <w:r>
        <w:rPr>
          <w:rFonts w:hint="cs"/>
          <w:rtl/>
        </w:rPr>
        <w:t xml:space="preserve">כאמור, על מנת להקל על הקורא, נחזור על עיקרי הרקע העובדתי שהוליד את "התאונה המשפטית" שלפנינו. לצורך הקמת היישוב </w:t>
      </w:r>
      <w:r>
        <w:rPr>
          <w:rFonts w:ascii="Century" w:hAnsi="Century" w:cs="Miriam" w:hint="cs"/>
          <w:b/>
          <w:spacing w:val="0"/>
          <w:sz w:val="22"/>
          <w:szCs w:val="24"/>
          <w:rtl/>
        </w:rPr>
        <w:t xml:space="preserve">כוכב השחר </w:t>
      </w:r>
      <w:r>
        <w:rPr>
          <w:rFonts w:ascii="Century" w:hAnsi="Century" w:hint="cs"/>
          <w:sz w:val="22"/>
          <w:rtl/>
        </w:rPr>
        <w:t xml:space="preserve">הורה המפקד הצבאי באזור, בשנת 1975 על סגירת שטח בגודל של כ-1,000 דונם, שטח הצו סומן בשטח. סגירת השטח התבססה על סקר בעלויות, ולאחר ביצוע הסגירה, דווח על סגירת 1,070 דונם </w:t>
      </w:r>
      <w:r w:rsidRPr="00A91C39">
        <w:rPr>
          <w:rFonts w:ascii="Century" w:hAnsi="Century" w:hint="cs"/>
          <w:sz w:val="22"/>
          <w:rtl/>
        </w:rPr>
        <w:t xml:space="preserve">בפועל. בשנת 1980, לצורך הקמת היישוב </w:t>
      </w:r>
      <w:r>
        <w:rPr>
          <w:rFonts w:ascii="Century" w:hAnsi="Century" w:hint="cs"/>
          <w:sz w:val="22"/>
          <w:rtl/>
        </w:rPr>
        <w:t>ובהמשך</w:t>
      </w:r>
      <w:r w:rsidRPr="00A91C39">
        <w:rPr>
          <w:rFonts w:ascii="Century" w:hAnsi="Century" w:hint="cs"/>
          <w:sz w:val="22"/>
          <w:rtl/>
        </w:rPr>
        <w:t xml:space="preserve"> </w:t>
      </w:r>
      <w:r>
        <w:rPr>
          <w:rFonts w:ascii="Century" w:hAnsi="Century" w:hint="cs"/>
          <w:sz w:val="22"/>
          <w:rtl/>
        </w:rPr>
        <w:t>ל</w:t>
      </w:r>
      <w:r w:rsidRPr="00A91C39">
        <w:rPr>
          <w:rFonts w:ascii="Century" w:hAnsi="Century" w:hint="cs"/>
          <w:sz w:val="22"/>
          <w:rtl/>
        </w:rPr>
        <w:t>עבודת המטה לקראת אזרוח היאחזות הנח"ל במקום, הוחלט על הוצאת צו תפיסה, קטן מצו הסגירה, שהיקפו 850 דונם. בשנת 1981 נחתם הסכם ההרשאה הראשון בין הממונה לבין ההסתדרות הציונית, שבו צוין</w:t>
      </w:r>
      <w:r>
        <w:rPr>
          <w:rFonts w:ascii="Century" w:hAnsi="Century" w:hint="cs"/>
          <w:sz w:val="22"/>
          <w:rtl/>
        </w:rPr>
        <w:t xml:space="preserve"> במפורש כי האחרונה מעוניינת לקבל מהממונה את השטח בן 1,071 דונם בהתאם למפה שצורפה להסכם. המפה היא מפת צו הסגירה, אך נכתב בראשה כי מדובר בצו תפיסה (הסכם זה חודש מעת לעת, בפעם האחרונה בשנת 1997; בכל ההסכמים צוין כי היקף השטחים הוא 1,071 דונם, ולכולם צורפה מפת צו הסגירה). ההסתדרות הציונית פעלה לאשר תכנית מתאר בשטח, היא תכנית 223, שהיקף השטחים בה הוא 1,416 דונם (התכנית גדולה במאות דונמים הן מצו הסגירה, הן מצו התפיסה). במסגרת הסדר המאחזים בשנת 1999 הוחלט להעביר את היישוב </w:t>
      </w:r>
      <w:r>
        <w:rPr>
          <w:rFonts w:ascii="Century" w:hAnsi="Century" w:cs="Miriam" w:hint="cs"/>
          <w:b/>
          <w:spacing w:val="0"/>
          <w:sz w:val="22"/>
          <w:szCs w:val="24"/>
          <w:rtl/>
        </w:rPr>
        <w:t xml:space="preserve">מצפה כרמים </w:t>
      </w:r>
      <w:r>
        <w:rPr>
          <w:rFonts w:ascii="Century" w:hAnsi="Century" w:hint="cs"/>
          <w:sz w:val="22"/>
          <w:rtl/>
        </w:rPr>
        <w:t>מהשטח שבו היה ממוקם לשטח השיפוט של כוכב השחר. ניסיון הסדרה תכנונית החל בחודש אוקטובר 1999, אך ניסיון זה נעצר ולא הושלם (תכנית 223/1/5).</w:t>
      </w:r>
      <w:r>
        <w:rPr>
          <w:rFonts w:hint="cs"/>
          <w:rtl/>
        </w:rPr>
        <w:t xml:space="preserve"> בנקודת זמן כלשהי, ככל הנראה בחודש ינואר 2000, הוצב היישוב מצפה כרמים במיקומו הנוכחי </w:t>
      </w:r>
      <w:r>
        <w:rPr>
          <w:rtl/>
        </w:rPr>
        <w:t>–</w:t>
      </w:r>
      <w:r>
        <w:rPr>
          <w:rFonts w:hint="cs"/>
          <w:rtl/>
        </w:rPr>
        <w:t xml:space="preserve"> על מקרקעין מוסדרים בבעלות פלסטינית, מחוץ לצו התפיסה, מחוץ לצו הסגירה ובתוך שטח תכנית 223 (במקרקעין בייעוד חקלאי, על פי תכנית 223/1). יודגש: אין בידינו, גם לאחר כל גלגוליו של ההליך דנן והמסמכים הרבים שצורפו לתיק בית המשפט, הסבר ממצה למועד שבו עבר היישוב מצפה כרמים למיקומו הנוכחי או לאופן שבו נבחר מיקום זה.</w:t>
      </w:r>
    </w:p>
    <w:p w:rsidR="004C7127" w:rsidRDefault="004C7127" w:rsidP="004C7127">
      <w:pPr>
        <w:pStyle w:val="Ruller4"/>
        <w:numPr>
          <w:ilvl w:val="0"/>
          <w:numId w:val="0"/>
        </w:numPr>
      </w:pPr>
    </w:p>
    <w:p w:rsidR="004C7127" w:rsidRPr="00A43BAF" w:rsidRDefault="004C7127" w:rsidP="004C7127">
      <w:pPr>
        <w:pStyle w:val="Ruller4"/>
      </w:pPr>
      <w:r w:rsidRPr="00F26C0E">
        <w:rPr>
          <w:rFonts w:hint="cs"/>
          <w:rtl/>
        </w:rPr>
        <w:t xml:space="preserve">השתלשלות הדברים כפי שתוארה לעיל עשויה לעורר את השאלה </w:t>
      </w:r>
      <w:r w:rsidRPr="00F26C0E">
        <w:rPr>
          <w:rtl/>
        </w:rPr>
        <w:t>–</w:t>
      </w:r>
      <w:r w:rsidRPr="00F26C0E">
        <w:rPr>
          <w:rFonts w:hint="cs"/>
          <w:rtl/>
        </w:rPr>
        <w:t xml:space="preserve"> שאינה פשוטה כלל </w:t>
      </w:r>
      <w:r>
        <w:rPr>
          <w:rFonts w:hint="cs"/>
          <w:rtl/>
        </w:rPr>
        <w:t>ועיקר</w:t>
      </w:r>
      <w:r w:rsidRPr="00F26C0E">
        <w:rPr>
          <w:rFonts w:hint="cs"/>
          <w:rtl/>
        </w:rPr>
        <w:t xml:space="preserve"> </w:t>
      </w:r>
      <w:r w:rsidRPr="00F26C0E">
        <w:rPr>
          <w:rtl/>
        </w:rPr>
        <w:t>–</w:t>
      </w:r>
      <w:r w:rsidRPr="00F26C0E">
        <w:rPr>
          <w:rFonts w:hint="cs"/>
          <w:rtl/>
        </w:rPr>
        <w:t xml:space="preserve"> מהי נקודת הזמן שבה יש לבחון אם התקיימו תנאי סעיף 5? הנקודה הטבעית והברורה ביותר היא חתימת הסכם ההרשאה הראשון, שבו נקשר הממונה עם ההסתדרות הציונית לראשונה בהסכם לטובת פיתוח הקרקע, והסכם זה חודש מעת לעת (ראו והשוו:</w:t>
      </w:r>
      <w:r>
        <w:rPr>
          <w:rFonts w:hint="cs"/>
          <w:rtl/>
        </w:rPr>
        <w:t xml:space="preserve"> עניין </w:t>
      </w:r>
      <w:r>
        <w:rPr>
          <w:rFonts w:ascii="Century" w:hAnsi="Century" w:cs="Miriam" w:hint="cs"/>
          <w:b/>
          <w:spacing w:val="0"/>
          <w:sz w:val="22"/>
          <w:szCs w:val="24"/>
          <w:rtl/>
        </w:rPr>
        <w:t>עקל</w:t>
      </w:r>
      <w:r>
        <w:rPr>
          <w:rFonts w:ascii="Century" w:hAnsi="Century" w:hint="cs"/>
          <w:sz w:val="22"/>
          <w:rtl/>
        </w:rPr>
        <w:t xml:space="preserve">, פסקה 59 לפסק דינו של השופט </w:t>
      </w:r>
      <w:r>
        <w:rPr>
          <w:rFonts w:ascii="Century" w:hAnsi="Century" w:cs="Miriam" w:hint="cs"/>
          <w:b/>
          <w:spacing w:val="0"/>
          <w:sz w:val="22"/>
          <w:szCs w:val="24"/>
          <w:rtl/>
        </w:rPr>
        <w:t>ג' קרא</w:t>
      </w:r>
      <w:r>
        <w:rPr>
          <w:rFonts w:ascii="Century" w:hAnsi="Century" w:hint="cs"/>
          <w:sz w:val="22"/>
          <w:rtl/>
        </w:rPr>
        <w:t>;</w:t>
      </w:r>
      <w:r w:rsidRPr="00F26C0E">
        <w:rPr>
          <w:rFonts w:hint="cs"/>
          <w:rtl/>
        </w:rPr>
        <w:t xml:space="preserve"> </w:t>
      </w:r>
      <w:r w:rsidRPr="00F26C0E">
        <w:rPr>
          <w:rFonts w:ascii="Century" w:hAnsi="Century" w:hint="cs"/>
          <w:sz w:val="22"/>
          <w:rtl/>
        </w:rPr>
        <w:t xml:space="preserve">עניין </w:t>
      </w:r>
      <w:r w:rsidRPr="00F26C0E">
        <w:rPr>
          <w:rFonts w:ascii="Century" w:hAnsi="Century" w:cs="Miriam" w:hint="cs"/>
          <w:b/>
          <w:spacing w:val="0"/>
          <w:sz w:val="22"/>
          <w:szCs w:val="24"/>
          <w:rtl/>
        </w:rPr>
        <w:t>חוות מקורה</w:t>
      </w:r>
      <w:r w:rsidRPr="00F26C0E">
        <w:rPr>
          <w:rFonts w:ascii="Century" w:hAnsi="Century" w:hint="cs"/>
          <w:sz w:val="22"/>
          <w:rtl/>
        </w:rPr>
        <w:t>, בעמ' 17</w:t>
      </w:r>
      <w:r w:rsidRPr="00F26C0E">
        <w:rPr>
          <w:rFonts w:hint="cs"/>
          <w:rtl/>
        </w:rPr>
        <w:t>; יוער כי הסכם שנת 1997 שונה במעט מיתר ההסכמים, שזהים כמעט לחלוטין להסכם הראשון; ואולם, גם בהסכם שנת 1997 השטח המוקצה מתואר באותו האופן).</w:t>
      </w:r>
      <w:r>
        <w:rPr>
          <w:rFonts w:hint="cs"/>
          <w:rtl/>
        </w:rPr>
        <w:t xml:space="preserve"> זאת ועוד, כתוצאה מהסכם זה הוכנה ואושרה לימים תכנית 223, שהזיקה בינה לבין השטח בהסכם </w:t>
      </w:r>
      <w:r>
        <w:rPr>
          <w:rFonts w:hint="cs"/>
          <w:rtl/>
        </w:rPr>
        <w:lastRenderedPageBreak/>
        <w:t xml:space="preserve">ההרשאה נמצאת במוקד ההליך דנן. </w:t>
      </w:r>
      <w:r w:rsidRPr="00F26C0E">
        <w:rPr>
          <w:rFonts w:hint="cs"/>
          <w:rtl/>
        </w:rPr>
        <w:t xml:space="preserve">ואולם, לאורך ההליכים נטענו טענות שונות </w:t>
      </w:r>
      <w:r w:rsidRPr="00A43BAF">
        <w:rPr>
          <w:rFonts w:hint="cs"/>
          <w:rtl/>
        </w:rPr>
        <w:t xml:space="preserve">ומגוונות ביחס לנקודת הזמן שבה יש לבחון את </w:t>
      </w:r>
      <w:r>
        <w:rPr>
          <w:rFonts w:hint="cs"/>
          <w:rtl/>
        </w:rPr>
        <w:t>תנאי סעיף 5</w:t>
      </w:r>
      <w:r w:rsidRPr="00A43BAF">
        <w:rPr>
          <w:rFonts w:hint="cs"/>
          <w:rtl/>
        </w:rPr>
        <w:t xml:space="preserve">, ובראשם תום לבם של הצדדים. נקודות זמן ראויות לציון הן </w:t>
      </w:r>
      <w:r>
        <w:rPr>
          <w:rFonts w:hint="cs"/>
          <w:rtl/>
        </w:rPr>
        <w:t xml:space="preserve">מועד </w:t>
      </w:r>
      <w:r w:rsidRPr="00A43BAF">
        <w:rPr>
          <w:rFonts w:hint="cs"/>
          <w:rtl/>
        </w:rPr>
        <w:t xml:space="preserve">אישור תכנית 223; הסכמי ההרשאה הנוספים שנחתמו בשנים 1985, 1990, 1995 ו-1997; והמועד שבו עלה מצפה כרמים למיקומו הנוכחי. בעיני, בחינת </w:t>
      </w:r>
      <w:r>
        <w:rPr>
          <w:rFonts w:hint="cs"/>
          <w:rtl/>
        </w:rPr>
        <w:t>תנאי סעיף 5</w:t>
      </w:r>
      <w:r w:rsidRPr="00A43BAF">
        <w:rPr>
          <w:rFonts w:hint="cs"/>
          <w:rtl/>
        </w:rPr>
        <w:t xml:space="preserve"> במועד מאוחר מהסכם ההרשאה הראשון לוקה, במידה מסוימת, בהנחת המבוקש (וארחיב בהמשך דבריי) ולכן, כפי שציינתי, אני סבור כי נקודת הזמן המתאימה לבחינת </w:t>
      </w:r>
      <w:r>
        <w:rPr>
          <w:rFonts w:hint="cs"/>
          <w:rtl/>
        </w:rPr>
        <w:t xml:space="preserve">התנאים </w:t>
      </w:r>
      <w:r w:rsidRPr="00A43BAF">
        <w:rPr>
          <w:rFonts w:hint="cs"/>
          <w:rtl/>
        </w:rPr>
        <w:t xml:space="preserve">היא מועד עריכת העסקה, בשנת 1981. עם זאת, אתייחס בהרחבה גם ליתר המועדים שנטען שיש להם רלוונטיות בהקשר זה. </w:t>
      </w:r>
    </w:p>
    <w:p w:rsidR="004C7127" w:rsidRPr="005459E2" w:rsidRDefault="004C7127" w:rsidP="004C7127">
      <w:pPr>
        <w:pStyle w:val="Ruller41"/>
        <w:rPr>
          <w:rtl/>
        </w:rPr>
      </w:pPr>
    </w:p>
    <w:p w:rsidR="004C7127" w:rsidRPr="00CF27D2" w:rsidRDefault="004C7127" w:rsidP="004C7127">
      <w:pPr>
        <w:pStyle w:val="2"/>
        <w:spacing w:before="0"/>
        <w:rPr>
          <w:rFonts w:ascii="Century" w:hAnsi="Century" w:cs="Miriam"/>
          <w:b/>
          <w:color w:val="auto"/>
          <w:spacing w:val="0"/>
          <w:sz w:val="22"/>
          <w:szCs w:val="24"/>
          <w:rtl/>
        </w:rPr>
      </w:pPr>
      <w:r w:rsidRPr="00CF27D2">
        <w:rPr>
          <w:rFonts w:ascii="Century" w:hAnsi="Century" w:cs="Miriam" w:hint="cs"/>
          <w:b/>
          <w:color w:val="auto"/>
          <w:spacing w:val="0"/>
          <w:sz w:val="22"/>
          <w:szCs w:val="24"/>
          <w:rtl/>
        </w:rPr>
        <w:t xml:space="preserve">(א) </w:t>
      </w:r>
      <w:r w:rsidRPr="00CF27D2">
        <w:rPr>
          <w:rFonts w:ascii="Century" w:hAnsi="Century" w:cs="Miriam"/>
          <w:b/>
          <w:color w:val="auto"/>
          <w:spacing w:val="0"/>
          <w:sz w:val="22"/>
          <w:szCs w:val="24"/>
          <w:rtl/>
        </w:rPr>
        <w:tab/>
      </w:r>
      <w:r>
        <w:rPr>
          <w:rFonts w:ascii="Century" w:hAnsi="Century" w:cs="Miriam" w:hint="cs"/>
          <w:b/>
          <w:color w:val="auto"/>
          <w:spacing w:val="0"/>
          <w:sz w:val="22"/>
          <w:szCs w:val="24"/>
          <w:rtl/>
        </w:rPr>
        <w:t>האם נרקמה עסקה בין הממונה לבין ההסתדרות הציונית ביחס למקרקעין?</w:t>
      </w:r>
    </w:p>
    <w:p w:rsidR="004C7127" w:rsidRPr="00F153F4" w:rsidRDefault="004C7127" w:rsidP="004C7127">
      <w:pPr>
        <w:pStyle w:val="Ruller41"/>
      </w:pPr>
    </w:p>
    <w:p w:rsidR="004C7127" w:rsidRDefault="004C7127" w:rsidP="004C7127">
      <w:pPr>
        <w:pStyle w:val="Ruller4"/>
        <w:rPr>
          <w:rtl/>
        </w:rPr>
      </w:pPr>
      <w:r>
        <w:rPr>
          <w:rFonts w:ascii="Century" w:hAnsi="Century" w:hint="cs"/>
          <w:sz w:val="22"/>
          <w:rtl/>
        </w:rPr>
        <w:t xml:space="preserve">שאלת קיומה של עסקה שנוגעת למקרקעין שעליהם ממוקם מצפה כרמים היא שאלה מורכבת, לפחות בשני מישורים: הראשון נוגע לכך שהסכם ההרשאה </w:t>
      </w:r>
      <w:r>
        <w:rPr>
          <w:rFonts w:ascii="Century" w:hAnsi="Century"/>
          <w:sz w:val="22"/>
          <w:rtl/>
        </w:rPr>
        <w:t>–</w:t>
      </w:r>
      <w:r>
        <w:rPr>
          <w:rFonts w:ascii="Century" w:hAnsi="Century" w:hint="cs"/>
          <w:sz w:val="22"/>
          <w:rtl/>
        </w:rPr>
        <w:t xml:space="preserve"> למצער כלשונו ובמפה שצורפה אליו </w:t>
      </w:r>
      <w:r>
        <w:rPr>
          <w:rFonts w:ascii="Century" w:hAnsi="Century"/>
          <w:sz w:val="22"/>
          <w:rtl/>
        </w:rPr>
        <w:t>–</w:t>
      </w:r>
      <w:r>
        <w:rPr>
          <w:rFonts w:ascii="Century" w:hAnsi="Century" w:hint="cs"/>
          <w:sz w:val="22"/>
          <w:rtl/>
        </w:rPr>
        <w:t xml:space="preserve"> לא כלל מקרקעין אלה (כזכור, היה מדובר לכל היותר בשטח שנסגר בצו הסגירה); והשני הוא מישור המסוימות והשאלה אם הסכם ההרשאה מסוים דיו כדי לצלוח את דרישת קיומה של עסקה בכל שאמור בשטח נושא המחלוקת. עמדת המחזיקים כמו גם ההסתדרות הציונית היא שהסכם ההרשאה הראשון והמפה שצורפה אליו לא נועדו להיות מסוימים דיים במועד החתימה בנוגע להיקף השטח שנמסר, שכן כוונת הצדדים הייתה לקבוע היקף זה בהמשך. לשיטתם, השטח שלגביו חלה עסקה זו הוא מלוא השטח בתכנית 223 </w:t>
      </w:r>
      <w:r>
        <w:rPr>
          <w:rFonts w:ascii="Century" w:hAnsi="Century"/>
          <w:sz w:val="22"/>
          <w:rtl/>
        </w:rPr>
        <w:t>–</w:t>
      </w:r>
      <w:r>
        <w:rPr>
          <w:rFonts w:ascii="Century" w:hAnsi="Century" w:hint="cs"/>
          <w:sz w:val="22"/>
          <w:rtl/>
        </w:rPr>
        <w:t xml:space="preserve"> שמאוחרת להסכם ההרשאה לפחות בכשנה</w:t>
      </w:r>
      <w:r>
        <w:rPr>
          <w:rFonts w:hint="cs"/>
          <w:rtl/>
        </w:rPr>
        <w:t xml:space="preserve">. עמדה זו מבוססת על מספר טעמים, המרכזיים שבהם: המפה שצורפה להסכם ההרשאה (מפת צו הסגירה) שורטטה בטוש גס ובאיכות לקויה, ולא יכולה הייתה לשמש לקביעת גבולות ההקצאה; סעיפים בהסכם ההרשאה שמלמדים על חוסר דיוק בגבולות השטח שעליו חל ההסכם כלשונו; סברת הצדדים להסכם כי מדובר בשטח "תפוס בפועל"; פירוש ההסכם </w:t>
      </w:r>
      <w:r w:rsidRPr="001F5F48">
        <w:rPr>
          <w:rFonts w:hint="cs"/>
          <w:rtl/>
        </w:rPr>
        <w:t>לאורך השנים מלמד כי הצדדים סברו שהמקרקעין שעליהם מוקם מצפה כרמים נמצאים בשטח</w:t>
      </w:r>
      <w:r>
        <w:rPr>
          <w:rFonts w:hint="cs"/>
          <w:rtl/>
        </w:rPr>
        <w:t xml:space="preserve"> שנכלל בהסכם</w:t>
      </w:r>
      <w:r w:rsidRPr="001F5F48">
        <w:rPr>
          <w:rFonts w:hint="cs"/>
          <w:rtl/>
        </w:rPr>
        <w:t xml:space="preserve"> </w:t>
      </w:r>
      <w:r w:rsidRPr="001F5F48">
        <w:rPr>
          <w:rtl/>
        </w:rPr>
        <w:t>(</w:t>
      </w:r>
      <w:r w:rsidRPr="001F5F48">
        <w:rPr>
          <w:rFonts w:hint="eastAsia"/>
          <w:rtl/>
        </w:rPr>
        <w:t>ובכלל</w:t>
      </w:r>
      <w:r w:rsidRPr="001F5F48">
        <w:rPr>
          <w:rtl/>
        </w:rPr>
        <w:t xml:space="preserve"> </w:t>
      </w:r>
      <w:r w:rsidRPr="001F5F48">
        <w:rPr>
          <w:rFonts w:hint="eastAsia"/>
          <w:rtl/>
        </w:rPr>
        <w:t>זאת</w:t>
      </w:r>
      <w:r w:rsidRPr="001F5F48">
        <w:rPr>
          <w:rtl/>
        </w:rPr>
        <w:t xml:space="preserve">, </w:t>
      </w:r>
      <w:r w:rsidRPr="001F5F48">
        <w:rPr>
          <w:rFonts w:hint="eastAsia"/>
          <w:rtl/>
        </w:rPr>
        <w:t>עת</w:t>
      </w:r>
      <w:r w:rsidRPr="001F5F48">
        <w:rPr>
          <w:rFonts w:hint="cs"/>
          <w:rtl/>
        </w:rPr>
        <w:t xml:space="preserve"> אושרו </w:t>
      </w:r>
      <w:r w:rsidRPr="001F5F48">
        <w:rPr>
          <w:rFonts w:hint="eastAsia"/>
          <w:rtl/>
        </w:rPr>
        <w:t>תכניות</w:t>
      </w:r>
      <w:r w:rsidRPr="001F5F48">
        <w:rPr>
          <w:rtl/>
        </w:rPr>
        <w:t xml:space="preserve"> 223 </w:t>
      </w:r>
      <w:r w:rsidRPr="001F5F48">
        <w:rPr>
          <w:rFonts w:hint="eastAsia"/>
          <w:rtl/>
        </w:rPr>
        <w:t>ו</w:t>
      </w:r>
      <w:r w:rsidRPr="001F5F48">
        <w:rPr>
          <w:rtl/>
        </w:rPr>
        <w:t>-223/1)</w:t>
      </w:r>
      <w:r w:rsidRPr="001F5F48">
        <w:rPr>
          <w:rFonts w:hint="cs"/>
          <w:rtl/>
        </w:rPr>
        <w:t xml:space="preserve">; </w:t>
      </w:r>
      <w:r w:rsidRPr="001F5F48">
        <w:rPr>
          <w:rFonts w:hint="eastAsia"/>
          <w:rtl/>
        </w:rPr>
        <w:t>ועדות</w:t>
      </w:r>
      <w:r w:rsidRPr="001F5F48">
        <w:rPr>
          <w:rtl/>
        </w:rPr>
        <w:t xml:space="preserve"> </w:t>
      </w:r>
      <w:r w:rsidRPr="001F5F48">
        <w:rPr>
          <w:rFonts w:hint="eastAsia"/>
          <w:rtl/>
        </w:rPr>
        <w:t>נהרי</w:t>
      </w:r>
      <w:r w:rsidRPr="001F5F48">
        <w:rPr>
          <w:rtl/>
        </w:rPr>
        <w:t xml:space="preserve">, </w:t>
      </w:r>
      <w:r w:rsidRPr="001F5F48">
        <w:rPr>
          <w:rFonts w:hint="eastAsia"/>
          <w:rtl/>
        </w:rPr>
        <w:t>הממונה</w:t>
      </w:r>
      <w:r w:rsidRPr="001F5F48">
        <w:rPr>
          <w:rtl/>
        </w:rPr>
        <w:t xml:space="preserve"> </w:t>
      </w:r>
      <w:r w:rsidRPr="001F5F48">
        <w:rPr>
          <w:rFonts w:hint="eastAsia"/>
          <w:rtl/>
        </w:rPr>
        <w:t>בשעתו</w:t>
      </w:r>
      <w:r w:rsidRPr="001F5F48">
        <w:rPr>
          <w:rtl/>
        </w:rPr>
        <w:t xml:space="preserve">, </w:t>
      </w:r>
      <w:r w:rsidRPr="001F5F48">
        <w:rPr>
          <w:rFonts w:hint="eastAsia"/>
          <w:rtl/>
        </w:rPr>
        <w:t>בבית</w:t>
      </w:r>
      <w:r w:rsidRPr="001F5F48">
        <w:rPr>
          <w:rtl/>
        </w:rPr>
        <w:t xml:space="preserve"> </w:t>
      </w:r>
      <w:r w:rsidRPr="001F5F48">
        <w:rPr>
          <w:rFonts w:hint="eastAsia"/>
          <w:rtl/>
        </w:rPr>
        <w:t>המשפט</w:t>
      </w:r>
      <w:r w:rsidRPr="001F5F48">
        <w:rPr>
          <w:rtl/>
        </w:rPr>
        <w:t xml:space="preserve"> </w:t>
      </w:r>
      <w:r w:rsidRPr="001F5F48">
        <w:rPr>
          <w:rFonts w:hint="eastAsia"/>
          <w:rtl/>
        </w:rPr>
        <w:t>המחוזי</w:t>
      </w:r>
      <w:r w:rsidRPr="001F5F48">
        <w:rPr>
          <w:rtl/>
        </w:rPr>
        <w:t xml:space="preserve">, </w:t>
      </w:r>
      <w:r w:rsidRPr="001F5F48">
        <w:rPr>
          <w:rFonts w:hint="eastAsia"/>
          <w:rtl/>
        </w:rPr>
        <w:t>שלפיה</w:t>
      </w:r>
      <w:r w:rsidRPr="001F5F48">
        <w:rPr>
          <w:rtl/>
        </w:rPr>
        <w:t xml:space="preserve"> </w:t>
      </w:r>
      <w:r w:rsidRPr="001F5F48">
        <w:rPr>
          <w:rFonts w:hint="eastAsia"/>
          <w:rtl/>
        </w:rPr>
        <w:t>המפה</w:t>
      </w:r>
      <w:r w:rsidRPr="001F5F48">
        <w:rPr>
          <w:rtl/>
        </w:rPr>
        <w:t xml:space="preserve"> </w:t>
      </w:r>
      <w:r w:rsidRPr="001F5F48">
        <w:rPr>
          <w:rFonts w:hint="eastAsia"/>
          <w:rtl/>
        </w:rPr>
        <w:t>שצור</w:t>
      </w:r>
      <w:r w:rsidRPr="001F5F48">
        <w:rPr>
          <w:rFonts w:hint="cs"/>
          <w:rtl/>
        </w:rPr>
        <w:t>פ</w:t>
      </w:r>
      <w:r w:rsidRPr="001F5F48">
        <w:rPr>
          <w:rFonts w:hint="eastAsia"/>
          <w:rtl/>
        </w:rPr>
        <w:t>ה</w:t>
      </w:r>
      <w:r w:rsidRPr="001F5F48">
        <w:rPr>
          <w:rtl/>
        </w:rPr>
        <w:t xml:space="preserve"> </w:t>
      </w:r>
      <w:r w:rsidRPr="001F5F48">
        <w:rPr>
          <w:rFonts w:hint="eastAsia"/>
          <w:rtl/>
        </w:rPr>
        <w:t>להסכם</w:t>
      </w:r>
      <w:r w:rsidRPr="001F5F48">
        <w:rPr>
          <w:rtl/>
        </w:rPr>
        <w:t xml:space="preserve"> </w:t>
      </w:r>
      <w:r w:rsidRPr="001F5F48">
        <w:rPr>
          <w:rFonts w:hint="eastAsia"/>
          <w:rtl/>
        </w:rPr>
        <w:t>לא</w:t>
      </w:r>
      <w:r w:rsidRPr="001F5F48">
        <w:rPr>
          <w:rtl/>
        </w:rPr>
        <w:t xml:space="preserve"> </w:t>
      </w:r>
      <w:r w:rsidRPr="001F5F48">
        <w:rPr>
          <w:rFonts w:hint="eastAsia"/>
          <w:rtl/>
        </w:rPr>
        <w:t>הייתה</w:t>
      </w:r>
      <w:r w:rsidRPr="001F5F48">
        <w:rPr>
          <w:rtl/>
        </w:rPr>
        <w:t xml:space="preserve"> </w:t>
      </w:r>
      <w:r w:rsidRPr="001F5F48">
        <w:rPr>
          <w:rFonts w:hint="eastAsia"/>
          <w:rtl/>
        </w:rPr>
        <w:t>מדויקת</w:t>
      </w:r>
      <w:r w:rsidRPr="001F5F48">
        <w:rPr>
          <w:rtl/>
        </w:rPr>
        <w:t xml:space="preserve"> </w:t>
      </w:r>
      <w:r w:rsidRPr="001F5F48">
        <w:rPr>
          <w:rFonts w:hint="eastAsia"/>
          <w:rtl/>
        </w:rPr>
        <w:t>והוא</w:t>
      </w:r>
      <w:r w:rsidRPr="001F5F48">
        <w:rPr>
          <w:rtl/>
        </w:rPr>
        <w:t xml:space="preserve"> </w:t>
      </w:r>
      <w:r w:rsidRPr="001F5F48">
        <w:rPr>
          <w:rFonts w:hint="eastAsia"/>
          <w:rtl/>
        </w:rPr>
        <w:t>ביקש</w:t>
      </w:r>
      <w:r w:rsidRPr="001F5F48">
        <w:rPr>
          <w:rtl/>
        </w:rPr>
        <w:t xml:space="preserve"> </w:t>
      </w:r>
      <w:r w:rsidRPr="001F5F48">
        <w:rPr>
          <w:rFonts w:hint="eastAsia"/>
          <w:rtl/>
        </w:rPr>
        <w:t>לקבל</w:t>
      </w:r>
      <w:r w:rsidRPr="001F5F48">
        <w:rPr>
          <w:rtl/>
        </w:rPr>
        <w:t xml:space="preserve"> </w:t>
      </w:r>
      <w:r w:rsidRPr="001F5F48">
        <w:rPr>
          <w:rFonts w:hint="eastAsia"/>
          <w:rtl/>
        </w:rPr>
        <w:t>מפה</w:t>
      </w:r>
      <w:r w:rsidRPr="001F5F48">
        <w:rPr>
          <w:rtl/>
        </w:rPr>
        <w:t xml:space="preserve"> </w:t>
      </w:r>
      <w:r w:rsidRPr="001F5F48">
        <w:rPr>
          <w:rFonts w:hint="eastAsia"/>
          <w:rtl/>
        </w:rPr>
        <w:t>אחרת</w:t>
      </w:r>
      <w:r w:rsidRPr="001F5F48">
        <w:rPr>
          <w:rFonts w:hint="cs"/>
          <w:rtl/>
        </w:rPr>
        <w:t>, וכנטען</w:t>
      </w:r>
      <w:r>
        <w:rPr>
          <w:rFonts w:hint="cs"/>
          <w:rtl/>
        </w:rPr>
        <w:t xml:space="preserve"> קיבל את מפת תכנית 223. בעיני, אין בטעמים אלה כולם כדי להוביל למסקנה שהעסקה בין הממונה לבין ההסתדרות הציונית נוגעת למקרקעין האמורים. </w:t>
      </w:r>
    </w:p>
    <w:p w:rsidR="004C7127" w:rsidRDefault="004C7127" w:rsidP="004C7127">
      <w:pPr>
        <w:pStyle w:val="Ruller41"/>
        <w:rPr>
          <w:rtl/>
        </w:rPr>
      </w:pPr>
    </w:p>
    <w:p w:rsidR="004C7127" w:rsidRDefault="004C7127" w:rsidP="004C7127">
      <w:pPr>
        <w:pStyle w:val="Ruller4"/>
        <w:rPr>
          <w:rtl/>
        </w:rPr>
      </w:pPr>
      <w:r>
        <w:rPr>
          <w:rFonts w:hint="cs"/>
          <w:rtl/>
        </w:rPr>
        <w:t xml:space="preserve">תחילה, להסכם ההרשאה כלשונו: בחינת הסכם ההרשאה הראשון מלמדת כי מצוין בו במפורש כי ההסתדרות הציונית העולמית מעוניינת לקבל מהממונה את החזקה בשטח בהיקף 1,071 דונם שמסומן במפה שמצורפת להסכם. להסכם צורפה (ככל הנראה </w:t>
      </w:r>
      <w:r>
        <w:rPr>
          <w:rFonts w:hint="cs"/>
          <w:rtl/>
        </w:rPr>
        <w:lastRenderedPageBreak/>
        <w:t xml:space="preserve">מחמת שגגה) מפת צו הסגירה (ולא צו התפיסה) בקנה מידה 1:50,000. כזכור, עמדת המחזיקים וההסתדרות הציונית נשענת על טענה שלפיה מדובר במפה לא ברורה, שלא ניתן היה להסיק ממנה על איזה תא שטח מדובר. מדובר בטענה מוקשית ביותר בשים לב לחומר הראיות שהובא במסגרת ההליכים דנן. צו הסגירה הוצא בפברואר 1975, התייחס לשטח של "1000 דונם" וצורפה לו מפה (שדומה עד מאוד למפה שצורפה להסכם ההרשאה הראשון). 10 חודשים לאחר הוצאת הצו, שלח הממונה דאז דיווח מפורט ביותר לסגן מפקד האזור על השטח </w:t>
      </w:r>
      <w:r w:rsidRPr="00413AF4">
        <w:rPr>
          <w:rFonts w:ascii="Century" w:hAnsi="Century" w:cs="Miriam" w:hint="cs"/>
          <w:b/>
          <w:spacing w:val="0"/>
          <w:sz w:val="22"/>
          <w:szCs w:val="24"/>
          <w:rtl/>
        </w:rPr>
        <w:t>שנסגר</w:t>
      </w:r>
      <w:r>
        <w:rPr>
          <w:rFonts w:hint="cs"/>
          <w:rtl/>
        </w:rPr>
        <w:t xml:space="preserve"> (על פני הדברים, השטח שנסגר בהתאם לפקודה שניתנה לתיחום השטח באמצעות הנחת חביות בכל 100 מטרים, ראו נספח 4 לתצהיר כספי). אם אכן מפת צו הסגירה הייתה לא ברורה, ספק בעיני אם יכול היה הממונה להעביר דיווח כה מפורט ומדוקדק על היקף השטח שנסגר ועל הבעלויות השונות בו. על מנת לסבר את העין, כך דיווח הממונה: </w:t>
      </w:r>
    </w:p>
    <w:p w:rsidR="004C7127" w:rsidRDefault="004C7127" w:rsidP="004C7127">
      <w:pPr>
        <w:pStyle w:val="Ruller41"/>
        <w:rPr>
          <w:rtl/>
        </w:rPr>
      </w:pPr>
    </w:p>
    <w:p w:rsidR="004C7127" w:rsidRDefault="004C7127" w:rsidP="004C7127">
      <w:pPr>
        <w:pStyle w:val="Ruller5"/>
        <w:rPr>
          <w:rtl/>
        </w:rPr>
      </w:pPr>
      <w:r>
        <w:rPr>
          <w:rFonts w:hint="cs"/>
          <w:rtl/>
        </w:rPr>
        <w:t>"1. השטח הסגור נגזר משני כפרים-דיר ג'ריר וכפר מאליק. בשני הכפרים נעשה הסדר קרקעות וישנו רישום בספרי האחוזה. לפי כך פרטי הבעלות הינם:</w:t>
      </w:r>
    </w:p>
    <w:p w:rsidR="004C7127" w:rsidRDefault="004C7127" w:rsidP="004C7127">
      <w:pPr>
        <w:pStyle w:val="Ruller5"/>
        <w:tabs>
          <w:tab w:val="left" w:pos="2352"/>
        </w:tabs>
        <w:rPr>
          <w:rtl/>
        </w:rPr>
      </w:pPr>
      <w:r>
        <w:rPr>
          <w:rFonts w:hint="cs"/>
          <w:rtl/>
        </w:rPr>
        <w:t xml:space="preserve">665 </w:t>
      </w:r>
      <w:r>
        <w:rPr>
          <w:rtl/>
        </w:rPr>
        <w:tab/>
      </w:r>
      <w:r>
        <w:rPr>
          <w:rFonts w:hint="cs"/>
          <w:rtl/>
        </w:rPr>
        <w:t>דונם אדמות נוכחים</w:t>
      </w:r>
    </w:p>
    <w:p w:rsidR="004C7127" w:rsidRDefault="004C7127" w:rsidP="004C7127">
      <w:pPr>
        <w:pStyle w:val="Ruller5"/>
        <w:tabs>
          <w:tab w:val="left" w:pos="2352"/>
        </w:tabs>
        <w:rPr>
          <w:rtl/>
        </w:rPr>
      </w:pPr>
      <w:r>
        <w:rPr>
          <w:rFonts w:hint="cs"/>
          <w:rtl/>
        </w:rPr>
        <w:t xml:space="preserve">269 </w:t>
      </w:r>
      <w:r>
        <w:rPr>
          <w:rtl/>
        </w:rPr>
        <w:tab/>
      </w:r>
      <w:r>
        <w:rPr>
          <w:rFonts w:hint="cs"/>
          <w:rtl/>
        </w:rPr>
        <w:t xml:space="preserve">דונם אדמות נפקדים </w:t>
      </w:r>
    </w:p>
    <w:p w:rsidR="004C7127" w:rsidRDefault="004C7127" w:rsidP="004C7127">
      <w:pPr>
        <w:pStyle w:val="Ruller5"/>
        <w:tabs>
          <w:tab w:val="left" w:pos="2352"/>
        </w:tabs>
        <w:rPr>
          <w:rtl/>
        </w:rPr>
      </w:pPr>
      <w:r>
        <w:rPr>
          <w:rFonts w:hint="cs"/>
          <w:rtl/>
        </w:rPr>
        <w:t xml:space="preserve">136 </w:t>
      </w:r>
      <w:r>
        <w:rPr>
          <w:rtl/>
        </w:rPr>
        <w:tab/>
      </w:r>
      <w:r>
        <w:rPr>
          <w:rFonts w:hint="cs"/>
          <w:rtl/>
        </w:rPr>
        <w:t>דונם אדמות מדינה</w:t>
      </w:r>
    </w:p>
    <w:p w:rsidR="004C7127" w:rsidRDefault="004C7127" w:rsidP="004C7127">
      <w:pPr>
        <w:pStyle w:val="Ruller5"/>
        <w:rPr>
          <w:rtl/>
        </w:rPr>
      </w:pPr>
      <w:r>
        <w:rPr>
          <w:rFonts w:hint="cs"/>
          <w:rtl/>
        </w:rPr>
        <w:t xml:space="preserve">---- </w:t>
      </w:r>
    </w:p>
    <w:p w:rsidR="004C7127" w:rsidRDefault="004C7127" w:rsidP="004C7127">
      <w:pPr>
        <w:pStyle w:val="Ruller5"/>
        <w:tabs>
          <w:tab w:val="left" w:pos="2352"/>
        </w:tabs>
        <w:rPr>
          <w:rtl/>
        </w:rPr>
      </w:pPr>
      <w:r>
        <w:rPr>
          <w:rFonts w:hint="cs"/>
          <w:rtl/>
        </w:rPr>
        <w:t xml:space="preserve">1070 </w:t>
      </w:r>
      <w:r>
        <w:rPr>
          <w:rtl/>
        </w:rPr>
        <w:tab/>
      </w:r>
      <w:r>
        <w:rPr>
          <w:rFonts w:hint="cs"/>
          <w:rtl/>
        </w:rPr>
        <w:t>דונם.</w:t>
      </w:r>
    </w:p>
    <w:p w:rsidR="004C7127" w:rsidRDefault="004C7127" w:rsidP="004C7127">
      <w:pPr>
        <w:pStyle w:val="Ruller5"/>
        <w:rPr>
          <w:rtl/>
        </w:rPr>
      </w:pPr>
    </w:p>
    <w:p w:rsidR="004C7127" w:rsidRDefault="004C7127" w:rsidP="004C7127">
      <w:pPr>
        <w:pStyle w:val="Ruller5"/>
        <w:rPr>
          <w:rtl/>
        </w:rPr>
      </w:pPr>
      <w:r>
        <w:rPr>
          <w:rFonts w:hint="cs"/>
          <w:rtl/>
        </w:rPr>
        <w:t>2. מספר בעלי הקרקע הנוכחים מדיר ג'ריר כ-90.</w:t>
      </w:r>
    </w:p>
    <w:p w:rsidR="004C7127" w:rsidRDefault="004C7127" w:rsidP="004C7127">
      <w:pPr>
        <w:pStyle w:val="Ruller5"/>
        <w:rPr>
          <w:rtl/>
        </w:rPr>
      </w:pPr>
      <w:r>
        <w:rPr>
          <w:rFonts w:hint="cs"/>
          <w:rtl/>
        </w:rPr>
        <w:t>מספר בעלי הקרקע הנוכחים מכפר מאליק כ-25.</w:t>
      </w:r>
    </w:p>
    <w:p w:rsidR="004C7127" w:rsidRDefault="004C7127" w:rsidP="004C7127">
      <w:pPr>
        <w:pStyle w:val="Ruller5"/>
        <w:rPr>
          <w:rtl/>
        </w:rPr>
      </w:pPr>
      <w:r>
        <w:rPr>
          <w:rFonts w:hint="cs"/>
          <w:rtl/>
        </w:rPr>
        <w:t xml:space="preserve">ראה רשימות מצורפות [הרשימות לא צורפו בהליך </w:t>
      </w:r>
      <w:r>
        <w:rPr>
          <w:rtl/>
        </w:rPr>
        <w:t>–</w:t>
      </w:r>
      <w:r>
        <w:rPr>
          <w:rFonts w:hint="cs"/>
          <w:rtl/>
        </w:rPr>
        <w:t xml:space="preserve"> ע' פ']</w:t>
      </w:r>
    </w:p>
    <w:p w:rsidR="004C7127" w:rsidRDefault="004C7127" w:rsidP="004C7127">
      <w:pPr>
        <w:pStyle w:val="Ruller5"/>
        <w:rPr>
          <w:rtl/>
        </w:rPr>
      </w:pPr>
    </w:p>
    <w:p w:rsidR="004C7127" w:rsidRPr="00413AF4" w:rsidRDefault="004C7127" w:rsidP="004C7127">
      <w:pPr>
        <w:pStyle w:val="Ruller5"/>
        <w:rPr>
          <w:rtl/>
        </w:rPr>
      </w:pPr>
      <w:r>
        <w:rPr>
          <w:rFonts w:hint="cs"/>
          <w:rtl/>
        </w:rPr>
        <w:t xml:space="preserve">3. ל-88 בעלים מדיר ג'ריר ישנה קרקע נוספת בכפר בשטח של 3,150 דונם. שני בעלים חסרי קרקע נוספת. ל-23 בעלים מכפר מאליק ישנה קרקע נוספת בכפר בשטח כללי של 1,070 דונם. ל-2 בעלים ישנן חלקות של כ-1/2 דונם נוסף לאדמתם בשטח הסגור והן כנראה אדמות בניה ולא חקלאות" (נספח 5 לתצהיר כספי). </w:t>
      </w:r>
    </w:p>
    <w:p w:rsidR="004C7127" w:rsidRDefault="004C7127" w:rsidP="004C7127">
      <w:pPr>
        <w:pStyle w:val="Ruller41"/>
        <w:rPr>
          <w:rtl/>
        </w:rPr>
      </w:pPr>
    </w:p>
    <w:p w:rsidR="004C7127" w:rsidRDefault="004C7127" w:rsidP="004C7127">
      <w:pPr>
        <w:pStyle w:val="Ruller41"/>
        <w:rPr>
          <w:rFonts w:ascii="Century" w:hAnsi="Century"/>
          <w:rtl/>
        </w:rPr>
      </w:pPr>
      <w:r>
        <w:rPr>
          <w:rtl/>
        </w:rPr>
        <w:tab/>
      </w:r>
      <w:r>
        <w:rPr>
          <w:rFonts w:hint="cs"/>
          <w:rtl/>
        </w:rPr>
        <w:t xml:space="preserve">הפירוט לעיל מלמד עד כמה קשה להלום את הטענה שנוכח אי בהירות צו הסגירה או קו הסימון (שסומן "בטוש עבה"), או שבשל העדר טכנולוגיה מתאימה בשנות ה-80 לא ניתן היה לדעת מהו השטח שנסגר (ראו, למשל, עדות מושקוביץ, בעמ' 70, ש' 11-6, 31-27). טענות אלו לא מתיישבות עם תיאור (משנת 1975, כאמור) דקדקני ומפורט של היקף השטחים שנסגרו, הבעלות בהם, זהות בעלי השטחים והיקף השטחים שנותרו בבעלות מי ששטחם נסגר (לכך יש להוסיף כי כעולה מהמכתב צורפו לו 4 מפות, ובהן סימון קו הסגירה ביחס לכפרים). זאת ועוד, כפי שציינתי במסגרת הרקע העובדתי, </w:t>
      </w:r>
      <w:r>
        <w:rPr>
          <w:rFonts w:hint="cs"/>
          <w:rtl/>
        </w:rPr>
        <w:lastRenderedPageBreak/>
        <w:t xml:space="preserve">המינהל האזרחי הגיש בבית המשפט המחוזי חוות דעת של מר אבי פטיק (קמ"ט מדידות יהודה ושומרון). בעדותו בבית המשפט המחוזי הבהיר פטיק, כי השטח שמסומן במפת צו הסגירה (שנטען כאמור שלא ניתן היה להבין ממנה את היקף השטח) הוכנס למחשב, והיקפו </w:t>
      </w:r>
      <w:r>
        <w:rPr>
          <w:rtl/>
        </w:rPr>
        <w:t>–</w:t>
      </w:r>
      <w:r>
        <w:rPr>
          <w:rFonts w:hint="cs"/>
          <w:rtl/>
        </w:rPr>
        <w:t xml:space="preserve"> 1,071 דונם, פער של דונם אחד בלבד מהיקף השטחים שדווח שנסגרו בשנת 1975 (פרוטוקול הדיון בבית המשפט המחוזי, בעמ' 247, ש' 18; ויוער כי מדובר בדיוק בהיקף השטח שקבוע בהסכם ההרשאה). זאת ועוד, כעולה מחוות דעתו של פטיק, עובי הקו שהגדיר את שטח צו הסגירה הוא בין 1 ל-1.5 מ"מ, שמשקפים בין 50 ל-75 מטרים בשטח (סעיף 4 לחוות דעתו). אף בכך יש כדי להקשות באורח ממשי על הטענה כי עובי הטוש ואופי השרטוט הובילו לחריגה בת מאות דונמים. כל מי שעשה שימוש במפה שקנה המידה שלה הוא 1:50,000 יוכל להבין בקלות את מופרכות הטענה. יש לשוב ולהדגיש, המכתב המפורט משנת 1975 מקורו </w:t>
      </w:r>
      <w:r>
        <w:rPr>
          <w:rFonts w:ascii="Century" w:hAnsi="Century" w:cs="Miriam" w:hint="cs"/>
          <w:b/>
          <w:spacing w:val="0"/>
          <w:szCs w:val="24"/>
          <w:rtl/>
        </w:rPr>
        <w:t>בממונה</w:t>
      </w:r>
      <w:r>
        <w:rPr>
          <w:rFonts w:ascii="Century" w:hAnsi="Century" w:hint="cs"/>
          <w:rtl/>
        </w:rPr>
        <w:t>, שכנטען, 6 שנים מאוחר יותר, לא יכול היה לדעת את גבולותיו המדויקים של צו הסגירה נוכח אי בהירות המפה שצורפה.</w:t>
      </w:r>
    </w:p>
    <w:p w:rsidR="004C7127" w:rsidRDefault="004C7127" w:rsidP="004C7127">
      <w:pPr>
        <w:pStyle w:val="Ruller41"/>
        <w:rPr>
          <w:rFonts w:ascii="Century" w:hAnsi="Century"/>
          <w:rtl/>
        </w:rPr>
      </w:pPr>
    </w:p>
    <w:p w:rsidR="004C7127" w:rsidRDefault="004C7127" w:rsidP="004C7127">
      <w:pPr>
        <w:pStyle w:val="Ruller4"/>
      </w:pPr>
      <w:r>
        <w:rPr>
          <w:rFonts w:hint="cs"/>
          <w:rtl/>
        </w:rPr>
        <w:t xml:space="preserve">ואולם, המחזיקים (כמו גם ההסתדרות הציונית ובמידה מסוימת גם המדינה) טוענים כי העסקה נגעה לשטח שהיה לדעת כלל הגורמים המעורבים בזמן אמת שטח "תפוס בפועל". כלומר, ש"בפועל" נתפס על ידי המפקד הצבאי שטח גדול הרבה יותר מזה שמתואר בצו התפיסה (או בצו הסגירה), וששטח זה חופף למעשה לשטח תכנית 223. כנטען, אישור תכנית 223 נתן גושפנקה לכך שהשטח עצמו תפוס (וזאת, בין היתר </w:t>
      </w:r>
      <w:r w:rsidRPr="00E1515E">
        <w:rPr>
          <w:rFonts w:hint="cs"/>
          <w:rtl/>
        </w:rPr>
        <w:t xml:space="preserve">מאחר </w:t>
      </w:r>
      <w:r w:rsidRPr="00E1515E">
        <w:rPr>
          <w:rFonts w:hint="eastAsia"/>
          <w:rtl/>
        </w:rPr>
        <w:t>שצו</w:t>
      </w:r>
      <w:r w:rsidRPr="00E1515E">
        <w:rPr>
          <w:rtl/>
        </w:rPr>
        <w:t xml:space="preserve"> 997, </w:t>
      </w:r>
      <w:r w:rsidRPr="00E1515E">
        <w:rPr>
          <w:rFonts w:hint="eastAsia"/>
          <w:rtl/>
        </w:rPr>
        <w:t>ש</w:t>
      </w:r>
      <w:r w:rsidRPr="00E1515E">
        <w:rPr>
          <w:rFonts w:hint="cs"/>
          <w:rtl/>
        </w:rPr>
        <w:t xml:space="preserve">גם </w:t>
      </w:r>
      <w:r w:rsidRPr="00E1515E">
        <w:rPr>
          <w:rFonts w:hint="eastAsia"/>
          <w:rtl/>
        </w:rPr>
        <w:t>מכוחו</w:t>
      </w:r>
      <w:r w:rsidRPr="00E1515E">
        <w:rPr>
          <w:rtl/>
        </w:rPr>
        <w:t xml:space="preserve"> </w:t>
      </w:r>
      <w:r w:rsidRPr="00E1515E">
        <w:rPr>
          <w:rFonts w:hint="cs"/>
          <w:rtl/>
        </w:rPr>
        <w:t xml:space="preserve">נמסרה הודעה על הפקדת </w:t>
      </w:r>
      <w:r w:rsidRPr="00E1515E">
        <w:rPr>
          <w:rFonts w:hint="eastAsia"/>
          <w:rtl/>
        </w:rPr>
        <w:t>התכנית</w:t>
      </w:r>
      <w:r w:rsidRPr="00E1515E">
        <w:rPr>
          <w:rtl/>
        </w:rPr>
        <w:t>,</w:t>
      </w:r>
      <w:r>
        <w:rPr>
          <w:rFonts w:hint="cs"/>
          <w:rtl/>
        </w:rPr>
        <w:t xml:space="preserve"> מאפשר תכנון רק בשטחים תפוסים; ראו למשל סעיף 2 לצו). אעיר כבר עתה כי בית המשפט המחוזי קבע שלא הוכח שמצפה כרמים מוקם בתוך שטח ש"גודר" ולכן נחשב כשטח ש"נתפס בפועל" ("לא </w:t>
      </w:r>
      <w:r w:rsidRPr="00FB51C7">
        <w:rPr>
          <w:rtl/>
        </w:rPr>
        <w:t>הונחה תשתית ראייתית מספיקה לקבוע כי אכן כך היה בפועל וכי הגדר הייתה ממוקמת באופן שכולל את מלוא השטחים שנכללים במערכ</w:t>
      </w:r>
      <w:r>
        <w:rPr>
          <w:rtl/>
        </w:rPr>
        <w:t>ת ההנחיות 223 בתוך תחום התפיסה</w:t>
      </w:r>
      <w:r>
        <w:rPr>
          <w:rFonts w:hint="cs"/>
          <w:rtl/>
        </w:rPr>
        <w:t xml:space="preserve"> [...] </w:t>
      </w:r>
      <w:r w:rsidRPr="00FB51C7">
        <w:rPr>
          <w:rFonts w:hint="eastAsia"/>
          <w:rtl/>
        </w:rPr>
        <w:t>הנה</w:t>
      </w:r>
      <w:r w:rsidRPr="00FB51C7">
        <w:rPr>
          <w:rtl/>
        </w:rPr>
        <w:t xml:space="preserve"> </w:t>
      </w:r>
      <w:r w:rsidRPr="00FB51C7">
        <w:rPr>
          <w:rFonts w:hint="eastAsia"/>
          <w:rtl/>
        </w:rPr>
        <w:t>כי</w:t>
      </w:r>
      <w:r w:rsidRPr="00FB51C7">
        <w:rPr>
          <w:rtl/>
        </w:rPr>
        <w:t>-</w:t>
      </w:r>
      <w:r w:rsidRPr="00FB51C7">
        <w:rPr>
          <w:rFonts w:hint="eastAsia"/>
          <w:rtl/>
        </w:rPr>
        <w:t>כן</w:t>
      </w:r>
      <w:r w:rsidRPr="00FB51C7">
        <w:rPr>
          <w:rtl/>
        </w:rPr>
        <w:t xml:space="preserve"> </w:t>
      </w:r>
      <w:r w:rsidRPr="00FB51C7">
        <w:rPr>
          <w:rFonts w:hint="eastAsia"/>
          <w:rtl/>
        </w:rPr>
        <w:t>לא</w:t>
      </w:r>
      <w:r w:rsidRPr="00FB51C7">
        <w:rPr>
          <w:rtl/>
        </w:rPr>
        <w:t xml:space="preserve"> </w:t>
      </w:r>
      <w:r w:rsidRPr="00FB51C7">
        <w:rPr>
          <w:rFonts w:hint="eastAsia"/>
          <w:rtl/>
        </w:rPr>
        <w:t>שוכנעתי</w:t>
      </w:r>
      <w:r w:rsidRPr="00FB51C7">
        <w:rPr>
          <w:rtl/>
        </w:rPr>
        <w:t xml:space="preserve"> </w:t>
      </w:r>
      <w:r w:rsidRPr="00FB51C7">
        <w:rPr>
          <w:rFonts w:hint="eastAsia"/>
          <w:rtl/>
        </w:rPr>
        <w:t>כי</w:t>
      </w:r>
      <w:r w:rsidRPr="00FB51C7">
        <w:rPr>
          <w:rtl/>
        </w:rPr>
        <w:t xml:space="preserve"> </w:t>
      </w:r>
      <w:r w:rsidRPr="00FB51C7">
        <w:rPr>
          <w:rFonts w:hint="eastAsia"/>
          <w:rtl/>
        </w:rPr>
        <w:t>קיימת</w:t>
      </w:r>
      <w:r w:rsidRPr="00FB51C7">
        <w:rPr>
          <w:rtl/>
        </w:rPr>
        <w:t xml:space="preserve"> </w:t>
      </w:r>
      <w:r w:rsidRPr="00FB51C7">
        <w:rPr>
          <w:rFonts w:hint="eastAsia"/>
          <w:rtl/>
        </w:rPr>
        <w:t>תשתית</w:t>
      </w:r>
      <w:r w:rsidRPr="00FB51C7">
        <w:rPr>
          <w:rtl/>
        </w:rPr>
        <w:t xml:space="preserve"> </w:t>
      </w:r>
      <w:r w:rsidRPr="00FB51C7">
        <w:rPr>
          <w:rFonts w:hint="eastAsia"/>
          <w:rtl/>
        </w:rPr>
        <w:t>ראייתית</w:t>
      </w:r>
      <w:r w:rsidRPr="00FB51C7">
        <w:rPr>
          <w:rtl/>
        </w:rPr>
        <w:t xml:space="preserve"> </w:t>
      </w:r>
      <w:r w:rsidRPr="00FB51C7">
        <w:rPr>
          <w:rFonts w:hint="eastAsia"/>
          <w:rtl/>
        </w:rPr>
        <w:t>מספיקה</w:t>
      </w:r>
      <w:r w:rsidRPr="00FB51C7">
        <w:rPr>
          <w:rtl/>
        </w:rPr>
        <w:t xml:space="preserve"> </w:t>
      </w:r>
      <w:r w:rsidRPr="00FB51C7">
        <w:rPr>
          <w:rFonts w:hint="eastAsia"/>
          <w:rtl/>
        </w:rPr>
        <w:t>לקבוע</w:t>
      </w:r>
      <w:r w:rsidRPr="00FB51C7">
        <w:rPr>
          <w:rtl/>
        </w:rPr>
        <w:t xml:space="preserve"> </w:t>
      </w:r>
      <w:r w:rsidRPr="00FB51C7">
        <w:rPr>
          <w:rFonts w:hint="eastAsia"/>
          <w:rtl/>
        </w:rPr>
        <w:t>כי</w:t>
      </w:r>
      <w:r w:rsidRPr="00FB51C7">
        <w:rPr>
          <w:rtl/>
        </w:rPr>
        <w:t xml:space="preserve"> </w:t>
      </w:r>
      <w:r w:rsidRPr="00FB51C7">
        <w:rPr>
          <w:rFonts w:hint="eastAsia"/>
          <w:rtl/>
        </w:rPr>
        <w:t>צו</w:t>
      </w:r>
      <w:r w:rsidRPr="00FB51C7">
        <w:rPr>
          <w:rtl/>
        </w:rPr>
        <w:t xml:space="preserve"> </w:t>
      </w:r>
      <w:r w:rsidRPr="00FB51C7">
        <w:rPr>
          <w:rFonts w:hint="eastAsia"/>
          <w:rtl/>
        </w:rPr>
        <w:t>התפיסה</w:t>
      </w:r>
      <w:r w:rsidRPr="00FB51C7">
        <w:rPr>
          <w:rtl/>
        </w:rPr>
        <w:t xml:space="preserve"> </w:t>
      </w:r>
      <w:r w:rsidRPr="00FB51C7">
        <w:rPr>
          <w:rFonts w:hint="eastAsia"/>
          <w:rtl/>
        </w:rPr>
        <w:t>חל</w:t>
      </w:r>
      <w:r w:rsidRPr="00FB51C7">
        <w:rPr>
          <w:rtl/>
        </w:rPr>
        <w:t xml:space="preserve"> </w:t>
      </w:r>
      <w:r w:rsidRPr="00FB51C7">
        <w:rPr>
          <w:rFonts w:hint="eastAsia"/>
          <w:rtl/>
        </w:rPr>
        <w:t>גם</w:t>
      </w:r>
      <w:r w:rsidRPr="00FB51C7">
        <w:rPr>
          <w:rtl/>
        </w:rPr>
        <w:t xml:space="preserve"> </w:t>
      </w:r>
      <w:r w:rsidRPr="00FB51C7">
        <w:rPr>
          <w:rFonts w:hint="eastAsia"/>
          <w:rtl/>
        </w:rPr>
        <w:t>על</w:t>
      </w:r>
      <w:r w:rsidRPr="00FB51C7">
        <w:rPr>
          <w:rtl/>
        </w:rPr>
        <w:t xml:space="preserve"> </w:t>
      </w:r>
      <w:r w:rsidRPr="00FB51C7">
        <w:rPr>
          <w:rFonts w:hint="eastAsia"/>
          <w:rtl/>
        </w:rPr>
        <w:t>שטח</w:t>
      </w:r>
      <w:r w:rsidRPr="00FB51C7">
        <w:rPr>
          <w:rtl/>
        </w:rPr>
        <w:t xml:space="preserve"> </w:t>
      </w:r>
      <w:r w:rsidRPr="00FB51C7">
        <w:rPr>
          <w:rFonts w:hint="eastAsia"/>
          <w:rtl/>
        </w:rPr>
        <w:t>המקרקעין</w:t>
      </w:r>
      <w:r w:rsidRPr="00FB51C7">
        <w:rPr>
          <w:rtl/>
        </w:rPr>
        <w:t xml:space="preserve"> </w:t>
      </w:r>
      <w:r w:rsidRPr="00FB51C7">
        <w:rPr>
          <w:rFonts w:hint="eastAsia"/>
          <w:rtl/>
        </w:rPr>
        <w:t>של</w:t>
      </w:r>
      <w:r w:rsidRPr="00FB51C7">
        <w:rPr>
          <w:rtl/>
        </w:rPr>
        <w:t xml:space="preserve"> </w:t>
      </w:r>
      <w:r w:rsidRPr="00FB51C7">
        <w:rPr>
          <w:rFonts w:hint="eastAsia"/>
          <w:rtl/>
        </w:rPr>
        <w:t>מצפה</w:t>
      </w:r>
      <w:r w:rsidRPr="00FB51C7">
        <w:rPr>
          <w:rtl/>
        </w:rPr>
        <w:t xml:space="preserve"> </w:t>
      </w:r>
      <w:r w:rsidRPr="00FB51C7">
        <w:rPr>
          <w:rFonts w:hint="eastAsia"/>
          <w:rtl/>
        </w:rPr>
        <w:t>כרמים</w:t>
      </w:r>
      <w:r>
        <w:rPr>
          <w:rFonts w:hint="cs"/>
          <w:rtl/>
        </w:rPr>
        <w:t xml:space="preserve">", סעיפים 101-100 לפסק הדין). </w:t>
      </w:r>
    </w:p>
    <w:p w:rsidR="004C7127" w:rsidRDefault="004C7127" w:rsidP="004C7127">
      <w:pPr>
        <w:pStyle w:val="Ruller4"/>
        <w:numPr>
          <w:ilvl w:val="0"/>
          <w:numId w:val="0"/>
        </w:numPr>
      </w:pPr>
    </w:p>
    <w:p w:rsidR="004C7127" w:rsidRDefault="004C7127" w:rsidP="004C7127">
      <w:pPr>
        <w:pStyle w:val="Ruller4"/>
        <w:rPr>
          <w:rtl/>
        </w:rPr>
      </w:pPr>
      <w:r>
        <w:rPr>
          <w:rFonts w:hint="cs"/>
          <w:rtl/>
        </w:rPr>
        <w:t xml:space="preserve">טענת ה"תפיסה בפועל" נשענת על פסק הדין בבג"ץ 469/83 </w:t>
      </w:r>
      <w:r w:rsidRPr="00675674">
        <w:rPr>
          <w:rFonts w:ascii="Century" w:hAnsi="Century" w:cs="Miriam" w:hint="cs"/>
          <w:b/>
          <w:spacing w:val="0"/>
          <w:sz w:val="22"/>
          <w:szCs w:val="24"/>
          <w:rtl/>
        </w:rPr>
        <w:t>חברת האוטובוסים המאוחדת הלאומית חברון בע"מ נ' שר הביטחון</w:t>
      </w:r>
      <w:r>
        <w:rPr>
          <w:rFonts w:hint="cs"/>
          <w:rtl/>
        </w:rPr>
        <w:t xml:space="preserve"> (1.4.1992) (להלן: עניין </w:t>
      </w:r>
      <w:r w:rsidRPr="00675674">
        <w:rPr>
          <w:rFonts w:ascii="Century" w:hAnsi="Century" w:cs="Miriam" w:hint="cs"/>
          <w:b/>
          <w:spacing w:val="0"/>
          <w:sz w:val="22"/>
          <w:szCs w:val="24"/>
          <w:rtl/>
        </w:rPr>
        <w:t>חברת האוטובוסים</w:t>
      </w:r>
      <w:r>
        <w:rPr>
          <w:rFonts w:hint="cs"/>
          <w:rtl/>
        </w:rPr>
        <w:t xml:space="preserve">; וזאת הגם שפסק הדין ניתן שנים רבות לאחר שנתפס השטח במקרה דנן). קריאת פסק דין קצר זה מלמדת שהגם שצו תפיסה </w:t>
      </w:r>
      <w:r w:rsidRPr="00675674">
        <w:rPr>
          <w:rFonts w:ascii="Century" w:hAnsi="Century" w:cs="Miriam" w:hint="cs"/>
          <w:b/>
          <w:spacing w:val="0"/>
          <w:sz w:val="22"/>
          <w:szCs w:val="24"/>
          <w:rtl/>
        </w:rPr>
        <w:t xml:space="preserve">יכול </w:t>
      </w:r>
      <w:r w:rsidRPr="00675674">
        <w:rPr>
          <w:rFonts w:ascii="Century" w:hAnsi="Century" w:hint="cs"/>
          <w:sz w:val="22"/>
          <w:rtl/>
        </w:rPr>
        <w:t>להינתן בעל פה, כאשר מתעורר צורך דחוף, דרך המלך היא שצו התפיסה יעשה בכתב</w:t>
      </w:r>
      <w:r>
        <w:rPr>
          <w:rFonts w:ascii="Century" w:hAnsi="Century" w:hint="cs"/>
          <w:sz w:val="22"/>
          <w:rtl/>
        </w:rPr>
        <w:t xml:space="preserve"> (ראו והשוו: עניין </w:t>
      </w:r>
      <w:r>
        <w:rPr>
          <w:rFonts w:ascii="Century" w:hAnsi="Century" w:cs="Miriam" w:hint="cs"/>
          <w:b/>
          <w:spacing w:val="0"/>
          <w:sz w:val="22"/>
          <w:szCs w:val="24"/>
          <w:rtl/>
        </w:rPr>
        <w:t>אבו צפייה</w:t>
      </w:r>
      <w:r w:rsidRPr="00BF19AF">
        <w:rPr>
          <w:rFonts w:ascii="Century" w:hAnsi="Century"/>
          <w:sz w:val="22"/>
          <w:rtl/>
        </w:rPr>
        <w:t xml:space="preserve">, </w:t>
      </w:r>
      <w:r w:rsidRPr="00BF19AF">
        <w:rPr>
          <w:rFonts w:ascii="Century" w:hAnsi="Century" w:hint="eastAsia"/>
          <w:sz w:val="22"/>
          <w:rtl/>
        </w:rPr>
        <w:t>בעמ</w:t>
      </w:r>
      <w:r w:rsidRPr="00BF19AF">
        <w:rPr>
          <w:rFonts w:ascii="Century" w:hAnsi="Century"/>
          <w:sz w:val="22"/>
          <w:rtl/>
        </w:rPr>
        <w:t>'</w:t>
      </w:r>
      <w:r>
        <w:rPr>
          <w:rFonts w:ascii="Century" w:hAnsi="Century" w:hint="cs"/>
          <w:sz w:val="22"/>
          <w:rtl/>
        </w:rPr>
        <w:t xml:space="preserve"> 379; בג"ץ 9593/04 </w:t>
      </w:r>
      <w:r>
        <w:rPr>
          <w:rFonts w:ascii="Century" w:hAnsi="Century" w:cs="Miriam" w:hint="cs"/>
          <w:b/>
          <w:spacing w:val="0"/>
          <w:sz w:val="22"/>
          <w:szCs w:val="24"/>
          <w:rtl/>
        </w:rPr>
        <w:t>ראש מועצת הכפר יאנון נ' מפקד כוחות צה"ל ביהודה ושומרון</w:t>
      </w:r>
      <w:r>
        <w:rPr>
          <w:rFonts w:ascii="Century" w:hAnsi="Century" w:hint="cs"/>
          <w:sz w:val="22"/>
          <w:rtl/>
        </w:rPr>
        <w:t xml:space="preserve">, </w:t>
      </w:r>
      <w:r>
        <w:rPr>
          <w:rFonts w:ascii="Century" w:hAnsi="Century" w:hint="cs"/>
          <w:sz w:val="22"/>
          <w:rtl/>
        </w:rPr>
        <w:lastRenderedPageBreak/>
        <w:t>פ"ד סא(1) 844, 869-868 (2006))</w:t>
      </w:r>
      <w:r w:rsidRPr="00675674">
        <w:rPr>
          <w:rFonts w:ascii="Century" w:hAnsi="Century" w:hint="cs"/>
          <w:sz w:val="22"/>
          <w:rtl/>
        </w:rPr>
        <w:t>.</w:t>
      </w:r>
      <w:r>
        <w:rPr>
          <w:rFonts w:ascii="Century" w:hAnsi="Century" w:hint="cs"/>
          <w:sz w:val="22"/>
          <w:rtl/>
        </w:rPr>
        <w:t xml:space="preserve"> במקרה שלפנינו אין כל יסוד לטענה כי בשל צורך דחוף היה הכרח בתפיסה בלא צו. </w:t>
      </w:r>
      <w:r w:rsidRPr="00675674">
        <w:rPr>
          <w:rFonts w:ascii="Century" w:hAnsi="Century" w:hint="cs"/>
          <w:sz w:val="22"/>
          <w:rtl/>
        </w:rPr>
        <w:t xml:space="preserve">זאת ועוד, המדינה הבהירה במפורש (כפי שעולה גם מהצווים עצמם) שכוונת המפקד הצבאי בהוצאת צו התפיסה הייתה </w:t>
      </w:r>
      <w:r w:rsidRPr="00675674">
        <w:rPr>
          <w:rFonts w:ascii="Century" w:hAnsi="Century" w:cs="Miriam" w:hint="cs"/>
          <w:b/>
          <w:spacing w:val="0"/>
          <w:sz w:val="22"/>
          <w:szCs w:val="24"/>
          <w:rtl/>
        </w:rPr>
        <w:t xml:space="preserve">לצמצם </w:t>
      </w:r>
      <w:r w:rsidRPr="00675674">
        <w:rPr>
          <w:rFonts w:ascii="Century" w:hAnsi="Century" w:hint="cs"/>
          <w:sz w:val="22"/>
          <w:rtl/>
        </w:rPr>
        <w:t xml:space="preserve">את היקף השטחים </w:t>
      </w:r>
      <w:r>
        <w:rPr>
          <w:rFonts w:ascii="Century" w:hAnsi="Century" w:hint="cs"/>
          <w:sz w:val="22"/>
          <w:rtl/>
        </w:rPr>
        <w:t>לעומת צו הסגירה, ולא להרחיבו</w:t>
      </w:r>
      <w:r w:rsidRPr="00675674">
        <w:rPr>
          <w:rFonts w:ascii="Century" w:hAnsi="Century" w:hint="cs"/>
          <w:sz w:val="22"/>
          <w:rtl/>
        </w:rPr>
        <w:t xml:space="preserve"> (ראו גם סעיפים 62-59 לסיכומי המדינה בבית המשפט המחוזי; בא כוח המדינה בדיון לפנינו הבהיר כי אין הוא חוזר מהאמור שם, ראו פרוטוקול הדיון, בעמ' 7). </w:t>
      </w:r>
      <w:r>
        <w:rPr>
          <w:rFonts w:hint="cs"/>
          <w:rtl/>
        </w:rPr>
        <w:t xml:space="preserve">משמעות תזת התפיסה בפועל היא שבשנת 1980 ביקש מפקד האזור לצמצם את שטח צו הסגירה לטובת הקמת היישוב כוכב השחר, ובשנים 1982-1981 ביקש הממונה (אשר כפוף למפקד האזור) להקצות שטח שגדול במאות דונמים </w:t>
      </w:r>
      <w:r w:rsidRPr="00594147">
        <w:rPr>
          <w:rFonts w:ascii="Century" w:hAnsi="Century" w:cs="Miriam" w:hint="cs"/>
          <w:b/>
          <w:spacing w:val="0"/>
          <w:sz w:val="22"/>
          <w:szCs w:val="24"/>
          <w:rtl/>
        </w:rPr>
        <w:t>מצו הסגירה</w:t>
      </w:r>
      <w:r w:rsidRPr="00594147">
        <w:rPr>
          <w:rFonts w:ascii="Century" w:hAnsi="Century" w:hint="cs"/>
          <w:sz w:val="22"/>
          <w:rtl/>
        </w:rPr>
        <w:t xml:space="preserve"> (לא כל שכן מצו התפיסה), וזאת חרף הלשון הברורה של הסכם ההרשאה. אין בידי לקבל טענות אלו</w:t>
      </w:r>
      <w:r>
        <w:rPr>
          <w:rFonts w:ascii="Century" w:hAnsi="Century" w:hint="cs"/>
          <w:sz w:val="22"/>
          <w:rtl/>
        </w:rPr>
        <w:t xml:space="preserve">. </w:t>
      </w:r>
    </w:p>
    <w:p w:rsidR="004C7127" w:rsidRPr="0053454E" w:rsidRDefault="004C7127" w:rsidP="004C7127">
      <w:pPr>
        <w:pStyle w:val="Ruller41"/>
        <w:rPr>
          <w:rtl/>
        </w:rPr>
      </w:pPr>
    </w:p>
    <w:p w:rsidR="004C7127" w:rsidRDefault="004C7127" w:rsidP="004C7127">
      <w:pPr>
        <w:pStyle w:val="Ruller4"/>
      </w:pPr>
      <w:r>
        <w:rPr>
          <w:rFonts w:hint="cs"/>
          <w:rtl/>
        </w:rPr>
        <w:t xml:space="preserve">לכך יש להוסיף כי הטענה לתפיסה בפועל אשר חורגת במאות דונמים מהתפיסה בצו התפיסה לא עולה בקנה אחד אף עם ההוראות הברורות שצורפו לצו התפיסה. כזכור, במכתב שנלווה לצו התפיסה (נספח 10 לתצהיר כספי) נכללו הוראות רבות, ובהן: הוראות פרסום; הודעה למוכתרים; הודעה על זכות בעלי הקרקעות לקבל פיצויים; צוין שם כי למוכתרים יוזכר "כי השטח נסגר בשנת 1975 והוקם עליו ישוב צבאי"; ונוסח הצו בערבית יפורסם בנפרד על ידי היועץ המשפטי. ההנחה כי שטח בן כ-500 דונם נתפס בלא שתחול עליו הוראה כלשהי מההוראות האלו, וזאת ב"תפיסה בפועל" </w:t>
      </w:r>
      <w:r>
        <w:rPr>
          <w:rtl/>
        </w:rPr>
        <w:t>–</w:t>
      </w:r>
      <w:r>
        <w:rPr>
          <w:rFonts w:hint="cs"/>
          <w:rtl/>
        </w:rPr>
        <w:t xml:space="preserve"> היא מוקשית ביותר. כמו כן, קשה להסביר הליך קבלת החלטות כה מסודר ביחס לתפיסת חלק מסוים במקרקעין והליך שאין לו תיעוד וזכר ביחס לחלק אחר במקרקעין. </w:t>
      </w:r>
      <w:r>
        <w:rPr>
          <w:rFonts w:ascii="Century" w:hAnsi="Century" w:hint="cs"/>
          <w:sz w:val="22"/>
          <w:rtl/>
        </w:rPr>
        <w:t xml:space="preserve">לבסוף אציין בהקשר זה </w:t>
      </w:r>
      <w:r w:rsidRPr="00594147">
        <w:rPr>
          <w:rFonts w:ascii="Century" w:hAnsi="Century" w:hint="cs"/>
          <w:sz w:val="22"/>
          <w:rtl/>
        </w:rPr>
        <w:t xml:space="preserve">שתזת התפיסה בפועל במקרה דנן אינה נשענת על תפיסה בעל פה אלא על תפיסה </w:t>
      </w:r>
      <w:r w:rsidRPr="00594147">
        <w:rPr>
          <w:rFonts w:ascii="Century" w:hAnsi="Century" w:cs="Miriam" w:hint="cs"/>
          <w:b/>
          <w:spacing w:val="0"/>
          <w:sz w:val="22"/>
          <w:szCs w:val="24"/>
          <w:rtl/>
        </w:rPr>
        <w:t>במשתמע</w:t>
      </w:r>
      <w:r w:rsidRPr="00594147">
        <w:rPr>
          <w:rFonts w:ascii="Century" w:hAnsi="Century" w:hint="cs"/>
          <w:sz w:val="22"/>
          <w:rtl/>
        </w:rPr>
        <w:t xml:space="preserve"> (כלומר, שהצבת הגדר או עצם אישור תכנית 223 "תפס</w:t>
      </w:r>
      <w:r>
        <w:rPr>
          <w:rFonts w:ascii="Century" w:hAnsi="Century" w:hint="cs"/>
          <w:sz w:val="22"/>
          <w:rtl/>
        </w:rPr>
        <w:t>ו</w:t>
      </w:r>
      <w:r w:rsidRPr="00594147">
        <w:rPr>
          <w:rFonts w:ascii="Century" w:hAnsi="Century" w:hint="cs"/>
          <w:sz w:val="22"/>
          <w:rtl/>
        </w:rPr>
        <w:t xml:space="preserve"> בפועל" את השטח שעליו חלה התכנית). לכך, </w:t>
      </w:r>
      <w:r>
        <w:rPr>
          <w:rFonts w:ascii="Century" w:hAnsi="Century" w:hint="cs"/>
          <w:sz w:val="22"/>
          <w:rtl/>
        </w:rPr>
        <w:t>ל</w:t>
      </w:r>
      <w:r w:rsidRPr="00594147">
        <w:rPr>
          <w:rFonts w:ascii="Century" w:hAnsi="Century" w:hint="cs"/>
          <w:sz w:val="22"/>
          <w:rtl/>
        </w:rPr>
        <w:t>מיטב ידיעתי, אין אח ורע.</w:t>
      </w:r>
    </w:p>
    <w:p w:rsidR="004C7127" w:rsidRPr="001F5CD4" w:rsidRDefault="004C7127" w:rsidP="004C7127">
      <w:pPr>
        <w:pStyle w:val="Ruller41"/>
        <w:rPr>
          <w:rtl/>
        </w:rPr>
      </w:pPr>
    </w:p>
    <w:p w:rsidR="004C7127" w:rsidRDefault="004C7127" w:rsidP="004C7127">
      <w:pPr>
        <w:pStyle w:val="Ruller4"/>
        <w:rPr>
          <w:rtl/>
        </w:rPr>
      </w:pPr>
      <w:r>
        <w:rPr>
          <w:rFonts w:hint="cs"/>
          <w:rtl/>
        </w:rPr>
        <w:t xml:space="preserve">עולה מן המקובץ, כי לאחר הוצאת צו סגירה, נסגר בהתאם לאמור בו שטח בהיקף של כ-1,070 דונם. 6 שנים מאוחר יותר הממונה התקשר עם ההסתדרות הציונית בהסכם הרשאה ביחס לשטח של 1,070 דונם וצירף לה את מפת צו הסגירה. זאת ועוד, על גבי המפה שצורפה להסכם כתוב בכתב יד "שטח כ-1071 ד'". חרף כל האמור, מבקשים המחזיקים, ההסתדרות הציונית, והמדינה לטעון כי השטח בהסכם ההרשאה אינו מסוים דיו, והשטח שאליו התכוונו הצדדים הוא למעשה השטח שעליהן חלות תכניות 223 ו-223/1. ודוקו: מדובר בשטח שגדול </w:t>
      </w:r>
      <w:r w:rsidRPr="001F5CD4">
        <w:rPr>
          <w:rFonts w:ascii="Century" w:hAnsi="Century" w:cs="Miriam" w:hint="cs"/>
          <w:b/>
          <w:spacing w:val="0"/>
          <w:sz w:val="22"/>
          <w:szCs w:val="24"/>
          <w:rtl/>
        </w:rPr>
        <w:t xml:space="preserve">במאות דונמים </w:t>
      </w:r>
      <w:r w:rsidRPr="001F5CD4">
        <w:rPr>
          <w:rFonts w:ascii="Century" w:hAnsi="Century" w:hint="cs"/>
          <w:sz w:val="22"/>
          <w:rtl/>
        </w:rPr>
        <w:t>מהשטח שנסגר (</w:t>
      </w:r>
      <w:r w:rsidRPr="001F5CD4">
        <w:rPr>
          <w:rFonts w:hint="eastAsia"/>
          <w:sz w:val="22"/>
          <w:rtl/>
        </w:rPr>
        <w:t>לפער</w:t>
      </w:r>
      <w:r w:rsidRPr="001F5CD4">
        <w:rPr>
          <w:sz w:val="22"/>
          <w:rtl/>
        </w:rPr>
        <w:t xml:space="preserve"> </w:t>
      </w:r>
      <w:r w:rsidRPr="001F5CD4">
        <w:rPr>
          <w:rFonts w:hint="eastAsia"/>
          <w:sz w:val="22"/>
          <w:rtl/>
        </w:rPr>
        <w:t>זה</w:t>
      </w:r>
      <w:r w:rsidRPr="001F5CD4">
        <w:rPr>
          <w:sz w:val="22"/>
          <w:rtl/>
        </w:rPr>
        <w:t xml:space="preserve"> </w:t>
      </w:r>
      <w:r w:rsidRPr="001F5CD4">
        <w:rPr>
          <w:rFonts w:hint="eastAsia"/>
          <w:sz w:val="22"/>
          <w:rtl/>
        </w:rPr>
        <w:t>אתייחס</w:t>
      </w:r>
      <w:r w:rsidRPr="001F5CD4">
        <w:rPr>
          <w:sz w:val="22"/>
          <w:rtl/>
        </w:rPr>
        <w:t xml:space="preserve"> </w:t>
      </w:r>
      <w:r w:rsidRPr="001F5CD4">
        <w:rPr>
          <w:rFonts w:hint="eastAsia"/>
          <w:sz w:val="22"/>
          <w:rtl/>
        </w:rPr>
        <w:t>בהמשך</w:t>
      </w:r>
      <w:r w:rsidRPr="001F5CD4">
        <w:rPr>
          <w:sz w:val="22"/>
          <w:rtl/>
        </w:rPr>
        <w:t xml:space="preserve"> </w:t>
      </w:r>
      <w:r w:rsidRPr="001F5CD4">
        <w:rPr>
          <w:rFonts w:hint="eastAsia"/>
          <w:sz w:val="22"/>
          <w:rtl/>
        </w:rPr>
        <w:t>בהרחבה</w:t>
      </w:r>
      <w:r w:rsidRPr="001F5CD4">
        <w:rPr>
          <w:sz w:val="22"/>
          <w:rtl/>
        </w:rPr>
        <w:t xml:space="preserve">, </w:t>
      </w:r>
      <w:r w:rsidRPr="001F5CD4">
        <w:rPr>
          <w:rFonts w:hint="eastAsia"/>
          <w:sz w:val="22"/>
          <w:rtl/>
        </w:rPr>
        <w:t>בניתוח</w:t>
      </w:r>
      <w:r w:rsidRPr="001F5CD4">
        <w:rPr>
          <w:sz w:val="22"/>
          <w:rtl/>
        </w:rPr>
        <w:t xml:space="preserve"> </w:t>
      </w:r>
      <w:r w:rsidRPr="001F5CD4">
        <w:rPr>
          <w:rFonts w:hint="eastAsia"/>
          <w:sz w:val="22"/>
          <w:rtl/>
        </w:rPr>
        <w:t>תום</w:t>
      </w:r>
      <w:r w:rsidRPr="001F5CD4">
        <w:rPr>
          <w:sz w:val="22"/>
          <w:rtl/>
        </w:rPr>
        <w:t xml:space="preserve"> </w:t>
      </w:r>
      <w:r w:rsidRPr="001F5CD4">
        <w:rPr>
          <w:rFonts w:hint="eastAsia"/>
          <w:sz w:val="22"/>
          <w:rtl/>
        </w:rPr>
        <w:t>לבם</w:t>
      </w:r>
      <w:r w:rsidRPr="001F5CD4">
        <w:rPr>
          <w:sz w:val="22"/>
          <w:rtl/>
        </w:rPr>
        <w:t xml:space="preserve"> </w:t>
      </w:r>
      <w:r w:rsidRPr="001F5CD4">
        <w:rPr>
          <w:rFonts w:hint="eastAsia"/>
          <w:sz w:val="22"/>
          <w:rtl/>
        </w:rPr>
        <w:t>של</w:t>
      </w:r>
      <w:r w:rsidRPr="001F5CD4">
        <w:rPr>
          <w:sz w:val="22"/>
          <w:rtl/>
        </w:rPr>
        <w:t xml:space="preserve"> </w:t>
      </w:r>
      <w:r w:rsidRPr="001F5CD4">
        <w:rPr>
          <w:rFonts w:hint="eastAsia"/>
          <w:sz w:val="22"/>
          <w:rtl/>
        </w:rPr>
        <w:t>הצדדים</w:t>
      </w:r>
      <w:r w:rsidRPr="001F5CD4">
        <w:rPr>
          <w:sz w:val="22"/>
          <w:rtl/>
        </w:rPr>
        <w:t xml:space="preserve">). </w:t>
      </w:r>
      <w:r w:rsidRPr="001F5CD4">
        <w:rPr>
          <w:rFonts w:hint="eastAsia"/>
          <w:sz w:val="22"/>
          <w:rtl/>
        </w:rPr>
        <w:t>כאמור</w:t>
      </w:r>
      <w:r w:rsidRPr="001F5CD4">
        <w:rPr>
          <w:sz w:val="22"/>
          <w:rtl/>
        </w:rPr>
        <w:t xml:space="preserve">, </w:t>
      </w:r>
      <w:r w:rsidRPr="001F5CD4">
        <w:rPr>
          <w:rFonts w:hint="eastAsia"/>
          <w:sz w:val="22"/>
          <w:rtl/>
        </w:rPr>
        <w:t>קשה</w:t>
      </w:r>
      <w:r w:rsidRPr="001F5CD4">
        <w:rPr>
          <w:sz w:val="22"/>
          <w:rtl/>
        </w:rPr>
        <w:t xml:space="preserve"> </w:t>
      </w:r>
      <w:r w:rsidRPr="001F5CD4">
        <w:rPr>
          <w:rFonts w:hint="eastAsia"/>
          <w:sz w:val="22"/>
          <w:rtl/>
        </w:rPr>
        <w:t>להלום</w:t>
      </w:r>
      <w:r w:rsidRPr="001F5CD4">
        <w:rPr>
          <w:sz w:val="22"/>
          <w:rtl/>
        </w:rPr>
        <w:t xml:space="preserve"> </w:t>
      </w:r>
      <w:r w:rsidRPr="001F5CD4">
        <w:rPr>
          <w:rFonts w:hint="eastAsia"/>
          <w:sz w:val="22"/>
          <w:rtl/>
        </w:rPr>
        <w:t>טענה</w:t>
      </w:r>
      <w:r w:rsidRPr="001F5CD4">
        <w:rPr>
          <w:sz w:val="22"/>
          <w:rtl/>
        </w:rPr>
        <w:t xml:space="preserve"> </w:t>
      </w:r>
      <w:r w:rsidRPr="001F5CD4">
        <w:rPr>
          <w:rFonts w:hint="eastAsia"/>
          <w:sz w:val="22"/>
          <w:rtl/>
        </w:rPr>
        <w:t>זו</w:t>
      </w:r>
      <w:r w:rsidRPr="001F5CD4">
        <w:rPr>
          <w:sz w:val="22"/>
          <w:rtl/>
        </w:rPr>
        <w:t>.</w:t>
      </w:r>
    </w:p>
    <w:p w:rsidR="004C7127" w:rsidRDefault="004C7127" w:rsidP="004C7127">
      <w:pPr>
        <w:pStyle w:val="Ruller4"/>
        <w:numPr>
          <w:ilvl w:val="0"/>
          <w:numId w:val="0"/>
        </w:numPr>
      </w:pPr>
    </w:p>
    <w:p w:rsidR="004C7127" w:rsidRPr="002B3896" w:rsidRDefault="004C7127" w:rsidP="004C7127">
      <w:pPr>
        <w:pStyle w:val="Ruller4"/>
      </w:pPr>
      <w:r>
        <w:rPr>
          <w:rFonts w:hint="cs"/>
          <w:rtl/>
        </w:rPr>
        <w:t>עמדת המחזיקים נשענת גם על האמור בעדותו של הממונה דאז, נהרי, שהעיד שהמפה שצורפה להסכם ההרשאה הראשון לא הייתה מדויקת (189 ש' 16-9) ושהוא ביקש לקבל מפה מדויקת יותר (שגבולותיה, כך הטענה, הן גבולות תכנית 223). בית המשפט המחוזי מצא להסתמך על עדות זו לאחר שהשתכנע ש"</w:t>
      </w:r>
      <w:r w:rsidRPr="00A07D15">
        <w:rPr>
          <w:rFonts w:hint="eastAsia"/>
          <w:rtl/>
        </w:rPr>
        <w:t>מר</w:t>
      </w:r>
      <w:r w:rsidRPr="00A07D15">
        <w:rPr>
          <w:rtl/>
        </w:rPr>
        <w:t xml:space="preserve"> </w:t>
      </w:r>
      <w:r w:rsidRPr="00A07D15">
        <w:rPr>
          <w:rFonts w:hint="eastAsia"/>
          <w:rtl/>
        </w:rPr>
        <w:t>נהרי</w:t>
      </w:r>
      <w:r w:rsidRPr="00A07D15">
        <w:rPr>
          <w:rtl/>
        </w:rPr>
        <w:t xml:space="preserve"> </w:t>
      </w:r>
      <w:r w:rsidRPr="00A07D15">
        <w:rPr>
          <w:rFonts w:hint="eastAsia"/>
          <w:rtl/>
        </w:rPr>
        <w:t>לא</w:t>
      </w:r>
      <w:r w:rsidRPr="00A07D15">
        <w:rPr>
          <w:rtl/>
        </w:rPr>
        <w:t xml:space="preserve"> </w:t>
      </w:r>
      <w:r w:rsidRPr="00A07D15">
        <w:rPr>
          <w:rFonts w:hint="eastAsia"/>
          <w:rtl/>
        </w:rPr>
        <w:t>היה</w:t>
      </w:r>
      <w:r w:rsidRPr="00A07D15">
        <w:rPr>
          <w:rtl/>
        </w:rPr>
        <w:t xml:space="preserve"> </w:t>
      </w:r>
      <w:r w:rsidRPr="00A07D15">
        <w:rPr>
          <w:rFonts w:hint="eastAsia"/>
          <w:rtl/>
        </w:rPr>
        <w:t>מרפה</w:t>
      </w:r>
      <w:r w:rsidRPr="00A07D15">
        <w:rPr>
          <w:rtl/>
        </w:rPr>
        <w:t xml:space="preserve"> </w:t>
      </w:r>
      <w:r w:rsidRPr="00A07D15">
        <w:rPr>
          <w:rFonts w:hint="eastAsia"/>
          <w:rtl/>
        </w:rPr>
        <w:t>עד</w:t>
      </w:r>
      <w:r w:rsidRPr="00A07D15">
        <w:rPr>
          <w:rtl/>
        </w:rPr>
        <w:t xml:space="preserve"> </w:t>
      </w:r>
      <w:r w:rsidRPr="00A07D15">
        <w:rPr>
          <w:rFonts w:hint="eastAsia"/>
          <w:rtl/>
        </w:rPr>
        <w:t>לקבלת</w:t>
      </w:r>
      <w:r w:rsidRPr="00A07D15">
        <w:rPr>
          <w:rtl/>
        </w:rPr>
        <w:t xml:space="preserve"> </w:t>
      </w:r>
      <w:r w:rsidRPr="00A07D15">
        <w:rPr>
          <w:rFonts w:hint="eastAsia"/>
          <w:rtl/>
        </w:rPr>
        <w:t>מפה</w:t>
      </w:r>
      <w:r w:rsidRPr="00A07D15">
        <w:rPr>
          <w:rtl/>
        </w:rPr>
        <w:t xml:space="preserve"> </w:t>
      </w:r>
      <w:r w:rsidRPr="00A07D15">
        <w:rPr>
          <w:rFonts w:hint="eastAsia"/>
          <w:rtl/>
        </w:rPr>
        <w:t>כזו</w:t>
      </w:r>
      <w:r w:rsidRPr="00A07D15">
        <w:rPr>
          <w:rtl/>
        </w:rPr>
        <w:t xml:space="preserve"> </w:t>
      </w:r>
      <w:r w:rsidRPr="00A07D15">
        <w:rPr>
          <w:rFonts w:hint="eastAsia"/>
          <w:rtl/>
        </w:rPr>
        <w:t>ועל</w:t>
      </w:r>
      <w:r w:rsidRPr="00A07D15">
        <w:rPr>
          <w:rtl/>
        </w:rPr>
        <w:t>-</w:t>
      </w:r>
      <w:r w:rsidRPr="00A07D15">
        <w:rPr>
          <w:rFonts w:hint="eastAsia"/>
          <w:rtl/>
        </w:rPr>
        <w:t>כן</w:t>
      </w:r>
      <w:r w:rsidRPr="00A07D15">
        <w:rPr>
          <w:rtl/>
        </w:rPr>
        <w:t xml:space="preserve">, </w:t>
      </w:r>
      <w:r w:rsidRPr="00A07D15">
        <w:rPr>
          <w:rFonts w:hint="eastAsia"/>
          <w:rtl/>
        </w:rPr>
        <w:t>יש</w:t>
      </w:r>
      <w:r w:rsidRPr="00A07D15">
        <w:rPr>
          <w:rtl/>
        </w:rPr>
        <w:t xml:space="preserve"> </w:t>
      </w:r>
      <w:r w:rsidRPr="00A07D15">
        <w:rPr>
          <w:rFonts w:hint="eastAsia"/>
          <w:rtl/>
        </w:rPr>
        <w:t>לקבל</w:t>
      </w:r>
      <w:r w:rsidRPr="00A07D15">
        <w:rPr>
          <w:rtl/>
        </w:rPr>
        <w:t xml:space="preserve"> </w:t>
      </w:r>
      <w:r w:rsidRPr="00A07D15">
        <w:rPr>
          <w:rFonts w:hint="eastAsia"/>
          <w:rtl/>
        </w:rPr>
        <w:t>את</w:t>
      </w:r>
      <w:r w:rsidRPr="00A07D15">
        <w:rPr>
          <w:rtl/>
        </w:rPr>
        <w:t xml:space="preserve"> </w:t>
      </w:r>
      <w:r w:rsidRPr="00A07D15">
        <w:rPr>
          <w:rFonts w:hint="eastAsia"/>
          <w:rtl/>
        </w:rPr>
        <w:t>גרסתו</w:t>
      </w:r>
      <w:r w:rsidRPr="00A07D15">
        <w:rPr>
          <w:rtl/>
        </w:rPr>
        <w:t xml:space="preserve">, </w:t>
      </w:r>
      <w:r w:rsidRPr="00A07D15">
        <w:rPr>
          <w:rFonts w:hint="eastAsia"/>
          <w:rtl/>
        </w:rPr>
        <w:t>כי</w:t>
      </w:r>
      <w:r w:rsidRPr="00A07D15">
        <w:rPr>
          <w:rtl/>
        </w:rPr>
        <w:t xml:space="preserve"> </w:t>
      </w:r>
      <w:r w:rsidRPr="00A07D15">
        <w:rPr>
          <w:rFonts w:hint="eastAsia"/>
          <w:rtl/>
        </w:rPr>
        <w:t>המפה</w:t>
      </w:r>
      <w:r w:rsidRPr="00A07D15">
        <w:rPr>
          <w:rtl/>
        </w:rPr>
        <w:t xml:space="preserve"> </w:t>
      </w:r>
      <w:r w:rsidRPr="00A07D15">
        <w:rPr>
          <w:rFonts w:hint="eastAsia"/>
          <w:rtl/>
        </w:rPr>
        <w:t>המאוחרת</w:t>
      </w:r>
      <w:r w:rsidRPr="00A07D15">
        <w:rPr>
          <w:rtl/>
        </w:rPr>
        <w:t xml:space="preserve"> </w:t>
      </w:r>
      <w:r w:rsidRPr="00A07D15">
        <w:rPr>
          <w:rFonts w:hint="eastAsia"/>
          <w:rtl/>
        </w:rPr>
        <w:t>שקיבל</w:t>
      </w:r>
      <w:r w:rsidRPr="00A07D15">
        <w:rPr>
          <w:rtl/>
        </w:rPr>
        <w:t xml:space="preserve"> </w:t>
      </w:r>
      <w:r w:rsidRPr="00A07D15">
        <w:rPr>
          <w:rFonts w:hint="eastAsia"/>
          <w:rtl/>
        </w:rPr>
        <w:t>היא</w:t>
      </w:r>
      <w:r w:rsidRPr="00A07D15">
        <w:rPr>
          <w:rtl/>
        </w:rPr>
        <w:t xml:space="preserve"> </w:t>
      </w:r>
      <w:r w:rsidRPr="00A07D15">
        <w:rPr>
          <w:rFonts w:hint="eastAsia"/>
          <w:rtl/>
        </w:rPr>
        <w:t>תשריט</w:t>
      </w:r>
      <w:r w:rsidRPr="00A07D15">
        <w:rPr>
          <w:rtl/>
        </w:rPr>
        <w:t xml:space="preserve"> </w:t>
      </w:r>
      <w:r w:rsidRPr="00A07D15">
        <w:rPr>
          <w:rFonts w:hint="eastAsia"/>
          <w:rtl/>
        </w:rPr>
        <w:t>לתכנית</w:t>
      </w:r>
      <w:r w:rsidRPr="00A07D15">
        <w:rPr>
          <w:rtl/>
        </w:rPr>
        <w:t xml:space="preserve"> 223 </w:t>
      </w:r>
      <w:r w:rsidRPr="00A07D15">
        <w:rPr>
          <w:rFonts w:hint="eastAsia"/>
          <w:rtl/>
        </w:rPr>
        <w:t>ועל</w:t>
      </w:r>
      <w:r w:rsidRPr="00A07D15">
        <w:rPr>
          <w:rtl/>
        </w:rPr>
        <w:t xml:space="preserve"> </w:t>
      </w:r>
      <w:r w:rsidRPr="00A07D15">
        <w:rPr>
          <w:rFonts w:hint="eastAsia"/>
          <w:rtl/>
        </w:rPr>
        <w:t>יסודה</w:t>
      </w:r>
      <w:r w:rsidRPr="00A07D15">
        <w:rPr>
          <w:rtl/>
        </w:rPr>
        <w:t xml:space="preserve"> </w:t>
      </w:r>
      <w:r w:rsidRPr="00A07D15">
        <w:rPr>
          <w:rFonts w:hint="eastAsia"/>
          <w:rtl/>
        </w:rPr>
        <w:t>יש</w:t>
      </w:r>
      <w:r w:rsidRPr="00A07D15">
        <w:rPr>
          <w:rtl/>
        </w:rPr>
        <w:t xml:space="preserve"> </w:t>
      </w:r>
      <w:r w:rsidRPr="00A07D15">
        <w:rPr>
          <w:rFonts w:hint="eastAsia"/>
          <w:rtl/>
        </w:rPr>
        <w:t>לקבוע</w:t>
      </w:r>
      <w:r w:rsidRPr="00A07D15">
        <w:rPr>
          <w:rtl/>
        </w:rPr>
        <w:t xml:space="preserve"> </w:t>
      </w:r>
      <w:r w:rsidRPr="00A07D15">
        <w:rPr>
          <w:rFonts w:hint="eastAsia"/>
          <w:rtl/>
        </w:rPr>
        <w:t>את</w:t>
      </w:r>
      <w:r w:rsidRPr="00A07D15">
        <w:rPr>
          <w:rtl/>
        </w:rPr>
        <w:t xml:space="preserve"> </w:t>
      </w:r>
      <w:r w:rsidRPr="00A07D15">
        <w:rPr>
          <w:rFonts w:hint="eastAsia"/>
          <w:rtl/>
        </w:rPr>
        <w:t>הקצאת</w:t>
      </w:r>
      <w:r w:rsidRPr="00A07D15">
        <w:rPr>
          <w:rtl/>
        </w:rPr>
        <w:t xml:space="preserve"> </w:t>
      </w:r>
      <w:r w:rsidRPr="00A07D15">
        <w:rPr>
          <w:rFonts w:hint="eastAsia"/>
          <w:rtl/>
        </w:rPr>
        <w:t>השטח</w:t>
      </w:r>
      <w:r w:rsidRPr="00A07D15">
        <w:rPr>
          <w:rtl/>
        </w:rPr>
        <w:t xml:space="preserve"> </w:t>
      </w:r>
      <w:r w:rsidRPr="00A07D15">
        <w:rPr>
          <w:rFonts w:hint="eastAsia"/>
          <w:rtl/>
        </w:rPr>
        <w:t>להסתדרות</w:t>
      </w:r>
      <w:r w:rsidRPr="00A07D15">
        <w:rPr>
          <w:rtl/>
        </w:rPr>
        <w:t xml:space="preserve"> </w:t>
      </w:r>
      <w:r w:rsidRPr="00A07D15">
        <w:rPr>
          <w:rFonts w:hint="eastAsia"/>
          <w:rtl/>
        </w:rPr>
        <w:t>הציונית</w:t>
      </w:r>
      <w:r w:rsidRPr="00A07D15">
        <w:rPr>
          <w:rtl/>
        </w:rPr>
        <w:t xml:space="preserve"> </w:t>
      </w:r>
      <w:r w:rsidRPr="00A07D15">
        <w:rPr>
          <w:rFonts w:hint="eastAsia"/>
          <w:rtl/>
        </w:rPr>
        <w:t>לפי</w:t>
      </w:r>
      <w:r w:rsidRPr="00A07D15">
        <w:rPr>
          <w:rtl/>
        </w:rPr>
        <w:t xml:space="preserve"> </w:t>
      </w:r>
      <w:r w:rsidRPr="00A07D15">
        <w:rPr>
          <w:rFonts w:hint="eastAsia"/>
          <w:rtl/>
        </w:rPr>
        <w:t>הסכם</w:t>
      </w:r>
      <w:r w:rsidRPr="00A07D15">
        <w:rPr>
          <w:rtl/>
        </w:rPr>
        <w:t xml:space="preserve"> </w:t>
      </w:r>
      <w:r w:rsidRPr="00A07D15">
        <w:rPr>
          <w:rFonts w:hint="eastAsia"/>
          <w:rtl/>
        </w:rPr>
        <w:t>ההרשאה</w:t>
      </w:r>
      <w:r w:rsidRPr="00A07D15">
        <w:rPr>
          <w:rtl/>
        </w:rPr>
        <w:t xml:space="preserve">, </w:t>
      </w:r>
      <w:r w:rsidRPr="00A07D15">
        <w:rPr>
          <w:rFonts w:hint="eastAsia"/>
          <w:rtl/>
        </w:rPr>
        <w:t>וגם</w:t>
      </w:r>
      <w:r w:rsidRPr="00A07D15">
        <w:rPr>
          <w:rtl/>
        </w:rPr>
        <w:t xml:space="preserve"> </w:t>
      </w:r>
      <w:r w:rsidRPr="00A07D15">
        <w:rPr>
          <w:rFonts w:hint="eastAsia"/>
          <w:rtl/>
        </w:rPr>
        <w:t>אם</w:t>
      </w:r>
      <w:r w:rsidRPr="00A07D15">
        <w:rPr>
          <w:rtl/>
        </w:rPr>
        <w:t xml:space="preserve"> </w:t>
      </w:r>
      <w:r w:rsidRPr="00A07D15">
        <w:rPr>
          <w:rFonts w:hint="eastAsia"/>
          <w:rtl/>
        </w:rPr>
        <w:t>עדותו</w:t>
      </w:r>
      <w:r w:rsidRPr="00A07D15">
        <w:rPr>
          <w:rtl/>
        </w:rPr>
        <w:t xml:space="preserve"> </w:t>
      </w:r>
      <w:r w:rsidRPr="00A07D15">
        <w:rPr>
          <w:rFonts w:hint="eastAsia"/>
          <w:rtl/>
        </w:rPr>
        <w:t>ככלל</w:t>
      </w:r>
      <w:r w:rsidRPr="00A07D15">
        <w:rPr>
          <w:rtl/>
        </w:rPr>
        <w:t xml:space="preserve"> </w:t>
      </w:r>
      <w:r w:rsidRPr="00A07D15">
        <w:rPr>
          <w:rFonts w:hint="eastAsia"/>
          <w:rtl/>
        </w:rPr>
        <w:t>לא</w:t>
      </w:r>
      <w:r w:rsidRPr="00A07D15">
        <w:rPr>
          <w:rtl/>
        </w:rPr>
        <w:t xml:space="preserve"> </w:t>
      </w:r>
      <w:r w:rsidRPr="00A07D15">
        <w:rPr>
          <w:rFonts w:hint="eastAsia"/>
          <w:rtl/>
        </w:rPr>
        <w:t>הייתה</w:t>
      </w:r>
      <w:r w:rsidRPr="00A07D15">
        <w:rPr>
          <w:rtl/>
        </w:rPr>
        <w:t xml:space="preserve"> </w:t>
      </w:r>
      <w:r w:rsidRPr="00A07D15">
        <w:rPr>
          <w:rFonts w:hint="eastAsia"/>
          <w:rtl/>
        </w:rPr>
        <w:t>נטולת</w:t>
      </w:r>
      <w:r w:rsidRPr="00A07D15">
        <w:rPr>
          <w:rtl/>
        </w:rPr>
        <w:t xml:space="preserve"> </w:t>
      </w:r>
      <w:r w:rsidRPr="00A07D15">
        <w:rPr>
          <w:rFonts w:hint="eastAsia"/>
          <w:rtl/>
        </w:rPr>
        <w:t>קשיים</w:t>
      </w:r>
      <w:r>
        <w:rPr>
          <w:rFonts w:hint="cs"/>
          <w:rtl/>
        </w:rPr>
        <w:t xml:space="preserve">" (סעיף 135 לפסק הדין). זאת, בין היתר מאחר שהתרשם מ"קפדנותו ודקדקנותו" של נהרי (סעיף 134 לפסק הדין). ואולם, אף בהינתן עדות זו של נהרי, ומעבר לקשיים שעליהם עמדתי לעיל, קושי נוסף בעמדה שלפיה הסכם ההרשאה הראשון לא היה מסוים דיו, והושלם, לימים, בתכנית 223, נעוץ בכך שלכל הסכמי ההרשאה הבאים שנחתמו צורפה שוב ושוב מפת צו הסגירה. קשה להלום שצדדים שחותמים על הסכם "זמני", מתוך הנחה שהם יקבעו גבולות מדויקים בהמשך, לא מעמידים את הדברים על דיוקם לאחר ההשלמה המאוחרת (וראו גם דבריי להלן בהקשר זה במישור תום הלב, פסקה 85). בסבך הטענות והטעויות בתיק דנן אין להתעלם מהעובדה הבסיסית </w:t>
      </w:r>
      <w:r>
        <w:rPr>
          <w:rtl/>
        </w:rPr>
        <w:t>–</w:t>
      </w:r>
      <w:r>
        <w:rPr>
          <w:rFonts w:hint="cs"/>
          <w:rtl/>
        </w:rPr>
        <w:t xml:space="preserve"> מדובר על חוזה להקצאת מקרקעין בהיקף של מאות רבות של דונמים, אין מדובר בחוזה פעוט, ועל סוגיה שניתן להגדירה זניחה. קשה לדמיין התנהלות דומה ביחס למקרקעין כלשהם. אפילו בהסכם ההרשאה משנת 1997, שאינו מתבסס במלואו על ההסכמים הקודמים </w:t>
      </w:r>
      <w:r>
        <w:rPr>
          <w:rtl/>
        </w:rPr>
        <w:t>–</w:t>
      </w:r>
      <w:r>
        <w:rPr>
          <w:rFonts w:hint="cs"/>
          <w:rtl/>
        </w:rPr>
        <w:t xml:space="preserve"> לא מצאו הצדדים לשנות את </w:t>
      </w:r>
      <w:r w:rsidRPr="00366778">
        <w:rPr>
          <w:rFonts w:ascii="Century" w:hAnsi="Century" w:cs="Miriam" w:hint="cs"/>
          <w:b/>
          <w:spacing w:val="0"/>
          <w:sz w:val="22"/>
          <w:szCs w:val="24"/>
          <w:rtl/>
        </w:rPr>
        <w:t>היקף השטח</w:t>
      </w:r>
      <w:r w:rsidRPr="00366778">
        <w:rPr>
          <w:rFonts w:ascii="Century" w:hAnsi="Century" w:hint="cs"/>
          <w:sz w:val="22"/>
          <w:rtl/>
        </w:rPr>
        <w:t xml:space="preserve"> שנמסר או את המפה שצורפה </w:t>
      </w:r>
      <w:r w:rsidRPr="00366778">
        <w:rPr>
          <w:rFonts w:ascii="Century" w:hAnsi="Century"/>
          <w:sz w:val="22"/>
          <w:rtl/>
        </w:rPr>
        <w:t>–</w:t>
      </w:r>
      <w:r w:rsidRPr="00366778">
        <w:rPr>
          <w:rFonts w:ascii="Century" w:hAnsi="Century" w:hint="cs"/>
          <w:sz w:val="22"/>
          <w:rtl/>
        </w:rPr>
        <w:t xml:space="preserve"> וזאת חרף העמדה שהסכם ההרשאה הראשון המתין להכרעה עתידית בדבר גבולות השטח המוקצה.</w:t>
      </w:r>
    </w:p>
    <w:p w:rsidR="004C7127" w:rsidRPr="002B3896" w:rsidRDefault="004C7127" w:rsidP="004C7127">
      <w:pPr>
        <w:pStyle w:val="Ruller4"/>
        <w:numPr>
          <w:ilvl w:val="0"/>
          <w:numId w:val="0"/>
        </w:numPr>
      </w:pPr>
    </w:p>
    <w:p w:rsidR="004C7127" w:rsidRPr="00F00E2F" w:rsidRDefault="004C7127" w:rsidP="004C7127">
      <w:pPr>
        <w:pStyle w:val="Ruller4"/>
        <w:rPr>
          <w:rtl/>
        </w:rPr>
      </w:pPr>
      <w:r>
        <w:rPr>
          <w:rFonts w:hint="cs"/>
          <w:rtl/>
        </w:rPr>
        <w:t xml:space="preserve">לבסוף, האם ניתן לראות בהתנהגות הצדדים, בפרט בעת העברת היישוב מצפה כרמים למיקומו הנוכחי ככזו שמלמדת על עמדתם שהשטח הוא חלק מהסכם ההרשאה? ייתכן שניתן היה לומר כן אם הייתה בידינו עדות כלשהי לעבודת מטה מסודרת שתוצאתה מיקומו של מצפה כרמים במיקומו הנוכחי, אך לא אלה הם פני הדברים. כזכור, בהמשך להסכם המאחזים התקיים הליך סדור וברור שתכליתו הייתה להעביר את מצפה כרמים הישן למקום אחר. הליך זה כלל את הניסיון לאשר את תכנית 223/1/5 </w:t>
      </w:r>
      <w:r>
        <w:rPr>
          <w:rtl/>
        </w:rPr>
        <w:t>–</w:t>
      </w:r>
      <w:r>
        <w:rPr>
          <w:rFonts w:hint="cs"/>
          <w:rtl/>
        </w:rPr>
        <w:t xml:space="preserve"> אך קידומה של תכנית זו הופסק מאחר שהמיקום שנבחר היה מצוי בשטח אש. בניגוד להליך המסודר (והמתועד) לאישור תכנית 223/1/5 אין בנמצא תיעוד כלשהו על האופן שבו מוקם מצפה כרמים במיקומו הנוכחי. המחזיקים מסתמכים בהקשר זה על דבריו של אלוף הפיקוד דאז, יעלון, כי הוא עצמו ליווה את העלייה על הקרקע וראה שהמחזיקים "מתמקמים במקום הנכון" (בעמ' 22, ש' 11-10; כן ראו דבריו בעמ' 39, ש' 7-4). ההפניה לאמירה </w:t>
      </w:r>
      <w:r>
        <w:rPr>
          <w:rFonts w:hint="cs"/>
          <w:rtl/>
        </w:rPr>
        <w:lastRenderedPageBreak/>
        <w:t xml:space="preserve">זו לא עולה בקנה אחד עם המשך דבריו של יעלון, שבמסגרתם הבהיר במפורש שלא נכח בשטח "באירוע הראשון שעברו", והבהיר גם כי ליוויו נגע לליווי "התהליך" (בעמ' 28, ש' 30-25). זאת ועוד, אף אם אניח כי התנהלות אלוף הפיקוד יכולה להעיד על מה נכלל במסגרת הסכם ההרשאה בין הממונה לבין ההסתדרות הציונית, קיים קושי בהסתמכות על הצבת מצפה כרמים במיקומו הנוכחי </w:t>
      </w:r>
      <w:r>
        <w:rPr>
          <w:rtl/>
        </w:rPr>
        <w:t>–</w:t>
      </w:r>
      <w:r>
        <w:rPr>
          <w:rFonts w:hint="cs"/>
          <w:rtl/>
        </w:rPr>
        <w:t xml:space="preserve"> וזאת מבלי שקיים ולו מסמך אחד שמעיד על הטעם להצבתו שם. מדובר ב"חור שחור" של ממש והוא בולט בחריגותו למול </w:t>
      </w:r>
      <w:r w:rsidRPr="00445CDB">
        <w:rPr>
          <w:rFonts w:hint="cs"/>
          <w:sz w:val="22"/>
          <w:rtl/>
        </w:rPr>
        <w:t>יתר ההליכים המתועדים והמ</w:t>
      </w:r>
      <w:r>
        <w:rPr>
          <w:rFonts w:hint="cs"/>
          <w:sz w:val="22"/>
          <w:rtl/>
        </w:rPr>
        <w:t>ו</w:t>
      </w:r>
      <w:r w:rsidRPr="00445CDB">
        <w:rPr>
          <w:rFonts w:hint="cs"/>
          <w:sz w:val="22"/>
          <w:rtl/>
        </w:rPr>
        <w:t>סדרים בסוגיה שלפנינו, ובפרט נוכח התיעוד המקיף בניסיון להסדיר את מיקום מצפה כרמים במסגרת תכנית 223/1/5 (ראו את תצהיר התשובה מטעם המדינה בבית המשפט המחוזי שצורפו לו למעלה מ-65 נספחים</w:t>
      </w:r>
      <w:r>
        <w:rPr>
          <w:rFonts w:hint="cs"/>
          <w:sz w:val="22"/>
          <w:rtl/>
        </w:rPr>
        <w:t xml:space="preserve"> ביחס לפרשה דנן</w:t>
      </w:r>
      <w:r w:rsidRPr="00445CDB">
        <w:rPr>
          <w:rFonts w:hint="cs"/>
          <w:sz w:val="22"/>
          <w:rtl/>
        </w:rPr>
        <w:t xml:space="preserve"> שכוללים תכניות שונות שקודמו; צווים רלוונטיים; מכתבים מאותה תקופה; ופרוטוקולי דיונים). </w:t>
      </w:r>
      <w:r>
        <w:rPr>
          <w:rFonts w:hint="cs"/>
          <w:rtl/>
        </w:rPr>
        <w:t xml:space="preserve">אף ראש תחום תשתית באותן השנים לא ידע להסביר בחקירתו הנגדית מדוע עלו היבילים למקום שבו הוצבו לבסוף (ראו בעמ' 256-255 לפרוטוקול הדיון בבית המשפט המחוזי). מהחומרים שלפנינו כל שניתן לומר הוא שהתנהל הליך סדור ומתועד להעברת מצפה כרמים </w:t>
      </w:r>
      <w:r>
        <w:rPr>
          <w:rtl/>
        </w:rPr>
        <w:t>–</w:t>
      </w:r>
      <w:r>
        <w:rPr>
          <w:rFonts w:hint="cs"/>
          <w:rtl/>
        </w:rPr>
        <w:t xml:space="preserve"> אך הליך זה לא נשא פרי; ומיקומו של מצפה כרמים בסופו של יום אינו נתמך במסמכים שיכולים להעיד על הליך סדור. משכך, מוצא אני קושי בהסתמכות על עצם מיקומו של היישוב במיקומו הנוכחי ככזה שמעיד שהצדדים </w:t>
      </w:r>
      <w:r w:rsidRPr="00445CDB">
        <w:rPr>
          <w:rFonts w:ascii="Century" w:hAnsi="Century" w:cs="Miriam" w:hint="cs"/>
          <w:b/>
          <w:spacing w:val="0"/>
          <w:sz w:val="22"/>
          <w:szCs w:val="24"/>
          <w:rtl/>
        </w:rPr>
        <w:t>להסכם ההרשאה</w:t>
      </w:r>
      <w:r w:rsidRPr="00445CDB">
        <w:rPr>
          <w:rFonts w:ascii="Century" w:hAnsi="Century" w:hint="cs"/>
          <w:sz w:val="22"/>
          <w:rtl/>
        </w:rPr>
        <w:t xml:space="preserve"> סברו ששטח זה הוקצה. </w:t>
      </w:r>
    </w:p>
    <w:p w:rsidR="004C7127" w:rsidRDefault="004C7127" w:rsidP="004C7127">
      <w:pPr>
        <w:pStyle w:val="Ruller41"/>
        <w:rPr>
          <w:rtl/>
        </w:rPr>
      </w:pPr>
    </w:p>
    <w:p w:rsidR="004C7127" w:rsidRPr="00ED714F" w:rsidRDefault="004C7127" w:rsidP="004C7127">
      <w:pPr>
        <w:pStyle w:val="Ruller4"/>
        <w:rPr>
          <w:rtl/>
        </w:rPr>
      </w:pPr>
      <w:r>
        <w:rPr>
          <w:rFonts w:hint="cs"/>
          <w:rtl/>
        </w:rPr>
        <w:t xml:space="preserve">עמדתי היא שאין בנמצא הסבר משכנע שמלמד כי בין הממונה לבין ההסתדרות הציונית נחתם בשלב כלשהו הסכם שנוגע לשטח שבו ממוקם היישוב מצפה כרמים. זאת, בין אם מאחר שהסכם ההרשאה כלל לא היה מסוים דיו כדי לצלוח את משוכת העסקה; ובעיקר מאחר שהוא לא נגע לשטח שחורג מצו הסגירה. ואולם, במוקד הדיון הנוסף ניצבת שאלת תום לבם של הצדדים. על מנת לפנות לבדיקה זו מוכן אני להניח </w:t>
      </w:r>
      <w:r>
        <w:rPr>
          <w:rtl/>
        </w:rPr>
        <w:t>–</w:t>
      </w:r>
      <w:r>
        <w:rPr>
          <w:rFonts w:hint="cs"/>
          <w:rtl/>
        </w:rPr>
        <w:t xml:space="preserve"> וכך אעשה לצורך הדיון </w:t>
      </w:r>
      <w:r>
        <w:rPr>
          <w:rtl/>
        </w:rPr>
        <w:t>–</w:t>
      </w:r>
      <w:r>
        <w:rPr>
          <w:rFonts w:hint="cs"/>
          <w:rtl/>
        </w:rPr>
        <w:t xml:space="preserve"> כי העסקה והסכם ההרשאה התייחסו גם למקרקעין שעליהם ממוקם היישוב מצפה כרמים.</w:t>
      </w:r>
    </w:p>
    <w:p w:rsidR="004C7127" w:rsidRDefault="004C7127" w:rsidP="004C7127">
      <w:pPr>
        <w:pStyle w:val="Ruller41"/>
        <w:rPr>
          <w:rtl/>
        </w:rPr>
      </w:pPr>
    </w:p>
    <w:p w:rsidR="004C7127" w:rsidRPr="00CF27D2" w:rsidRDefault="004C7127" w:rsidP="004C7127">
      <w:pPr>
        <w:pStyle w:val="2"/>
        <w:spacing w:before="0"/>
        <w:rPr>
          <w:rFonts w:ascii="Century" w:hAnsi="Century" w:cs="Miriam"/>
          <w:b/>
          <w:color w:val="auto"/>
          <w:spacing w:val="0"/>
          <w:sz w:val="22"/>
          <w:szCs w:val="24"/>
          <w:rtl/>
        </w:rPr>
      </w:pPr>
      <w:r>
        <w:rPr>
          <w:rFonts w:ascii="Century" w:hAnsi="Century" w:cs="Miriam" w:hint="cs"/>
          <w:b/>
          <w:color w:val="auto"/>
          <w:spacing w:val="0"/>
          <w:sz w:val="22"/>
          <w:szCs w:val="24"/>
          <w:rtl/>
        </w:rPr>
        <w:t>(ב</w:t>
      </w:r>
      <w:r w:rsidRPr="00CF27D2">
        <w:rPr>
          <w:rFonts w:ascii="Century" w:hAnsi="Century" w:cs="Miriam" w:hint="cs"/>
          <w:b/>
          <w:color w:val="auto"/>
          <w:spacing w:val="0"/>
          <w:sz w:val="22"/>
          <w:szCs w:val="24"/>
          <w:rtl/>
        </w:rPr>
        <w:t xml:space="preserve">) </w:t>
      </w:r>
      <w:r w:rsidRPr="00CF27D2">
        <w:rPr>
          <w:rFonts w:ascii="Century" w:hAnsi="Century" w:cs="Miriam"/>
          <w:b/>
          <w:color w:val="auto"/>
          <w:spacing w:val="0"/>
          <w:sz w:val="22"/>
          <w:szCs w:val="24"/>
          <w:rtl/>
        </w:rPr>
        <w:tab/>
      </w:r>
      <w:r>
        <w:rPr>
          <w:rFonts w:ascii="Century" w:hAnsi="Century" w:cs="Miriam" w:hint="cs"/>
          <w:b/>
          <w:color w:val="auto"/>
          <w:spacing w:val="0"/>
          <w:sz w:val="22"/>
          <w:szCs w:val="24"/>
          <w:rtl/>
        </w:rPr>
        <w:t>תום לבם של הצדדים</w:t>
      </w:r>
    </w:p>
    <w:p w:rsidR="004C7127" w:rsidRPr="00F153F4" w:rsidRDefault="004C7127" w:rsidP="004C7127">
      <w:pPr>
        <w:pStyle w:val="Ruller41"/>
        <w:rPr>
          <w:rtl/>
        </w:rPr>
      </w:pPr>
    </w:p>
    <w:p w:rsidR="004C7127" w:rsidRDefault="004C7127" w:rsidP="004C7127">
      <w:pPr>
        <w:pStyle w:val="Ruller4"/>
        <w:rPr>
          <w:rtl/>
        </w:rPr>
      </w:pPr>
      <w:r>
        <w:rPr>
          <w:rFonts w:hint="cs"/>
          <w:rtl/>
        </w:rPr>
        <w:t xml:space="preserve">מכאן ליישומה של אמת המידה המשפטית שניצבת במוקד ההליך דנן ולשאלה האם ניתן לומר כי הצדדים לעסקה היו תמי לב. </w:t>
      </w:r>
      <w:r>
        <w:rPr>
          <w:rFonts w:ascii="Century" w:hAnsi="Century" w:hint="cs"/>
          <w:sz w:val="22"/>
          <w:rtl/>
        </w:rPr>
        <w:t xml:space="preserve">לשון אחר </w:t>
      </w:r>
      <w:r>
        <w:rPr>
          <w:rFonts w:ascii="Century" w:hAnsi="Century"/>
          <w:sz w:val="22"/>
          <w:rtl/>
        </w:rPr>
        <w:t>–</w:t>
      </w:r>
      <w:r>
        <w:rPr>
          <w:rFonts w:ascii="Century" w:hAnsi="Century" w:hint="cs"/>
          <w:sz w:val="22"/>
          <w:rtl/>
        </w:rPr>
        <w:t xml:space="preserve"> האם כאשר התקשר הממונה עם ההסתדרות הציונית והקצה לה (כהנחתי לצורך הדין כאמור לעיל) את כל השטח שעליה חלה תכנית 223 </w:t>
      </w:r>
      <w:r>
        <w:rPr>
          <w:rFonts w:ascii="Century" w:hAnsi="Century"/>
          <w:sz w:val="22"/>
          <w:rtl/>
        </w:rPr>
        <w:t>–</w:t>
      </w:r>
      <w:r>
        <w:rPr>
          <w:rFonts w:ascii="Century" w:hAnsi="Century" w:hint="cs"/>
          <w:sz w:val="22"/>
          <w:rtl/>
        </w:rPr>
        <w:t xml:space="preserve"> היו הצדדים לעסקה תמי לב. כפי שאראה להלן, איני סבור שיש יסוד לקביעה כזו. </w:t>
      </w:r>
    </w:p>
    <w:p w:rsidR="004C7127" w:rsidRDefault="004C7127" w:rsidP="004C7127">
      <w:pPr>
        <w:pStyle w:val="Ruller41"/>
        <w:rPr>
          <w:rtl/>
        </w:rPr>
      </w:pPr>
    </w:p>
    <w:p w:rsidR="004C7127" w:rsidRPr="006F79E0" w:rsidRDefault="004C7127" w:rsidP="004C7127">
      <w:pPr>
        <w:pStyle w:val="30"/>
        <w:spacing w:before="0"/>
        <w:rPr>
          <w:rFonts w:ascii="Century" w:hAnsi="Century" w:cs="Miriam"/>
          <w:b/>
          <w:color w:val="auto"/>
          <w:spacing w:val="0"/>
          <w:sz w:val="22"/>
          <w:rtl/>
        </w:rPr>
      </w:pPr>
      <w:r w:rsidRPr="006F79E0">
        <w:rPr>
          <w:rFonts w:ascii="Century" w:hAnsi="Century" w:cs="Miriam" w:hint="cs"/>
          <w:b/>
          <w:color w:val="auto"/>
          <w:spacing w:val="0"/>
          <w:sz w:val="22"/>
          <w:rtl/>
        </w:rPr>
        <w:lastRenderedPageBreak/>
        <w:t>תום לבו של הממונה</w:t>
      </w:r>
    </w:p>
    <w:p w:rsidR="004C7127" w:rsidRDefault="004C7127" w:rsidP="004C7127">
      <w:pPr>
        <w:pStyle w:val="Ruller41"/>
        <w:rPr>
          <w:rFonts w:ascii="Century" w:hAnsi="Century" w:cs="Miriam"/>
          <w:b/>
          <w:spacing w:val="0"/>
          <w:szCs w:val="24"/>
          <w:rtl/>
        </w:rPr>
      </w:pPr>
    </w:p>
    <w:p w:rsidR="004C7127" w:rsidRDefault="004C7127" w:rsidP="004C7127">
      <w:pPr>
        <w:pStyle w:val="Ruller4"/>
        <w:rPr>
          <w:rtl/>
        </w:rPr>
      </w:pPr>
      <w:r>
        <w:rPr>
          <w:rFonts w:hint="cs"/>
          <w:rtl/>
        </w:rPr>
        <w:t xml:space="preserve">בשלב זה נפנה לבחון את תום לבו הסובייקטיבי של הממונה, על יסוד ההנחה העובדתית שעליה עמדתי לעיל, ושלפיה גבולות הסכם ההרשאה נקבעו למעשה לאחר החתימה על ההסכם, כשקיבל הממונה לידיו את תשריט תכנית 223. כפי שאראה להלן, בחינת תום לבו של הממונה מעלה כי ניצבו לפניו לכל הפחות שלוש נורות אזהרה בוהקות. לא מצאתי כי בעניינן של נורות אלו נערכו בדיקות או בירורים, לא כל שכן כאלה שיכולים להניח את הדעת. בעיניי, בשים לב לנורות אזהרה אלו ולהיעדרה של בדיקה ראויה </w:t>
      </w:r>
      <w:r>
        <w:rPr>
          <w:rtl/>
        </w:rPr>
        <w:t>–</w:t>
      </w:r>
      <w:r>
        <w:rPr>
          <w:rFonts w:hint="cs"/>
          <w:rtl/>
        </w:rPr>
        <w:t xml:space="preserve"> ניתן לומר כי הממונה עצם את עיניו מלראות שהוא מקצה שטח שאינו רכוש ממשלתי. </w:t>
      </w:r>
    </w:p>
    <w:p w:rsidR="004C7127" w:rsidRPr="006E5C13" w:rsidRDefault="004C7127" w:rsidP="004C7127">
      <w:pPr>
        <w:pStyle w:val="Ruller41"/>
        <w:rPr>
          <w:rtl/>
        </w:rPr>
      </w:pPr>
    </w:p>
    <w:p w:rsidR="004C7127" w:rsidRPr="00252945" w:rsidRDefault="004C7127" w:rsidP="004C7127">
      <w:pPr>
        <w:pStyle w:val="4"/>
        <w:spacing w:before="0"/>
        <w:rPr>
          <w:rFonts w:ascii="Century" w:hAnsi="Century" w:cs="Miriam"/>
          <w:b/>
          <w:i w:val="0"/>
          <w:iCs w:val="0"/>
          <w:color w:val="auto"/>
          <w:spacing w:val="0"/>
          <w:sz w:val="22"/>
          <w:szCs w:val="24"/>
          <w:rtl/>
        </w:rPr>
      </w:pPr>
      <w:r w:rsidRPr="00252945">
        <w:rPr>
          <w:rFonts w:ascii="Century" w:hAnsi="Century" w:cs="Miriam" w:hint="cs"/>
          <w:b/>
          <w:i w:val="0"/>
          <w:iCs w:val="0"/>
          <w:color w:val="auto"/>
          <w:spacing w:val="0"/>
          <w:sz w:val="22"/>
          <w:szCs w:val="24"/>
          <w:rtl/>
        </w:rPr>
        <w:t>נורת אזהרה ראשונה: פער בין תכנית 223 לבין צווי התפיסה והסגירה</w:t>
      </w:r>
    </w:p>
    <w:p w:rsidR="004C7127" w:rsidRDefault="004C7127" w:rsidP="004C7127">
      <w:pPr>
        <w:pStyle w:val="Ruller41"/>
        <w:rPr>
          <w:rFonts w:ascii="Century" w:hAnsi="Century" w:cs="Miriam"/>
          <w:b/>
          <w:spacing w:val="0"/>
          <w:szCs w:val="24"/>
          <w:rtl/>
        </w:rPr>
      </w:pPr>
    </w:p>
    <w:p w:rsidR="004C7127" w:rsidRDefault="004C7127" w:rsidP="004C7127">
      <w:pPr>
        <w:pStyle w:val="Ruller4"/>
      </w:pPr>
      <w:r>
        <w:rPr>
          <w:rFonts w:hint="cs"/>
          <w:rtl/>
        </w:rPr>
        <w:t xml:space="preserve">מבלי לחזור על הדברים שלא לצורך, שכן הדברים פורטו כבר במסגרת השאלה אם הסכם ההרשאה מתייחס לשטח שעליו ממוקם היום היישוב מצפה כרמים, יש לתת את הדעת לפער הבלתי מוסבר בהיקפי תכנית 223, צו התפיסה וצו הסגירה. כשנסגר השטח לפי צו הסגירה בשנת 1975, העביר </w:t>
      </w:r>
      <w:r>
        <w:rPr>
          <w:rFonts w:ascii="Century" w:hAnsi="Century" w:cs="Miriam" w:hint="cs"/>
          <w:b/>
          <w:spacing w:val="0"/>
          <w:sz w:val="22"/>
          <w:szCs w:val="24"/>
          <w:rtl/>
        </w:rPr>
        <w:t>הממונה</w:t>
      </w:r>
      <w:r>
        <w:rPr>
          <w:rFonts w:ascii="Century" w:hAnsi="Century" w:hint="cs"/>
          <w:sz w:val="22"/>
          <w:rtl/>
        </w:rPr>
        <w:t xml:space="preserve"> מכתב שציין את היקף השטחים שנסגרו, תוך פירוט הבעלויות בהם. כחמש שנים מאוחר יותר נבחנה האפשרות לשנות את צו הסגירה לצו תפיסה, ואכן צו תפיסה נחתם, ושטחו קטן משטח צו הסגירה. הסכם ההרשאה, כלשונו, העביר להסתדרות הציונית חזקה ב-1,</w:t>
      </w:r>
      <w:r>
        <w:rPr>
          <w:rFonts w:hint="cs"/>
          <w:rtl/>
        </w:rPr>
        <w:t xml:space="preserve">071 </w:t>
      </w:r>
      <w:r>
        <w:rPr>
          <w:rFonts w:ascii="Century" w:hAnsi="Century" w:hint="cs"/>
          <w:sz w:val="22"/>
          <w:rtl/>
        </w:rPr>
        <w:t xml:space="preserve">דונם וצורפה לו מפת צו הסגירה (אף שעל גבי מפה זו נכתב "צו תפיסה"). </w:t>
      </w:r>
      <w:r>
        <w:rPr>
          <w:rFonts w:hint="cs"/>
          <w:rtl/>
        </w:rPr>
        <w:t xml:space="preserve">הטענה היא שהממונה סבר אותה העת כי המפה שהובאה לחתימתו במסגרת הסכם ההרשאה לא מדויקת (כפי שנקבע בבית המשפט המחוזי), וביקש מפה חדשה והובאה לו מפת תכנית 223. תכנית 223 משתרעת, כלשונה, על שטח בהיקף 1,416 דונם. אף בהנחה (שלא התקבלה עובדתית בבית המשפט המחוזי שדחה את הטענה, סעיפים 101-100 לפסק הדין) כי בשטח "נתפסו בפועל" שטחים בהיקף האמור </w:t>
      </w:r>
      <w:r>
        <w:rPr>
          <w:rtl/>
        </w:rPr>
        <w:t>–</w:t>
      </w:r>
      <w:r>
        <w:rPr>
          <w:rFonts w:hint="cs"/>
          <w:rtl/>
        </w:rPr>
        <w:t xml:space="preserve"> אין נורת אזהרה מובהקת יותר מאשר בין הפער העצום בין היקף השטח עלי הסכם לבין היקפה של תכנית 223. </w:t>
      </w:r>
      <w:r w:rsidRPr="004C5B8C">
        <w:rPr>
          <w:rFonts w:ascii="Century" w:hAnsi="Century" w:hint="cs"/>
          <w:rtl/>
        </w:rPr>
        <w:t>החריגה של תכנית 223 מגבולות צו התפיסה אינה עניין של עשרות מטרים</w:t>
      </w:r>
      <w:r>
        <w:rPr>
          <w:rFonts w:ascii="Century" w:hAnsi="Century" w:hint="cs"/>
          <w:rtl/>
        </w:rPr>
        <w:t>,</w:t>
      </w:r>
      <w:r w:rsidRPr="004C5B8C">
        <w:rPr>
          <w:rFonts w:ascii="Century" w:hAnsi="Century" w:hint="cs"/>
          <w:rtl/>
        </w:rPr>
        <w:t xml:space="preserve"> </w:t>
      </w:r>
      <w:r>
        <w:rPr>
          <w:rFonts w:ascii="Century" w:hAnsi="Century" w:hint="cs"/>
          <w:rtl/>
        </w:rPr>
        <w:t xml:space="preserve">של </w:t>
      </w:r>
      <w:r w:rsidRPr="004C5B8C">
        <w:rPr>
          <w:rFonts w:ascii="Century" w:hAnsi="Century" w:hint="cs"/>
          <w:rtl/>
        </w:rPr>
        <w:t>מאות מטרים</w:t>
      </w:r>
      <w:r>
        <w:rPr>
          <w:rFonts w:ascii="Century" w:hAnsi="Century" w:hint="cs"/>
          <w:rtl/>
        </w:rPr>
        <w:t xml:space="preserve"> או אפילו של עשרות דונמים</w:t>
      </w:r>
      <w:r w:rsidRPr="004C5B8C">
        <w:rPr>
          <w:rFonts w:ascii="Century" w:hAnsi="Century" w:hint="cs"/>
          <w:rtl/>
        </w:rPr>
        <w:t xml:space="preserve">. מדובר בסטייה של </w:t>
      </w:r>
      <w:r w:rsidRPr="00526F85">
        <w:rPr>
          <w:rFonts w:ascii="Century" w:hAnsi="Century" w:cs="Miriam" w:hint="cs"/>
          <w:b/>
          <w:spacing w:val="0"/>
          <w:sz w:val="22"/>
          <w:szCs w:val="24"/>
          <w:rtl/>
        </w:rPr>
        <w:t>מאות</w:t>
      </w:r>
      <w:r w:rsidRPr="00526F85">
        <w:rPr>
          <w:rFonts w:ascii="Century" w:hAnsi="Century" w:hint="cs"/>
          <w:rtl/>
        </w:rPr>
        <w:t xml:space="preserve"> </w:t>
      </w:r>
      <w:r w:rsidRPr="004C5B8C">
        <w:rPr>
          <w:rFonts w:ascii="Century" w:hAnsi="Century" w:cs="Miriam" w:hint="cs"/>
          <w:b/>
          <w:spacing w:val="0"/>
          <w:szCs w:val="24"/>
          <w:rtl/>
        </w:rPr>
        <w:t>דונמים</w:t>
      </w:r>
      <w:r w:rsidRPr="004C5B8C">
        <w:rPr>
          <w:rFonts w:ascii="Century" w:hAnsi="Century" w:hint="cs"/>
          <w:rtl/>
        </w:rPr>
        <w:t xml:space="preserve"> </w:t>
      </w:r>
      <w:r w:rsidRPr="004C5B8C">
        <w:rPr>
          <w:rFonts w:ascii="Century" w:hAnsi="Century"/>
          <w:rtl/>
        </w:rPr>
        <w:t>–</w:t>
      </w:r>
      <w:r w:rsidRPr="004C5B8C">
        <w:rPr>
          <w:rFonts w:ascii="Century" w:hAnsi="Century" w:hint="cs"/>
          <w:rtl/>
        </w:rPr>
        <w:t xml:space="preserve"> וכדברי אביעד כספי (ראש תחום תשתית בשנים 2012 עד 2017) </w:t>
      </w:r>
      <w:r w:rsidRPr="004C5B8C">
        <w:rPr>
          <w:rFonts w:ascii="Century" w:hAnsi="Century"/>
          <w:rtl/>
        </w:rPr>
        <w:t>–</w:t>
      </w:r>
      <w:r w:rsidRPr="004C5B8C">
        <w:rPr>
          <w:rFonts w:ascii="Century" w:hAnsi="Century" w:hint="cs"/>
          <w:rtl/>
        </w:rPr>
        <w:t xml:space="preserve"> חריגה של 40-30 אחוז משטח צו התפיסה, אם לא יותר (</w:t>
      </w:r>
      <w:r>
        <w:rPr>
          <w:rFonts w:ascii="Century" w:hAnsi="Century" w:hint="cs"/>
          <w:rtl/>
        </w:rPr>
        <w:t xml:space="preserve">פרוטוקול הדיון בבית המשפט המחוזי, </w:t>
      </w:r>
      <w:r w:rsidRPr="004C5B8C">
        <w:rPr>
          <w:rFonts w:ascii="Century" w:hAnsi="Century" w:hint="cs"/>
          <w:rtl/>
        </w:rPr>
        <w:t>בעמ' 208, ש' 32-30)</w:t>
      </w:r>
      <w:r>
        <w:rPr>
          <w:rFonts w:hint="cs"/>
          <w:rtl/>
        </w:rPr>
        <w:t xml:space="preserve">. </w:t>
      </w:r>
    </w:p>
    <w:p w:rsidR="004C7127" w:rsidRPr="00014F1D" w:rsidRDefault="004C7127" w:rsidP="004C7127">
      <w:pPr>
        <w:pStyle w:val="Ruller4"/>
        <w:numPr>
          <w:ilvl w:val="0"/>
          <w:numId w:val="0"/>
        </w:numPr>
      </w:pPr>
    </w:p>
    <w:p w:rsidR="004C7127" w:rsidRPr="007C4320" w:rsidRDefault="004C7127" w:rsidP="004C7127">
      <w:pPr>
        <w:pStyle w:val="Ruller4"/>
        <w:rPr>
          <w:rFonts w:ascii="Century" w:hAnsi="Century"/>
          <w:sz w:val="22"/>
        </w:rPr>
      </w:pPr>
      <w:r>
        <w:rPr>
          <w:rFonts w:hint="cs"/>
          <w:rtl/>
        </w:rPr>
        <w:t xml:space="preserve">אין בחומר כל הסבר, והממונה לא נתן הבהרה בשאלה, אילו בדיקות ערך כאשר קיבל לידיו מפה שחורגת במאות דונמים מצווי הסגירה והתפיסה. אף בהנחה שהממונה </w:t>
      </w:r>
      <w:r>
        <w:rPr>
          <w:rFonts w:hint="cs"/>
          <w:rtl/>
        </w:rPr>
        <w:lastRenderedPageBreak/>
        <w:t xml:space="preserve">חשב שמפת תכנית 223 משקפת תפיסה בפועל, נורה אדומה בוהקת מצויה בפער בין המסמך שעליו חתם (הסכם ההרשאה הראשון) לבין השטח שלגביו ניתנה הרשאה בפועל. פער זה לא תוקן גם ביתר ההסכמים שעליהם חתמו הצדדים. כזכור, המספר 1,071 דונם שצוין בהסכם ההרשאה הראשון דומה מאוד לשטח שדווח שנסגר במסגרת צו הסגירה </w:t>
      </w:r>
      <w:r>
        <w:rPr>
          <w:rtl/>
        </w:rPr>
        <w:t>–</w:t>
      </w:r>
      <w:r>
        <w:rPr>
          <w:rFonts w:hint="cs"/>
          <w:rtl/>
        </w:rPr>
        <w:t xml:space="preserve"> ואף בכך היה כדי להדליק נורת אזהרה לפני מי שעתיד להקצות מאות דונמים מעבר לאמור בהסכם. </w:t>
      </w:r>
    </w:p>
    <w:p w:rsidR="004C7127" w:rsidRPr="007C4320" w:rsidRDefault="004C7127" w:rsidP="004C7127">
      <w:pPr>
        <w:pStyle w:val="Ruller4"/>
        <w:numPr>
          <w:ilvl w:val="0"/>
          <w:numId w:val="0"/>
        </w:numPr>
        <w:rPr>
          <w:rFonts w:ascii="Century" w:hAnsi="Century"/>
          <w:sz w:val="22"/>
        </w:rPr>
      </w:pPr>
    </w:p>
    <w:p w:rsidR="004C7127" w:rsidRDefault="004C7127" w:rsidP="004C7127">
      <w:pPr>
        <w:pStyle w:val="Ruller4"/>
        <w:rPr>
          <w:rtl/>
        </w:rPr>
      </w:pPr>
      <w:r>
        <w:rPr>
          <w:rFonts w:hint="cs"/>
          <w:rtl/>
        </w:rPr>
        <w:t xml:space="preserve">בהקשר זה נטען כי במועד החתימה על ההסכם, היה ברור וידוע לצדדים כי גבולות המשבצת אינם ברורים. טענה זו נשענת על האמור בהסכם שלפיו "הצדדים מצהירים כי ידוע להם כי גבולות המשבצת טרם נמדדו וגבולותיה המדויקים טרם נקבעות סופית, ולממונה הזכות לשנותם" (סעיף 2.ג להסכם ההרשאה). ואולם, אין בידי לקבל כי סעיף זה משמעו שאין </w:t>
      </w:r>
      <w:r w:rsidRPr="001F5CD4">
        <w:rPr>
          <w:rFonts w:ascii="Century" w:hAnsi="Century" w:cs="Miriam" w:hint="cs"/>
          <w:b/>
          <w:spacing w:val="0"/>
          <w:sz w:val="22"/>
          <w:szCs w:val="24"/>
          <w:rtl/>
        </w:rPr>
        <w:t xml:space="preserve">כל משמעות </w:t>
      </w:r>
      <w:r w:rsidRPr="001F5CD4">
        <w:rPr>
          <w:rFonts w:ascii="Century" w:hAnsi="Century" w:hint="cs"/>
          <w:sz w:val="22"/>
          <w:rtl/>
        </w:rPr>
        <w:t>לאמור בהסכם (או כפי שסבר בית המשפט המחוזי, כי משמעות סעיף</w:t>
      </w:r>
      <w:r w:rsidRPr="001F5CD4">
        <w:rPr>
          <w:sz w:val="22"/>
          <w:rtl/>
        </w:rPr>
        <w:t xml:space="preserve"> </w:t>
      </w:r>
      <w:r w:rsidRPr="001F5CD4">
        <w:rPr>
          <w:rFonts w:hint="eastAsia"/>
          <w:sz w:val="22"/>
          <w:rtl/>
        </w:rPr>
        <w:t>זה</w:t>
      </w:r>
      <w:r w:rsidRPr="001F5CD4">
        <w:rPr>
          <w:sz w:val="22"/>
          <w:rtl/>
        </w:rPr>
        <w:t xml:space="preserve"> </w:t>
      </w:r>
      <w:r w:rsidRPr="001F5CD4">
        <w:rPr>
          <w:rFonts w:hint="eastAsia"/>
          <w:sz w:val="22"/>
          <w:rtl/>
        </w:rPr>
        <w:t>ש</w:t>
      </w:r>
      <w:r w:rsidRPr="001F5CD4">
        <w:rPr>
          <w:sz w:val="22"/>
          <w:rtl/>
        </w:rPr>
        <w:t>"</w:t>
      </w:r>
      <w:r w:rsidRPr="001F5CD4">
        <w:rPr>
          <w:rFonts w:hint="eastAsia"/>
          <w:sz w:val="22"/>
          <w:rtl/>
        </w:rPr>
        <w:t>אין</w:t>
      </w:r>
      <w:r w:rsidRPr="001F5CD4">
        <w:rPr>
          <w:sz w:val="22"/>
          <w:rtl/>
        </w:rPr>
        <w:t xml:space="preserve"> </w:t>
      </w:r>
      <w:r w:rsidRPr="001F5CD4">
        <w:rPr>
          <w:rFonts w:hint="eastAsia"/>
          <w:sz w:val="22"/>
          <w:rtl/>
        </w:rPr>
        <w:t>ללמוד</w:t>
      </w:r>
      <w:r w:rsidRPr="001F5CD4">
        <w:rPr>
          <w:sz w:val="22"/>
          <w:rtl/>
        </w:rPr>
        <w:t xml:space="preserve"> </w:t>
      </w:r>
      <w:r w:rsidRPr="001F5CD4">
        <w:rPr>
          <w:rFonts w:hint="eastAsia"/>
          <w:sz w:val="22"/>
          <w:rtl/>
        </w:rPr>
        <w:t>מתוך</w:t>
      </w:r>
      <w:r w:rsidRPr="001F5CD4">
        <w:rPr>
          <w:sz w:val="22"/>
          <w:rtl/>
        </w:rPr>
        <w:t xml:space="preserve"> </w:t>
      </w:r>
      <w:r w:rsidRPr="001F5CD4">
        <w:rPr>
          <w:rFonts w:hint="eastAsia"/>
          <w:sz w:val="22"/>
          <w:rtl/>
        </w:rPr>
        <w:t>התשריט</w:t>
      </w:r>
      <w:r w:rsidRPr="001F5CD4">
        <w:rPr>
          <w:sz w:val="22"/>
          <w:rtl/>
        </w:rPr>
        <w:t xml:space="preserve"> </w:t>
      </w:r>
      <w:r w:rsidRPr="001F5CD4">
        <w:rPr>
          <w:rFonts w:hint="eastAsia"/>
          <w:sz w:val="22"/>
          <w:rtl/>
        </w:rPr>
        <w:t>שצורף</w:t>
      </w:r>
      <w:r w:rsidRPr="001F5CD4">
        <w:rPr>
          <w:sz w:val="22"/>
          <w:rtl/>
        </w:rPr>
        <w:t xml:space="preserve"> </w:t>
      </w:r>
      <w:r w:rsidRPr="001F5CD4">
        <w:rPr>
          <w:rFonts w:hint="eastAsia"/>
          <w:sz w:val="22"/>
          <w:rtl/>
        </w:rPr>
        <w:t>לו</w:t>
      </w:r>
      <w:r w:rsidRPr="001F5CD4">
        <w:rPr>
          <w:sz w:val="22"/>
          <w:rtl/>
        </w:rPr>
        <w:t xml:space="preserve"> [</w:t>
      </w:r>
      <w:r w:rsidRPr="001F5CD4">
        <w:rPr>
          <w:rFonts w:hint="eastAsia"/>
          <w:sz w:val="22"/>
          <w:rtl/>
        </w:rPr>
        <w:t>להסכם</w:t>
      </w:r>
      <w:r w:rsidRPr="001F5CD4">
        <w:rPr>
          <w:sz w:val="22"/>
          <w:rtl/>
        </w:rPr>
        <w:t xml:space="preserve"> – </w:t>
      </w:r>
      <w:r w:rsidRPr="001F5CD4">
        <w:rPr>
          <w:rFonts w:hint="eastAsia"/>
          <w:sz w:val="22"/>
          <w:rtl/>
        </w:rPr>
        <w:t>ע</w:t>
      </w:r>
      <w:r w:rsidRPr="001F5CD4">
        <w:rPr>
          <w:sz w:val="22"/>
          <w:rtl/>
        </w:rPr>
        <w:t xml:space="preserve">' </w:t>
      </w:r>
      <w:r w:rsidRPr="001F5CD4">
        <w:rPr>
          <w:rFonts w:hint="eastAsia"/>
          <w:sz w:val="22"/>
          <w:rtl/>
        </w:rPr>
        <w:t>פ</w:t>
      </w:r>
      <w:r w:rsidRPr="001F5CD4">
        <w:rPr>
          <w:sz w:val="22"/>
          <w:rtl/>
        </w:rPr>
        <w:t xml:space="preserve">'] </w:t>
      </w:r>
      <w:r w:rsidRPr="001F5CD4">
        <w:rPr>
          <w:rFonts w:hint="eastAsia"/>
          <w:sz w:val="22"/>
          <w:rtl/>
        </w:rPr>
        <w:t>דבר</w:t>
      </w:r>
      <w:r w:rsidRPr="001F5CD4">
        <w:rPr>
          <w:sz w:val="22"/>
          <w:rtl/>
        </w:rPr>
        <w:t xml:space="preserve">", </w:t>
      </w:r>
      <w:r w:rsidRPr="001F5CD4">
        <w:rPr>
          <w:rFonts w:hint="eastAsia"/>
          <w:sz w:val="22"/>
          <w:rtl/>
        </w:rPr>
        <w:t>סעיף</w:t>
      </w:r>
      <w:r w:rsidRPr="001F5CD4">
        <w:rPr>
          <w:sz w:val="22"/>
          <w:rtl/>
        </w:rPr>
        <w:t xml:space="preserve"> 131 </w:t>
      </w:r>
      <w:r w:rsidRPr="001F5CD4">
        <w:rPr>
          <w:rFonts w:hint="eastAsia"/>
          <w:sz w:val="22"/>
          <w:rtl/>
        </w:rPr>
        <w:t>לפסק</w:t>
      </w:r>
      <w:r w:rsidRPr="001F5CD4">
        <w:rPr>
          <w:sz w:val="22"/>
          <w:rtl/>
        </w:rPr>
        <w:t xml:space="preserve"> </w:t>
      </w:r>
      <w:r w:rsidRPr="001F5CD4">
        <w:rPr>
          <w:rFonts w:hint="eastAsia"/>
          <w:sz w:val="22"/>
          <w:rtl/>
        </w:rPr>
        <w:t>הדין</w:t>
      </w:r>
      <w:r w:rsidRPr="001F5CD4">
        <w:rPr>
          <w:sz w:val="22"/>
          <w:rtl/>
        </w:rPr>
        <w:t xml:space="preserve">). </w:t>
      </w:r>
      <w:r w:rsidRPr="001F5CD4">
        <w:rPr>
          <w:rFonts w:hint="eastAsia"/>
          <w:sz w:val="22"/>
          <w:rtl/>
        </w:rPr>
        <w:t>חריגה</w:t>
      </w:r>
      <w:r w:rsidRPr="001F5CD4">
        <w:rPr>
          <w:sz w:val="22"/>
          <w:rtl/>
        </w:rPr>
        <w:t xml:space="preserve"> </w:t>
      </w:r>
      <w:r w:rsidRPr="001F5CD4">
        <w:rPr>
          <w:rFonts w:hint="eastAsia"/>
          <w:sz w:val="22"/>
          <w:rtl/>
        </w:rPr>
        <w:t>של</w:t>
      </w:r>
      <w:r w:rsidRPr="001F5CD4">
        <w:rPr>
          <w:sz w:val="22"/>
          <w:rtl/>
        </w:rPr>
        <w:t xml:space="preserve"> 400 </w:t>
      </w:r>
      <w:r w:rsidRPr="001F5CD4">
        <w:rPr>
          <w:rFonts w:hint="eastAsia"/>
          <w:sz w:val="22"/>
          <w:rtl/>
        </w:rPr>
        <w:t>דונם</w:t>
      </w:r>
      <w:r w:rsidRPr="001F5CD4">
        <w:rPr>
          <w:sz w:val="22"/>
          <w:rtl/>
        </w:rPr>
        <w:t xml:space="preserve"> </w:t>
      </w:r>
      <w:r w:rsidRPr="001F5CD4">
        <w:rPr>
          <w:rFonts w:hint="eastAsia"/>
          <w:sz w:val="22"/>
          <w:rtl/>
        </w:rPr>
        <w:t>מהאמור</w:t>
      </w:r>
      <w:r w:rsidRPr="001F5CD4">
        <w:rPr>
          <w:sz w:val="22"/>
          <w:rtl/>
        </w:rPr>
        <w:t xml:space="preserve"> </w:t>
      </w:r>
      <w:r w:rsidRPr="001F5CD4">
        <w:rPr>
          <w:rFonts w:hint="eastAsia"/>
          <w:sz w:val="22"/>
          <w:rtl/>
        </w:rPr>
        <w:t>בהסכם</w:t>
      </w:r>
      <w:r w:rsidRPr="001F5CD4">
        <w:rPr>
          <w:sz w:val="22"/>
          <w:rtl/>
        </w:rPr>
        <w:t xml:space="preserve"> </w:t>
      </w:r>
      <w:r w:rsidRPr="001F5CD4">
        <w:rPr>
          <w:rFonts w:hint="eastAsia"/>
          <w:sz w:val="22"/>
          <w:rtl/>
        </w:rPr>
        <w:t>אינה</w:t>
      </w:r>
      <w:r w:rsidRPr="001F5CD4">
        <w:rPr>
          <w:sz w:val="22"/>
          <w:rtl/>
        </w:rPr>
        <w:t xml:space="preserve"> </w:t>
      </w:r>
      <w:r w:rsidRPr="001F5CD4">
        <w:rPr>
          <w:rFonts w:hint="eastAsia"/>
          <w:sz w:val="22"/>
          <w:rtl/>
        </w:rPr>
        <w:t>בבחינת</w:t>
      </w:r>
      <w:r w:rsidRPr="001F5CD4">
        <w:rPr>
          <w:sz w:val="22"/>
          <w:rtl/>
        </w:rPr>
        <w:t xml:space="preserve"> </w:t>
      </w:r>
      <w:r w:rsidRPr="001F5CD4">
        <w:rPr>
          <w:rFonts w:hint="eastAsia"/>
          <w:sz w:val="22"/>
          <w:rtl/>
        </w:rPr>
        <w:t>דיוק</w:t>
      </w:r>
      <w:r w:rsidRPr="001F5CD4">
        <w:rPr>
          <w:sz w:val="22"/>
          <w:rtl/>
        </w:rPr>
        <w:t xml:space="preserve"> </w:t>
      </w:r>
      <w:r w:rsidRPr="001F5CD4">
        <w:rPr>
          <w:rFonts w:hint="eastAsia"/>
          <w:sz w:val="22"/>
          <w:rtl/>
        </w:rPr>
        <w:t>גבולות</w:t>
      </w:r>
      <w:r w:rsidRPr="001F5CD4">
        <w:rPr>
          <w:sz w:val="22"/>
          <w:rtl/>
        </w:rPr>
        <w:t xml:space="preserve">, </w:t>
      </w:r>
      <w:r w:rsidRPr="001F5CD4">
        <w:rPr>
          <w:rFonts w:hint="eastAsia"/>
          <w:sz w:val="22"/>
          <w:rtl/>
        </w:rPr>
        <w:t>או</w:t>
      </w:r>
      <w:r w:rsidRPr="001F5CD4">
        <w:rPr>
          <w:sz w:val="22"/>
          <w:rtl/>
        </w:rPr>
        <w:t xml:space="preserve"> "</w:t>
      </w:r>
      <w:r w:rsidRPr="001F5CD4">
        <w:rPr>
          <w:rFonts w:hint="eastAsia"/>
          <w:sz w:val="22"/>
          <w:rtl/>
        </w:rPr>
        <w:t>קביעתם</w:t>
      </w:r>
      <w:r w:rsidRPr="001F5CD4">
        <w:rPr>
          <w:sz w:val="22"/>
          <w:rtl/>
        </w:rPr>
        <w:t xml:space="preserve"> </w:t>
      </w:r>
      <w:r w:rsidRPr="001F5CD4">
        <w:rPr>
          <w:rFonts w:hint="eastAsia"/>
          <w:sz w:val="22"/>
          <w:rtl/>
        </w:rPr>
        <w:t>הסופית</w:t>
      </w:r>
      <w:r w:rsidRPr="001F5CD4">
        <w:rPr>
          <w:sz w:val="22"/>
          <w:rtl/>
        </w:rPr>
        <w:t xml:space="preserve">" </w:t>
      </w:r>
      <w:r w:rsidRPr="001F5CD4">
        <w:rPr>
          <w:rFonts w:hint="eastAsia"/>
          <w:sz w:val="22"/>
          <w:rtl/>
        </w:rPr>
        <w:t>כאמור</w:t>
      </w:r>
      <w:r w:rsidRPr="001F5CD4">
        <w:rPr>
          <w:sz w:val="22"/>
          <w:rtl/>
        </w:rPr>
        <w:t xml:space="preserve"> </w:t>
      </w:r>
      <w:r w:rsidRPr="001F5CD4">
        <w:rPr>
          <w:rFonts w:hint="eastAsia"/>
          <w:sz w:val="22"/>
          <w:rtl/>
        </w:rPr>
        <w:t>בסעיף</w:t>
      </w:r>
      <w:r w:rsidRPr="001F5CD4">
        <w:rPr>
          <w:sz w:val="22"/>
          <w:rtl/>
        </w:rPr>
        <w:t xml:space="preserve">. </w:t>
      </w:r>
      <w:r w:rsidRPr="001F5CD4">
        <w:rPr>
          <w:rFonts w:hint="eastAsia"/>
          <w:sz w:val="22"/>
          <w:rtl/>
        </w:rPr>
        <w:t>מדובר</w:t>
      </w:r>
      <w:r w:rsidRPr="001F5CD4">
        <w:rPr>
          <w:sz w:val="22"/>
          <w:rtl/>
        </w:rPr>
        <w:t xml:space="preserve"> </w:t>
      </w:r>
      <w:r w:rsidRPr="001F5CD4">
        <w:rPr>
          <w:rFonts w:hint="eastAsia"/>
          <w:sz w:val="22"/>
          <w:rtl/>
        </w:rPr>
        <w:t>בשוני</w:t>
      </w:r>
      <w:r w:rsidRPr="001F5CD4">
        <w:rPr>
          <w:sz w:val="22"/>
          <w:rtl/>
        </w:rPr>
        <w:t xml:space="preserve"> </w:t>
      </w:r>
      <w:r w:rsidRPr="001F5CD4">
        <w:rPr>
          <w:rFonts w:hint="eastAsia"/>
          <w:sz w:val="22"/>
          <w:rtl/>
        </w:rPr>
        <w:t>מהותי</w:t>
      </w:r>
      <w:r w:rsidRPr="001F5CD4">
        <w:rPr>
          <w:sz w:val="22"/>
          <w:rtl/>
        </w:rPr>
        <w:t xml:space="preserve"> </w:t>
      </w:r>
      <w:r w:rsidRPr="001F5CD4">
        <w:rPr>
          <w:rFonts w:hint="eastAsia"/>
          <w:sz w:val="22"/>
          <w:rtl/>
        </w:rPr>
        <w:t>של</w:t>
      </w:r>
      <w:r w:rsidRPr="001F5CD4">
        <w:rPr>
          <w:sz w:val="22"/>
          <w:rtl/>
        </w:rPr>
        <w:t xml:space="preserve"> </w:t>
      </w:r>
      <w:r w:rsidRPr="001F5CD4">
        <w:rPr>
          <w:rFonts w:hint="eastAsia"/>
          <w:sz w:val="22"/>
          <w:rtl/>
        </w:rPr>
        <w:t>ההקצאה</w:t>
      </w:r>
      <w:r w:rsidRPr="001F5CD4">
        <w:rPr>
          <w:sz w:val="22"/>
          <w:rtl/>
        </w:rPr>
        <w:t xml:space="preserve">. </w:t>
      </w:r>
      <w:r w:rsidRPr="001F5CD4">
        <w:rPr>
          <w:rFonts w:hint="eastAsia"/>
          <w:sz w:val="22"/>
          <w:rtl/>
        </w:rPr>
        <w:t>קשה</w:t>
      </w:r>
      <w:r w:rsidRPr="001F5CD4">
        <w:rPr>
          <w:sz w:val="22"/>
          <w:rtl/>
        </w:rPr>
        <w:t xml:space="preserve"> </w:t>
      </w:r>
      <w:r w:rsidRPr="001F5CD4">
        <w:rPr>
          <w:rFonts w:hint="eastAsia"/>
          <w:sz w:val="22"/>
          <w:rtl/>
        </w:rPr>
        <w:t>לחשוב</w:t>
      </w:r>
      <w:r w:rsidRPr="001F5CD4">
        <w:rPr>
          <w:sz w:val="22"/>
          <w:rtl/>
        </w:rPr>
        <w:t xml:space="preserve"> </w:t>
      </w:r>
      <w:r w:rsidRPr="001F5CD4">
        <w:rPr>
          <w:rFonts w:hint="eastAsia"/>
          <w:sz w:val="22"/>
          <w:rtl/>
        </w:rPr>
        <w:t>על</w:t>
      </w:r>
      <w:r w:rsidRPr="001F5CD4">
        <w:rPr>
          <w:sz w:val="22"/>
          <w:rtl/>
        </w:rPr>
        <w:t xml:space="preserve"> </w:t>
      </w:r>
      <w:r w:rsidRPr="001F5CD4">
        <w:rPr>
          <w:rFonts w:hint="eastAsia"/>
          <w:sz w:val="22"/>
          <w:rtl/>
        </w:rPr>
        <w:t>חוזה</w:t>
      </w:r>
      <w:r w:rsidRPr="001F5CD4">
        <w:rPr>
          <w:sz w:val="22"/>
          <w:rtl/>
        </w:rPr>
        <w:t xml:space="preserve"> </w:t>
      </w:r>
      <w:r w:rsidRPr="001F5CD4">
        <w:rPr>
          <w:rFonts w:hint="eastAsia"/>
          <w:sz w:val="22"/>
          <w:rtl/>
        </w:rPr>
        <w:t>אחר</w:t>
      </w:r>
      <w:r w:rsidRPr="001F5CD4">
        <w:rPr>
          <w:sz w:val="22"/>
          <w:rtl/>
        </w:rPr>
        <w:t xml:space="preserve"> </w:t>
      </w:r>
      <w:r w:rsidRPr="001F5CD4">
        <w:rPr>
          <w:rFonts w:hint="eastAsia"/>
          <w:sz w:val="22"/>
          <w:rtl/>
        </w:rPr>
        <w:t>שיעסוק</w:t>
      </w:r>
      <w:r w:rsidRPr="001F5CD4">
        <w:rPr>
          <w:sz w:val="22"/>
          <w:rtl/>
        </w:rPr>
        <w:t xml:space="preserve"> </w:t>
      </w:r>
      <w:r w:rsidRPr="001F5CD4">
        <w:rPr>
          <w:rFonts w:hint="eastAsia"/>
          <w:sz w:val="22"/>
          <w:rtl/>
        </w:rPr>
        <w:t>במקרקעין</w:t>
      </w:r>
      <w:r w:rsidRPr="001F5CD4">
        <w:rPr>
          <w:sz w:val="22"/>
          <w:rtl/>
        </w:rPr>
        <w:t xml:space="preserve"> </w:t>
      </w:r>
      <w:r w:rsidRPr="001F5CD4">
        <w:rPr>
          <w:rFonts w:hint="eastAsia"/>
          <w:sz w:val="22"/>
          <w:rtl/>
        </w:rPr>
        <w:t>שבו</w:t>
      </w:r>
      <w:r w:rsidRPr="001F5CD4">
        <w:rPr>
          <w:sz w:val="22"/>
          <w:rtl/>
        </w:rPr>
        <w:t xml:space="preserve"> </w:t>
      </w:r>
      <w:r w:rsidRPr="001F5CD4">
        <w:rPr>
          <w:rFonts w:hint="eastAsia"/>
          <w:sz w:val="22"/>
          <w:rtl/>
        </w:rPr>
        <w:t>ישתנו</w:t>
      </w:r>
      <w:r w:rsidRPr="001F5CD4">
        <w:rPr>
          <w:sz w:val="22"/>
          <w:rtl/>
        </w:rPr>
        <w:t xml:space="preserve">, </w:t>
      </w:r>
      <w:r w:rsidRPr="001F5CD4">
        <w:rPr>
          <w:rFonts w:hint="eastAsia"/>
          <w:sz w:val="22"/>
          <w:rtl/>
        </w:rPr>
        <w:t>בעל</w:t>
      </w:r>
      <w:r w:rsidRPr="001F5CD4">
        <w:rPr>
          <w:sz w:val="22"/>
          <w:rtl/>
        </w:rPr>
        <w:t xml:space="preserve"> </w:t>
      </w:r>
      <w:r w:rsidRPr="001F5CD4">
        <w:rPr>
          <w:rFonts w:hint="eastAsia"/>
          <w:sz w:val="22"/>
          <w:rtl/>
        </w:rPr>
        <w:t>פה</w:t>
      </w:r>
      <w:r w:rsidRPr="001F5CD4">
        <w:rPr>
          <w:sz w:val="22"/>
          <w:rtl/>
        </w:rPr>
        <w:t xml:space="preserve">, </w:t>
      </w:r>
      <w:r w:rsidRPr="001F5CD4">
        <w:rPr>
          <w:rFonts w:hint="eastAsia"/>
          <w:sz w:val="22"/>
          <w:rtl/>
        </w:rPr>
        <w:t>וללא</w:t>
      </w:r>
      <w:r w:rsidRPr="001F5CD4">
        <w:rPr>
          <w:sz w:val="22"/>
          <w:rtl/>
        </w:rPr>
        <w:t xml:space="preserve"> </w:t>
      </w:r>
      <w:r w:rsidRPr="001F5CD4">
        <w:rPr>
          <w:rFonts w:hint="eastAsia"/>
          <w:sz w:val="22"/>
          <w:rtl/>
        </w:rPr>
        <w:t>כל</w:t>
      </w:r>
      <w:r w:rsidRPr="001F5CD4">
        <w:rPr>
          <w:sz w:val="22"/>
          <w:rtl/>
        </w:rPr>
        <w:t xml:space="preserve"> </w:t>
      </w:r>
      <w:r w:rsidRPr="001F5CD4">
        <w:rPr>
          <w:rFonts w:hint="eastAsia"/>
          <w:sz w:val="22"/>
          <w:rtl/>
        </w:rPr>
        <w:t>עדות</w:t>
      </w:r>
      <w:r w:rsidRPr="001F5CD4">
        <w:rPr>
          <w:sz w:val="22"/>
          <w:rtl/>
        </w:rPr>
        <w:t xml:space="preserve"> </w:t>
      </w:r>
      <w:r w:rsidRPr="001F5CD4">
        <w:rPr>
          <w:rFonts w:hint="eastAsia"/>
          <w:sz w:val="22"/>
          <w:rtl/>
        </w:rPr>
        <w:t>שאינה</w:t>
      </w:r>
      <w:r w:rsidRPr="001F5CD4">
        <w:rPr>
          <w:sz w:val="22"/>
          <w:rtl/>
        </w:rPr>
        <w:t xml:space="preserve"> </w:t>
      </w:r>
      <w:r w:rsidRPr="001F5CD4">
        <w:rPr>
          <w:rFonts w:hint="eastAsia"/>
          <w:sz w:val="22"/>
          <w:rtl/>
        </w:rPr>
        <w:t>נסיבתית</w:t>
      </w:r>
      <w:r w:rsidRPr="001F5CD4">
        <w:rPr>
          <w:sz w:val="22"/>
          <w:rtl/>
        </w:rPr>
        <w:t xml:space="preserve">, 40% </w:t>
      </w:r>
      <w:r w:rsidRPr="001F5CD4">
        <w:rPr>
          <w:rFonts w:hint="eastAsia"/>
          <w:sz w:val="22"/>
          <w:rtl/>
        </w:rPr>
        <w:t>מהיקף</w:t>
      </w:r>
      <w:r w:rsidRPr="001F5CD4">
        <w:rPr>
          <w:sz w:val="22"/>
          <w:rtl/>
        </w:rPr>
        <w:t xml:space="preserve"> </w:t>
      </w:r>
      <w:r w:rsidRPr="001F5CD4">
        <w:rPr>
          <w:rFonts w:hint="eastAsia"/>
          <w:sz w:val="22"/>
          <w:rtl/>
        </w:rPr>
        <w:t>העסקה</w:t>
      </w:r>
      <w:r w:rsidRPr="001F5CD4">
        <w:rPr>
          <w:sz w:val="22"/>
          <w:rtl/>
        </w:rPr>
        <w:t xml:space="preserve">. </w:t>
      </w:r>
    </w:p>
    <w:p w:rsidR="004C7127" w:rsidRPr="0060225B" w:rsidRDefault="004C7127" w:rsidP="004C7127">
      <w:pPr>
        <w:pStyle w:val="Ruller41"/>
      </w:pPr>
    </w:p>
    <w:p w:rsidR="004C7127" w:rsidRPr="00EA7EA1" w:rsidRDefault="004C7127" w:rsidP="004C7127">
      <w:pPr>
        <w:pStyle w:val="Ruller4"/>
        <w:rPr>
          <w:rFonts w:ascii="Century" w:hAnsi="Century"/>
          <w:sz w:val="22"/>
          <w:rtl/>
        </w:rPr>
      </w:pPr>
      <w:r>
        <w:rPr>
          <w:rFonts w:ascii="Century" w:hAnsi="Century" w:hint="cs"/>
          <w:sz w:val="22"/>
          <w:rtl/>
        </w:rPr>
        <w:t>זאת ועוד, בית המשפט המחוזי נסמך גם על כך שהמפה שצורפה הייתה "שרטוט ללא קנה מידה</w:t>
      </w:r>
      <w:r w:rsidRPr="009A7F1B">
        <w:rPr>
          <w:rFonts w:ascii="Century" w:hAnsi="Century" w:hint="cs"/>
          <w:sz w:val="22"/>
          <w:rtl/>
        </w:rPr>
        <w:t>, בטוש עבה ומבלי לציין קואורדינטות או כל מידע ברור אחר". לטענה זו כבר התייחסתי (ראו פסקה 71 לעיל), והבהרתי כי אין מדובר בשרטוט עלום וסתום, כי אם במפת צו הסגירה בקנה מידה המאפשר</w:t>
      </w:r>
      <w:r>
        <w:rPr>
          <w:rFonts w:ascii="Century" w:hAnsi="Century" w:hint="cs"/>
          <w:sz w:val="22"/>
          <w:rtl/>
        </w:rPr>
        <w:t xml:space="preserve"> זיהוי ברור (שבהתאם לה נסגרו שטחים ודווחו, על ידי הממונה). ואוסיף ואעיר כי בחקירתו בבית המשפט הבהיר כספי כי לא אמורות להיות סטיות דרסטיות בתרגום מפת צו התפיסה לשטח (ראו פרוטוקול הדיון שם בעמ' 214, ש' 32-23; בעמ' 215, ש' 4-1; בעמ' 219, ש' 22-1); כי </w:t>
      </w:r>
      <w:r w:rsidRPr="00663F8A">
        <w:rPr>
          <w:rFonts w:ascii="Century" w:hAnsi="Century" w:cs="Miriam" w:hint="cs"/>
          <w:b/>
          <w:spacing w:val="0"/>
          <w:sz w:val="22"/>
          <w:szCs w:val="24"/>
          <w:rtl/>
        </w:rPr>
        <w:t>כוכב השחר</w:t>
      </w:r>
      <w:r>
        <w:rPr>
          <w:rFonts w:ascii="Century" w:hAnsi="Century" w:hint="cs"/>
          <w:sz w:val="22"/>
          <w:rtl/>
        </w:rPr>
        <w:t xml:space="preserve"> ממוקם, באופן שאינו מפתיע, בתחום מפת צו התפיסה (הגם שגם מפת צו התפיסה לכאורה לא ברורה; בעמ' 221, ש' 18-10); וכי טוש עבה שכזה יכול להסביר חריגה של עשרות מטרים (</w:t>
      </w:r>
      <w:r w:rsidRPr="00EA7EA1">
        <w:rPr>
          <w:rFonts w:ascii="Century" w:hAnsi="Century" w:hint="cs"/>
          <w:rtl/>
        </w:rPr>
        <w:t>בעמ' 219, ש' 8-4)</w:t>
      </w:r>
      <w:r>
        <w:rPr>
          <w:rFonts w:ascii="Century" w:hAnsi="Century" w:hint="cs"/>
          <w:sz w:val="22"/>
          <w:rtl/>
        </w:rPr>
        <w:t>.</w:t>
      </w:r>
    </w:p>
    <w:p w:rsidR="004C7127" w:rsidRDefault="004C7127" w:rsidP="004C7127">
      <w:pPr>
        <w:pStyle w:val="Ruller41"/>
        <w:rPr>
          <w:rtl/>
        </w:rPr>
      </w:pPr>
    </w:p>
    <w:p w:rsidR="004C7127" w:rsidRDefault="004C7127" w:rsidP="004C7127">
      <w:pPr>
        <w:pStyle w:val="Ruller4"/>
        <w:rPr>
          <w:rtl/>
        </w:rPr>
      </w:pPr>
      <w:r>
        <w:rPr>
          <w:rFonts w:hint="cs"/>
          <w:rtl/>
        </w:rPr>
        <w:t>לסיכום נקודה זו אבהיר כי פער בן מאות דונמים בין הכתוב בהסכם לבין השטח שלגביו חלה הרשאה הוא נורה אדומה מובהקת. קשה לחשוב על תרחיש כלשהו שבו אדם מן היישוב חותם על הסכם שנוגע למקרקעין</w:t>
      </w:r>
      <w:r>
        <w:rPr>
          <w:rFonts w:ascii="Century" w:hAnsi="Century" w:hint="cs"/>
          <w:sz w:val="22"/>
          <w:rtl/>
        </w:rPr>
        <w:t xml:space="preserve"> ולאחר שהוא</w:t>
      </w:r>
      <w:r w:rsidRPr="002A3656">
        <w:rPr>
          <w:rFonts w:ascii="Century" w:hAnsi="Century" w:hint="cs"/>
          <w:sz w:val="22"/>
          <w:rtl/>
        </w:rPr>
        <w:t xml:space="preserve"> מזהה חוסר התאמה כה </w:t>
      </w:r>
      <w:r w:rsidRPr="002A3656">
        <w:rPr>
          <w:rFonts w:ascii="Century" w:hAnsi="Century" w:hint="cs"/>
          <w:sz w:val="22"/>
          <w:rtl/>
        </w:rPr>
        <w:lastRenderedPageBreak/>
        <w:t>קיצוני בין ה</w:t>
      </w:r>
      <w:r>
        <w:rPr>
          <w:rFonts w:ascii="Century" w:hAnsi="Century" w:hint="cs"/>
          <w:sz w:val="22"/>
          <w:rtl/>
        </w:rPr>
        <w:t xml:space="preserve">אמור בו לבין המצב לאשורו הוא לא פועל לתקנו. וכאמור, הצדדים </w:t>
      </w:r>
      <w:r w:rsidRPr="002A3656">
        <w:rPr>
          <w:rFonts w:ascii="Century" w:hAnsi="Century" w:hint="cs"/>
          <w:sz w:val="22"/>
          <w:rtl/>
        </w:rPr>
        <w:t xml:space="preserve">לא </w:t>
      </w:r>
      <w:r>
        <w:rPr>
          <w:rFonts w:ascii="Century" w:hAnsi="Century" w:hint="cs"/>
          <w:sz w:val="22"/>
          <w:rtl/>
        </w:rPr>
        <w:t xml:space="preserve">פעלו </w:t>
      </w:r>
      <w:r w:rsidRPr="002A3656">
        <w:rPr>
          <w:rFonts w:ascii="Century" w:hAnsi="Century" w:hint="cs"/>
          <w:sz w:val="22"/>
          <w:rtl/>
        </w:rPr>
        <w:t xml:space="preserve">לתיקון האמור </w:t>
      </w:r>
      <w:r>
        <w:rPr>
          <w:rFonts w:ascii="Century" w:hAnsi="Century" w:hint="cs"/>
          <w:sz w:val="22"/>
          <w:rtl/>
        </w:rPr>
        <w:t>במסגרת ההסכמים הנוספים שנחתמו בהמשך.</w:t>
      </w:r>
    </w:p>
    <w:p w:rsidR="004C7127" w:rsidRPr="000B3284" w:rsidRDefault="004C7127" w:rsidP="004C7127">
      <w:pPr>
        <w:pStyle w:val="Ruller41"/>
      </w:pPr>
    </w:p>
    <w:p w:rsidR="004C7127" w:rsidRPr="00252945" w:rsidRDefault="004C7127" w:rsidP="004C7127">
      <w:pPr>
        <w:pStyle w:val="4"/>
        <w:spacing w:before="0"/>
        <w:rPr>
          <w:rFonts w:ascii="Century" w:hAnsi="Century" w:cs="Miriam"/>
          <w:b/>
          <w:i w:val="0"/>
          <w:iCs w:val="0"/>
          <w:color w:val="auto"/>
          <w:spacing w:val="0"/>
          <w:sz w:val="22"/>
          <w:szCs w:val="24"/>
          <w:rtl/>
        </w:rPr>
      </w:pPr>
      <w:r w:rsidRPr="00252945">
        <w:rPr>
          <w:rFonts w:ascii="Century" w:hAnsi="Century" w:cs="Miriam" w:hint="cs"/>
          <w:b/>
          <w:i w:val="0"/>
          <w:iCs w:val="0"/>
          <w:color w:val="auto"/>
          <w:spacing w:val="0"/>
          <w:sz w:val="22"/>
          <w:szCs w:val="24"/>
          <w:rtl/>
        </w:rPr>
        <w:t>נורת אזהרה שנייה: מקרקעין מוסדרים</w:t>
      </w:r>
    </w:p>
    <w:p w:rsidR="004C7127" w:rsidRPr="00586317" w:rsidRDefault="004C7127" w:rsidP="004C7127">
      <w:pPr>
        <w:pStyle w:val="Ruller41"/>
        <w:rPr>
          <w:rFonts w:ascii="Century" w:hAnsi="Century" w:cs="Miriam"/>
          <w:b/>
          <w:spacing w:val="0"/>
          <w:szCs w:val="24"/>
          <w:rtl/>
        </w:rPr>
      </w:pPr>
    </w:p>
    <w:p w:rsidR="004C7127" w:rsidRDefault="004C7127" w:rsidP="004C7127">
      <w:pPr>
        <w:pStyle w:val="Ruller4"/>
        <w:rPr>
          <w:rtl/>
        </w:rPr>
      </w:pPr>
      <w:r>
        <w:rPr>
          <w:rFonts w:hint="cs"/>
          <w:rtl/>
        </w:rPr>
        <w:t>למורכבות שהובאה לעיל יש להוסיף כי המקרקעין שבהם מוקם לימים היישוב מצפה כרמים הם מקרקעין מוסדרים, שרשומים על שם בעלים פלסטיניים שונים. בשנים 1982-1981 (אגב חתימת הסכם ההרשאה ותכנון תכנית 223), לא ידע הממונה באיזו נקודה ימוקם היישוב, אך כבר אז הייתה בידיו תמונה מלאה של הבעלות במקרקעין השונים בשטחי צו הסגירה, צו התפיסה ותכנית 223 (</w:t>
      </w:r>
      <w:r>
        <w:rPr>
          <w:rFonts w:hint="cs"/>
          <w:noProof/>
          <w:rtl/>
        </w:rPr>
        <w:t xml:space="preserve">זאת כעולה ממכתב ששלח הממונה דאז לסגן מנהל המינהל האזרחי בשנת 1973 </w:t>
      </w:r>
      <w:r>
        <w:rPr>
          <w:noProof/>
          <w:rtl/>
        </w:rPr>
        <w:t>–</w:t>
      </w:r>
      <w:r>
        <w:rPr>
          <w:rFonts w:hint="cs"/>
          <w:noProof/>
          <w:rtl/>
        </w:rPr>
        <w:t xml:space="preserve"> כחלק מהרקע להקמת כוכב השחר</w:t>
      </w:r>
      <w:r>
        <w:rPr>
          <w:rFonts w:hint="cs"/>
          <w:rtl/>
        </w:rPr>
        <w:t>; ראו נספח 1 לתצהיר כספי). היועץ המשפטי לממשלה נדרש, במסגרת סיכום הדיון העקרוני שערך בנושא סעיף 5 לצו, לשאלה אם לעובדה שמדובר במקרקעין מוסדרים יש השפעה על תום הלב שנדרש מהממונה. וכך צוין בלשון סיכום הדיון:</w:t>
      </w:r>
    </w:p>
    <w:p w:rsidR="004C7127" w:rsidRPr="009605E8" w:rsidRDefault="004C7127" w:rsidP="004C7127">
      <w:pPr>
        <w:pStyle w:val="Ruller41"/>
        <w:rPr>
          <w:rtl/>
        </w:rPr>
      </w:pPr>
    </w:p>
    <w:p w:rsidR="004C7127" w:rsidRPr="00941FD9" w:rsidRDefault="004C7127" w:rsidP="004C7127">
      <w:pPr>
        <w:pStyle w:val="Ruller5"/>
        <w:rPr>
          <w:rtl/>
        </w:rPr>
      </w:pPr>
      <w:r>
        <w:rPr>
          <w:rFonts w:hint="cs"/>
          <w:rtl/>
        </w:rPr>
        <w:t xml:space="preserve">"בהקשר זה התעוררה השאלה </w:t>
      </w:r>
      <w:r>
        <w:rPr>
          <w:rtl/>
        </w:rPr>
        <w:t>–</w:t>
      </w:r>
      <w:r>
        <w:rPr>
          <w:rFonts w:hint="cs"/>
          <w:rtl/>
        </w:rPr>
        <w:t xml:space="preserve"> כלום ייתכן קיומו של תום לב ביחס להקצאת מקרקעין מוסדרים הרשומים על שם אדם פרטי. במצב דברים מעין זה, הבחינה הסובייקטיבית תתקיים ברף גבוה יותר, ובמסגרת זו ייבחנו </w:t>
      </w:r>
      <w:r>
        <w:rPr>
          <w:rtl/>
        </w:rPr>
        <w:t>–</w:t>
      </w:r>
      <w:r>
        <w:rPr>
          <w:rFonts w:hint="cs"/>
          <w:rtl/>
        </w:rPr>
        <w:t xml:space="preserve"> בין היתר </w:t>
      </w:r>
      <w:r>
        <w:rPr>
          <w:rtl/>
        </w:rPr>
        <w:t>–</w:t>
      </w:r>
      <w:r>
        <w:rPr>
          <w:rFonts w:hint="cs"/>
          <w:rtl/>
        </w:rPr>
        <w:t xml:space="preserve"> בדיקות שערך הממונה ביחס למרשם המקרקעין והממצאים שעלו מהן. על פני הדברים, מקום בו מדובר במקרקעין פרטיים רשומים אשר הוקצו על ידי הממונה כרכוש ממשלתי, הדבר אינו מתיישב עם דרישת תום הלב ועם חובת הממונה לבדוק את המרשם, המצוי בהישג ידו, טרם ההקצאה. ואולם, מהבחינה העקרונית לא ניתן לשלול את קיומם של מצבים בהם על אף שמדובר במקרקעין מוסדרים יתברר כי הצדדים פעלו בתום לב, למשל (אך לא רק) מקום בו בירור הממונה טרם העסקה העלה כי מדובר בקרקע הרשומה על שם המדינה, אך נמצא בדיעבד כי מידע זה היה שגוי. מקרים מסוג זה, ככל שיתעוררו, יבחנו לגופם בהתאם לנסיבותיהם הקונקרטיות" (סעיף 5.ג לסיכום הדיון). </w:t>
      </w:r>
    </w:p>
    <w:p w:rsidR="004C7127" w:rsidRDefault="004C7127" w:rsidP="004C7127">
      <w:pPr>
        <w:pStyle w:val="Ruller41"/>
        <w:rPr>
          <w:rtl/>
        </w:rPr>
      </w:pPr>
    </w:p>
    <w:p w:rsidR="004C7127" w:rsidRDefault="004C7127" w:rsidP="004C7127">
      <w:pPr>
        <w:pStyle w:val="Ruller41"/>
        <w:rPr>
          <w:rFonts w:ascii="Century" w:hAnsi="Century"/>
          <w:rtl/>
        </w:rPr>
      </w:pPr>
      <w:r>
        <w:rPr>
          <w:rtl/>
        </w:rPr>
        <w:tab/>
      </w:r>
      <w:r>
        <w:rPr>
          <w:rFonts w:hint="cs"/>
          <w:rtl/>
        </w:rPr>
        <w:t xml:space="preserve">במסגרת הערר בעניין </w:t>
      </w:r>
      <w:r>
        <w:rPr>
          <w:rFonts w:ascii="Century" w:hAnsi="Century" w:cs="Miriam" w:hint="cs"/>
          <w:b/>
          <w:spacing w:val="0"/>
          <w:szCs w:val="24"/>
          <w:rtl/>
        </w:rPr>
        <w:t>צלאח</w:t>
      </w:r>
      <w:r>
        <w:rPr>
          <w:rFonts w:ascii="Century" w:hAnsi="Century" w:hint="cs"/>
          <w:rtl/>
        </w:rPr>
        <w:t xml:space="preserve"> שתואר לעיל, הובעה עמדה דומה ביחס להשפעתם של הליכי הסדר על שאלת תום לבו של הממונה. באותו עניין נדונו מקרקעין שלגביהם לא הושלם הליך ההסדר, אך עצם קיומו של הליך כאמור לימד </w:t>
      </w:r>
      <w:r>
        <w:rPr>
          <w:rFonts w:ascii="Century" w:hAnsi="Century"/>
          <w:rtl/>
        </w:rPr>
        <w:t>–</w:t>
      </w:r>
      <w:r>
        <w:rPr>
          <w:rFonts w:ascii="Century" w:hAnsi="Century" w:hint="cs"/>
          <w:rtl/>
        </w:rPr>
        <w:t xml:space="preserve"> בנסיבות שם </w:t>
      </w:r>
      <w:r>
        <w:rPr>
          <w:rFonts w:ascii="Century" w:hAnsi="Century"/>
          <w:rtl/>
        </w:rPr>
        <w:t>–</w:t>
      </w:r>
      <w:r>
        <w:rPr>
          <w:rFonts w:ascii="Century" w:hAnsi="Century" w:hint="cs"/>
          <w:rtl/>
        </w:rPr>
        <w:t xml:space="preserve"> כי הממונה לא יכול להיחשב תם לב לצורך סעיף 5. וכך ציין שם כב' השופט רס"ן </w:t>
      </w:r>
      <w:r>
        <w:rPr>
          <w:rFonts w:ascii="Century" w:hAnsi="Century" w:cs="Miriam" w:hint="cs"/>
          <w:b/>
          <w:spacing w:val="0"/>
          <w:szCs w:val="24"/>
          <w:rtl/>
        </w:rPr>
        <w:t>ר' עאמר</w:t>
      </w:r>
      <w:r>
        <w:rPr>
          <w:rFonts w:ascii="Century" w:hAnsi="Century" w:hint="cs"/>
          <w:rtl/>
        </w:rPr>
        <w:t>:</w:t>
      </w:r>
    </w:p>
    <w:p w:rsidR="004C7127" w:rsidRDefault="004C7127" w:rsidP="004C7127">
      <w:pPr>
        <w:pStyle w:val="Ruller41"/>
        <w:rPr>
          <w:rFonts w:ascii="Century" w:hAnsi="Century"/>
          <w:rtl/>
        </w:rPr>
      </w:pPr>
    </w:p>
    <w:p w:rsidR="004C7127" w:rsidRPr="00E265E9" w:rsidRDefault="004C7127" w:rsidP="004C7127">
      <w:pPr>
        <w:pStyle w:val="Ruller5"/>
        <w:rPr>
          <w:rtl/>
        </w:rPr>
      </w:pPr>
      <w:r>
        <w:rPr>
          <w:rFonts w:hint="cs"/>
          <w:rtl/>
        </w:rPr>
        <w:t>"</w:t>
      </w:r>
      <w:r w:rsidRPr="00A36228">
        <w:rPr>
          <w:rFonts w:hint="eastAsia"/>
          <w:rtl/>
        </w:rPr>
        <w:t>בדיקת</w:t>
      </w:r>
      <w:r w:rsidRPr="00A36228">
        <w:rPr>
          <w:rtl/>
        </w:rPr>
        <w:t xml:space="preserve"> </w:t>
      </w:r>
      <w:r w:rsidRPr="00A36228">
        <w:rPr>
          <w:rFonts w:hint="eastAsia"/>
          <w:rtl/>
        </w:rPr>
        <w:t>קיומו</w:t>
      </w:r>
      <w:r w:rsidRPr="00A36228">
        <w:rPr>
          <w:rtl/>
        </w:rPr>
        <w:t xml:space="preserve"> </w:t>
      </w:r>
      <w:r w:rsidRPr="00A36228">
        <w:rPr>
          <w:rFonts w:hint="eastAsia"/>
          <w:rtl/>
        </w:rPr>
        <w:t>של</w:t>
      </w:r>
      <w:r w:rsidRPr="00A36228">
        <w:rPr>
          <w:rtl/>
        </w:rPr>
        <w:t xml:space="preserve"> </w:t>
      </w:r>
      <w:r w:rsidRPr="00A36228">
        <w:rPr>
          <w:rFonts w:hint="eastAsia"/>
          <w:rtl/>
        </w:rPr>
        <w:t>הסדר</w:t>
      </w:r>
      <w:r w:rsidRPr="00A36228">
        <w:rPr>
          <w:rtl/>
        </w:rPr>
        <w:t xml:space="preserve"> </w:t>
      </w:r>
      <w:r w:rsidRPr="00A36228">
        <w:rPr>
          <w:rFonts w:hint="eastAsia"/>
          <w:rtl/>
        </w:rPr>
        <w:t>מקרקעין</w:t>
      </w:r>
      <w:r w:rsidRPr="00A36228">
        <w:rPr>
          <w:rtl/>
        </w:rPr>
        <w:t xml:space="preserve"> </w:t>
      </w:r>
      <w:r w:rsidRPr="00A36228">
        <w:rPr>
          <w:rFonts w:hint="eastAsia"/>
          <w:rtl/>
        </w:rPr>
        <w:t>על</w:t>
      </w:r>
      <w:r w:rsidRPr="00A36228">
        <w:rPr>
          <w:rtl/>
        </w:rPr>
        <w:t xml:space="preserve"> </w:t>
      </w:r>
      <w:r w:rsidRPr="00A36228">
        <w:rPr>
          <w:rFonts w:hint="eastAsia"/>
          <w:rtl/>
        </w:rPr>
        <w:t>כל</w:t>
      </w:r>
      <w:r w:rsidRPr="00A36228">
        <w:rPr>
          <w:rtl/>
        </w:rPr>
        <w:t xml:space="preserve"> </w:t>
      </w:r>
      <w:r w:rsidRPr="00A36228">
        <w:rPr>
          <w:rFonts w:hint="eastAsia"/>
          <w:rtl/>
        </w:rPr>
        <w:t>שלביו</w:t>
      </w:r>
      <w:r w:rsidRPr="00A36228">
        <w:rPr>
          <w:rtl/>
        </w:rPr>
        <w:t xml:space="preserve"> (</w:t>
      </w:r>
      <w:r w:rsidRPr="00A36228">
        <w:rPr>
          <w:rFonts w:hint="eastAsia"/>
          <w:rtl/>
        </w:rPr>
        <w:t>לוח</w:t>
      </w:r>
      <w:r w:rsidRPr="00A36228">
        <w:rPr>
          <w:rtl/>
        </w:rPr>
        <w:t xml:space="preserve"> </w:t>
      </w:r>
      <w:r w:rsidRPr="00A36228">
        <w:rPr>
          <w:rFonts w:hint="eastAsia"/>
          <w:rtl/>
        </w:rPr>
        <w:t>תביעות</w:t>
      </w:r>
      <w:r w:rsidRPr="00A36228">
        <w:rPr>
          <w:rtl/>
        </w:rPr>
        <w:t xml:space="preserve">, </w:t>
      </w:r>
      <w:r w:rsidRPr="00A36228">
        <w:rPr>
          <w:rFonts w:hint="eastAsia"/>
          <w:rtl/>
        </w:rPr>
        <w:t>או</w:t>
      </w:r>
      <w:r w:rsidRPr="00A36228">
        <w:rPr>
          <w:rtl/>
        </w:rPr>
        <w:t xml:space="preserve"> </w:t>
      </w:r>
      <w:r w:rsidRPr="00A36228">
        <w:rPr>
          <w:rFonts w:hint="eastAsia"/>
          <w:rtl/>
        </w:rPr>
        <w:t>לוח</w:t>
      </w:r>
      <w:r w:rsidRPr="00A36228">
        <w:rPr>
          <w:rtl/>
        </w:rPr>
        <w:t xml:space="preserve"> </w:t>
      </w:r>
      <w:r w:rsidRPr="00A36228">
        <w:rPr>
          <w:rFonts w:hint="eastAsia"/>
          <w:rtl/>
        </w:rPr>
        <w:t>זכויות</w:t>
      </w:r>
      <w:r w:rsidRPr="00A36228">
        <w:rPr>
          <w:rtl/>
        </w:rPr>
        <w:t xml:space="preserve"> </w:t>
      </w:r>
      <w:r w:rsidRPr="00A36228">
        <w:rPr>
          <w:rFonts w:hint="eastAsia"/>
          <w:rtl/>
        </w:rPr>
        <w:t>לא</w:t>
      </w:r>
      <w:r w:rsidRPr="00A36228">
        <w:rPr>
          <w:rtl/>
        </w:rPr>
        <w:t xml:space="preserve"> </w:t>
      </w:r>
      <w:r w:rsidRPr="00A36228">
        <w:rPr>
          <w:rFonts w:hint="eastAsia"/>
          <w:rtl/>
        </w:rPr>
        <w:t>סופי</w:t>
      </w:r>
      <w:r w:rsidRPr="00A36228">
        <w:rPr>
          <w:rtl/>
        </w:rPr>
        <w:t xml:space="preserve">) </w:t>
      </w:r>
      <w:r w:rsidRPr="00A36228">
        <w:rPr>
          <w:rFonts w:hint="eastAsia"/>
          <w:rtl/>
        </w:rPr>
        <w:t>נדרשת</w:t>
      </w:r>
      <w:r w:rsidRPr="00A36228">
        <w:rPr>
          <w:rtl/>
        </w:rPr>
        <w:t xml:space="preserve"> </w:t>
      </w:r>
      <w:r w:rsidRPr="00A36228">
        <w:rPr>
          <w:rFonts w:hint="eastAsia"/>
          <w:rtl/>
        </w:rPr>
        <w:t>בכל</w:t>
      </w:r>
      <w:r w:rsidRPr="00A36228">
        <w:rPr>
          <w:rtl/>
        </w:rPr>
        <w:t xml:space="preserve"> </w:t>
      </w:r>
      <w:r w:rsidRPr="00A36228">
        <w:rPr>
          <w:rFonts w:hint="eastAsia"/>
          <w:rtl/>
        </w:rPr>
        <w:t>הליך</w:t>
      </w:r>
      <w:r w:rsidRPr="00A36228">
        <w:rPr>
          <w:rtl/>
        </w:rPr>
        <w:t xml:space="preserve"> </w:t>
      </w:r>
      <w:r w:rsidRPr="00A36228">
        <w:rPr>
          <w:rFonts w:hint="eastAsia"/>
          <w:rtl/>
        </w:rPr>
        <w:t>של</w:t>
      </w:r>
      <w:r w:rsidRPr="00A36228">
        <w:rPr>
          <w:rtl/>
        </w:rPr>
        <w:t xml:space="preserve"> </w:t>
      </w:r>
      <w:r w:rsidRPr="00A36228">
        <w:rPr>
          <w:rFonts w:hint="eastAsia"/>
          <w:rtl/>
        </w:rPr>
        <w:lastRenderedPageBreak/>
        <w:t>הכרזה</w:t>
      </w:r>
      <w:r w:rsidRPr="00A36228">
        <w:rPr>
          <w:rtl/>
        </w:rPr>
        <w:t xml:space="preserve"> </w:t>
      </w:r>
      <w:r w:rsidRPr="00A36228">
        <w:rPr>
          <w:rFonts w:hint="eastAsia"/>
          <w:rtl/>
        </w:rPr>
        <w:t>על</w:t>
      </w:r>
      <w:r w:rsidRPr="00A36228">
        <w:rPr>
          <w:rtl/>
        </w:rPr>
        <w:t xml:space="preserve"> </w:t>
      </w:r>
      <w:r w:rsidRPr="00A36228">
        <w:rPr>
          <w:rFonts w:hint="eastAsia"/>
          <w:rtl/>
        </w:rPr>
        <w:t>אדמות</w:t>
      </w:r>
      <w:r w:rsidRPr="00A36228">
        <w:rPr>
          <w:rtl/>
        </w:rPr>
        <w:t xml:space="preserve"> </w:t>
      </w:r>
      <w:r w:rsidRPr="00A36228">
        <w:rPr>
          <w:rFonts w:hint="eastAsia"/>
          <w:rtl/>
        </w:rPr>
        <w:t>הריבון</w:t>
      </w:r>
      <w:r w:rsidRPr="00A36228">
        <w:rPr>
          <w:rtl/>
        </w:rPr>
        <w:t xml:space="preserve"> </w:t>
      </w:r>
      <w:r w:rsidRPr="00A36228">
        <w:rPr>
          <w:rFonts w:hint="eastAsia"/>
          <w:rtl/>
        </w:rPr>
        <w:t>או</w:t>
      </w:r>
      <w:r w:rsidRPr="00A36228">
        <w:rPr>
          <w:rtl/>
        </w:rPr>
        <w:t xml:space="preserve"> </w:t>
      </w:r>
      <w:r w:rsidRPr="00A36228">
        <w:rPr>
          <w:rFonts w:hint="eastAsia"/>
          <w:rtl/>
        </w:rPr>
        <w:t>הקצאה</w:t>
      </w:r>
      <w:r w:rsidRPr="00A36228">
        <w:rPr>
          <w:rtl/>
        </w:rPr>
        <w:t xml:space="preserve"> </w:t>
      </w:r>
      <w:r w:rsidRPr="00A36228">
        <w:rPr>
          <w:rFonts w:hint="eastAsia"/>
          <w:rtl/>
        </w:rPr>
        <w:t>של</w:t>
      </w:r>
      <w:r w:rsidRPr="00A36228">
        <w:rPr>
          <w:rtl/>
        </w:rPr>
        <w:t xml:space="preserve"> </w:t>
      </w:r>
      <w:r w:rsidRPr="00A36228">
        <w:rPr>
          <w:rFonts w:hint="eastAsia"/>
          <w:rtl/>
        </w:rPr>
        <w:t>מקרקעין</w:t>
      </w:r>
      <w:r w:rsidRPr="00A36228">
        <w:rPr>
          <w:rtl/>
        </w:rPr>
        <w:t xml:space="preserve"> </w:t>
      </w:r>
      <w:r w:rsidRPr="00A36228">
        <w:rPr>
          <w:rFonts w:hint="eastAsia"/>
          <w:rtl/>
        </w:rPr>
        <w:t>באזור</w:t>
      </w:r>
      <w:r w:rsidRPr="00A36228">
        <w:rPr>
          <w:rtl/>
        </w:rPr>
        <w:t xml:space="preserve"> </w:t>
      </w:r>
      <w:r w:rsidRPr="00A36228">
        <w:rPr>
          <w:rFonts w:hint="eastAsia"/>
          <w:rtl/>
        </w:rPr>
        <w:t>והייתה</w:t>
      </w:r>
      <w:r w:rsidRPr="00A36228">
        <w:rPr>
          <w:rtl/>
        </w:rPr>
        <w:t xml:space="preserve"> </w:t>
      </w:r>
      <w:r w:rsidRPr="00A36228">
        <w:rPr>
          <w:rFonts w:hint="eastAsia"/>
          <w:rtl/>
        </w:rPr>
        <w:t>נדרשת</w:t>
      </w:r>
      <w:r w:rsidRPr="00A36228">
        <w:rPr>
          <w:rtl/>
        </w:rPr>
        <w:t xml:space="preserve"> </w:t>
      </w:r>
      <w:r w:rsidRPr="00A36228">
        <w:rPr>
          <w:rFonts w:hint="eastAsia"/>
          <w:rtl/>
        </w:rPr>
        <w:t>גם</w:t>
      </w:r>
      <w:r w:rsidRPr="00A36228">
        <w:rPr>
          <w:rtl/>
        </w:rPr>
        <w:t xml:space="preserve"> </w:t>
      </w:r>
      <w:r w:rsidRPr="00A36228">
        <w:rPr>
          <w:rFonts w:hint="eastAsia"/>
          <w:rtl/>
        </w:rPr>
        <w:t>בעסקה</w:t>
      </w:r>
      <w:r w:rsidRPr="00A36228">
        <w:rPr>
          <w:rtl/>
        </w:rPr>
        <w:t xml:space="preserve"> </w:t>
      </w:r>
      <w:r w:rsidRPr="00A36228">
        <w:rPr>
          <w:rFonts w:hint="eastAsia"/>
          <w:rtl/>
        </w:rPr>
        <w:t>דנן</w:t>
      </w:r>
      <w:r w:rsidRPr="00A36228">
        <w:rPr>
          <w:rtl/>
        </w:rPr>
        <w:t xml:space="preserve"> </w:t>
      </w:r>
      <w:r w:rsidRPr="00A36228">
        <w:rPr>
          <w:rFonts w:hint="eastAsia"/>
          <w:rtl/>
        </w:rPr>
        <w:t>עם</w:t>
      </w:r>
      <w:r w:rsidRPr="00A36228">
        <w:rPr>
          <w:rtl/>
        </w:rPr>
        <w:t xml:space="preserve"> </w:t>
      </w:r>
      <w:r w:rsidRPr="00A36228">
        <w:rPr>
          <w:rFonts w:hint="eastAsia"/>
          <w:rtl/>
        </w:rPr>
        <w:t>המשיב</w:t>
      </w:r>
      <w:r w:rsidRPr="00A36228">
        <w:rPr>
          <w:rtl/>
        </w:rPr>
        <w:t xml:space="preserve"> 2. </w:t>
      </w:r>
      <w:r w:rsidRPr="00A36228">
        <w:rPr>
          <w:rFonts w:hint="eastAsia"/>
          <w:rtl/>
        </w:rPr>
        <w:t>לדעתי</w:t>
      </w:r>
      <w:r w:rsidRPr="00A36228">
        <w:rPr>
          <w:rtl/>
        </w:rPr>
        <w:t xml:space="preserve">, </w:t>
      </w:r>
      <w:r w:rsidRPr="00A36228">
        <w:rPr>
          <w:rFonts w:hint="eastAsia"/>
          <w:rtl/>
        </w:rPr>
        <w:t>העובדה</w:t>
      </w:r>
      <w:r w:rsidRPr="00A36228">
        <w:rPr>
          <w:rtl/>
        </w:rPr>
        <w:t xml:space="preserve"> </w:t>
      </w:r>
      <w:r w:rsidRPr="00A36228">
        <w:rPr>
          <w:rFonts w:hint="eastAsia"/>
          <w:rtl/>
        </w:rPr>
        <w:t>שלא</w:t>
      </w:r>
      <w:r w:rsidRPr="00A36228">
        <w:rPr>
          <w:rtl/>
        </w:rPr>
        <w:t xml:space="preserve"> </w:t>
      </w:r>
      <w:r w:rsidRPr="00A36228">
        <w:rPr>
          <w:rFonts w:hint="eastAsia"/>
          <w:rtl/>
        </w:rPr>
        <w:t>נערך</w:t>
      </w:r>
      <w:r w:rsidRPr="00A36228">
        <w:rPr>
          <w:rtl/>
        </w:rPr>
        <w:t xml:space="preserve"> </w:t>
      </w:r>
      <w:r w:rsidRPr="00A36228">
        <w:rPr>
          <w:rFonts w:hint="eastAsia"/>
          <w:rtl/>
        </w:rPr>
        <w:t>על</w:t>
      </w:r>
      <w:r w:rsidRPr="00A36228">
        <w:rPr>
          <w:rtl/>
        </w:rPr>
        <w:t xml:space="preserve"> </w:t>
      </w:r>
      <w:r w:rsidRPr="00A36228">
        <w:rPr>
          <w:rFonts w:hint="eastAsia"/>
          <w:rtl/>
        </w:rPr>
        <w:t>ידי</w:t>
      </w:r>
      <w:r w:rsidRPr="00A36228">
        <w:rPr>
          <w:rtl/>
        </w:rPr>
        <w:t xml:space="preserve"> </w:t>
      </w:r>
      <w:r>
        <w:rPr>
          <w:rFonts w:hint="cs"/>
          <w:rtl/>
        </w:rPr>
        <w:t xml:space="preserve">[הממונה על הרכוש הממשלתי </w:t>
      </w:r>
      <w:r>
        <w:rPr>
          <w:rtl/>
        </w:rPr>
        <w:t>–</w:t>
      </w:r>
      <w:r>
        <w:rPr>
          <w:rFonts w:hint="cs"/>
          <w:rtl/>
        </w:rPr>
        <w:t xml:space="preserve"> ע' פ'] </w:t>
      </w:r>
      <w:r w:rsidRPr="00A36228">
        <w:rPr>
          <w:rFonts w:hint="eastAsia"/>
          <w:rtl/>
        </w:rPr>
        <w:t>ניסיון</w:t>
      </w:r>
      <w:r w:rsidRPr="00A36228">
        <w:rPr>
          <w:rtl/>
        </w:rPr>
        <w:t xml:space="preserve"> </w:t>
      </w:r>
      <w:r w:rsidRPr="00A36228">
        <w:rPr>
          <w:rFonts w:hint="eastAsia"/>
          <w:rtl/>
        </w:rPr>
        <w:t>כלשהו</w:t>
      </w:r>
      <w:r w:rsidRPr="00A36228">
        <w:rPr>
          <w:rtl/>
        </w:rPr>
        <w:t xml:space="preserve"> </w:t>
      </w:r>
      <w:r w:rsidRPr="00A36228">
        <w:rPr>
          <w:rFonts w:hint="eastAsia"/>
          <w:rtl/>
        </w:rPr>
        <w:t>לבדוק</w:t>
      </w:r>
      <w:r w:rsidRPr="00A36228">
        <w:rPr>
          <w:rtl/>
        </w:rPr>
        <w:t xml:space="preserve"> </w:t>
      </w:r>
      <w:r w:rsidRPr="00A36228">
        <w:rPr>
          <w:rFonts w:hint="eastAsia"/>
          <w:rtl/>
        </w:rPr>
        <w:t>אם</w:t>
      </w:r>
      <w:r w:rsidRPr="00A36228">
        <w:rPr>
          <w:rtl/>
        </w:rPr>
        <w:t xml:space="preserve"> </w:t>
      </w:r>
      <w:r w:rsidRPr="00A36228">
        <w:rPr>
          <w:rFonts w:hint="eastAsia"/>
          <w:rtl/>
        </w:rPr>
        <w:t>המקרקעין</w:t>
      </w:r>
      <w:r w:rsidRPr="00A36228">
        <w:rPr>
          <w:rtl/>
        </w:rPr>
        <w:t xml:space="preserve"> </w:t>
      </w:r>
      <w:r w:rsidRPr="00A36228">
        <w:rPr>
          <w:rFonts w:hint="eastAsia"/>
          <w:rtl/>
        </w:rPr>
        <w:t>רשומים</w:t>
      </w:r>
      <w:r w:rsidRPr="00A36228">
        <w:rPr>
          <w:rtl/>
        </w:rPr>
        <w:t xml:space="preserve"> </w:t>
      </w:r>
      <w:r w:rsidRPr="00A36228">
        <w:rPr>
          <w:rFonts w:hint="eastAsia"/>
          <w:rtl/>
        </w:rPr>
        <w:t>בלוח</w:t>
      </w:r>
      <w:r w:rsidRPr="00A36228">
        <w:rPr>
          <w:rtl/>
        </w:rPr>
        <w:t xml:space="preserve"> </w:t>
      </w:r>
      <w:r w:rsidRPr="00A36228">
        <w:rPr>
          <w:rFonts w:hint="eastAsia"/>
          <w:rtl/>
        </w:rPr>
        <w:t>תביעות</w:t>
      </w:r>
      <w:r w:rsidRPr="00A36228">
        <w:rPr>
          <w:rtl/>
        </w:rPr>
        <w:t xml:space="preserve">, </w:t>
      </w:r>
      <w:r w:rsidRPr="00A36228">
        <w:rPr>
          <w:rFonts w:hint="eastAsia"/>
          <w:rtl/>
        </w:rPr>
        <w:t>עלולה</w:t>
      </w:r>
      <w:r w:rsidRPr="00A36228">
        <w:rPr>
          <w:rtl/>
        </w:rPr>
        <w:t xml:space="preserve"> </w:t>
      </w:r>
      <w:r w:rsidRPr="00A36228">
        <w:rPr>
          <w:rFonts w:hint="eastAsia"/>
          <w:rtl/>
        </w:rPr>
        <w:t>לעלות</w:t>
      </w:r>
      <w:r w:rsidRPr="00A36228">
        <w:rPr>
          <w:rtl/>
        </w:rPr>
        <w:t xml:space="preserve"> </w:t>
      </w:r>
      <w:r w:rsidRPr="00A36228">
        <w:rPr>
          <w:rFonts w:hint="eastAsia"/>
          <w:rtl/>
        </w:rPr>
        <w:t>כדי</w:t>
      </w:r>
      <w:r w:rsidRPr="00A36228">
        <w:rPr>
          <w:rtl/>
        </w:rPr>
        <w:t xml:space="preserve"> </w:t>
      </w:r>
      <w:r w:rsidRPr="00A36228">
        <w:rPr>
          <w:rFonts w:hint="eastAsia"/>
          <w:rtl/>
        </w:rPr>
        <w:t>עצימת</w:t>
      </w:r>
      <w:r w:rsidRPr="00A36228">
        <w:rPr>
          <w:rtl/>
        </w:rPr>
        <w:t xml:space="preserve"> </w:t>
      </w:r>
      <w:r w:rsidRPr="00A36228">
        <w:rPr>
          <w:rFonts w:hint="eastAsia"/>
          <w:rtl/>
        </w:rPr>
        <w:t>עיניים</w:t>
      </w:r>
      <w:r w:rsidRPr="00A36228">
        <w:rPr>
          <w:rtl/>
        </w:rPr>
        <w:t xml:space="preserve"> </w:t>
      </w:r>
      <w:r w:rsidRPr="00A36228">
        <w:rPr>
          <w:rFonts w:hint="eastAsia"/>
          <w:rtl/>
        </w:rPr>
        <w:t>ובוודאי</w:t>
      </w:r>
      <w:r w:rsidRPr="00A36228">
        <w:rPr>
          <w:rtl/>
        </w:rPr>
        <w:t xml:space="preserve"> </w:t>
      </w:r>
      <w:r w:rsidRPr="00A36228">
        <w:rPr>
          <w:rFonts w:hint="eastAsia"/>
          <w:rtl/>
        </w:rPr>
        <w:t>שלא</w:t>
      </w:r>
      <w:r w:rsidRPr="00A36228">
        <w:rPr>
          <w:rtl/>
        </w:rPr>
        <w:t xml:space="preserve"> </w:t>
      </w:r>
      <w:r w:rsidRPr="00A36228">
        <w:rPr>
          <w:rFonts w:hint="eastAsia"/>
          <w:rtl/>
        </w:rPr>
        <w:t>עולה</w:t>
      </w:r>
      <w:r w:rsidRPr="00A36228">
        <w:rPr>
          <w:rtl/>
        </w:rPr>
        <w:t xml:space="preserve"> </w:t>
      </w:r>
      <w:r w:rsidRPr="00A36228">
        <w:rPr>
          <w:rFonts w:hint="eastAsia"/>
          <w:rtl/>
        </w:rPr>
        <w:t>בקנה</w:t>
      </w:r>
      <w:r w:rsidRPr="00A36228">
        <w:rPr>
          <w:rtl/>
        </w:rPr>
        <w:t xml:space="preserve"> </w:t>
      </w:r>
      <w:r w:rsidRPr="00A36228">
        <w:rPr>
          <w:rFonts w:hint="eastAsia"/>
          <w:rtl/>
        </w:rPr>
        <w:t>אחד</w:t>
      </w:r>
      <w:r w:rsidRPr="00A36228">
        <w:rPr>
          <w:rtl/>
        </w:rPr>
        <w:t xml:space="preserve"> </w:t>
      </w:r>
      <w:r w:rsidRPr="00A36228">
        <w:rPr>
          <w:rFonts w:hint="eastAsia"/>
          <w:rtl/>
        </w:rPr>
        <w:t>עם</w:t>
      </w:r>
      <w:r w:rsidRPr="00A36228">
        <w:rPr>
          <w:rtl/>
        </w:rPr>
        <w:t xml:space="preserve"> </w:t>
      </w:r>
      <w:r w:rsidRPr="00A36228">
        <w:rPr>
          <w:rFonts w:hint="eastAsia"/>
          <w:rtl/>
        </w:rPr>
        <w:t>חובותיו</w:t>
      </w:r>
      <w:r w:rsidRPr="00A36228">
        <w:rPr>
          <w:rtl/>
        </w:rPr>
        <w:t xml:space="preserve"> </w:t>
      </w:r>
      <w:r w:rsidRPr="00A36228">
        <w:rPr>
          <w:rFonts w:hint="eastAsia"/>
          <w:rtl/>
        </w:rPr>
        <w:t>כרשות</w:t>
      </w:r>
      <w:r w:rsidRPr="00A36228">
        <w:rPr>
          <w:rtl/>
        </w:rPr>
        <w:t xml:space="preserve"> </w:t>
      </w:r>
      <w:r w:rsidRPr="00A36228">
        <w:rPr>
          <w:rFonts w:hint="eastAsia"/>
          <w:rtl/>
        </w:rPr>
        <w:t>מנהלית</w:t>
      </w:r>
      <w:r w:rsidRPr="00A36228">
        <w:rPr>
          <w:rtl/>
        </w:rPr>
        <w:t xml:space="preserve"> </w:t>
      </w:r>
      <w:r w:rsidRPr="00A36228">
        <w:rPr>
          <w:rFonts w:hint="eastAsia"/>
          <w:rtl/>
        </w:rPr>
        <w:t>ועם</w:t>
      </w:r>
      <w:r w:rsidRPr="00A36228">
        <w:rPr>
          <w:rtl/>
        </w:rPr>
        <w:t xml:space="preserve"> </w:t>
      </w:r>
      <w:r w:rsidRPr="00A36228">
        <w:rPr>
          <w:rFonts w:hint="eastAsia"/>
          <w:rtl/>
        </w:rPr>
        <w:t>חובותיו</w:t>
      </w:r>
      <w:r w:rsidRPr="00A36228">
        <w:rPr>
          <w:rtl/>
        </w:rPr>
        <w:t xml:space="preserve"> </w:t>
      </w:r>
      <w:r w:rsidRPr="00A36228">
        <w:rPr>
          <w:rFonts w:hint="eastAsia"/>
          <w:rtl/>
        </w:rPr>
        <w:t>כנציג</w:t>
      </w:r>
      <w:r w:rsidRPr="00A36228">
        <w:rPr>
          <w:rtl/>
        </w:rPr>
        <w:t xml:space="preserve"> </w:t>
      </w:r>
      <w:r w:rsidRPr="00A36228">
        <w:rPr>
          <w:rFonts w:hint="eastAsia"/>
          <w:rtl/>
        </w:rPr>
        <w:t>הריבון</w:t>
      </w:r>
      <w:r w:rsidRPr="00A36228">
        <w:rPr>
          <w:rtl/>
        </w:rPr>
        <w:t xml:space="preserve"> </w:t>
      </w:r>
      <w:r w:rsidRPr="00A36228">
        <w:rPr>
          <w:rFonts w:hint="eastAsia"/>
          <w:rtl/>
        </w:rPr>
        <w:t>האמון</w:t>
      </w:r>
      <w:r w:rsidRPr="00A36228">
        <w:rPr>
          <w:rtl/>
        </w:rPr>
        <w:t xml:space="preserve"> </w:t>
      </w:r>
      <w:r w:rsidRPr="00A36228">
        <w:rPr>
          <w:rFonts w:hint="eastAsia"/>
          <w:rtl/>
        </w:rPr>
        <w:t>על</w:t>
      </w:r>
      <w:r w:rsidRPr="00A36228">
        <w:rPr>
          <w:rtl/>
        </w:rPr>
        <w:t xml:space="preserve"> </w:t>
      </w:r>
      <w:r w:rsidRPr="00A36228">
        <w:rPr>
          <w:rFonts w:hint="eastAsia"/>
          <w:rtl/>
        </w:rPr>
        <w:t>הסדר</w:t>
      </w:r>
      <w:r w:rsidRPr="00A36228">
        <w:rPr>
          <w:rtl/>
        </w:rPr>
        <w:t xml:space="preserve"> </w:t>
      </w:r>
      <w:r w:rsidRPr="00A36228">
        <w:rPr>
          <w:rFonts w:hint="eastAsia"/>
          <w:rtl/>
        </w:rPr>
        <w:t>הציבור</w:t>
      </w:r>
      <w:r w:rsidRPr="00A36228">
        <w:rPr>
          <w:rtl/>
        </w:rPr>
        <w:t xml:space="preserve"> </w:t>
      </w:r>
      <w:r w:rsidRPr="00A36228">
        <w:rPr>
          <w:rFonts w:hint="eastAsia"/>
          <w:rtl/>
        </w:rPr>
        <w:t>באזור</w:t>
      </w:r>
      <w:r w:rsidRPr="00A36228">
        <w:rPr>
          <w:rtl/>
        </w:rPr>
        <w:t xml:space="preserve"> </w:t>
      </w:r>
      <w:r w:rsidRPr="00A36228">
        <w:rPr>
          <w:rFonts w:hint="eastAsia"/>
          <w:rtl/>
        </w:rPr>
        <w:t>הנתון</w:t>
      </w:r>
      <w:r w:rsidRPr="00A36228">
        <w:rPr>
          <w:rtl/>
        </w:rPr>
        <w:t xml:space="preserve"> </w:t>
      </w:r>
      <w:r w:rsidRPr="00A36228">
        <w:rPr>
          <w:rFonts w:hint="eastAsia"/>
          <w:rtl/>
        </w:rPr>
        <w:t>לתפיסה</w:t>
      </w:r>
      <w:r w:rsidRPr="00A36228">
        <w:rPr>
          <w:rtl/>
        </w:rPr>
        <w:t xml:space="preserve"> </w:t>
      </w:r>
      <w:r w:rsidRPr="00A36228">
        <w:rPr>
          <w:rFonts w:hint="eastAsia"/>
          <w:rtl/>
        </w:rPr>
        <w:t>לוחמתית</w:t>
      </w:r>
      <w:r w:rsidRPr="00A36228">
        <w:rPr>
          <w:rtl/>
        </w:rPr>
        <w:t xml:space="preserve">. </w:t>
      </w:r>
      <w:r w:rsidRPr="00A36228">
        <w:rPr>
          <w:rFonts w:hint="eastAsia"/>
          <w:rtl/>
        </w:rPr>
        <w:t>מכאן</w:t>
      </w:r>
      <w:r w:rsidRPr="00A36228">
        <w:rPr>
          <w:rtl/>
        </w:rPr>
        <w:t xml:space="preserve">, </w:t>
      </w:r>
      <w:r w:rsidRPr="00A36228">
        <w:rPr>
          <w:rFonts w:hint="eastAsia"/>
          <w:rtl/>
        </w:rPr>
        <w:t>אף</w:t>
      </w:r>
      <w:r w:rsidRPr="00A36228">
        <w:rPr>
          <w:rtl/>
        </w:rPr>
        <w:t xml:space="preserve"> </w:t>
      </w:r>
      <w:r w:rsidRPr="00A36228">
        <w:rPr>
          <w:rFonts w:hint="eastAsia"/>
          <w:rtl/>
        </w:rPr>
        <w:t>במבחן</w:t>
      </w:r>
      <w:r w:rsidRPr="00A36228">
        <w:rPr>
          <w:rtl/>
        </w:rPr>
        <w:t xml:space="preserve"> </w:t>
      </w:r>
      <w:r w:rsidRPr="00A36228">
        <w:rPr>
          <w:rFonts w:hint="eastAsia"/>
          <w:rtl/>
        </w:rPr>
        <w:t>הסובייקטיבי</w:t>
      </w:r>
      <w:r w:rsidRPr="00A36228">
        <w:rPr>
          <w:rtl/>
        </w:rPr>
        <w:t xml:space="preserve">, </w:t>
      </w:r>
      <w:r w:rsidRPr="00A36228">
        <w:rPr>
          <w:rFonts w:hint="eastAsia"/>
          <w:rtl/>
        </w:rPr>
        <w:t>וללא</w:t>
      </w:r>
      <w:r w:rsidRPr="00A36228">
        <w:rPr>
          <w:rtl/>
        </w:rPr>
        <w:t xml:space="preserve"> </w:t>
      </w:r>
      <w:r w:rsidRPr="00A36228">
        <w:rPr>
          <w:rFonts w:hint="eastAsia"/>
          <w:rtl/>
        </w:rPr>
        <w:t>הזדקקות</w:t>
      </w:r>
      <w:r w:rsidRPr="00A36228">
        <w:rPr>
          <w:rtl/>
        </w:rPr>
        <w:t xml:space="preserve"> </w:t>
      </w:r>
      <w:r w:rsidRPr="00A36228">
        <w:rPr>
          <w:rFonts w:hint="eastAsia"/>
          <w:rtl/>
        </w:rPr>
        <w:t>למבחן</w:t>
      </w:r>
      <w:r w:rsidRPr="00A36228">
        <w:rPr>
          <w:rtl/>
        </w:rPr>
        <w:t xml:space="preserve"> </w:t>
      </w:r>
      <w:r w:rsidRPr="00A36228">
        <w:rPr>
          <w:rFonts w:hint="eastAsia"/>
          <w:rtl/>
        </w:rPr>
        <w:t>אובייקטיבי</w:t>
      </w:r>
      <w:r w:rsidRPr="00A36228">
        <w:rPr>
          <w:rtl/>
        </w:rPr>
        <w:t xml:space="preserve">, </w:t>
      </w:r>
      <w:r w:rsidRPr="00A36228">
        <w:rPr>
          <w:rFonts w:hint="eastAsia"/>
          <w:rtl/>
        </w:rPr>
        <w:t>אין</w:t>
      </w:r>
      <w:r w:rsidRPr="00A36228">
        <w:rPr>
          <w:rtl/>
        </w:rPr>
        <w:t xml:space="preserve"> </w:t>
      </w:r>
      <w:r w:rsidRPr="00A36228">
        <w:rPr>
          <w:rFonts w:hint="eastAsia"/>
          <w:rtl/>
        </w:rPr>
        <w:t>בידי</w:t>
      </w:r>
      <w:r w:rsidRPr="00A36228">
        <w:rPr>
          <w:rtl/>
        </w:rPr>
        <w:t xml:space="preserve"> </w:t>
      </w:r>
      <w:r w:rsidRPr="00A36228">
        <w:rPr>
          <w:rFonts w:hint="eastAsia"/>
          <w:rtl/>
        </w:rPr>
        <w:t>לקבל</w:t>
      </w:r>
      <w:r w:rsidRPr="00A36228">
        <w:rPr>
          <w:rtl/>
        </w:rPr>
        <w:t xml:space="preserve"> </w:t>
      </w:r>
      <w:r w:rsidRPr="00A36228">
        <w:rPr>
          <w:rFonts w:hint="eastAsia"/>
          <w:rtl/>
        </w:rPr>
        <w:t>במקרה</w:t>
      </w:r>
      <w:r w:rsidRPr="00A36228">
        <w:rPr>
          <w:rtl/>
        </w:rPr>
        <w:t xml:space="preserve"> </w:t>
      </w:r>
      <w:r w:rsidRPr="00A36228">
        <w:rPr>
          <w:rFonts w:hint="eastAsia"/>
          <w:rtl/>
        </w:rPr>
        <w:t>דנן</w:t>
      </w:r>
      <w:r w:rsidRPr="00A36228">
        <w:rPr>
          <w:rtl/>
        </w:rPr>
        <w:t xml:space="preserve"> </w:t>
      </w:r>
      <w:r w:rsidRPr="00A36228">
        <w:rPr>
          <w:rFonts w:hint="eastAsia"/>
          <w:rtl/>
        </w:rPr>
        <w:t>את</w:t>
      </w:r>
      <w:r w:rsidRPr="00A36228">
        <w:rPr>
          <w:rtl/>
        </w:rPr>
        <w:t xml:space="preserve"> </w:t>
      </w:r>
      <w:r w:rsidRPr="00A36228">
        <w:rPr>
          <w:rFonts w:hint="eastAsia"/>
          <w:rtl/>
        </w:rPr>
        <w:t>תחולתו</w:t>
      </w:r>
      <w:r w:rsidRPr="00A36228">
        <w:rPr>
          <w:rtl/>
        </w:rPr>
        <w:t xml:space="preserve"> </w:t>
      </w:r>
      <w:r w:rsidRPr="00A36228">
        <w:rPr>
          <w:rFonts w:hint="eastAsia"/>
          <w:rtl/>
        </w:rPr>
        <w:t>של</w:t>
      </w:r>
      <w:r w:rsidRPr="00A36228">
        <w:rPr>
          <w:rtl/>
        </w:rPr>
        <w:t xml:space="preserve"> </w:t>
      </w:r>
      <w:r w:rsidRPr="00A36228">
        <w:rPr>
          <w:rFonts w:hint="eastAsia"/>
          <w:rtl/>
        </w:rPr>
        <w:t>סעיף</w:t>
      </w:r>
      <w:r w:rsidRPr="00A36228">
        <w:rPr>
          <w:rtl/>
        </w:rPr>
        <w:t xml:space="preserve"> 5 </w:t>
      </w:r>
      <w:r w:rsidRPr="00A36228">
        <w:rPr>
          <w:rFonts w:hint="eastAsia"/>
          <w:rtl/>
        </w:rPr>
        <w:t>לצו</w:t>
      </w:r>
      <w:r>
        <w:rPr>
          <w:rFonts w:hint="cs"/>
          <w:rtl/>
        </w:rPr>
        <w:t>" (סעיף 2 לפסק דינו)</w:t>
      </w:r>
      <w:r w:rsidRPr="00A36228">
        <w:rPr>
          <w:rtl/>
        </w:rPr>
        <w:t>.</w:t>
      </w:r>
    </w:p>
    <w:p w:rsidR="004C7127" w:rsidRDefault="004C7127" w:rsidP="004C7127">
      <w:pPr>
        <w:pStyle w:val="Ruller41"/>
        <w:rPr>
          <w:rtl/>
        </w:rPr>
      </w:pPr>
    </w:p>
    <w:p w:rsidR="004C7127" w:rsidRDefault="004C7127" w:rsidP="004C7127">
      <w:pPr>
        <w:pStyle w:val="Ruller4"/>
        <w:rPr>
          <w:rtl/>
        </w:rPr>
      </w:pPr>
      <w:r>
        <w:rPr>
          <w:rFonts w:hint="cs"/>
          <w:noProof/>
          <w:rtl/>
        </w:rPr>
        <w:t xml:space="preserve">בדיקות מעין אלו </w:t>
      </w:r>
      <w:r>
        <w:rPr>
          <w:noProof/>
          <w:rtl/>
        </w:rPr>
        <w:t>–</w:t>
      </w:r>
      <w:r>
        <w:rPr>
          <w:rFonts w:hint="cs"/>
          <w:noProof/>
          <w:rtl/>
        </w:rPr>
        <w:t xml:space="preserve"> שתוארו בסיכום הדיון של היועץ המשפטי לממשלה ובפסק הדין בערר בעניין </w:t>
      </w:r>
      <w:r>
        <w:rPr>
          <w:rFonts w:ascii="Century" w:hAnsi="Century" w:cs="Miriam" w:hint="cs"/>
          <w:b/>
          <w:noProof/>
          <w:spacing w:val="0"/>
          <w:sz w:val="22"/>
          <w:szCs w:val="24"/>
          <w:rtl/>
        </w:rPr>
        <w:t xml:space="preserve">צלאח </w:t>
      </w:r>
      <w:r w:rsidRPr="00591116">
        <w:rPr>
          <w:rFonts w:ascii="Century" w:hAnsi="Century"/>
          <w:noProof/>
          <w:sz w:val="22"/>
          <w:rtl/>
        </w:rPr>
        <w:t>–</w:t>
      </w:r>
      <w:r>
        <w:rPr>
          <w:rFonts w:hint="cs"/>
          <w:noProof/>
          <w:rtl/>
        </w:rPr>
        <w:t xml:space="preserve"> לא הוצגו בהליך דנן, ולא מן הנמנע שלא בוצעו. כאמור, לפי הטענה, לאחר שהממונה מצא שאין להסתפק במפה שצורפה להסכם ההרשאה, הוא ביקש שתובא לו מפה נוספת (היא מפת תכנית 223), ולכאורה אישר אותה. במכתב שאזכרתי לעיל, משנת 1973, שכתב הממונה דאז, צוין במפורש כי מדובר בשטח מוסדר, ו"יש באפשרותינו להצביע על כל חלקה וחלקה". דהיינו, היה זה </w:t>
      </w:r>
      <w:r w:rsidRPr="002B34D1">
        <w:rPr>
          <w:rFonts w:ascii="Century" w:hAnsi="Century" w:cs="Miriam" w:hint="cs"/>
          <w:b/>
          <w:noProof/>
          <w:spacing w:val="0"/>
          <w:sz w:val="22"/>
          <w:szCs w:val="24"/>
          <w:rtl/>
        </w:rPr>
        <w:t>בידיעת</w:t>
      </w:r>
      <w:r w:rsidRPr="00C578CB">
        <w:rPr>
          <w:rFonts w:hint="cs"/>
          <w:noProof/>
          <w:rtl/>
        </w:rPr>
        <w:t xml:space="preserve"> </w:t>
      </w:r>
      <w:r>
        <w:rPr>
          <w:rFonts w:hint="cs"/>
          <w:noProof/>
          <w:rtl/>
        </w:rPr>
        <w:t>הממונה כי מדובר במקרקעין שייתכנו להם בעלים וכי</w:t>
      </w:r>
      <w:r w:rsidRPr="002B34D1">
        <w:rPr>
          <w:rFonts w:ascii="Century" w:hAnsi="Century" w:hint="cs"/>
          <w:noProof/>
          <w:sz w:val="22"/>
          <w:rtl/>
        </w:rPr>
        <w:t xml:space="preserve"> בדיקה פשוטה (במסמכים ובמפות שנדמה שהיו כבר אז בידי הממונה)</w:t>
      </w:r>
      <w:r>
        <w:rPr>
          <w:rFonts w:hint="cs"/>
          <w:noProof/>
          <w:rtl/>
        </w:rPr>
        <w:t xml:space="preserve"> יכולה לבאר את הבעלות בהם. </w:t>
      </w:r>
      <w:r>
        <w:rPr>
          <w:rFonts w:hint="cs"/>
          <w:rtl/>
        </w:rPr>
        <w:t xml:space="preserve">גם בהקשר זה נראה שהממונה לא ערך בדיקה ולא בחן אם הגדלת היקף השטחים המוקצים כוללת גם שטחים בבעלות פרטית </w:t>
      </w:r>
      <w:r>
        <w:rPr>
          <w:rtl/>
        </w:rPr>
        <w:t>–</w:t>
      </w:r>
      <w:r>
        <w:rPr>
          <w:rFonts w:hint="cs"/>
          <w:rtl/>
        </w:rPr>
        <w:t xml:space="preserve"> וזאת הגם שבדיקה מעין זו הייתה קלה ופשוטה לביצוע. </w:t>
      </w:r>
    </w:p>
    <w:p w:rsidR="004C7127" w:rsidRDefault="004C7127" w:rsidP="004C7127">
      <w:pPr>
        <w:pStyle w:val="Ruller41"/>
        <w:rPr>
          <w:rtl/>
        </w:rPr>
      </w:pPr>
    </w:p>
    <w:p w:rsidR="004C7127" w:rsidRPr="00252945" w:rsidRDefault="004C7127" w:rsidP="004C7127">
      <w:pPr>
        <w:pStyle w:val="4"/>
        <w:spacing w:before="0"/>
        <w:rPr>
          <w:rFonts w:ascii="Century" w:hAnsi="Century" w:cs="Miriam"/>
          <w:b/>
          <w:i w:val="0"/>
          <w:iCs w:val="0"/>
          <w:color w:val="auto"/>
          <w:spacing w:val="0"/>
          <w:sz w:val="22"/>
          <w:szCs w:val="24"/>
          <w:rtl/>
        </w:rPr>
      </w:pPr>
      <w:r w:rsidRPr="00252945">
        <w:rPr>
          <w:rFonts w:ascii="Century" w:hAnsi="Century" w:cs="Miriam" w:hint="cs"/>
          <w:b/>
          <w:i w:val="0"/>
          <w:iCs w:val="0"/>
          <w:color w:val="auto"/>
          <w:spacing w:val="0"/>
          <w:sz w:val="22"/>
          <w:szCs w:val="24"/>
          <w:rtl/>
        </w:rPr>
        <w:t xml:space="preserve">נורת אזהרה שלישית: עדויות </w:t>
      </w:r>
      <w:r>
        <w:rPr>
          <w:rFonts w:ascii="Century" w:hAnsi="Century" w:cs="Miriam" w:hint="cs"/>
          <w:b/>
          <w:i w:val="0"/>
          <w:iCs w:val="0"/>
          <w:color w:val="auto"/>
          <w:spacing w:val="0"/>
          <w:sz w:val="22"/>
          <w:szCs w:val="24"/>
          <w:rtl/>
        </w:rPr>
        <w:t>מ</w:t>
      </w:r>
      <w:r w:rsidRPr="00252945">
        <w:rPr>
          <w:rFonts w:ascii="Century" w:hAnsi="Century" w:cs="Miriam" w:hint="cs"/>
          <w:b/>
          <w:i w:val="0"/>
          <w:iCs w:val="0"/>
          <w:color w:val="auto"/>
          <w:spacing w:val="0"/>
          <w:sz w:val="22"/>
          <w:szCs w:val="24"/>
          <w:rtl/>
        </w:rPr>
        <w:t>אוחרות לאי התאמה בין תכנית 223 לבין הצווים</w:t>
      </w:r>
    </w:p>
    <w:p w:rsidR="004C7127" w:rsidRDefault="004C7127" w:rsidP="004C7127">
      <w:pPr>
        <w:pStyle w:val="Ruller41"/>
        <w:rPr>
          <w:rFonts w:ascii="Century" w:hAnsi="Century" w:cs="Miriam"/>
          <w:b/>
          <w:spacing w:val="0"/>
          <w:szCs w:val="24"/>
          <w:rtl/>
        </w:rPr>
      </w:pPr>
    </w:p>
    <w:p w:rsidR="004C7127" w:rsidRDefault="004C7127" w:rsidP="004C7127">
      <w:pPr>
        <w:pStyle w:val="Ruller4"/>
      </w:pPr>
      <w:r>
        <w:rPr>
          <w:rFonts w:hint="cs"/>
          <w:rtl/>
        </w:rPr>
        <w:t xml:space="preserve">האמנם יש מקום לבחון את התנהלות הצדדים </w:t>
      </w:r>
      <w:r>
        <w:rPr>
          <w:rFonts w:ascii="Century" w:hAnsi="Century" w:cs="Miriam" w:hint="cs"/>
          <w:b/>
          <w:spacing w:val="0"/>
          <w:sz w:val="22"/>
          <w:szCs w:val="24"/>
          <w:rtl/>
        </w:rPr>
        <w:t xml:space="preserve">שמאוחרת </w:t>
      </w:r>
      <w:r>
        <w:rPr>
          <w:rFonts w:ascii="Century" w:hAnsi="Century" w:hint="cs"/>
          <w:sz w:val="22"/>
          <w:rtl/>
        </w:rPr>
        <w:t xml:space="preserve">להסכם ההרשאה הראשון במסגרת בחינת תום לבם? כפי שכבר ציינתי לעיל, </w:t>
      </w:r>
      <w:r>
        <w:rPr>
          <w:rFonts w:hint="cs"/>
          <w:rtl/>
        </w:rPr>
        <w:t xml:space="preserve">בעיני אין מדובר בעניין מובן מאליו. עם זאת במקרה דנן נטען שהתנהלות הצדדים בשנים שלאחר חתימת ההסכם מלמדת על הלך רוחם בעת החתימה על ההסכמים. זאת ועוד, בנסיבות ענייננו, שבהן "הסכמי המשך" נחתמו בשנים 1990, 1995 ו-1997, ייתכן שיש טעם לבחון את התנהלות הצדדים בשנים אלו. אציין כבר עתה כי לשיטתי אף בחינת התנהלות הצדדים בשנים אלו מגלה קשיים בטענה שלפיה הממונה היה תם לב. </w:t>
      </w:r>
    </w:p>
    <w:p w:rsidR="004C7127" w:rsidRPr="00D14F95" w:rsidRDefault="004C7127" w:rsidP="004C7127">
      <w:pPr>
        <w:pStyle w:val="Ruller4"/>
        <w:numPr>
          <w:ilvl w:val="0"/>
          <w:numId w:val="0"/>
        </w:numPr>
      </w:pPr>
    </w:p>
    <w:p w:rsidR="004C7127" w:rsidRPr="00280395" w:rsidRDefault="004C7127" w:rsidP="004C7127">
      <w:pPr>
        <w:pStyle w:val="Ruller4"/>
        <w:rPr>
          <w:rFonts w:ascii="Century" w:hAnsi="Century"/>
          <w:sz w:val="22"/>
        </w:rPr>
      </w:pPr>
      <w:r>
        <w:rPr>
          <w:rFonts w:hint="cs"/>
          <w:rtl/>
        </w:rPr>
        <w:t xml:space="preserve">כבר בראשית שנות ה-90 (בחודש מאי 1990) כתב הממונה מכוח צו 997 (מושקוביץ) למשרד הבינוי והשיכון מכתב שבו ציין כי "תוך כדי בדיקה שבוצעה על ידינו בישוב כוכב השחר כתוצאה מחריגות בניה שהיו שם עולה כי המגרשים שבנדון [מגרשים 182-178 </w:t>
      </w:r>
      <w:r>
        <w:rPr>
          <w:rtl/>
        </w:rPr>
        <w:t>–</w:t>
      </w:r>
      <w:r>
        <w:rPr>
          <w:rFonts w:hint="cs"/>
          <w:rtl/>
        </w:rPr>
        <w:t xml:space="preserve"> ע' פ'] נמצאים מחוץ לגבולות התפיסה בפועל (מחוץ לגדר הישוב). </w:t>
      </w:r>
      <w:r>
        <w:rPr>
          <w:rFonts w:hint="cs"/>
          <w:rtl/>
        </w:rPr>
        <w:lastRenderedPageBreak/>
        <w:t xml:space="preserve">לאור זאת יש להימנע מלקחת בחשבון מגרשים אלה וכל שטח אחר שמחוץ לגבול התפיסה הצבאית בפועל בהליך התיכנון והבינוי כל עוד לא אושרו ע"י המנהל האזרחי גבולות שונים" (נספח 17 לתצהיר כספי). במכתב נוסף מחודש יוני 1990 ציין בלומנטל כי "צו תפיסה נבחן ועומד במבחן החוקיות עפ"י התפיסה בפועל ובמקרה זה קרי הגידור" וכי המגרשים האמורים ממוקמים מחוץ "לגדר המקורית של צו התפיסה" ושאין כל בסיס משפטי שיכול לאשר בינוי על מגרשים אלה (נספח 18 לתצהיר כספי). שני הצדדים התייחסו בהרחבה למכתבים אלה כתומכים בעמדתם. </w:t>
      </w:r>
    </w:p>
    <w:p w:rsidR="004C7127" w:rsidRPr="00280395" w:rsidRDefault="004C7127" w:rsidP="004C7127">
      <w:pPr>
        <w:pStyle w:val="Ruller4"/>
        <w:numPr>
          <w:ilvl w:val="0"/>
          <w:numId w:val="0"/>
        </w:numPr>
        <w:rPr>
          <w:rFonts w:ascii="Century" w:hAnsi="Century"/>
          <w:sz w:val="22"/>
        </w:rPr>
      </w:pPr>
    </w:p>
    <w:p w:rsidR="004C7127" w:rsidRPr="00280395" w:rsidRDefault="004C7127" w:rsidP="004C7127">
      <w:pPr>
        <w:pStyle w:val="Ruller4"/>
        <w:rPr>
          <w:rFonts w:ascii="Century" w:hAnsi="Century"/>
          <w:sz w:val="22"/>
          <w:rtl/>
        </w:rPr>
      </w:pPr>
      <w:r>
        <w:rPr>
          <w:rFonts w:hint="cs"/>
          <w:rtl/>
        </w:rPr>
        <w:t xml:space="preserve">המחזיקים ראו במכתבים אלה עדות לכך שגורמי המינהל פעלו לתקן אי התאמה בין התפיסה בפועל לבין תכנית 223 </w:t>
      </w:r>
      <w:r>
        <w:rPr>
          <w:rtl/>
        </w:rPr>
        <w:t>–</w:t>
      </w:r>
      <w:r>
        <w:rPr>
          <w:rFonts w:hint="cs"/>
          <w:rtl/>
        </w:rPr>
        <w:t xml:space="preserve"> וביחס לשטחים שעליהם מוקם היישוב מצפה כרמים, לא הובעה הסתייגות כלשהי. איני סבור כי משמעות מכתבו של בלומנטל היא שהוא סבר שאי ההתאמה </w:t>
      </w:r>
      <w:r w:rsidRPr="00280395">
        <w:rPr>
          <w:rFonts w:ascii="Century" w:hAnsi="Century" w:cs="Miriam" w:hint="cs"/>
          <w:b/>
          <w:spacing w:val="0"/>
          <w:sz w:val="22"/>
          <w:szCs w:val="24"/>
          <w:rtl/>
        </w:rPr>
        <w:t>היחידה</w:t>
      </w:r>
      <w:r w:rsidRPr="007A2619">
        <w:rPr>
          <w:rFonts w:hint="cs"/>
          <w:rtl/>
        </w:rPr>
        <w:t xml:space="preserve"> </w:t>
      </w:r>
      <w:r>
        <w:rPr>
          <w:rFonts w:hint="cs"/>
          <w:rtl/>
        </w:rPr>
        <w:t>בין תכנית 223 לבין הצווים הוא המגרשים האמורים. כזכור, לפי תכנית 223 כלל לא ניתן היה לבנות בשטח נושא הדיון הנוסף (שהיה מצוי בתכנית 223 בשטח "שייעודו ייקבע בעתיד") ולכן ברי כי לא היה צפוי להתעורר חשש שיערך בהם בינוי בניגוד לתפיסה. משאלה הם פני הדברים העובדה שבלומנטל לא התייחס לשטחים אחרים בתכנית 223 אין בה כדי ללמד שגדר התפיסה בפועל הוצבה בשטח על מלוא היקף שטחי התכנית, למעט מגרשים 182-178. למעשה, סביר יותר להבין את המכתבים האמורים כמכוונים לכך שיש קרקע שלכאורה ניתן לבנות עליה מכוח תכנית 223 (מגרשים 182-178) אך יש להימנע מלעשות כן מאחר שמגרשים אלה מחוץ לצו התפיסה ("בפועל"). ויוזכר, שהשטח הבנוי ביישוב כוכב השחר, ככלל, כן מצוי בתוך שטח צו התפיסה (ראו את ה</w:t>
      </w:r>
      <w:r w:rsidRPr="005F0969">
        <w:rPr>
          <w:rFonts w:hint="eastAsia"/>
          <w:rtl/>
        </w:rPr>
        <w:t>עולה</w:t>
      </w:r>
      <w:r w:rsidRPr="005F0969">
        <w:rPr>
          <w:rtl/>
        </w:rPr>
        <w:t xml:space="preserve"> </w:t>
      </w:r>
      <w:r w:rsidRPr="005F0969">
        <w:rPr>
          <w:rFonts w:hint="eastAsia"/>
          <w:rtl/>
        </w:rPr>
        <w:t>מעדות</w:t>
      </w:r>
      <w:r w:rsidRPr="005F0969">
        <w:rPr>
          <w:rtl/>
        </w:rPr>
        <w:t xml:space="preserve"> </w:t>
      </w:r>
      <w:r w:rsidRPr="005F0969">
        <w:rPr>
          <w:rFonts w:hint="eastAsia"/>
          <w:rtl/>
        </w:rPr>
        <w:t>כספי</w:t>
      </w:r>
      <w:r w:rsidRPr="005F0969">
        <w:rPr>
          <w:rtl/>
        </w:rPr>
        <w:t xml:space="preserve">, </w:t>
      </w:r>
      <w:r w:rsidRPr="005F0969">
        <w:rPr>
          <w:rFonts w:hint="eastAsia"/>
          <w:rtl/>
        </w:rPr>
        <w:t>בפרוטוקול</w:t>
      </w:r>
      <w:r w:rsidRPr="005F0969">
        <w:rPr>
          <w:rtl/>
        </w:rPr>
        <w:t xml:space="preserve"> </w:t>
      </w:r>
      <w:r w:rsidRPr="005F0969">
        <w:rPr>
          <w:rFonts w:hint="eastAsia"/>
          <w:rtl/>
        </w:rPr>
        <w:t>הדיון</w:t>
      </w:r>
      <w:r w:rsidRPr="005F0969">
        <w:rPr>
          <w:rtl/>
        </w:rPr>
        <w:t xml:space="preserve"> </w:t>
      </w:r>
      <w:r w:rsidRPr="005F0969">
        <w:rPr>
          <w:rFonts w:hint="eastAsia"/>
          <w:rtl/>
        </w:rPr>
        <w:t>בבית</w:t>
      </w:r>
      <w:r w:rsidRPr="005F0969">
        <w:rPr>
          <w:rtl/>
        </w:rPr>
        <w:t xml:space="preserve"> </w:t>
      </w:r>
      <w:r w:rsidRPr="005F0969">
        <w:rPr>
          <w:rFonts w:hint="eastAsia"/>
          <w:rtl/>
        </w:rPr>
        <w:t>המשפט</w:t>
      </w:r>
      <w:r w:rsidRPr="005F0969">
        <w:rPr>
          <w:rtl/>
        </w:rPr>
        <w:t xml:space="preserve"> </w:t>
      </w:r>
      <w:r w:rsidRPr="005F0969">
        <w:rPr>
          <w:rFonts w:hint="eastAsia"/>
          <w:rtl/>
        </w:rPr>
        <w:t>המחוזי</w:t>
      </w:r>
      <w:r w:rsidRPr="005F0969">
        <w:rPr>
          <w:rtl/>
        </w:rPr>
        <w:t xml:space="preserve">, </w:t>
      </w:r>
      <w:r w:rsidRPr="005F0969">
        <w:rPr>
          <w:rFonts w:hint="eastAsia"/>
          <w:rtl/>
        </w:rPr>
        <w:t>בעמ</w:t>
      </w:r>
      <w:r w:rsidRPr="005F0969">
        <w:rPr>
          <w:rtl/>
        </w:rPr>
        <w:t xml:space="preserve">' 221, </w:t>
      </w:r>
      <w:r w:rsidRPr="005F0969">
        <w:rPr>
          <w:rFonts w:hint="eastAsia"/>
          <w:rtl/>
        </w:rPr>
        <w:t>ש</w:t>
      </w:r>
      <w:r w:rsidRPr="005F0969">
        <w:rPr>
          <w:rtl/>
        </w:rPr>
        <w:t>' 18-10</w:t>
      </w:r>
      <w:r>
        <w:rPr>
          <w:rFonts w:hint="cs"/>
          <w:rtl/>
        </w:rPr>
        <w:t xml:space="preserve">). ממילא, כפי שקבע בית המשפט המחוזי </w:t>
      </w:r>
      <w:r>
        <w:rPr>
          <w:rtl/>
        </w:rPr>
        <w:t>–</w:t>
      </w:r>
      <w:r>
        <w:rPr>
          <w:rFonts w:hint="cs"/>
          <w:rtl/>
        </w:rPr>
        <w:t xml:space="preserve"> לא הוכח כי הגדר בשטח (שייצגה את גבולות התפיסה בפועל, כנטען) כללה את המקרקעין שעליהם מצפה כרמים. מן העבר השני, מכתבים אלה מוכיחים ללא כל צל של ספק שכבר בחודשים מאי ויוני 1990 היה </w:t>
      </w:r>
      <w:r w:rsidRPr="00280395">
        <w:rPr>
          <w:rFonts w:ascii="Century" w:hAnsi="Century" w:cs="Miriam" w:hint="cs"/>
          <w:b/>
          <w:spacing w:val="0"/>
          <w:sz w:val="22"/>
          <w:szCs w:val="24"/>
          <w:rtl/>
        </w:rPr>
        <w:t>בידיעת</w:t>
      </w:r>
      <w:r w:rsidRPr="00F22FEE">
        <w:rPr>
          <w:rFonts w:hint="cs"/>
          <w:rtl/>
        </w:rPr>
        <w:t xml:space="preserve"> </w:t>
      </w:r>
      <w:r>
        <w:rPr>
          <w:rFonts w:hint="cs"/>
          <w:rtl/>
        </w:rPr>
        <w:t xml:space="preserve">הממונה כי אין חפיפה בין גבולות תכנית 223 לצווי התפיסה והסגירה. חרף האמור, שלושה חודשים מאוחר יותר, חתם הממונה על חידוש הסכם ההרשאה, שכטענת המחזיקים, המדינה וההסתדרות הציונית, שב ומקצה </w:t>
      </w:r>
      <w:r w:rsidRPr="00280395">
        <w:rPr>
          <w:rFonts w:ascii="Century" w:hAnsi="Century" w:hint="cs"/>
          <w:sz w:val="22"/>
          <w:rtl/>
        </w:rPr>
        <w:t xml:space="preserve">את כל שטח תכנית 223. זאת, הגם שכאמור, גם בהסכם זה צוין במפורש כי היקף השטח הוא 1,071 דונם, וצורפה לו מפת צו הסגירה. אף אם נקודת הזמן לבדיקת תום לבו של הממונה הייתה הסכם זה, משנת 1990, הרי שמדובר במקרה דנן בעצימת עיניים מובהקת לאי סדרים בהיקף השטח המוקצה. </w:t>
      </w:r>
    </w:p>
    <w:p w:rsidR="004C7127" w:rsidRDefault="004C7127" w:rsidP="004C7127">
      <w:pPr>
        <w:pStyle w:val="Ruller41"/>
        <w:rPr>
          <w:rtl/>
        </w:rPr>
      </w:pPr>
    </w:p>
    <w:p w:rsidR="004C7127" w:rsidRDefault="004C7127" w:rsidP="004C7127">
      <w:pPr>
        <w:pStyle w:val="Ruller4"/>
      </w:pPr>
      <w:r>
        <w:rPr>
          <w:rFonts w:hint="cs"/>
          <w:rtl/>
        </w:rPr>
        <w:lastRenderedPageBreak/>
        <w:t xml:space="preserve">גם בשנת 1995, לקראת חתימה נוספת על הארכת ההרשאה, היו עדויות לאי סדרים. במכתב משנת 1994 מאת ראש מדור תכנון ומדידות במינהל האזרחי, היא מציינת במפורש כי בהנחיית רע"ן תשתיות במינהל האזרחי "עלינו לערוך שינוי במפת החוזה בין הממונה לבין ההסתדרות הציונית העולמית תוך הכנת מיפוי מתאים של הישוב עפ"י גבול התפיסה בפועל קרי הגידור הקיים". במכתב שוב חוזרת על הצורך לתקן את תכנית 223 ולגרוע את מגרשים 182-178. חרף האמור, בחודש אפריל 1995 </w:t>
      </w:r>
      <w:r>
        <w:rPr>
          <w:rtl/>
        </w:rPr>
        <w:t>–</w:t>
      </w:r>
      <w:r>
        <w:rPr>
          <w:rFonts w:hint="cs"/>
          <w:rtl/>
        </w:rPr>
        <w:t xml:space="preserve"> לא נעשה שינוי בהסכם ההרשאה, וצורפה לו, שוב, מפת צו הסגירה. בנוסף, בחודשים שלאחר החתימה על חידוש הסכם ההרשאה קודמה תכנית 223/1, שלא שינתה באורח משמעותי את גודל השטח בתכנית 223, ועסקה בעיקרה בשינוי ייעוד חטיבות קרקע בתחום התכנית (את השטח נושא הדיון הנוסף שינתה התכנית לייעוד חקלאי). גם במסגרת דיון באישורה של תכנית זו הובא דבר אי החפיפה בין התכנית לבין הצו לידיעת הגורמים הרלוונטיים, וחרף האמור, אושרה התכנית (ראו נספח 21 לתצהיר כספי). במכתב נוסף מאת ראש מדור תכנון ומדידות, לאחר אישור תכנית 223/1, צוין במפורש כי תכנית 223 אושרה "ע"פ גבולותיה הישנים למרות האמור במכתבי שבסימוכין" (בחקירתו ציין מושקוביץ, הממונה מכוח צו 997, כי אינו זוכר מדוע לא נעשה דבר בהקשר זה במסגרת תכנית 223/1, ראו בעמ' 81). נראה אפוא כי הן במסגרת הליכי התכנון, הן כחלק מהחתימה על הסכמי ההרשאה הנוספים (בשנים 1990 ו-1995) הוברר כי יש חוסר התאמה בין הצווים לבין התכניות. ודוקו: אף מי שהחזיקו באותם ימים בתיזת התפיסה בפועל, סברו שיש אי התאמה בין התפיסה בפועל לבין התכניות. נתון זה מחליש גם את הטענה שהושמעה כי גורמי המינהל סברו שעצם קיומה של תכנית מעידה על תפיסה בפועל. על יסוד המכלול, לא ניתן לקבל את הטענה כי הממונה סבר בתום לב שהשטח המוקצה הוא מלוא שטח תכנית 223. </w:t>
      </w:r>
    </w:p>
    <w:p w:rsidR="004C7127" w:rsidRPr="008E1F7F" w:rsidRDefault="004C7127" w:rsidP="004C7127">
      <w:pPr>
        <w:pStyle w:val="Ruller4"/>
        <w:numPr>
          <w:ilvl w:val="0"/>
          <w:numId w:val="0"/>
        </w:numPr>
        <w:rPr>
          <w:rtl/>
        </w:rPr>
      </w:pPr>
    </w:p>
    <w:p w:rsidR="004C7127" w:rsidRPr="00252945" w:rsidRDefault="004C7127" w:rsidP="004C7127">
      <w:pPr>
        <w:pStyle w:val="4"/>
        <w:spacing w:before="0"/>
        <w:rPr>
          <w:rFonts w:ascii="Century" w:hAnsi="Century" w:cs="Miriam"/>
          <w:b/>
          <w:i w:val="0"/>
          <w:iCs w:val="0"/>
          <w:color w:val="auto"/>
          <w:spacing w:val="0"/>
          <w:sz w:val="22"/>
          <w:szCs w:val="24"/>
          <w:rtl/>
        </w:rPr>
      </w:pPr>
      <w:r>
        <w:rPr>
          <w:rFonts w:ascii="Century" w:hAnsi="Century" w:cs="Miriam" w:hint="cs"/>
          <w:b/>
          <w:i w:val="0"/>
          <w:iCs w:val="0"/>
          <w:color w:val="auto"/>
          <w:spacing w:val="0"/>
          <w:sz w:val="22"/>
          <w:szCs w:val="24"/>
          <w:rtl/>
        </w:rPr>
        <w:t>בחינת תום הלב אגב עליית מצפה כרמים למקרקעין?</w:t>
      </w:r>
    </w:p>
    <w:p w:rsidR="004C7127" w:rsidRDefault="004C7127" w:rsidP="004C7127">
      <w:pPr>
        <w:pStyle w:val="Ruller41"/>
        <w:rPr>
          <w:rtl/>
        </w:rPr>
      </w:pPr>
    </w:p>
    <w:p w:rsidR="004C7127" w:rsidRDefault="004C7127" w:rsidP="004C7127">
      <w:pPr>
        <w:pStyle w:val="Ruller4"/>
        <w:rPr>
          <w:rtl/>
        </w:rPr>
      </w:pPr>
      <w:r>
        <w:rPr>
          <w:rFonts w:hint="cs"/>
          <w:rtl/>
        </w:rPr>
        <w:t xml:space="preserve">לפני סיום חלק זה, אדרש לאירועים סביב עליית היישוב מצפה כרמים למיקומו הנוכחי (וכן למספר התרחשויות עובדתיות מאוחר לכך). אבן הראשה לניתוח, שאותה יש לשוב ולהזכיר: לא הוצגה ראיה אחת שעניינה בחירת מיקומו הנוכחי של היישוב מצפה כרמים. לפני העברת הישוב התנהלה עבודת מטה סדורה וממוסמכת שלא הביאה לכדי פתרון תכנוני. עליית מצפה כרמים לקרקע נעשתה במועד שאינו ידוע, ואין אנו יודעים כיצד נבחרה הנקודה שבו מוקם לימים היישוב (בתוך שטח אש, כאמור). זאת ועוד, גם היום אין תכנית כלשהי שמאפשרת בנייה על הקרקע, ואין היתרי בניה למבנים שם. ומכאן לשאלה </w:t>
      </w:r>
      <w:r>
        <w:rPr>
          <w:rtl/>
        </w:rPr>
        <w:t>–</w:t>
      </w:r>
      <w:r>
        <w:rPr>
          <w:rFonts w:hint="cs"/>
          <w:rtl/>
        </w:rPr>
        <w:t xml:space="preserve"> מה נפקות תום לבם של </w:t>
      </w:r>
      <w:r w:rsidRPr="00362DE1">
        <w:rPr>
          <w:rFonts w:hint="cs"/>
          <w:rtl/>
        </w:rPr>
        <w:t xml:space="preserve">הצדדים בשנת 1999 (וראשית שנת 2000), במועד העברת מצפה כרמים למיקומו הנוכחי. </w:t>
      </w:r>
      <w:r w:rsidRPr="00362DE1">
        <w:rPr>
          <w:rFonts w:hint="eastAsia"/>
          <w:rtl/>
        </w:rPr>
        <w:t>ראשית</w:t>
      </w:r>
      <w:r w:rsidRPr="00362DE1">
        <w:rPr>
          <w:rtl/>
        </w:rPr>
        <w:t xml:space="preserve">, </w:t>
      </w:r>
      <w:r w:rsidRPr="00362DE1">
        <w:rPr>
          <w:rFonts w:hint="eastAsia"/>
          <w:rtl/>
        </w:rPr>
        <w:t>ספק</w:t>
      </w:r>
      <w:r w:rsidRPr="00362DE1">
        <w:rPr>
          <w:rtl/>
        </w:rPr>
        <w:t xml:space="preserve"> </w:t>
      </w:r>
      <w:r w:rsidRPr="00362DE1">
        <w:rPr>
          <w:rFonts w:hint="eastAsia"/>
          <w:rtl/>
        </w:rPr>
        <w:t>בעיני</w:t>
      </w:r>
      <w:r w:rsidRPr="00362DE1">
        <w:rPr>
          <w:rtl/>
        </w:rPr>
        <w:t xml:space="preserve"> </w:t>
      </w:r>
      <w:r w:rsidRPr="00362DE1">
        <w:rPr>
          <w:rFonts w:hint="eastAsia"/>
          <w:rtl/>
        </w:rPr>
        <w:t>אם</w:t>
      </w:r>
      <w:r w:rsidRPr="00362DE1">
        <w:rPr>
          <w:rtl/>
        </w:rPr>
        <w:t xml:space="preserve"> </w:t>
      </w:r>
      <w:r w:rsidRPr="00362DE1">
        <w:rPr>
          <w:rFonts w:hint="eastAsia"/>
          <w:rtl/>
        </w:rPr>
        <w:t>באותה</w:t>
      </w:r>
      <w:r w:rsidRPr="00362DE1">
        <w:rPr>
          <w:rtl/>
        </w:rPr>
        <w:t xml:space="preserve"> </w:t>
      </w:r>
      <w:r w:rsidRPr="00362DE1">
        <w:rPr>
          <w:rFonts w:hint="eastAsia"/>
          <w:rtl/>
        </w:rPr>
        <w:t>נקודת</w:t>
      </w:r>
      <w:r w:rsidRPr="00362DE1">
        <w:rPr>
          <w:rtl/>
        </w:rPr>
        <w:t xml:space="preserve"> </w:t>
      </w:r>
      <w:r w:rsidRPr="00362DE1">
        <w:rPr>
          <w:rFonts w:hint="eastAsia"/>
          <w:rtl/>
        </w:rPr>
        <w:t>זמן</w:t>
      </w:r>
      <w:r w:rsidRPr="00362DE1">
        <w:rPr>
          <w:rtl/>
        </w:rPr>
        <w:t xml:space="preserve"> </w:t>
      </w:r>
      <w:r w:rsidRPr="00362DE1">
        <w:rPr>
          <w:rtl/>
        </w:rPr>
        <w:lastRenderedPageBreak/>
        <w:t xml:space="preserve">– </w:t>
      </w:r>
      <w:r w:rsidRPr="00362DE1">
        <w:rPr>
          <w:rFonts w:hint="eastAsia"/>
          <w:rtl/>
        </w:rPr>
        <w:t>שנת</w:t>
      </w:r>
      <w:r w:rsidRPr="00362DE1">
        <w:rPr>
          <w:rtl/>
        </w:rPr>
        <w:t xml:space="preserve"> 1999 – </w:t>
      </w:r>
      <w:r w:rsidRPr="00362DE1">
        <w:rPr>
          <w:rFonts w:hint="eastAsia"/>
          <w:rtl/>
        </w:rPr>
        <w:t>ניתן</w:t>
      </w:r>
      <w:r w:rsidRPr="00362DE1">
        <w:rPr>
          <w:rtl/>
        </w:rPr>
        <w:t xml:space="preserve"> </w:t>
      </w:r>
      <w:r w:rsidRPr="00362DE1">
        <w:rPr>
          <w:rFonts w:hint="eastAsia"/>
          <w:rtl/>
        </w:rPr>
        <w:t>לדבר</w:t>
      </w:r>
      <w:r w:rsidRPr="00362DE1">
        <w:rPr>
          <w:rtl/>
        </w:rPr>
        <w:t xml:space="preserve"> </w:t>
      </w:r>
      <w:r w:rsidRPr="00362DE1">
        <w:rPr>
          <w:rFonts w:hint="eastAsia"/>
          <w:rtl/>
        </w:rPr>
        <w:t>על</w:t>
      </w:r>
      <w:r w:rsidRPr="00362DE1">
        <w:rPr>
          <w:rtl/>
        </w:rPr>
        <w:t xml:space="preserve"> </w:t>
      </w:r>
      <w:r w:rsidRPr="00362DE1">
        <w:rPr>
          <w:rFonts w:hint="cs"/>
          <w:rtl/>
        </w:rPr>
        <w:t>"</w:t>
      </w:r>
      <w:r w:rsidRPr="00362DE1">
        <w:rPr>
          <w:rFonts w:hint="eastAsia"/>
          <w:rtl/>
        </w:rPr>
        <w:t>עסקה</w:t>
      </w:r>
      <w:r w:rsidRPr="00362DE1">
        <w:rPr>
          <w:rFonts w:hint="cs"/>
          <w:rtl/>
        </w:rPr>
        <w:t>"</w:t>
      </w:r>
      <w:r w:rsidRPr="00362DE1">
        <w:rPr>
          <w:rtl/>
        </w:rPr>
        <w:t xml:space="preserve"> </w:t>
      </w:r>
      <w:r w:rsidRPr="00362DE1">
        <w:rPr>
          <w:rFonts w:hint="eastAsia"/>
          <w:rtl/>
        </w:rPr>
        <w:t>כלשהי</w:t>
      </w:r>
      <w:r w:rsidRPr="00362DE1">
        <w:rPr>
          <w:rFonts w:hint="cs"/>
          <w:rtl/>
        </w:rPr>
        <w:t xml:space="preserve"> (כדרישת סעיף 5 לצו)</w:t>
      </w:r>
      <w:r w:rsidRPr="00362DE1">
        <w:rPr>
          <w:rtl/>
        </w:rPr>
        <w:t xml:space="preserve">, </w:t>
      </w:r>
      <w:r w:rsidRPr="00362DE1">
        <w:rPr>
          <w:rFonts w:hint="eastAsia"/>
          <w:rtl/>
        </w:rPr>
        <w:t>לא</w:t>
      </w:r>
      <w:r w:rsidRPr="00362DE1">
        <w:rPr>
          <w:rtl/>
        </w:rPr>
        <w:t xml:space="preserve"> </w:t>
      </w:r>
      <w:r w:rsidRPr="00362DE1">
        <w:rPr>
          <w:rFonts w:hint="eastAsia"/>
          <w:rtl/>
        </w:rPr>
        <w:t>כל</w:t>
      </w:r>
      <w:r w:rsidRPr="00362DE1">
        <w:rPr>
          <w:rtl/>
        </w:rPr>
        <w:t xml:space="preserve"> </w:t>
      </w:r>
      <w:r w:rsidRPr="00362DE1">
        <w:rPr>
          <w:rFonts w:hint="eastAsia"/>
          <w:rtl/>
        </w:rPr>
        <w:t>שכן</w:t>
      </w:r>
      <w:r w:rsidRPr="00362DE1">
        <w:rPr>
          <w:rtl/>
        </w:rPr>
        <w:t xml:space="preserve"> </w:t>
      </w:r>
      <w:r w:rsidRPr="00362DE1">
        <w:rPr>
          <w:rFonts w:hint="eastAsia"/>
          <w:rtl/>
        </w:rPr>
        <w:t>עסקה</w:t>
      </w:r>
      <w:r w:rsidRPr="00362DE1">
        <w:rPr>
          <w:rtl/>
        </w:rPr>
        <w:t xml:space="preserve"> </w:t>
      </w:r>
      <w:r w:rsidRPr="00362DE1">
        <w:rPr>
          <w:rFonts w:hint="eastAsia"/>
          <w:rtl/>
        </w:rPr>
        <w:t>בין</w:t>
      </w:r>
      <w:r w:rsidRPr="00362DE1">
        <w:rPr>
          <w:rtl/>
        </w:rPr>
        <w:t xml:space="preserve"> </w:t>
      </w:r>
      <w:r w:rsidRPr="00362DE1">
        <w:rPr>
          <w:rFonts w:hint="eastAsia"/>
          <w:rtl/>
        </w:rPr>
        <w:t>הממונה</w:t>
      </w:r>
      <w:r w:rsidRPr="00362DE1">
        <w:rPr>
          <w:rtl/>
        </w:rPr>
        <w:t xml:space="preserve"> </w:t>
      </w:r>
      <w:r w:rsidRPr="00362DE1">
        <w:rPr>
          <w:rFonts w:hint="eastAsia"/>
          <w:rtl/>
        </w:rPr>
        <w:t>לבין</w:t>
      </w:r>
      <w:r w:rsidRPr="00362DE1">
        <w:rPr>
          <w:rtl/>
        </w:rPr>
        <w:t xml:space="preserve"> </w:t>
      </w:r>
      <w:r w:rsidRPr="00362DE1">
        <w:rPr>
          <w:rFonts w:hint="eastAsia"/>
          <w:rtl/>
        </w:rPr>
        <w:t>ההסתדרות</w:t>
      </w:r>
      <w:r w:rsidRPr="00362DE1">
        <w:rPr>
          <w:rtl/>
        </w:rPr>
        <w:t xml:space="preserve"> </w:t>
      </w:r>
      <w:r w:rsidRPr="00362DE1">
        <w:rPr>
          <w:rFonts w:hint="eastAsia"/>
          <w:rtl/>
        </w:rPr>
        <w:t>הציונית</w:t>
      </w:r>
      <w:r w:rsidRPr="00362DE1">
        <w:rPr>
          <w:rFonts w:hint="cs"/>
          <w:rtl/>
        </w:rPr>
        <w:t>. שנית, בשנת 1999, כמעט שני עשורים לאחר אישור תכנית 223, מובן שהאור האדום הבוהק</w:t>
      </w:r>
      <w:r>
        <w:rPr>
          <w:rFonts w:hint="cs"/>
          <w:rtl/>
        </w:rPr>
        <w:t xml:space="preserve"> שנשקף ממנה בעת אישורה (ושעליו עמדתי לעיל) </w:t>
      </w:r>
      <w:r>
        <w:rPr>
          <w:rtl/>
        </w:rPr>
        <w:t>–</w:t>
      </w:r>
      <w:r>
        <w:rPr>
          <w:rFonts w:hint="cs"/>
          <w:rtl/>
        </w:rPr>
        <w:t xml:space="preserve"> כבר עומעם. אין תימה כי בשלב זה היו גורמים שסברו כי עצם קיומה של תכניות מאושרות ביחס לקרקע (תכנית 223 ו-223/1) מלמד שמדובר בקרקע תפוסה. משכך, "דילוג" על הקשיים בראשית שנות ה-80, ומיקוד תשומת הלב בבדיקות שנערכו בסוף שנות ה-90 לוקים במידה מסוימת של הנחת המבוקש. זאת, אף בהתעלם מכך שלגורמים צבאיים בכירים ובהם הממונה היה </w:t>
      </w:r>
      <w:r w:rsidRPr="0040646A">
        <w:rPr>
          <w:rFonts w:ascii="Century" w:hAnsi="Century" w:hint="cs"/>
          <w:sz w:val="22"/>
          <w:rtl/>
        </w:rPr>
        <w:t>ידוע</w:t>
      </w:r>
      <w:r>
        <w:rPr>
          <w:rFonts w:hint="cs"/>
          <w:rtl/>
        </w:rPr>
        <w:t xml:space="preserve"> </w:t>
      </w:r>
      <w:r>
        <w:rPr>
          <w:rtl/>
        </w:rPr>
        <w:t>–</w:t>
      </w:r>
      <w:r>
        <w:rPr>
          <w:rFonts w:hint="cs"/>
          <w:rtl/>
        </w:rPr>
        <w:t xml:space="preserve"> בסוף שנות ה-90 </w:t>
      </w:r>
      <w:r>
        <w:rPr>
          <w:rtl/>
        </w:rPr>
        <w:t>–</w:t>
      </w:r>
      <w:r>
        <w:rPr>
          <w:rFonts w:hint="cs"/>
          <w:rtl/>
        </w:rPr>
        <w:t xml:space="preserve"> שתכנית 223 </w:t>
      </w:r>
      <w:r w:rsidRPr="0040646A">
        <w:rPr>
          <w:rFonts w:ascii="Century" w:hAnsi="Century" w:cs="Miriam" w:hint="cs"/>
          <w:b/>
          <w:spacing w:val="0"/>
          <w:sz w:val="22"/>
          <w:szCs w:val="24"/>
          <w:rtl/>
        </w:rPr>
        <w:t>בוודאות</w:t>
      </w:r>
      <w:r w:rsidRPr="004576F4">
        <w:rPr>
          <w:rFonts w:hint="cs"/>
          <w:rtl/>
        </w:rPr>
        <w:t xml:space="preserve"> </w:t>
      </w:r>
      <w:r>
        <w:rPr>
          <w:rFonts w:hint="cs"/>
          <w:rtl/>
        </w:rPr>
        <w:t xml:space="preserve">אינה חופפת לצו התפיסה ואינה חופפת אף ל"תפיסה בפועל". </w:t>
      </w:r>
    </w:p>
    <w:p w:rsidR="004C7127" w:rsidRPr="002502A5" w:rsidRDefault="004C7127" w:rsidP="004C7127">
      <w:pPr>
        <w:pStyle w:val="Ruller41"/>
      </w:pPr>
    </w:p>
    <w:p w:rsidR="004C7127" w:rsidRDefault="004C7127" w:rsidP="004C7127">
      <w:pPr>
        <w:pStyle w:val="Ruller4"/>
      </w:pPr>
      <w:r>
        <w:rPr>
          <w:rFonts w:hint="cs"/>
          <w:rtl/>
        </w:rPr>
        <w:t xml:space="preserve">חברי המשנה לנשיאה (בדימ') </w:t>
      </w:r>
      <w:r>
        <w:rPr>
          <w:rFonts w:ascii="Century" w:hAnsi="Century" w:cs="Miriam" w:hint="cs"/>
          <w:b/>
          <w:spacing w:val="0"/>
          <w:sz w:val="22"/>
          <w:szCs w:val="24"/>
          <w:rtl/>
        </w:rPr>
        <w:t xml:space="preserve">נ' </w:t>
      </w:r>
      <w:r w:rsidRPr="00E906A2">
        <w:rPr>
          <w:rFonts w:ascii="Century" w:hAnsi="Century" w:cs="Miriam" w:hint="cs"/>
          <w:b/>
          <w:spacing w:val="0"/>
          <w:sz w:val="22"/>
          <w:szCs w:val="24"/>
          <w:rtl/>
        </w:rPr>
        <w:t xml:space="preserve">הנדל </w:t>
      </w:r>
      <w:r w:rsidRPr="00E906A2">
        <w:rPr>
          <w:rFonts w:ascii="Century" w:hAnsi="Century" w:hint="cs"/>
          <w:sz w:val="22"/>
          <w:rtl/>
        </w:rPr>
        <w:t xml:space="preserve">מצא בפסק הדין נושא הדיון הנוסף כי הצדדים צולחים את משוכת תום הלב </w:t>
      </w:r>
      <w:r>
        <w:rPr>
          <w:rFonts w:ascii="Century" w:hAnsi="Century" w:hint="cs"/>
          <w:sz w:val="22"/>
          <w:rtl/>
        </w:rPr>
        <w:t>ו</w:t>
      </w:r>
      <w:r w:rsidRPr="00E906A2">
        <w:rPr>
          <w:rFonts w:ascii="Century" w:hAnsi="Century" w:hint="cs"/>
          <w:sz w:val="22"/>
          <w:rtl/>
        </w:rPr>
        <w:t xml:space="preserve">מעיון בחוות דעתו נראה כי בקביעה זו הוא נשען, בין היתר, על הבדיקות שנערכו אגב בחירת המיקום הנוכחי של מצפה כרמים (ראו פסקה 20 </w:t>
      </w:r>
      <w:r>
        <w:rPr>
          <w:rFonts w:ascii="Century" w:hAnsi="Century" w:hint="cs"/>
          <w:sz w:val="22"/>
          <w:rtl/>
        </w:rPr>
        <w:t>לפסק דינו</w:t>
      </w:r>
      <w:r w:rsidRPr="00E906A2">
        <w:rPr>
          <w:rFonts w:ascii="Century" w:hAnsi="Century" w:hint="cs"/>
          <w:sz w:val="22"/>
          <w:rtl/>
        </w:rPr>
        <w:t>).</w:t>
      </w:r>
      <w:r>
        <w:rPr>
          <w:rFonts w:ascii="Century" w:hAnsi="Century" w:hint="cs"/>
          <w:sz w:val="22"/>
          <w:rtl/>
        </w:rPr>
        <w:t xml:space="preserve"> כך, מפנה חברי לדבריו של בלומנטל בבית המשפט המחוזי שלפיהם במסגרת בחירת מיקומו של מצפה כרמים ירד לשטח, וראה שם גדר, שהעידה על התפיסה בפועל. </w:t>
      </w:r>
      <w:r>
        <w:rPr>
          <w:rFonts w:hint="cs"/>
          <w:rtl/>
        </w:rPr>
        <w:t xml:space="preserve">איני סבור כי בדיקות אלו, שנעשו בשנת 1999, מעידות כי בעת החתימה על מי מהסכמי ההרשאה נערך "בירור של הנתון החשוד" כלשונו. זאת ועוד הבדיקות שנטען שנערכו, נעשו ביחס למיקום שאליו ייעדו את מצפה כרמים, אך אין חולק כי מצפה כרמים אינו ממוקם במיקום שאליו התכוון בלומנטל, והוא אף אישר שלא נכח בהצבת מצפה כרמים במיקום הנוכחי (ראו פרוטוקול הדיון בבית המשפט המחוזי, בעמ' 257, 260). אין די בכך שנעשו בדיקות על מקום "קרוב" למקום שבו הוצב מצפה כרמים כדי לקבוע שהצדדים לעסקה היו תמי לב והסירו את עננת החשדות (אף אם היה נכון לבחון את שאלת תום הלב בשנת 1999). זאת ועוד, בפסק דינו מציין חברי המשנה לנשיאה </w:t>
      </w:r>
      <w:r w:rsidRPr="00B36C9A">
        <w:rPr>
          <w:rFonts w:ascii="Century" w:hAnsi="Century" w:hint="cs"/>
          <w:sz w:val="22"/>
          <w:rtl/>
        </w:rPr>
        <w:t xml:space="preserve">כי "אם כן, בשנת 1999 </w:t>
      </w:r>
      <w:r w:rsidRPr="00B36C9A">
        <w:rPr>
          <w:rFonts w:ascii="Century" w:hAnsi="Century"/>
          <w:sz w:val="22"/>
          <w:rtl/>
        </w:rPr>
        <w:t>–</w:t>
      </w:r>
      <w:r w:rsidRPr="00B36C9A">
        <w:rPr>
          <w:rFonts w:ascii="Century" w:hAnsi="Century" w:hint="cs"/>
          <w:sz w:val="22"/>
          <w:rtl/>
        </w:rPr>
        <w:t xml:space="preserve"> וכך קודם לכן בסמוך, בשנת 1997 </w:t>
      </w:r>
      <w:r w:rsidRPr="00B36C9A">
        <w:rPr>
          <w:rFonts w:ascii="Century" w:hAnsi="Century"/>
          <w:sz w:val="22"/>
          <w:rtl/>
        </w:rPr>
        <w:t>–</w:t>
      </w:r>
      <w:r w:rsidRPr="00B36C9A">
        <w:rPr>
          <w:rFonts w:ascii="Century" w:hAnsi="Century" w:hint="cs"/>
          <w:sz w:val="22"/>
          <w:rtl/>
        </w:rPr>
        <w:t xml:space="preserve"> היו סימונים בשטח שתומכים במסקנה שהתפיסה בפועל כוללת את המקרקעין מושא המחלוקת,</w:t>
      </w:r>
      <w:r>
        <w:rPr>
          <w:rFonts w:hint="cs"/>
          <w:rtl/>
        </w:rPr>
        <w:t xml:space="preserve"> כפי שעולה מתכנית המתאר</w:t>
      </w:r>
      <w:r w:rsidRPr="00B36C9A">
        <w:rPr>
          <w:rFonts w:ascii="Century" w:hAnsi="Century" w:hint="cs"/>
          <w:sz w:val="22"/>
          <w:rtl/>
        </w:rPr>
        <w:t xml:space="preserve">" (פסקה 20). </w:t>
      </w:r>
      <w:r>
        <w:rPr>
          <w:rFonts w:ascii="Century" w:hAnsi="Century" w:hint="cs"/>
          <w:sz w:val="22"/>
          <w:rtl/>
        </w:rPr>
        <w:t>נראה לכאורה</w:t>
      </w:r>
      <w:r w:rsidRPr="00B36C9A">
        <w:rPr>
          <w:rFonts w:ascii="Century" w:hAnsi="Century" w:hint="cs"/>
          <w:sz w:val="22"/>
          <w:rtl/>
        </w:rPr>
        <w:t xml:space="preserve">, </w:t>
      </w:r>
      <w:r>
        <w:rPr>
          <w:rFonts w:ascii="Century" w:hAnsi="Century" w:hint="cs"/>
          <w:sz w:val="22"/>
          <w:rtl/>
        </w:rPr>
        <w:t xml:space="preserve">כי </w:t>
      </w:r>
      <w:r w:rsidRPr="00B36C9A">
        <w:rPr>
          <w:rFonts w:ascii="Century" w:hAnsi="Century" w:hint="cs"/>
          <w:sz w:val="22"/>
          <w:rtl/>
        </w:rPr>
        <w:t>אמירה זו חורגת מהתשתית העובדתית</w:t>
      </w:r>
      <w:r>
        <w:rPr>
          <w:rFonts w:ascii="Century" w:hAnsi="Century" w:hint="cs"/>
          <w:sz w:val="22"/>
          <w:rtl/>
        </w:rPr>
        <w:t xml:space="preserve"> שנקבעה בבית המשפט המחוזי שלפיה לא הובאו נתונים כדי להצביע שהתפיסה בפועל, באמצעות גדר</w:t>
      </w:r>
      <w:r w:rsidRPr="00B36C9A">
        <w:rPr>
          <w:rFonts w:ascii="Century" w:hAnsi="Century" w:hint="cs"/>
          <w:sz w:val="22"/>
          <w:rtl/>
        </w:rPr>
        <w:t>,</w:t>
      </w:r>
      <w:r>
        <w:rPr>
          <w:rFonts w:ascii="Century" w:hAnsi="Century" w:hint="cs"/>
          <w:sz w:val="22"/>
          <w:rtl/>
        </w:rPr>
        <w:t xml:space="preserve"> חפפה לגבולות תכנית 223. בעיני, אין בחומרים שלפנינו (כמו גם בחומרים שניצבו לפני בית המשפט המחוזי) כדי להצביע על האמור</w:t>
      </w:r>
      <w:r w:rsidRPr="00B36C9A">
        <w:rPr>
          <w:rFonts w:ascii="Century" w:hAnsi="Century" w:hint="cs"/>
          <w:sz w:val="22"/>
          <w:rtl/>
        </w:rPr>
        <w:t xml:space="preserve"> (וראו קביעתו המפורשת של בית המשפט המחוזי בהקשר זה, </w:t>
      </w:r>
      <w:r>
        <w:rPr>
          <w:rFonts w:ascii="Century" w:hAnsi="Century" w:hint="cs"/>
          <w:sz w:val="22"/>
          <w:rtl/>
        </w:rPr>
        <w:t xml:space="preserve">סעיפים 101-100 </w:t>
      </w:r>
      <w:r w:rsidRPr="00B36C9A">
        <w:rPr>
          <w:rFonts w:ascii="Century" w:hAnsi="Century" w:hint="cs"/>
          <w:sz w:val="22"/>
          <w:rtl/>
        </w:rPr>
        <w:t xml:space="preserve">לפסק הדין). </w:t>
      </w:r>
    </w:p>
    <w:p w:rsidR="004C7127" w:rsidRDefault="004C7127" w:rsidP="004C7127">
      <w:pPr>
        <w:pStyle w:val="Ruller4"/>
        <w:numPr>
          <w:ilvl w:val="0"/>
          <w:numId w:val="0"/>
        </w:numPr>
        <w:rPr>
          <w:rtl/>
        </w:rPr>
      </w:pPr>
    </w:p>
    <w:p w:rsidR="004C7127" w:rsidRDefault="004C7127" w:rsidP="004C7127">
      <w:pPr>
        <w:pStyle w:val="Ruller4"/>
        <w:rPr>
          <w:rtl/>
        </w:rPr>
      </w:pPr>
      <w:r>
        <w:rPr>
          <w:rFonts w:hint="cs"/>
          <w:rtl/>
        </w:rPr>
        <w:t xml:space="preserve">מכאן, שככל שאנו נסמכים על אירועים מאוחרים אלה, עלינו לבחון אם יש בהם כדי להאיר את תום לבם של הצדדים לעסקאות. הטענה המרכזית שנוגעת להתנהלות </w:t>
      </w:r>
      <w:r>
        <w:rPr>
          <w:rFonts w:hint="cs"/>
          <w:rtl/>
        </w:rPr>
        <w:lastRenderedPageBreak/>
        <w:t xml:space="preserve">הצדדים בשנים אלו נובעת מכך שהתפיסה הרווחת הייתה שעצם קיומה של תכנית בשטח מלמדת כי מדובר בשטח תפוס (ראו למשל סעיף 7 לתצהיר בלומנטל). תפיסה רווחת זו </w:t>
      </w:r>
      <w:r>
        <w:rPr>
          <w:rtl/>
        </w:rPr>
        <w:t>–</w:t>
      </w:r>
      <w:r>
        <w:rPr>
          <w:rFonts w:hint="cs"/>
          <w:rtl/>
        </w:rPr>
        <w:t xml:space="preserve"> אף אם שגויה </w:t>
      </w:r>
      <w:r>
        <w:rPr>
          <w:rtl/>
        </w:rPr>
        <w:t>–</w:t>
      </w:r>
      <w:r>
        <w:rPr>
          <w:rFonts w:hint="cs"/>
          <w:rtl/>
        </w:rPr>
        <w:t xml:space="preserve"> לא מלמדת אותנו דבר על תום הלב בעת החתימה על הסכם ההרשאה הראשון. על נורות האזהרה באותו מועד כבר עמדתי לעיל. ויותר מזה, כעולה מן החומרים באותן שנים לא ניתן משקל מתאים להיקף צו התפיסה ואף להיקף התפיסה בפועל. כעולה מדבריו של מי שהיה אז היועץ המשפטי לאזור, אל"מ שלמה פוליטיס, בבית המשפט המחוזי: </w:t>
      </w:r>
    </w:p>
    <w:p w:rsidR="004C7127" w:rsidRDefault="004C7127" w:rsidP="004C7127">
      <w:pPr>
        <w:pStyle w:val="Ruller41"/>
        <w:rPr>
          <w:rtl/>
        </w:rPr>
      </w:pPr>
    </w:p>
    <w:p w:rsidR="004C7127" w:rsidRDefault="004C7127" w:rsidP="004C7127">
      <w:pPr>
        <w:pStyle w:val="Ruller5"/>
        <w:rPr>
          <w:rtl/>
        </w:rPr>
      </w:pPr>
      <w:r>
        <w:rPr>
          <w:rFonts w:hint="cs"/>
          <w:rtl/>
        </w:rPr>
        <w:t>"על פי המדיניות המשפטית שאני נקטתי שטח שתפוס לצרכים צבאיים זה לא רק השטח התפוס בפועל לכוכב השחר, [...] כי שטח של יישוב הוא לא חי אך ורק על השטח הקטן. יש לו שטחי פיתוח גם מסביב. זה בעצם ברגע שבעצם זה מופיע במסגרת התכנית, [...] זה שטח שבעצם הוא תפוס לצרכים צבאיים" (בעמ' 105, ש' 12-7).</w:t>
      </w:r>
    </w:p>
    <w:p w:rsidR="004C7127" w:rsidRPr="0046655A" w:rsidRDefault="004C7127" w:rsidP="004C7127">
      <w:pPr>
        <w:pStyle w:val="Ruller41"/>
      </w:pPr>
    </w:p>
    <w:p w:rsidR="004C7127" w:rsidRDefault="004C7127" w:rsidP="00B2332E">
      <w:pPr>
        <w:pStyle w:val="Ruller4"/>
        <w:numPr>
          <w:ilvl w:val="0"/>
          <w:numId w:val="0"/>
        </w:numPr>
        <w:rPr>
          <w:rtl/>
        </w:rPr>
      </w:pPr>
      <w:r>
        <w:rPr>
          <w:rtl/>
        </w:rPr>
        <w:tab/>
      </w:r>
      <w:r>
        <w:rPr>
          <w:rFonts w:hint="cs"/>
          <w:rtl/>
        </w:rPr>
        <w:t xml:space="preserve">מהדברים משתמעת עמדה מוקשית: לא התפיסה בפועל הכתיבה את גבולות התכנית </w:t>
      </w:r>
      <w:r>
        <w:rPr>
          <w:rtl/>
        </w:rPr>
        <w:t>–</w:t>
      </w:r>
      <w:r>
        <w:rPr>
          <w:rFonts w:hint="cs"/>
          <w:rtl/>
        </w:rPr>
        <w:t xml:space="preserve"> כי אם התכנית היא זו שהכתיבה את גבולות התפיסה. </w:t>
      </w:r>
      <w:r>
        <w:rPr>
          <w:rFonts w:ascii="Century" w:hAnsi="Century" w:hint="cs"/>
          <w:rtl/>
        </w:rPr>
        <w:t xml:space="preserve">עמדה זו משקפת </w:t>
      </w:r>
      <w:r>
        <w:rPr>
          <w:rFonts w:ascii="Century" w:hAnsi="Century" w:cs="Miriam" w:hint="cs"/>
          <w:b/>
          <w:spacing w:val="0"/>
          <w:szCs w:val="24"/>
          <w:rtl/>
        </w:rPr>
        <w:t xml:space="preserve">מדיניות </w:t>
      </w:r>
      <w:r>
        <w:rPr>
          <w:rFonts w:ascii="Century" w:hAnsi="Century" w:hint="cs"/>
          <w:rtl/>
        </w:rPr>
        <w:t xml:space="preserve">שלפיה גבולות צו התפיסה אינם רלוונטיים לשאלה אם השטח תפוס או לא, אלא שטחה של התכנית המאושרת. בכך, יכול לבוא לידי ביטוי היפוך יוצרות </w:t>
      </w:r>
      <w:r>
        <w:rPr>
          <w:rFonts w:ascii="Century" w:hAnsi="Century"/>
          <w:rtl/>
        </w:rPr>
        <w:t>–</w:t>
      </w:r>
      <w:r>
        <w:rPr>
          <w:rFonts w:ascii="Century" w:hAnsi="Century" w:hint="cs"/>
          <w:rtl/>
        </w:rPr>
        <w:t xml:space="preserve"> וזאת מאחר שכזכור, תחומי התכנון המורשה אמורים להיגזר מגבולות צו התפיסה. כאן אולי יש מקום להזכיר שצו 997 (שגם מכוחו אושרה תכנית 223 להפקדה), בשמו המלא, הוא "</w:t>
      </w:r>
      <w:r w:rsidRPr="00DA1F69">
        <w:rPr>
          <w:rFonts w:ascii="Century" w:hAnsi="Century" w:hint="eastAsia"/>
          <w:rtl/>
        </w:rPr>
        <w:t>צו</w:t>
      </w:r>
      <w:r w:rsidRPr="00DA1F69">
        <w:rPr>
          <w:rFonts w:ascii="Century" w:hAnsi="Century"/>
          <w:rtl/>
        </w:rPr>
        <w:t xml:space="preserve"> </w:t>
      </w:r>
      <w:r w:rsidRPr="00DA1F69">
        <w:rPr>
          <w:rFonts w:ascii="Century" w:hAnsi="Century" w:hint="eastAsia"/>
          <w:rtl/>
        </w:rPr>
        <w:t>בדבר</w:t>
      </w:r>
      <w:r w:rsidRPr="00DA1F69">
        <w:rPr>
          <w:rFonts w:ascii="Century" w:hAnsi="Century"/>
          <w:rtl/>
        </w:rPr>
        <w:t xml:space="preserve"> </w:t>
      </w:r>
      <w:r w:rsidRPr="00DA1F69">
        <w:rPr>
          <w:rFonts w:ascii="Century" w:hAnsi="Century" w:hint="eastAsia"/>
          <w:rtl/>
        </w:rPr>
        <w:t>מתן</w:t>
      </w:r>
      <w:r w:rsidRPr="00DA1F69">
        <w:rPr>
          <w:rFonts w:ascii="Century" w:hAnsi="Century"/>
          <w:rtl/>
        </w:rPr>
        <w:t xml:space="preserve"> </w:t>
      </w:r>
      <w:r w:rsidRPr="00DA1F69">
        <w:rPr>
          <w:rFonts w:ascii="Century" w:hAnsi="Century" w:hint="eastAsia"/>
          <w:rtl/>
        </w:rPr>
        <w:t>היתרים</w:t>
      </w:r>
      <w:r w:rsidRPr="00DA1F69">
        <w:rPr>
          <w:rFonts w:ascii="Century" w:hAnsi="Century"/>
          <w:rtl/>
        </w:rPr>
        <w:t xml:space="preserve"> </w:t>
      </w:r>
      <w:r w:rsidRPr="00DA1F69">
        <w:rPr>
          <w:rFonts w:ascii="Century" w:hAnsi="Century" w:hint="eastAsia"/>
          <w:rtl/>
        </w:rPr>
        <w:t>לעבודות</w:t>
      </w:r>
      <w:r w:rsidRPr="00DA1F69">
        <w:rPr>
          <w:rFonts w:ascii="Century" w:hAnsi="Century"/>
          <w:rtl/>
        </w:rPr>
        <w:t xml:space="preserve"> </w:t>
      </w:r>
      <w:r w:rsidRPr="00DA1F69">
        <w:rPr>
          <w:rFonts w:ascii="Century" w:hAnsi="Century" w:cs="Miriam" w:hint="eastAsia"/>
          <w:b/>
          <w:spacing w:val="0"/>
          <w:szCs w:val="24"/>
          <w:rtl/>
        </w:rPr>
        <w:t>בשטחים</w:t>
      </w:r>
      <w:r w:rsidRPr="00DA1F69">
        <w:rPr>
          <w:rFonts w:ascii="Century" w:hAnsi="Century" w:cs="Miriam"/>
          <w:b/>
          <w:spacing w:val="0"/>
          <w:szCs w:val="24"/>
          <w:rtl/>
        </w:rPr>
        <w:t xml:space="preserve"> </w:t>
      </w:r>
      <w:r w:rsidRPr="00DA1F69">
        <w:rPr>
          <w:rFonts w:ascii="Century" w:hAnsi="Century" w:cs="Miriam" w:hint="eastAsia"/>
          <w:b/>
          <w:spacing w:val="0"/>
          <w:szCs w:val="24"/>
          <w:rtl/>
        </w:rPr>
        <w:t>תפוסים</w:t>
      </w:r>
      <w:r w:rsidRPr="00DA1F69">
        <w:rPr>
          <w:rFonts w:ascii="Century" w:hAnsi="Century"/>
          <w:rtl/>
        </w:rPr>
        <w:t xml:space="preserve"> </w:t>
      </w:r>
      <w:r w:rsidRPr="00DA1F69">
        <w:rPr>
          <w:rFonts w:ascii="Century" w:hAnsi="Century" w:hint="eastAsia"/>
          <w:rtl/>
        </w:rPr>
        <w:t>לצרכים</w:t>
      </w:r>
      <w:r w:rsidRPr="00DA1F69">
        <w:rPr>
          <w:rFonts w:ascii="Century" w:hAnsi="Century"/>
          <w:rtl/>
        </w:rPr>
        <w:t xml:space="preserve"> </w:t>
      </w:r>
      <w:r w:rsidRPr="00DA1F69">
        <w:rPr>
          <w:rFonts w:ascii="Century" w:hAnsi="Century" w:hint="eastAsia"/>
          <w:rtl/>
        </w:rPr>
        <w:t>צבאיים</w:t>
      </w:r>
      <w:r>
        <w:rPr>
          <w:rFonts w:ascii="Century" w:hAnsi="Century" w:hint="cs"/>
          <w:rtl/>
        </w:rPr>
        <w:t xml:space="preserve">" (ההדגשה הוספה </w:t>
      </w:r>
      <w:r>
        <w:rPr>
          <w:rFonts w:ascii="Century" w:hAnsi="Century"/>
          <w:rtl/>
        </w:rPr>
        <w:t>–</w:t>
      </w:r>
      <w:r>
        <w:rPr>
          <w:rFonts w:ascii="Century" w:hAnsi="Century" w:hint="cs"/>
          <w:rtl/>
        </w:rPr>
        <w:t xml:space="preserve"> ע' פ'). מכאן, שבעוד שניתן להבין את התפיסה המונחת ביסוד עמדת פוליטיס שלפיה הניח שקיומה של תכנית 223 מלמדת על קיומו של שטח תפוס; עמדתו שלפיה גבולות התכנית </w:t>
      </w:r>
      <w:r>
        <w:rPr>
          <w:rFonts w:ascii="Century" w:hAnsi="Century" w:cs="Miriam" w:hint="cs"/>
          <w:b/>
          <w:spacing w:val="0"/>
          <w:szCs w:val="24"/>
          <w:rtl/>
        </w:rPr>
        <w:t xml:space="preserve">מתווים </w:t>
      </w:r>
      <w:r>
        <w:rPr>
          <w:rFonts w:ascii="Century" w:hAnsi="Century" w:hint="cs"/>
          <w:rtl/>
        </w:rPr>
        <w:t>את גבולות השטח התפוס (בפועל) מגלמת מורכבות ממשית.</w:t>
      </w:r>
      <w:r>
        <w:rPr>
          <w:rFonts w:hint="cs"/>
          <w:rtl/>
        </w:rPr>
        <w:t xml:space="preserve"> עמדה זו שלא מייחסת משקל להיקפו של צו התפיסה עולה מעדויות נוספות, בין היתר מעדותו של בלומנטל שציין ששרטוט צו התפיסה "לא מעניין" אותו (פרוטוקול הדיון בבית המשפט המחוזי, בעמ' 257, ש' 30-28). הלך רוח זה לא עולה בקנה אחד עם חובת תום הלב (השוו: עניין </w:t>
      </w:r>
      <w:r w:rsidRPr="00B24EB9">
        <w:rPr>
          <w:rFonts w:ascii="Century" w:hAnsi="Century" w:cs="Miriam" w:hint="cs"/>
          <w:b/>
          <w:spacing w:val="0"/>
          <w:sz w:val="22"/>
          <w:szCs w:val="24"/>
          <w:rtl/>
        </w:rPr>
        <w:t>עלא</w:t>
      </w:r>
      <w:r>
        <w:rPr>
          <w:rFonts w:ascii="Century" w:hAnsi="Century" w:cs="Miriam" w:hint="cs"/>
          <w:b/>
          <w:spacing w:val="0"/>
          <w:sz w:val="22"/>
          <w:szCs w:val="24"/>
          <w:rtl/>
        </w:rPr>
        <w:t>-</w:t>
      </w:r>
      <w:r w:rsidRPr="00B24EB9">
        <w:rPr>
          <w:rFonts w:ascii="Century" w:hAnsi="Century" w:cs="Miriam" w:hint="cs"/>
          <w:b/>
          <w:spacing w:val="0"/>
          <w:sz w:val="22"/>
          <w:szCs w:val="24"/>
          <w:rtl/>
        </w:rPr>
        <w:t>אל</w:t>
      </w:r>
      <w:r>
        <w:rPr>
          <w:rFonts w:ascii="Century" w:hAnsi="Century" w:cs="Miriam" w:hint="cs"/>
          <w:b/>
          <w:spacing w:val="0"/>
          <w:sz w:val="22"/>
          <w:szCs w:val="24"/>
          <w:rtl/>
        </w:rPr>
        <w:t>-</w:t>
      </w:r>
      <w:r w:rsidRPr="00B24EB9">
        <w:rPr>
          <w:rFonts w:ascii="Century" w:hAnsi="Century" w:cs="Miriam" w:hint="cs"/>
          <w:b/>
          <w:spacing w:val="0"/>
          <w:sz w:val="22"/>
          <w:szCs w:val="24"/>
          <w:rtl/>
        </w:rPr>
        <w:t>דין</w:t>
      </w:r>
      <w:r>
        <w:rPr>
          <w:rFonts w:hint="cs"/>
          <w:rtl/>
        </w:rPr>
        <w:t xml:space="preserve">, בעמ' 437), והוא אינו יכול לעלות בקנה אחד עם חובות המפקד הצבאי, והדברים מקבלים משנה תוקף כאשר מדובר במקרקעין שידוע כי יש להם בעלים פרטיים. </w:t>
      </w:r>
    </w:p>
    <w:p w:rsidR="004C7127" w:rsidRDefault="004C7127" w:rsidP="004C7127">
      <w:pPr>
        <w:pStyle w:val="Ruller4"/>
        <w:numPr>
          <w:ilvl w:val="0"/>
          <w:numId w:val="0"/>
        </w:numPr>
      </w:pPr>
    </w:p>
    <w:p w:rsidR="004C7127" w:rsidRDefault="004C7127" w:rsidP="004C7127">
      <w:pPr>
        <w:pStyle w:val="Ruller4"/>
        <w:rPr>
          <w:rtl/>
        </w:rPr>
      </w:pPr>
      <w:r>
        <w:rPr>
          <w:rFonts w:hint="cs"/>
          <w:rtl/>
        </w:rPr>
        <w:t xml:space="preserve">לכל האמור לעיל יש להוסיף את כישלון תכנית 223/1/5 כאינדיקטור נוסף שהיה יכול להצביע (ואף הצביע בפועל) על קשיים בנוגע לשטח בתכנית 223. כזכור, במהלך קידום התכנית התברר כי השטח המיועד נמצא בתוך תחום צו סגירה לשטח אש, ולכן התבקש אישורו של אלוף הפיקוד (נספח 44 לתצהיר כספי). בדיון שהתקיים ביום </w:t>
      </w:r>
      <w:r>
        <w:rPr>
          <w:rFonts w:hint="cs"/>
          <w:rtl/>
        </w:rPr>
        <w:lastRenderedPageBreak/>
        <w:t xml:space="preserve">7.11.1999 בנוגע לתכנית, ציין האלוף כי "עבודת המטה בנדון היתה לקויה" וכי לא נערכה בחינה ראויה לנושא על ידי כלל הגורמים שנוגעים לדבר, וכי מיקום הקרוואנים (לפי התכנית) פוגע בשטח אש (נספח 45 לתצהיר). בדיון שהתקיים ביום 17.1.2000 הוחלט לעצור את ההליך התכנוני ולבדוק את ההשלכות של פינוי מצפה כרמים. כשבועיים לאחר מכן, כבר הוצבו הקרוואנים בשטח שבו הם היום </w:t>
      </w:r>
      <w:r>
        <w:rPr>
          <w:rtl/>
        </w:rPr>
        <w:t>–</w:t>
      </w:r>
      <w:r>
        <w:rPr>
          <w:rFonts w:hint="cs"/>
          <w:rtl/>
        </w:rPr>
        <w:t xml:space="preserve"> שאינו השטח שנבחן בהליך התכנוני. זאת ועוד, השטח שבו הוצבו הקרוואנים אף הוא בשטח אש. איננו יודעים כאמור אילו בדיקות נעשו, וממילא, בשלב זה לא נעשתה "עסקה" שיש לבחון את תום לב הצדדים לגביה. אך נדמה כי יהא זה קשה לומר כי ביחס למיקום שאליו הועבר הישוב נערכו בדיקות ממצות. אחת הטענות שהושמעו היא שבבסיס הרצון להעברת מצפה כרמים ממיקומו הישן, עמד הרצון להסדיר את היישוב, ולכן קשה, עד בלתי אפשרי, להעלות על הדעת שנבחר מקום שסברו שאינו חוקי. עמדה זו אינה משוללת הגיון על פניה, ולכן לו ניתן היה להצביע על הליך מסודר כלשהו, שסופו בהצבת מצפה כרמים במיקומו הנוכחי, ייתכן שניתן היה לומר שהדבר מצביע על כך שבשנת 2000 (19 שנים לאחר חתימת הסכם ההרשאה) סבר הממונה כי השטח תפוס. אך עדויות לכך אין. </w:t>
      </w:r>
    </w:p>
    <w:p w:rsidR="004C7127" w:rsidRDefault="004C7127" w:rsidP="004C7127">
      <w:pPr>
        <w:pStyle w:val="Ruller4"/>
        <w:numPr>
          <w:ilvl w:val="0"/>
          <w:numId w:val="0"/>
        </w:numPr>
        <w:rPr>
          <w:rFonts w:ascii="Century" w:hAnsi="Century" w:cs="Miriam"/>
          <w:b/>
          <w:spacing w:val="0"/>
          <w:sz w:val="22"/>
          <w:szCs w:val="24"/>
          <w:rtl/>
        </w:rPr>
      </w:pPr>
    </w:p>
    <w:p w:rsidR="004C7127" w:rsidRDefault="004C7127" w:rsidP="004C7127">
      <w:pPr>
        <w:pStyle w:val="Ruller4"/>
        <w:rPr>
          <w:rtl/>
        </w:rPr>
      </w:pPr>
      <w:r>
        <w:rPr>
          <w:rFonts w:hint="cs"/>
          <w:rtl/>
        </w:rPr>
        <w:t xml:space="preserve">לבסוף, יש להצביע על ההתרחשויות לאחר העלייה לקרקע. </w:t>
      </w:r>
      <w:r w:rsidRPr="00A1189C">
        <w:rPr>
          <w:rFonts w:ascii="Century" w:hAnsi="Century" w:hint="cs"/>
          <w:rtl/>
        </w:rPr>
        <w:t xml:space="preserve">בשנת 2003 </w:t>
      </w:r>
      <w:r w:rsidRPr="00A1189C">
        <w:rPr>
          <w:rFonts w:ascii="Century" w:hAnsi="Century"/>
          <w:rtl/>
        </w:rPr>
        <w:t>–</w:t>
      </w:r>
      <w:r w:rsidRPr="00A1189C">
        <w:rPr>
          <w:rFonts w:ascii="Century" w:hAnsi="Century" w:hint="cs"/>
          <w:rtl/>
        </w:rPr>
        <w:t xml:space="preserve"> שלוש שנים לאחר שהוצב היישוב מצפה כרמים במיקומו הנוכחי </w:t>
      </w:r>
      <w:r w:rsidRPr="00A1189C">
        <w:rPr>
          <w:rFonts w:ascii="Century" w:hAnsi="Century"/>
          <w:rtl/>
        </w:rPr>
        <w:t>–</w:t>
      </w:r>
      <w:r>
        <w:rPr>
          <w:rFonts w:hint="cs"/>
          <w:rtl/>
        </w:rPr>
        <w:t xml:space="preserve"> הוגשה תכנית מתאר מפורטת נוספת לכוכב השחר, תכנית 223/3. כעולה מתצהיר כספי, בדיקת הממונה העלתה אז שהתכנית חורגת מצו התפיסה ומאדמות המדינה (סעיף 38 לתצהיר). התכנית לא אושרה. ביום 11.5.2003 פנתה רכזת תכנון מיפוי ומדידות ליעוץ המשפטי לאזור </w:t>
      </w:r>
      <w:r>
        <w:rPr>
          <w:rtl/>
        </w:rPr>
        <w:t>–</w:t>
      </w:r>
      <w:r>
        <w:rPr>
          <w:rFonts w:hint="cs"/>
          <w:rtl/>
        </w:rPr>
        <w:t xml:space="preserve"> והצביעה על כך שגבולות תכנית חדשה שמקודמת (תכנית 223/4) חורג מצו התפיסה, וכי מבדיקה אף מתברר כי תכנית 223/1 חורגת מצו התפיסה. כלומר, הגם שלא מפורטות הבדיקות שנערכו, התגלה כי אין חפיפה בין צו התפיסה לבין התכניות המאושרות. מכתבים אלה מצביעים על הקושי בטענה שאי אפשר היה לדעת על היעדר החפיפה בזמן אמת (וממילא, כפי שהצבעתי לעיל, דבר אי החפיפה היה ידוע). מכתב זה נשלח בשנת 2003 </w:t>
      </w:r>
      <w:r>
        <w:rPr>
          <w:rtl/>
        </w:rPr>
        <w:t>–</w:t>
      </w:r>
      <w:r>
        <w:rPr>
          <w:rFonts w:hint="cs"/>
          <w:rtl/>
        </w:rPr>
        <w:t xml:space="preserve"> ואיננו יודעים אם נעשה דבר מה בהמשך לכך. נראה כי גם לאחר עליית מצפה כרמים למיקומו הנוכחי, פעילות גורמי המינהל לא הייתה מיטבית, בלשון המעטה. </w:t>
      </w:r>
    </w:p>
    <w:p w:rsidR="004C7127" w:rsidRDefault="004C7127" w:rsidP="004C7127">
      <w:pPr>
        <w:pStyle w:val="Ruller41"/>
        <w:rPr>
          <w:rFonts w:ascii="Century" w:hAnsi="Century"/>
          <w:rtl/>
        </w:rPr>
      </w:pPr>
      <w:r>
        <w:rPr>
          <w:rFonts w:hint="cs"/>
          <w:rtl/>
        </w:rPr>
        <w:t xml:space="preserve"> </w:t>
      </w:r>
    </w:p>
    <w:p w:rsidR="004C7127" w:rsidRPr="006F79E0" w:rsidRDefault="004C7127" w:rsidP="004C7127">
      <w:pPr>
        <w:pStyle w:val="30"/>
        <w:spacing w:before="0"/>
        <w:rPr>
          <w:rFonts w:ascii="Century" w:hAnsi="Century" w:cs="Miriam"/>
          <w:b/>
          <w:color w:val="auto"/>
          <w:spacing w:val="0"/>
          <w:sz w:val="22"/>
          <w:rtl/>
        </w:rPr>
      </w:pPr>
      <w:r w:rsidRPr="006F79E0">
        <w:rPr>
          <w:rFonts w:ascii="Century" w:hAnsi="Century" w:cs="Miriam" w:hint="cs"/>
          <w:b/>
          <w:color w:val="auto"/>
          <w:spacing w:val="0"/>
          <w:sz w:val="22"/>
          <w:rtl/>
        </w:rPr>
        <w:t xml:space="preserve">תום ליבה של ההסתדרות הציונית </w:t>
      </w:r>
    </w:p>
    <w:p w:rsidR="004C7127" w:rsidRDefault="004C7127" w:rsidP="004C7127">
      <w:pPr>
        <w:pStyle w:val="Ruller41"/>
        <w:rPr>
          <w:rFonts w:ascii="Century" w:hAnsi="Century"/>
          <w:rtl/>
        </w:rPr>
      </w:pPr>
    </w:p>
    <w:p w:rsidR="004C7127" w:rsidRDefault="004C7127" w:rsidP="004C7127">
      <w:pPr>
        <w:pStyle w:val="Ruller4"/>
        <w:rPr>
          <w:rtl/>
        </w:rPr>
      </w:pPr>
      <w:r>
        <w:rPr>
          <w:rFonts w:hint="cs"/>
          <w:rtl/>
        </w:rPr>
        <w:t xml:space="preserve">כזכור, בחינת תום הלב כנדרש בסעיף 5 לצו בדבר רכוש ממשלתי לא מתמצה בבחינת תום לבו של הממונה, והמתקשר עם הממונה נדרש לעמוד בדרישת תום לב סובייקטיבית "רגילה". המתקשרת עם הממונה בהקשר זה היא ההסתדרות הציונית, </w:t>
      </w:r>
      <w:r>
        <w:rPr>
          <w:rFonts w:hint="cs"/>
          <w:rtl/>
        </w:rPr>
        <w:lastRenderedPageBreak/>
        <w:t>ובעניין תום לבה לא נפרשה לפנינו או לפני בית המשפט המחוזי תשתית עובדתית רחבה. בעיקרם של דברים, ההסתדרות הציונית התקשרה עם הממונה לקבלת השטח לצורך הקמת יישוב. בחינת החומר הראייתי במקרה דנן מגלה שקיים קושי לקבוע שההסתדרות הציונית לא עצמה את עיניה אף בהקשר צר זה. ההסתדרות הציונית קיבלה לידה בשנת 1980 את צו תפיסת השטח. במסגרת המכתב שנלווה לצו התפיסה (נספח 10 לתצהיר כספי) הובהר גודלו (קטן משטח צו הסגירה בלמעלה מ-150 דונם, כאמור), ונכתב במפורש ביחס להסתדרות הציונית כך:</w:t>
      </w:r>
    </w:p>
    <w:p w:rsidR="004C7127" w:rsidRDefault="004C7127" w:rsidP="004C7127">
      <w:pPr>
        <w:pStyle w:val="Ruller41"/>
        <w:rPr>
          <w:rtl/>
        </w:rPr>
      </w:pPr>
    </w:p>
    <w:p w:rsidR="004C7127" w:rsidRDefault="004C7127" w:rsidP="004C7127">
      <w:pPr>
        <w:pStyle w:val="Ruller5"/>
        <w:rPr>
          <w:rtl/>
        </w:rPr>
      </w:pPr>
      <w:r>
        <w:rPr>
          <w:rFonts w:hint="cs"/>
          <w:rtl/>
        </w:rPr>
        <w:t>"</w:t>
      </w:r>
      <w:r w:rsidRPr="00E71EDC">
        <w:rPr>
          <w:rFonts w:hint="cs"/>
          <w:u w:val="single"/>
          <w:rtl/>
        </w:rPr>
        <w:t>ההסתדרות הציונית העולמית</w:t>
      </w:r>
    </w:p>
    <w:p w:rsidR="004C7127" w:rsidRDefault="004C7127" w:rsidP="004C7127">
      <w:pPr>
        <w:pStyle w:val="Ruller5"/>
        <w:numPr>
          <w:ilvl w:val="0"/>
          <w:numId w:val="22"/>
        </w:numPr>
        <w:tabs>
          <w:tab w:val="left" w:pos="1927"/>
        </w:tabs>
        <w:ind w:left="1643" w:right="1276" w:firstLine="1"/>
      </w:pPr>
      <w:r>
        <w:rPr>
          <w:rFonts w:hint="cs"/>
          <w:rtl/>
        </w:rPr>
        <w:t>תתאם על עבודה למימוש הצו עם נפת ירדן והח"מ בהודעה מראש של שבוע ימים.</w:t>
      </w:r>
    </w:p>
    <w:p w:rsidR="004C7127" w:rsidRDefault="004C7127" w:rsidP="004C7127">
      <w:pPr>
        <w:pStyle w:val="Ruller5"/>
        <w:numPr>
          <w:ilvl w:val="0"/>
          <w:numId w:val="22"/>
        </w:numPr>
        <w:tabs>
          <w:tab w:val="left" w:pos="1927"/>
        </w:tabs>
        <w:ind w:left="1643" w:right="1276" w:firstLine="1"/>
      </w:pPr>
      <w:r>
        <w:rPr>
          <w:rFonts w:hint="cs"/>
          <w:rtl/>
        </w:rPr>
        <w:t xml:space="preserve">תוודא אי חריגה מתחום הצו בעת עבודת המימוש. </w:t>
      </w:r>
    </w:p>
    <w:p w:rsidR="004C7127" w:rsidRDefault="004C7127" w:rsidP="004C7127">
      <w:pPr>
        <w:pStyle w:val="Ruller5"/>
        <w:numPr>
          <w:ilvl w:val="0"/>
          <w:numId w:val="22"/>
        </w:numPr>
        <w:tabs>
          <w:tab w:val="left" w:pos="1927"/>
        </w:tabs>
        <w:ind w:left="1643" w:right="1276" w:firstLine="1"/>
      </w:pPr>
      <w:r>
        <w:rPr>
          <w:rFonts w:hint="cs"/>
          <w:rtl/>
        </w:rPr>
        <w:t xml:space="preserve">תוודא העברת תוכניות מתאר ללשכת תכנון עליונה לאישור. </w:t>
      </w:r>
    </w:p>
    <w:p w:rsidR="004C7127" w:rsidRDefault="004C7127" w:rsidP="004C7127">
      <w:pPr>
        <w:pStyle w:val="Ruller5"/>
        <w:numPr>
          <w:ilvl w:val="0"/>
          <w:numId w:val="22"/>
        </w:numPr>
        <w:tabs>
          <w:tab w:val="left" w:pos="1927"/>
        </w:tabs>
        <w:ind w:left="1643" w:right="1276" w:firstLine="1"/>
      </w:pPr>
      <w:r>
        <w:rPr>
          <w:rFonts w:hint="cs"/>
          <w:rtl/>
        </w:rPr>
        <w:t xml:space="preserve">תוודא העברת תקציב לתשלום פיצויים דרך קמ"ט אפו'" (ההדגשה במקור </w:t>
      </w:r>
      <w:r>
        <w:rPr>
          <w:rtl/>
        </w:rPr>
        <w:t>–</w:t>
      </w:r>
      <w:r>
        <w:rPr>
          <w:rFonts w:hint="cs"/>
          <w:rtl/>
        </w:rPr>
        <w:t xml:space="preserve"> ע' פ'; יוער כי עוד קודם להוצאת צו התפיסה, במסגרת קידום אזרוח מאחז כוכב השחר הועברו הוראות דומות להסתדרות הציונית, ראו מכתב מיום 8.7.1980, נספח 8 לתצהיר כספי).</w:t>
      </w:r>
    </w:p>
    <w:p w:rsidR="004C7127" w:rsidRDefault="004C7127" w:rsidP="004C7127">
      <w:pPr>
        <w:pStyle w:val="Ruller41"/>
        <w:rPr>
          <w:rtl/>
        </w:rPr>
      </w:pPr>
    </w:p>
    <w:p w:rsidR="004C7127" w:rsidRPr="0082773E" w:rsidRDefault="004C7127" w:rsidP="004C7127">
      <w:pPr>
        <w:pStyle w:val="Ruller41"/>
        <w:rPr>
          <w:rFonts w:ascii="Century" w:hAnsi="Century"/>
          <w:rtl/>
        </w:rPr>
      </w:pPr>
      <w:r>
        <w:rPr>
          <w:rtl/>
        </w:rPr>
        <w:tab/>
      </w:r>
      <w:r>
        <w:rPr>
          <w:rFonts w:hint="cs"/>
          <w:rtl/>
        </w:rPr>
        <w:t xml:space="preserve">בהתאם לאמור לעיל, הגישה הסתדרות הציונית את תכנית 223. היא חתומה על התכנית והיא מוגדרת בתכנית כמי שהגישה אותה וכמי שערכה אותה. מתעוררת אפוא השאלה: כיצד מקבל גורם כלשהו לטיפולו שטח בן 850 דונם (תוך שהודגש שעליו לא לחרוג ממנו), חותם על הסכם שבו כתוב, ברחל בתך הקטנה, 1,071 דונם, ומגיש לאישור תכנית בת 1,416 דונם? עיון בתצהירים שהגישה ההסתדרות הציונית בבית המשפט המחוזי, מלמד כי לא ניתן הסבר ממשי לאי התאמה זו (המצהיר, מר יוסי שגב, שימש כסגן מנהל חטיבת חוזים בטחונות וקרקעות בהסתדרות הציונית משנת 1998, הגיש תצהיר הן מטעם ההסתדרות הציונית, הן מטעם המחזיקים). נטען כי הגבולות במפה שצורפו להסכם ההרשאה הראשון לא היו ברורים (שוב, כי שורטטו ב"טוש גס") וכי הגבולות הסופיים של ההקצאה נקבעו "פעמים רבות" במסגרת התכניות שאושרו על השטח (ראו למשל סעיפים 8-7 לתצהיר שגב שהוגש מטעם המחזיקים). האמור לא מסביר בעיני כיצד הגיעה ההסתדרות הציונית </w:t>
      </w:r>
      <w:r>
        <w:rPr>
          <w:rFonts w:ascii="Century" w:hAnsi="Century" w:cs="Miriam" w:hint="cs"/>
          <w:b/>
          <w:spacing w:val="0"/>
          <w:szCs w:val="24"/>
          <w:rtl/>
        </w:rPr>
        <w:t>להגיש</w:t>
      </w:r>
      <w:r>
        <w:rPr>
          <w:rFonts w:ascii="Century" w:hAnsi="Century" w:hint="cs"/>
          <w:rtl/>
        </w:rPr>
        <w:t xml:space="preserve"> תכנית שחורגת במאות דונמים מהסכם ההרשאה (ומצו התפיסה שנמסר לה). אכן, הפגם בשלב אישור התכנית נוגע לתום לבו של הממונה (כפי שכבר תיארתי לעיל); אך לפגם היסודי בשלב הגשת התכנית, שרובץ לפתחה של ההסתדרות הציונית, לא ניתן הסבר. </w:t>
      </w:r>
      <w:r>
        <w:rPr>
          <w:rFonts w:hint="cs"/>
          <w:rtl/>
        </w:rPr>
        <w:t xml:space="preserve">אף בהמשך הדרך, בשנת 1994 ההבהרות שיש אי התאמה בין התכנית לבין "התפיסה בפועל" נשלחו להסתדרות הציונית (נספח 22 לתצהיר כספי), וחרף האמור תכנית 223/1, אף היא תכנית שהוגשה ונערכה </w:t>
      </w:r>
      <w:r>
        <w:rPr>
          <w:rFonts w:hint="cs"/>
          <w:rtl/>
        </w:rPr>
        <w:lastRenderedPageBreak/>
        <w:t xml:space="preserve">על ידי ההסתדרות הציונית, מוגשת ללא שינוי בהיקף השטח (ואף בהוספת מספר דונמים). </w:t>
      </w:r>
    </w:p>
    <w:p w:rsidR="004C7127" w:rsidRDefault="004C7127" w:rsidP="004C7127">
      <w:pPr>
        <w:pStyle w:val="Ruller4"/>
        <w:numPr>
          <w:ilvl w:val="0"/>
          <w:numId w:val="0"/>
        </w:numPr>
      </w:pPr>
    </w:p>
    <w:p w:rsidR="004C7127" w:rsidRDefault="004C7127" w:rsidP="004C7127">
      <w:pPr>
        <w:pStyle w:val="Ruller4"/>
        <w:rPr>
          <w:rtl/>
        </w:rPr>
      </w:pPr>
      <w:r w:rsidRPr="00424C40">
        <w:rPr>
          <w:rFonts w:hint="cs"/>
          <w:rtl/>
        </w:rPr>
        <w:t>בעיני</w:t>
      </w:r>
      <w:r>
        <w:rPr>
          <w:rFonts w:hint="cs"/>
          <w:rtl/>
        </w:rPr>
        <w:t xml:space="preserve"> קיים</w:t>
      </w:r>
      <w:r w:rsidRPr="00424C40">
        <w:rPr>
          <w:rFonts w:hint="cs"/>
          <w:rtl/>
        </w:rPr>
        <w:t xml:space="preserve"> ספק של ממש </w:t>
      </w:r>
      <w:r>
        <w:rPr>
          <w:rFonts w:hint="cs"/>
          <w:rtl/>
        </w:rPr>
        <w:t>בדבר ה</w:t>
      </w:r>
      <w:r w:rsidRPr="00424C40">
        <w:rPr>
          <w:rFonts w:hint="cs"/>
          <w:rtl/>
        </w:rPr>
        <w:t>אפשרות שבעל תפקיד כלשהו יכול היה,</w:t>
      </w:r>
      <w:r>
        <w:rPr>
          <w:rFonts w:hint="cs"/>
          <w:rtl/>
        </w:rPr>
        <w:t xml:space="preserve"> אף</w:t>
      </w:r>
      <w:r w:rsidRPr="00424C40">
        <w:rPr>
          <w:rFonts w:hint="cs"/>
          <w:rtl/>
        </w:rPr>
        <w:t xml:space="preserve"> ברשלנות, לתכנן את</w:t>
      </w:r>
      <w:r>
        <w:rPr>
          <w:rFonts w:hint="cs"/>
          <w:rtl/>
        </w:rPr>
        <w:t xml:space="preserve"> תכנית 223 מבלי להבין שהיא חורגת חריגה רבתי מצו התפיסה (ואף מצו הסגירה). מדובר בעצימת עיניים מובהקת, שכן אף אם הייתה סברה שיש לתכנן לפי תפיסה בפועל, הרי שבידי המתכנן היו שני מסמכים ברורים בכתב שמתייחסים לשטחים בהיקף אחר (המכתב הנלווה לצו התפיסה והסכם ההרשאה הראשון). מדובר בחריגה של מאות דונמים, שמהווה נורה אדומה בוהקת, ולא הוצגה בדיקה שנעשתה כדי לברר ולהפיג את החשד. </w:t>
      </w:r>
    </w:p>
    <w:p w:rsidR="004C7127" w:rsidRDefault="004C7127" w:rsidP="004C7127">
      <w:pPr>
        <w:pStyle w:val="Ruller41"/>
        <w:rPr>
          <w:rFonts w:ascii="Century" w:hAnsi="Century"/>
          <w:rtl/>
        </w:rPr>
      </w:pPr>
    </w:p>
    <w:p w:rsidR="004C7127" w:rsidRDefault="004C7127" w:rsidP="004C7127">
      <w:pPr>
        <w:pStyle w:val="Ruller4"/>
      </w:pPr>
      <w:r>
        <w:rPr>
          <w:rFonts w:hint="cs"/>
          <w:rtl/>
        </w:rPr>
        <w:t xml:space="preserve">אסכם: לא מצאתי כי בעסקה, ככל שהייתה כזו ביחס לשטחים נושא הדיון הנוסף, היו הצדדים תמי לב. לפני הממונה ניצבה שורת נורות אזהרה בוהקות שלא ניתן להן מענה (ולא כל שכן מענה מספק). זאת, הן במועד החתימה על הסכם ההרשאה הראשון, הן במועד החתימה על ההסכמים מהשנים 1990 ו-1995. בשלבים מסוימים אף הייתה ידיעה ברורה כי אין חפיפה בין התפיסה בפועל לבין תכנית 223, ודבר לא נעשה. קביעה כי במצב דברים זה היה הממונה תם לב תציב את רף תום הלב לפי סעיף 5 במקום נמוך מתום הלב הסובייקטיבי שנדרש בתקנות שוק אחרות בדין הישראלי. לא זו אמת המידה שנדרשת מהממונה. לצד זאת, איני סבור כי ההסתדרות הציונית הייתה תמת לב במסגרת העסקה עם הממונה. זאת, בעיקר בשל עצימת העיניים בהתייחס לפער הבלתי מוסבר בין התכנית שהגישה לאישור (תכנית 223) לבין היקף השטחים שהתבקשה לתכנן לגביהם בצו התפיסה והיקף השטחים שקיבלה לידיה במסגרת הסכם ההרשאה. </w:t>
      </w:r>
    </w:p>
    <w:p w:rsidR="004C7127" w:rsidRDefault="004C7127" w:rsidP="004C7127">
      <w:pPr>
        <w:pStyle w:val="Ruller41"/>
        <w:rPr>
          <w:rtl/>
        </w:rPr>
      </w:pPr>
    </w:p>
    <w:p w:rsidR="004C7127" w:rsidRDefault="004C7127" w:rsidP="004C7127">
      <w:pPr>
        <w:pStyle w:val="1"/>
        <w:spacing w:before="0"/>
        <w:rPr>
          <w:rFonts w:ascii="Century" w:hAnsi="Century" w:cs="Miriam"/>
          <w:b/>
          <w:color w:val="auto"/>
          <w:spacing w:val="0"/>
          <w:sz w:val="22"/>
          <w:szCs w:val="24"/>
          <w:rtl/>
        </w:rPr>
      </w:pPr>
      <w:r>
        <w:rPr>
          <w:rFonts w:ascii="Century" w:hAnsi="Century" w:cs="Miriam" w:hint="cs"/>
          <w:b/>
          <w:color w:val="auto"/>
          <w:spacing w:val="0"/>
          <w:sz w:val="22"/>
          <w:szCs w:val="24"/>
          <w:rtl/>
        </w:rPr>
        <w:t>אחר הדברים האלה</w:t>
      </w:r>
    </w:p>
    <w:p w:rsidR="004C7127" w:rsidRDefault="004C7127" w:rsidP="004C7127">
      <w:pPr>
        <w:rPr>
          <w:rtl/>
        </w:rPr>
      </w:pPr>
    </w:p>
    <w:p w:rsidR="004C7127" w:rsidRDefault="004C7127" w:rsidP="004C7127">
      <w:pPr>
        <w:pStyle w:val="Ruller4"/>
        <w:rPr>
          <w:rFonts w:ascii="Century" w:hAnsi="Century"/>
          <w:sz w:val="22"/>
          <w:rtl/>
        </w:rPr>
      </w:pPr>
      <w:r>
        <w:rPr>
          <w:rFonts w:hint="cs"/>
          <w:rtl/>
        </w:rPr>
        <w:t xml:space="preserve">לאחר כתיבת הדברים הגיעו אליי חוות הדעת של חבריי וחברותיי, ובהן חוות דעתם של המשנה לנשיאה (בדימ') </w:t>
      </w:r>
      <w:r>
        <w:rPr>
          <w:rFonts w:ascii="Century" w:hAnsi="Century" w:cs="Miriam" w:hint="cs"/>
          <w:b/>
          <w:spacing w:val="0"/>
          <w:sz w:val="22"/>
          <w:szCs w:val="24"/>
          <w:rtl/>
        </w:rPr>
        <w:t xml:space="preserve">נ' הנדל </w:t>
      </w:r>
      <w:r>
        <w:rPr>
          <w:rFonts w:ascii="Century" w:hAnsi="Century" w:hint="cs"/>
          <w:sz w:val="22"/>
          <w:rtl/>
        </w:rPr>
        <w:t xml:space="preserve">ושל השופטים </w:t>
      </w:r>
      <w:r>
        <w:rPr>
          <w:rFonts w:ascii="Century" w:hAnsi="Century" w:cs="Miriam" w:hint="cs"/>
          <w:b/>
          <w:spacing w:val="0"/>
          <w:sz w:val="22"/>
          <w:szCs w:val="24"/>
          <w:rtl/>
        </w:rPr>
        <w:t xml:space="preserve">נ' סולברג </w:t>
      </w:r>
      <w:r>
        <w:rPr>
          <w:rFonts w:ascii="Century" w:hAnsi="Century" w:hint="cs"/>
          <w:sz w:val="22"/>
          <w:rtl/>
        </w:rPr>
        <w:t>ו</w:t>
      </w:r>
      <w:r>
        <w:rPr>
          <w:rFonts w:ascii="Century" w:hAnsi="Century" w:cs="Miriam" w:hint="cs"/>
          <w:b/>
          <w:spacing w:val="0"/>
          <w:sz w:val="22"/>
          <w:szCs w:val="24"/>
          <w:rtl/>
        </w:rPr>
        <w:t>ד' ברק-ארז</w:t>
      </w:r>
      <w:r w:rsidRPr="00B907A1">
        <w:rPr>
          <w:rFonts w:ascii="Century" w:hAnsi="Century"/>
          <w:sz w:val="22"/>
          <w:rtl/>
        </w:rPr>
        <w:t>.</w:t>
      </w:r>
      <w:r>
        <w:rPr>
          <w:rFonts w:hint="cs"/>
          <w:rtl/>
        </w:rPr>
        <w:t xml:space="preserve"> ראשית, אבקש להתייחס בתמצית לחלק מקביעותיו של חברי השופט </w:t>
      </w:r>
      <w:r>
        <w:rPr>
          <w:rFonts w:ascii="Century" w:hAnsi="Century" w:cs="Miriam" w:hint="cs"/>
          <w:b/>
          <w:spacing w:val="0"/>
          <w:sz w:val="22"/>
          <w:szCs w:val="24"/>
          <w:rtl/>
        </w:rPr>
        <w:t>נ' סולברג</w:t>
      </w:r>
      <w:r>
        <w:rPr>
          <w:rFonts w:ascii="Century" w:hAnsi="Century" w:hint="cs"/>
          <w:sz w:val="22"/>
          <w:rtl/>
        </w:rPr>
        <w:t xml:space="preserve"> בחוות דעתו.</w:t>
      </w:r>
    </w:p>
    <w:p w:rsidR="004C7127" w:rsidRDefault="004C7127" w:rsidP="004C7127">
      <w:pPr>
        <w:pStyle w:val="Ruller41"/>
        <w:rPr>
          <w:rtl/>
        </w:rPr>
      </w:pPr>
    </w:p>
    <w:p w:rsidR="004C7127" w:rsidRDefault="004C7127" w:rsidP="002F6BA8">
      <w:pPr>
        <w:pStyle w:val="Ruller40"/>
        <w:rPr>
          <w:rtl/>
        </w:rPr>
      </w:pPr>
      <w:r>
        <w:rPr>
          <w:rFonts w:hint="cs"/>
          <w:rtl/>
        </w:rPr>
        <w:t xml:space="preserve">בבחינת השאלה אם הקרקע שבו מוקם לימים מצפה כרמים נכללה בהסכם ההרשאה חברי מציין כי להסכם ההרשאה צורפה "מפה כלשהי, שדמתה לזו של צו הסגירה" (פסקה </w:t>
      </w:r>
      <w:r w:rsidR="002F6BA8">
        <w:rPr>
          <w:rFonts w:hint="cs"/>
          <w:rtl/>
        </w:rPr>
        <w:t>72</w:t>
      </w:r>
      <w:r>
        <w:rPr>
          <w:rFonts w:hint="cs"/>
          <w:rtl/>
        </w:rPr>
        <w:t xml:space="preserve"> לחוות דעתו). נראה כי חברי אינו רואה במפה ככזו שמשקפת את אומד דעת הצדדים להסכם ההרשאה. זאת על אף לשונו המפורשת של הסכם ההרשאה </w:t>
      </w:r>
      <w:r>
        <w:rPr>
          <w:rtl/>
        </w:rPr>
        <w:t>–</w:t>
      </w:r>
      <w:r>
        <w:rPr>
          <w:rFonts w:hint="cs"/>
          <w:rtl/>
        </w:rPr>
        <w:t xml:space="preserve"> הסכם שנוגע לשטח "הכולל 1071 דונם" (ראו ב"הואיל" הראשון להסכם). שטח זה, </w:t>
      </w:r>
      <w:r>
        <w:rPr>
          <w:rFonts w:hint="cs"/>
          <w:rtl/>
        </w:rPr>
        <w:lastRenderedPageBreak/>
        <w:t xml:space="preserve">בן 1,071 דונם זהה </w:t>
      </w:r>
      <w:r>
        <w:rPr>
          <w:rtl/>
        </w:rPr>
        <w:t>–</w:t>
      </w:r>
      <w:r>
        <w:rPr>
          <w:rFonts w:hint="cs"/>
          <w:rtl/>
        </w:rPr>
        <w:t xml:space="preserve"> </w:t>
      </w:r>
      <w:r w:rsidRPr="0032082B">
        <w:rPr>
          <w:rFonts w:ascii="Century" w:hAnsi="Century" w:cs="Miriam" w:hint="cs"/>
          <w:b/>
          <w:spacing w:val="0"/>
          <w:szCs w:val="24"/>
          <w:rtl/>
        </w:rPr>
        <w:t xml:space="preserve">ואין מדובר </w:t>
      </w:r>
      <w:r>
        <w:rPr>
          <w:rFonts w:ascii="Century" w:hAnsi="Century" w:cs="Miriam" w:hint="cs"/>
          <w:b/>
          <w:spacing w:val="0"/>
          <w:szCs w:val="24"/>
          <w:rtl/>
        </w:rPr>
        <w:t xml:space="preserve">ביד המקרה </w:t>
      </w:r>
      <w:r>
        <w:rPr>
          <w:rtl/>
        </w:rPr>
        <w:t>–</w:t>
      </w:r>
      <w:r>
        <w:rPr>
          <w:rFonts w:hint="cs"/>
          <w:rtl/>
        </w:rPr>
        <w:t xml:space="preserve"> לפירוט הדקדקני של השטח שדווח בשנת 1975 שנסגר בצו הסגירה (נספח 5 לתצהיר כספי; וראו בהקשר זה את עמדת חברי בדבר חוסר הדיוק של המפות באותה התקופה) ולהיקף השטח </w:t>
      </w:r>
      <w:r>
        <w:rPr>
          <w:rFonts w:ascii="Century" w:hAnsi="Century" w:cs="Miriam" w:hint="cs"/>
          <w:b/>
          <w:spacing w:val="0"/>
          <w:szCs w:val="24"/>
          <w:rtl/>
        </w:rPr>
        <w:t>המדויק</w:t>
      </w:r>
      <w:r>
        <w:rPr>
          <w:rFonts w:ascii="Century" w:hAnsi="Century" w:hint="cs"/>
          <w:rtl/>
        </w:rPr>
        <w:t xml:space="preserve"> שנסגר בצו הסגירה כש"מזינים" אותו למערכות ממוחשבות בנות ימינו (ראו פסקה 71 לחוות דעתי). חרף לשונו הברורה של ההסכם שקובעת שהשטח המוקצה הוא בן 1,070 דונם; חרף העובדה כי צורפה להסכם מפה "דומה" לזו של צו הסגירה (ואעיר </w:t>
      </w:r>
      <w:r>
        <w:rPr>
          <w:rFonts w:ascii="Century" w:hAnsi="Century"/>
          <w:rtl/>
        </w:rPr>
        <w:t>–</w:t>
      </w:r>
      <w:r>
        <w:rPr>
          <w:rFonts w:ascii="Century" w:hAnsi="Century" w:hint="cs"/>
          <w:rtl/>
        </w:rPr>
        <w:t xml:space="preserve"> דומה עד מאוד); חרף העובדה שכשנסגר השטח דווח בזמן אמת על סגירה בפועל של 1,070 דונם; וחרף העובדה כי צו הסגירה היקפו, במדידה עכשווית במחשב, הוא 1,071 דונם </w:t>
      </w:r>
      <w:r>
        <w:rPr>
          <w:rFonts w:ascii="Century" w:hAnsi="Century"/>
          <w:rtl/>
        </w:rPr>
        <w:t>–</w:t>
      </w:r>
      <w:r>
        <w:rPr>
          <w:rFonts w:ascii="Century" w:hAnsi="Century" w:hint="cs"/>
          <w:rtl/>
        </w:rPr>
        <w:t xml:space="preserve"> קובע חברי כי הצדדים כולם, בשנת 1981 לא ייחסו למפה חשיבות, לא ראו בה "כתוחמת במדויק, אף לא באופן גס, את שטח ההרשאה" וכי הטעות בצירוף המפה היא בבחינת ליקוי טכני שלא חורג מטעות שבהיסח הדעת. בעיני קביעה זו מוקשית. וככל שהצדדים עשו בחירה </w:t>
      </w:r>
      <w:r>
        <w:rPr>
          <w:rFonts w:ascii="Century" w:hAnsi="Century" w:cs="Miriam" w:hint="cs"/>
          <w:b/>
          <w:spacing w:val="0"/>
          <w:szCs w:val="24"/>
          <w:rtl/>
        </w:rPr>
        <w:t xml:space="preserve">מודעת </w:t>
      </w:r>
      <w:r>
        <w:rPr>
          <w:rFonts w:ascii="Century" w:hAnsi="Century" w:hint="cs"/>
          <w:rtl/>
        </w:rPr>
        <w:t xml:space="preserve">לחרוג מלשונו של ההסכם ומהמפה שצורפה לו </w:t>
      </w:r>
      <w:r>
        <w:rPr>
          <w:rFonts w:ascii="Century" w:hAnsi="Century"/>
          <w:rtl/>
        </w:rPr>
        <w:t>–</w:t>
      </w:r>
      <w:r>
        <w:rPr>
          <w:rFonts w:ascii="Century" w:hAnsi="Century" w:hint="cs"/>
          <w:rtl/>
        </w:rPr>
        <w:t xml:space="preserve"> אין כל הסבר מדוע טעות זו לא תוקנה בהסכמי ההרשאה האחרים שנחתמו. ואדגיש כי</w:t>
      </w:r>
      <w:r>
        <w:rPr>
          <w:rFonts w:hint="cs"/>
          <w:rtl/>
        </w:rPr>
        <w:t xml:space="preserve"> ההסכם משנת 1997 (שהוא, לשיטת חברי, ההסכם הרלוונטי לבדיקת התקיימות תנאי סעיף 5) אינו שכפול צילומי של הסכם ההרשאה הראשון (נתון שיכול היה להסביר את המחדל באי תיקון ההסכם; ראו סעיף 139 לפסק הדין של בית המשפט המחוזי). חרף האמור, באף אחד מן ההסכמים לא תוקנו הליקויים שהובאו לעיל. </w:t>
      </w:r>
    </w:p>
    <w:p w:rsidR="004C7127" w:rsidRDefault="004C7127" w:rsidP="004C7127">
      <w:pPr>
        <w:pStyle w:val="Ruller41"/>
        <w:rPr>
          <w:rtl/>
        </w:rPr>
      </w:pPr>
    </w:p>
    <w:p w:rsidR="004C7127" w:rsidRDefault="004C7127" w:rsidP="00D921C5">
      <w:pPr>
        <w:pStyle w:val="Ruller40"/>
        <w:rPr>
          <w:rtl/>
        </w:rPr>
      </w:pPr>
      <w:r>
        <w:rPr>
          <w:rFonts w:hint="cs"/>
          <w:rtl/>
        </w:rPr>
        <w:t xml:space="preserve">בבחינת תום הלב במקרה דנן, חברי מייחס חשיבות לכך שנהרי חתם על תכניות 223 ו-223/1, ובכך, לשיטת חברי "ביטא הממונה את הנחתו כי המקרקעין דנן נתפסו על-ידי המפקד הצבאי" (פסקה </w:t>
      </w:r>
      <w:r w:rsidR="00822EAD">
        <w:rPr>
          <w:rFonts w:hint="cs"/>
          <w:rtl/>
        </w:rPr>
        <w:t>94</w:t>
      </w:r>
      <w:r>
        <w:rPr>
          <w:rFonts w:hint="cs"/>
          <w:rtl/>
        </w:rPr>
        <w:t xml:space="preserve"> לחוות דעתו). ואולם, ואולי בכך נעוץ עיקר השוני בין חוות דעתי לחוות דעתו של חברי, אין לשיטתי די בהנחות של הגורם המינהלי בדבר תפיסתה של קרקע, בפרט לא בנסיבות המורכבות של המקרה דנן.</w:t>
      </w:r>
      <w:r w:rsidRPr="005139F4">
        <w:rPr>
          <w:rFonts w:hint="cs"/>
          <w:rtl/>
        </w:rPr>
        <w:t xml:space="preserve"> </w:t>
      </w:r>
      <w:r>
        <w:rPr>
          <w:rFonts w:hint="cs"/>
          <w:rtl/>
        </w:rPr>
        <w:t xml:space="preserve">כאמור, במסגרת הוצאת צו התפיסה (בשטח בהיקף 850 דונם) ניתנו הנחיות ברורות להודיע על תפיסת השטח לבעלי הקרקעות ולמוכתרים </w:t>
      </w:r>
      <w:r>
        <w:rPr>
          <w:rtl/>
        </w:rPr>
        <w:t>–</w:t>
      </w:r>
      <w:r>
        <w:rPr>
          <w:rFonts w:hint="cs"/>
          <w:rtl/>
        </w:rPr>
        <w:t xml:space="preserve"> וזאת גם בשל העובדה שהיה בידי המפקד הצבאי באזור ובידי הממונה האפשרות להצביע על זהות הבעלים של "כל חלקה וחלקה" (נספח 1 לתצהיר כספי). כיצד יכול </w:t>
      </w:r>
      <w:r w:rsidRPr="0061271C">
        <w:rPr>
          <w:rFonts w:ascii="Century" w:hAnsi="Century" w:cs="Miriam" w:hint="cs"/>
          <w:b/>
          <w:spacing w:val="0"/>
          <w:szCs w:val="24"/>
          <w:rtl/>
        </w:rPr>
        <w:t>להניח</w:t>
      </w:r>
      <w:r w:rsidRPr="00AA2BCC">
        <w:rPr>
          <w:rFonts w:hint="cs"/>
          <w:rtl/>
        </w:rPr>
        <w:t xml:space="preserve"> </w:t>
      </w:r>
      <w:r>
        <w:rPr>
          <w:rFonts w:ascii="Century" w:hAnsi="Century" w:hint="cs"/>
          <w:rtl/>
        </w:rPr>
        <w:t>מי שניתנו בידיו הוראות שכאלו, לתפיסת 850 דונם, כי נתפסו בפועל 1,416 דונם (ללא הוראה מסודרת כלשהי, לא כל שכן הנחיות מפורטות; ואף בהתעלם מכך שצו התפיסה נועד, במפורש, לצמצם מגודלו של צו הסגירה)? ואף אם הניח כך הממונה, כיצד ניתן לומר כי הנחה זו עומדת בדרישת תום הלב שמשמיע סעיף 5?</w:t>
      </w:r>
      <w:r>
        <w:rPr>
          <w:rFonts w:hint="cs"/>
          <w:rtl/>
        </w:rPr>
        <w:t xml:space="preserve"> גורם מינהלי שפועל על פי הנחות, כאשר בידו אמצעי פשוט וזמין לבדיקת העובדות לאשורן </w:t>
      </w:r>
      <w:r>
        <w:rPr>
          <w:rtl/>
        </w:rPr>
        <w:t>–</w:t>
      </w:r>
      <w:r>
        <w:rPr>
          <w:rFonts w:hint="cs"/>
          <w:rtl/>
        </w:rPr>
        <w:t xml:space="preserve"> ולא ביצע בדיקות מעין אלה </w:t>
      </w:r>
      <w:r>
        <w:rPr>
          <w:rtl/>
        </w:rPr>
        <w:t>–</w:t>
      </w:r>
      <w:r>
        <w:rPr>
          <w:rFonts w:hint="cs"/>
          <w:rtl/>
        </w:rPr>
        <w:t xml:space="preserve"> לא יכול לחסות תחת הגנת סעיף 5. בכך מתקשר הדבר גם לנורה השנייה שעליה הצבעתי בחוות דעתי </w:t>
      </w:r>
      <w:r>
        <w:rPr>
          <w:rtl/>
        </w:rPr>
        <w:t>–</w:t>
      </w:r>
      <w:r>
        <w:rPr>
          <w:rFonts w:hint="cs"/>
          <w:rtl/>
        </w:rPr>
        <w:t xml:space="preserve"> היותם של המקרקעין מוסדרים. חברי ציין שלא ירד לסוף דעתי בהקשר זה, ועל כן ראיתי לבאר. </w:t>
      </w:r>
      <w:r>
        <w:rPr>
          <w:rFonts w:hint="cs"/>
          <w:rtl/>
        </w:rPr>
        <w:lastRenderedPageBreak/>
        <w:t xml:space="preserve">בידי הממונה הייתה האפשרות להבין בנקל כי "עודף" הקרקעות מהחוזה שעליו חתם (ושלו, כדברי חברי, לא ייחס "משמעות רבה") כולל קרקעות בבעלות פרטית, ושאליהן לא התייחס צו התפיסה שקיבל לידיו. לשיטתי, דווקא במצב דברים מעין זה, שבו הובאה לעיונו של הממונה מפה שמעידה על תפיסה של שטחים בבעלות פרטית מבלי שניתן לגביהם צו כלשהו של המפקד הצבאי </w:t>
      </w:r>
      <w:r>
        <w:rPr>
          <w:rtl/>
        </w:rPr>
        <w:t>–</w:t>
      </w:r>
      <w:r>
        <w:rPr>
          <w:rFonts w:hint="cs"/>
          <w:rtl/>
        </w:rPr>
        <w:t xml:space="preserve"> הייתה לפניו נורה אדומה בוהקת. בהקשר זה אוסיף, בתמצית, בכל הנוגע לתום לבה של ההסתדרות הציונית (פסקה </w:t>
      </w:r>
      <w:r w:rsidR="00D921C5">
        <w:rPr>
          <w:rFonts w:hint="cs"/>
          <w:rtl/>
        </w:rPr>
        <w:t>99</w:t>
      </w:r>
      <w:r>
        <w:rPr>
          <w:rFonts w:hint="cs"/>
          <w:rtl/>
        </w:rPr>
        <w:t xml:space="preserve"> לחוות דעתו של חברי), כי אין זה ברור לי כיצד ניתן לקבוע שמי שקיבל הוראה מפורשת ממפקדת האזור לתכנן על שטח בהיקף 850 דונם (ולא לחרוג ממנו) והגיש תכנית בשטח של כ-1,400 דונם עומד בחובת תום הלב (ראו בהרחבה פסקאות 98-97 לחוות דעתי). אשר להסתמכות חברי על חזקת התקינות המינהלית בהקשר זה, ראו הערתי בפסקה ד להלן.</w:t>
      </w:r>
    </w:p>
    <w:p w:rsidR="004C7127" w:rsidRPr="00F9106A" w:rsidRDefault="004C7127" w:rsidP="004C7127">
      <w:pPr>
        <w:pStyle w:val="Ruller41"/>
        <w:tabs>
          <w:tab w:val="clear" w:pos="800"/>
          <w:tab w:val="left" w:pos="2540"/>
        </w:tabs>
      </w:pPr>
    </w:p>
    <w:p w:rsidR="004C7127" w:rsidRPr="001F6326" w:rsidRDefault="004C7127" w:rsidP="004C7127">
      <w:pPr>
        <w:pStyle w:val="Ruller40"/>
        <w:rPr>
          <w:rtl/>
        </w:rPr>
      </w:pPr>
      <w:r>
        <w:rPr>
          <w:rFonts w:hint="cs"/>
          <w:rtl/>
        </w:rPr>
        <w:t xml:space="preserve">עוד אבקש להתייחס למספר נתונים עובדתיים שאליהם מייחס חברי חשיבות בקביעת תום הלב במקרה דנן: </w:t>
      </w:r>
      <w:r w:rsidRPr="00465987">
        <w:rPr>
          <w:rFonts w:ascii="Century" w:hAnsi="Century" w:cs="Miriam" w:hint="cs"/>
          <w:b/>
          <w:spacing w:val="0"/>
          <w:szCs w:val="24"/>
          <w:rtl/>
        </w:rPr>
        <w:t>ראשית</w:t>
      </w:r>
      <w:r>
        <w:rPr>
          <w:rFonts w:hint="cs"/>
          <w:rtl/>
        </w:rPr>
        <w:t xml:space="preserve">, אשר לעדותו של יעלון, חברי ציין כי יעלון אמר בעדותו שליווה את עליית מצפה כרמים לקרקע וכי ראה "שהם מתמקמים במקום הנכון", אך לא התייחס לכך שבהמשך חקירתו הבהיר שכלל </w:t>
      </w:r>
      <w:r w:rsidRPr="00435E6E">
        <w:rPr>
          <w:rFonts w:ascii="Century" w:hAnsi="Century" w:cs="Miriam" w:hint="eastAsia"/>
          <w:b/>
          <w:spacing w:val="0"/>
          <w:szCs w:val="24"/>
          <w:rtl/>
        </w:rPr>
        <w:t>לא</w:t>
      </w:r>
      <w:r w:rsidRPr="00435E6E">
        <w:rPr>
          <w:rFonts w:ascii="Century" w:hAnsi="Century" w:cs="Miriam"/>
          <w:b/>
          <w:spacing w:val="0"/>
          <w:szCs w:val="24"/>
          <w:rtl/>
        </w:rPr>
        <w:t xml:space="preserve"> </w:t>
      </w:r>
      <w:r w:rsidRPr="00435E6E">
        <w:rPr>
          <w:rFonts w:ascii="Century" w:hAnsi="Century" w:cs="Miriam" w:hint="eastAsia"/>
          <w:b/>
          <w:spacing w:val="0"/>
          <w:szCs w:val="24"/>
          <w:rtl/>
        </w:rPr>
        <w:t>נכח</w:t>
      </w:r>
      <w:r w:rsidRPr="00261AF9">
        <w:rPr>
          <w:rFonts w:hint="cs"/>
          <w:rtl/>
        </w:rPr>
        <w:t xml:space="preserve"> </w:t>
      </w:r>
      <w:r>
        <w:rPr>
          <w:rFonts w:hint="cs"/>
          <w:rtl/>
        </w:rPr>
        <w:t xml:space="preserve">בשטח במועד עליית מצפה כרמים למיקום הנוכחי וכי כוונתו במילה "ליווי" הוא ליווי התהליך ולא ליווי במובנו הפיזי (ראו האמור בחוות דעתי, פסקה 77; פרוטוקול הדיון בבית המשפט המחוזי, בעמ' 28, ש' 30-25). </w:t>
      </w:r>
      <w:r w:rsidRPr="00465987">
        <w:rPr>
          <w:rFonts w:ascii="Century" w:hAnsi="Century" w:cs="Miriam" w:hint="cs"/>
          <w:b/>
          <w:spacing w:val="0"/>
          <w:szCs w:val="24"/>
          <w:rtl/>
        </w:rPr>
        <w:t>שנית</w:t>
      </w:r>
      <w:r>
        <w:rPr>
          <w:rFonts w:hint="cs"/>
          <w:rtl/>
        </w:rPr>
        <w:t xml:space="preserve">, מתייחס חברי לחריגה שעליה הצביעו בראשית שנות ה-90 משטח התפיסה בפועל, וטוען כי אילו סברו גורמי המינהל שגם ביחס למיקומו של מצפה כרמים יש חריגה, היו פועלים בצורה דומה והדבר מעיד על תום לבם. כפי שציינתי בחוות דעתי בהרחבה, במועד שבו נכתבו המכתבים לא ניתן היה לבנות בשטח שבו ממוקם היום מצפה כרמים (בתכנית 223 סווג השטח כ"שטח שייעודו ייקבע בעתיד") </w:t>
      </w:r>
      <w:r>
        <w:rPr>
          <w:rtl/>
        </w:rPr>
        <w:t>–</w:t>
      </w:r>
      <w:r>
        <w:rPr>
          <w:rFonts w:hint="cs"/>
          <w:rtl/>
        </w:rPr>
        <w:t xml:space="preserve"> ומשכך, לא ניתן ללמוד על תום לבו של הממונה מכך שלא נכתבו מכתבים ביחס לשטח זה (לפירוט בעניין זה ראו בפסקה 90 לחוות דעתי).</w:t>
      </w:r>
      <w:r>
        <w:rPr>
          <w:rFonts w:ascii="Century" w:hAnsi="Century" w:cs="Miriam" w:hint="cs"/>
          <w:b/>
          <w:spacing w:val="0"/>
          <w:szCs w:val="24"/>
          <w:rtl/>
        </w:rPr>
        <w:t xml:space="preserve"> </w:t>
      </w:r>
      <w:r w:rsidRPr="005F664C">
        <w:rPr>
          <w:rFonts w:ascii="Century" w:hAnsi="Century" w:hint="cs"/>
          <w:rtl/>
        </w:rPr>
        <w:t>ו</w:t>
      </w:r>
      <w:r w:rsidRPr="00465987">
        <w:rPr>
          <w:rFonts w:ascii="Century" w:hAnsi="Century" w:cs="Miriam" w:hint="cs"/>
          <w:b/>
          <w:spacing w:val="0"/>
          <w:szCs w:val="24"/>
          <w:rtl/>
        </w:rPr>
        <w:t>שלישית</w:t>
      </w:r>
      <w:r>
        <w:rPr>
          <w:rFonts w:ascii="Century" w:hAnsi="Century" w:hint="cs"/>
          <w:rtl/>
        </w:rPr>
        <w:t xml:space="preserve">, </w:t>
      </w:r>
      <w:r w:rsidRPr="005F664C">
        <w:rPr>
          <w:rFonts w:ascii="Century" w:hAnsi="Century" w:hint="cs"/>
          <w:rtl/>
        </w:rPr>
        <w:t>חברי</w:t>
      </w:r>
      <w:r w:rsidRPr="00465987">
        <w:rPr>
          <w:rFonts w:hint="cs"/>
          <w:rtl/>
        </w:rPr>
        <w:t xml:space="preserve"> </w:t>
      </w:r>
      <w:r>
        <w:rPr>
          <w:rFonts w:hint="cs"/>
          <w:rtl/>
        </w:rPr>
        <w:t xml:space="preserve">מייחס גם משקל רב לבדיקות שנערכו במסגרת הכנת תכנית 223/1/5 </w:t>
      </w:r>
      <w:r>
        <w:rPr>
          <w:rtl/>
        </w:rPr>
        <w:t>–</w:t>
      </w:r>
      <w:r>
        <w:rPr>
          <w:rFonts w:hint="cs"/>
          <w:rtl/>
        </w:rPr>
        <w:t xml:space="preserve"> אך מייחס חשיבות פחותה לכך שתכנית זו הגיעה למבוי סתום ולא אושרה מעולם. מוכן אני להניח </w:t>
      </w:r>
      <w:r>
        <w:rPr>
          <w:rtl/>
        </w:rPr>
        <w:t>–</w:t>
      </w:r>
      <w:r>
        <w:rPr>
          <w:rFonts w:hint="cs"/>
          <w:rtl/>
        </w:rPr>
        <w:t xml:space="preserve"> לטובת שיטתו של חברי </w:t>
      </w:r>
      <w:r>
        <w:rPr>
          <w:rtl/>
        </w:rPr>
        <w:t>–</w:t>
      </w:r>
      <w:r>
        <w:rPr>
          <w:rFonts w:hint="cs"/>
          <w:rtl/>
        </w:rPr>
        <w:t xml:space="preserve"> כי לו הייתה מאושרת תכנית 223/1/5, היה קל יותר לקבוע כי בשנת 1999 היו הגורמים הרלוונטיים תמי לב </w:t>
      </w:r>
      <w:r>
        <w:rPr>
          <w:rtl/>
        </w:rPr>
        <w:t>–</w:t>
      </w:r>
      <w:r>
        <w:rPr>
          <w:rFonts w:hint="cs"/>
          <w:rtl/>
        </w:rPr>
        <w:t xml:space="preserve"> אך לא אלה הם פני הדברים. חברי אף לא מייחס משקל לכך שאין ממצא שמעיד על עבודת מטה </w:t>
      </w:r>
      <w:r w:rsidRPr="00465987">
        <w:rPr>
          <w:rFonts w:ascii="Century" w:hAnsi="Century" w:cs="Miriam" w:hint="cs"/>
          <w:b/>
          <w:spacing w:val="0"/>
          <w:szCs w:val="24"/>
          <w:rtl/>
        </w:rPr>
        <w:t>כלשהי</w:t>
      </w:r>
      <w:r>
        <w:rPr>
          <w:rFonts w:hint="cs"/>
          <w:rtl/>
        </w:rPr>
        <w:t xml:space="preserve"> שהובילה לבחירת מיקומו הנוכחי של מצפה כרמים. ואולם, בהקשר זה חברי מדגיש כי לאחר העתקת מצפה כרמים למיקומו הנוכחי "לא היה פוצה פה" בעניין זה משך עשר שנים. האמור לא עולה בקנה אחד עם החומרים שלפנינו, שלפיהם כבר בראשית שנות ה-2000, וסמוך לאחר עליית היישוב למקומו הנוכחי, הובהר, "שחור על גבי לבן" כי אין חפיפה בין צו התפיסה לבין התכניות </w:t>
      </w:r>
      <w:r>
        <w:rPr>
          <w:rFonts w:hint="cs"/>
          <w:rtl/>
        </w:rPr>
        <w:lastRenderedPageBreak/>
        <w:t>המאושרות בשטח ואף נגרעו שטחים מתכניות אלו מטעם זה (ראו נספחים 55 ו-57 לתצהיר כספי; כן ראו סעיפים 52-49 לסיכומי המדינה בבית המשפט המחוזי).</w:t>
      </w:r>
    </w:p>
    <w:p w:rsidR="004C7127" w:rsidRDefault="004C7127" w:rsidP="004C7127">
      <w:pPr>
        <w:pStyle w:val="Ruller41"/>
        <w:rPr>
          <w:rtl/>
        </w:rPr>
      </w:pPr>
    </w:p>
    <w:p w:rsidR="004C7127" w:rsidRPr="004E122A" w:rsidRDefault="004C7127" w:rsidP="00B175F4">
      <w:pPr>
        <w:pStyle w:val="Ruller40"/>
      </w:pPr>
      <w:r>
        <w:rPr>
          <w:rFonts w:hint="cs"/>
          <w:rtl/>
        </w:rPr>
        <w:t xml:space="preserve">ואכן, לשאלה מדוע לא פעלו גורמי המדינה בהקשר זה כל אותן שנים אין תשובה. הדבר אינו יכול לתמוך בהישענותו של חברי על חזקת התקינות המינהלית. במקרה דנן, אף לשיטתו של חברי, התנהלות הממונה מעידה </w:t>
      </w:r>
      <w:r>
        <w:rPr>
          <w:rtl/>
        </w:rPr>
        <w:t>–</w:t>
      </w:r>
      <w:r>
        <w:rPr>
          <w:rFonts w:hint="cs"/>
          <w:rtl/>
        </w:rPr>
        <w:t xml:space="preserve"> ולו ביחס למפה שצורפה להסכמי ההרשאה </w:t>
      </w:r>
      <w:r>
        <w:rPr>
          <w:rtl/>
        </w:rPr>
        <w:t>–</w:t>
      </w:r>
      <w:r>
        <w:rPr>
          <w:rFonts w:hint="cs"/>
          <w:rtl/>
        </w:rPr>
        <w:t xml:space="preserve"> על "אי-סדר בעייתי" (סעיף </w:t>
      </w:r>
      <w:r w:rsidR="00D921C5">
        <w:rPr>
          <w:rFonts w:hint="cs"/>
          <w:rtl/>
        </w:rPr>
        <w:t>100</w:t>
      </w:r>
      <w:r>
        <w:rPr>
          <w:rFonts w:hint="cs"/>
          <w:rtl/>
        </w:rPr>
        <w:t xml:space="preserve"> לחוות דעתו). בעיניי, התנהלות הצדדים להסכם ההרשאה במקרה דנן רחוקה מרחק רב מתקינות, וקיים משכך קושי להישען על חזקת התקינות המינהלית כחלק מבחינת התקיימות תנאי סעיף 5 (ראו גם בפסקה </w:t>
      </w:r>
      <w:r w:rsidR="00B175F4">
        <w:rPr>
          <w:rFonts w:hint="cs"/>
          <w:rtl/>
        </w:rPr>
        <w:t>99</w:t>
      </w:r>
      <w:r>
        <w:rPr>
          <w:rFonts w:hint="cs"/>
          <w:rtl/>
        </w:rPr>
        <w:t xml:space="preserve"> לחוות דעתו של חברי). מדובר במקרה שבו חרף הוראות מפורשות וברורות לצמצום שטח צו הסגירה ולתפיסת 850 דונם, תוכננה ולימים אושרה תכנית שחורגת במאות דונמים מכל הצווים שהוציא המפקד הצבאי. הדבר מבטא, חריגה מובהקת מסמכות שלא יכולה ליהנות מחזקת תקינות. לכל האמור אוסיף גם כי הוצאת צו התפיסה בשנת 1980, אישורה של תכנית 223 בשנת 1983, והעתקת מצפה כרמים למקומו הנוכחי בשנת 2000 </w:t>
      </w:r>
      <w:r>
        <w:rPr>
          <w:rtl/>
        </w:rPr>
        <w:t>–</w:t>
      </w:r>
      <w:r>
        <w:rPr>
          <w:rFonts w:hint="cs"/>
          <w:rtl/>
        </w:rPr>
        <w:t xml:space="preserve"> כולם נעשו לאחר מתן פסק הדין בעניין </w:t>
      </w:r>
      <w:r>
        <w:rPr>
          <w:rFonts w:ascii="Century" w:hAnsi="Century" w:cs="Miriam" w:hint="cs"/>
          <w:b/>
          <w:spacing w:val="0"/>
          <w:szCs w:val="24"/>
          <w:rtl/>
        </w:rPr>
        <w:t>אלון מורה</w:t>
      </w:r>
      <w:r>
        <w:rPr>
          <w:rFonts w:ascii="Century" w:hAnsi="Century" w:hint="cs"/>
          <w:rtl/>
        </w:rPr>
        <w:t>, שהורתו כאמור בכך שאין להקים יישובים על קרקע שנתפסה בצו תפיסה, אלא על אדמות מדינה</w:t>
      </w:r>
      <w:r>
        <w:rPr>
          <w:rFonts w:hint="cs"/>
          <w:rtl/>
        </w:rPr>
        <w:t>.</w:t>
      </w:r>
    </w:p>
    <w:p w:rsidR="004C7127" w:rsidRPr="00843620" w:rsidRDefault="004C7127" w:rsidP="004C7127">
      <w:pPr>
        <w:pStyle w:val="Ruller40"/>
        <w:numPr>
          <w:ilvl w:val="0"/>
          <w:numId w:val="0"/>
        </w:numPr>
      </w:pPr>
    </w:p>
    <w:p w:rsidR="004C7127" w:rsidRDefault="004C7127" w:rsidP="004C7127">
      <w:pPr>
        <w:pStyle w:val="Ruller40"/>
        <w:rPr>
          <w:rFonts w:ascii="Century" w:hAnsi="Century"/>
          <w:rtl/>
        </w:rPr>
      </w:pPr>
      <w:r w:rsidRPr="00843620">
        <w:rPr>
          <w:rFonts w:hint="cs"/>
          <w:rtl/>
        </w:rPr>
        <w:t>הער</w:t>
      </w:r>
      <w:r>
        <w:rPr>
          <w:rFonts w:hint="cs"/>
          <w:rtl/>
        </w:rPr>
        <w:t xml:space="preserve">ה אחרונה נוגעת לטענת התפיסה בפועל, שעליה נשענת חוות דעתו של חברי. על הקושי בתזה זו עמדתי בהרחבה בחוות דעתי, ועל כן רק אזכיר: הטענה כי השטח שהיה תפוס "בפועל" חופף לשטח תכנית 223 ("בתוך הגדר") לא התקבלה עובדתית בבית המשפט המחוזי (סעיפים 101-100 לפסק הדין של בית המשפט המחוזי) וממילא תפיסה בפועל של שטחים גדולים מצו הסגירה עומדת בניגוד מוחלט לכוונתו המפורשת של המפקד הצבאי בצו התפיסה. לכך אוסיף כי תפיסה בפועל בשנת 1980 </w:t>
      </w:r>
      <w:r>
        <w:rPr>
          <w:rtl/>
        </w:rPr>
        <w:t>–</w:t>
      </w:r>
      <w:r>
        <w:rPr>
          <w:rFonts w:hint="cs"/>
          <w:rtl/>
        </w:rPr>
        <w:t xml:space="preserve"> בהישען על פסק הדין בעניין </w:t>
      </w:r>
      <w:r>
        <w:rPr>
          <w:rFonts w:ascii="Century" w:hAnsi="Century" w:cs="Miriam" w:hint="cs"/>
          <w:b/>
          <w:spacing w:val="0"/>
          <w:szCs w:val="24"/>
          <w:rtl/>
        </w:rPr>
        <w:t xml:space="preserve">חברת האוטובוסים </w:t>
      </w:r>
      <w:r w:rsidRPr="0082731E">
        <w:rPr>
          <w:rFonts w:ascii="Century" w:hAnsi="Century"/>
          <w:rtl/>
        </w:rPr>
        <w:t>–</w:t>
      </w:r>
      <w:r w:rsidRPr="0082731E">
        <w:rPr>
          <w:rFonts w:ascii="Century" w:hAnsi="Century" w:hint="cs"/>
          <w:rtl/>
        </w:rPr>
        <w:t xml:space="preserve"> לוקה</w:t>
      </w:r>
      <w:r>
        <w:rPr>
          <w:rFonts w:ascii="Century" w:hAnsi="Century" w:hint="cs"/>
          <w:rtl/>
        </w:rPr>
        <w:t xml:space="preserve"> בשתיים: ראשית, התפיסה הלכאורית בפועל ארעה שנים רבות לפני פסק דין זה; ושנית, היא שגויה משפטית (ראו פסקה 73 לחוות דעתי). לבסוף, גם תפיסה בפועל, ככל שהייתה כזו, לא מתיישבת עם ההלכה שנקבעה בעניין </w:t>
      </w:r>
      <w:r>
        <w:rPr>
          <w:rFonts w:ascii="Century" w:hAnsi="Century" w:cs="Miriam" w:hint="cs"/>
          <w:b/>
          <w:spacing w:val="0"/>
          <w:szCs w:val="24"/>
          <w:rtl/>
        </w:rPr>
        <w:t xml:space="preserve">אלון מורה </w:t>
      </w:r>
      <w:r w:rsidRPr="00770F1D">
        <w:rPr>
          <w:rFonts w:ascii="Century" w:hAnsi="Century" w:hint="cs"/>
          <w:rtl/>
        </w:rPr>
        <w:t>שלפ</w:t>
      </w:r>
      <w:r>
        <w:rPr>
          <w:rFonts w:ascii="Century" w:hAnsi="Century" w:hint="cs"/>
          <w:rtl/>
        </w:rPr>
        <w:t>י</w:t>
      </w:r>
      <w:r w:rsidRPr="00770F1D">
        <w:rPr>
          <w:rFonts w:ascii="Century" w:hAnsi="Century" w:hint="cs"/>
          <w:rtl/>
        </w:rPr>
        <w:t>ה</w:t>
      </w:r>
      <w:r>
        <w:rPr>
          <w:rFonts w:ascii="Century" w:hAnsi="Century" w:hint="cs"/>
          <w:rtl/>
        </w:rPr>
        <w:t xml:space="preserve"> לא ניתן לעשות שימוש בקרקע תפוסה </w:t>
      </w:r>
      <w:r w:rsidRPr="00770F1D">
        <w:rPr>
          <w:rFonts w:ascii="Century" w:hAnsi="Century" w:cs="Miriam" w:hint="cs"/>
          <w:b/>
          <w:spacing w:val="0"/>
          <w:szCs w:val="24"/>
          <w:rtl/>
        </w:rPr>
        <w:t>לצרכים צבאיים</w:t>
      </w:r>
      <w:r>
        <w:rPr>
          <w:rFonts w:ascii="Century" w:hAnsi="Century" w:hint="cs"/>
          <w:rtl/>
        </w:rPr>
        <w:t xml:space="preserve"> לצרכי התיישבות.</w:t>
      </w:r>
    </w:p>
    <w:p w:rsidR="004C7127" w:rsidRDefault="004C7127" w:rsidP="004C7127">
      <w:pPr>
        <w:pStyle w:val="Ruller41"/>
        <w:rPr>
          <w:rtl/>
        </w:rPr>
      </w:pPr>
    </w:p>
    <w:p w:rsidR="004C7127" w:rsidRDefault="004C7127" w:rsidP="004C7127">
      <w:pPr>
        <w:pStyle w:val="Ruller4"/>
      </w:pPr>
      <w:r>
        <w:rPr>
          <w:rFonts w:hint="cs"/>
          <w:rtl/>
        </w:rPr>
        <w:t xml:space="preserve">אשר לחוות דעתו של חברי המשנה לנשיאה (בדימ') </w:t>
      </w:r>
      <w:r>
        <w:rPr>
          <w:rFonts w:cs="Miriam" w:hint="cs"/>
          <w:b/>
          <w:spacing w:val="0"/>
          <w:szCs w:val="24"/>
          <w:rtl/>
        </w:rPr>
        <w:t>נ' הנדל</w:t>
      </w:r>
      <w:r>
        <w:rPr>
          <w:rFonts w:hint="cs"/>
          <w:rtl/>
        </w:rPr>
        <w:t xml:space="preserve">, מבקש אני להתייחס אך לנקודה אחת בחוות הדעת, שכן לנושאים האחרים קיים מענה בחוות דעתי. חברי שם דגש בחוות דעתו על ההגנה על הסתמכות של המתקשר עם הממונה, "שלעיתים אף משקיע ממון רב ומשנה את מסלול חייו תוך הסתמכות על כשרות העסקה" ושל מי </w:t>
      </w:r>
      <w:r>
        <w:rPr>
          <w:rFonts w:hint="cs"/>
          <w:rtl/>
        </w:rPr>
        <w:lastRenderedPageBreak/>
        <w:t xml:space="preserve">שהסתמך על התקשרות שכזו (ראו בפסקאות 3, 4 ו-10 לחוות דעתו). מצאתי להדגיש תחילה כי המחזיקים הם לא צד ל"עסקה" שנמצאת במוקד הדיון הנוסף (אלא ההסתדרות הציונית והממונה). אך חשוב מכך, בחינת עובדות המקרה דנן מעלה סימני שאלה שמרחפים סביב הסתמכותם של המחזיקים. בסוגיה זו לא הרחבתי בחוות דעתי, אך אני רואה להתייחס אליה בתמצית בשלב זה, שכן האמור בחוות דעתו של חברי מחייב הבהרתם. תחילה אציין כי </w:t>
      </w:r>
      <w:r w:rsidRPr="00DC5E6D">
        <w:rPr>
          <w:rFonts w:hint="cs"/>
          <w:rtl/>
        </w:rPr>
        <w:t xml:space="preserve">למיטב הבנתי לא הוגשו בהליכים דנן </w:t>
      </w:r>
      <w:r>
        <w:rPr>
          <w:rFonts w:hint="cs"/>
          <w:rtl/>
        </w:rPr>
        <w:t xml:space="preserve">מסמכים שמעידים על הקניית זכויות "בר רשות" מאת ההסתדרות הציונית למי מהמחזיקים לפני או בסמוך למועד עליית מצפה כרמים למיקומו הנוכחי (בשנים 2000-1999). בהקשר זה ראו: </w:t>
      </w:r>
      <w:r w:rsidRPr="00CF47D4">
        <w:rPr>
          <w:rFonts w:cs="Miriam" w:hint="cs"/>
          <w:b/>
          <w:spacing w:val="0"/>
          <w:szCs w:val="24"/>
          <w:rtl/>
        </w:rPr>
        <w:t>ראשית</w:t>
      </w:r>
      <w:r>
        <w:rPr>
          <w:rFonts w:hint="cs"/>
          <w:rtl/>
        </w:rPr>
        <w:t xml:space="preserve">, את התצהיר שהוגש מטעם ההסתדרות הציונית בבית המשפט המחוזי, שאליו לא צורף הסכם הרשאה כלשהו שנחתם עם המחזיקים (ואף לא צוין מתי נחתמו הסכמים כאמור; סעיף 10 לתצהיר ובעמ' 46-45 לפרוטוקול הדיון בבית המשפט המחוזי); </w:t>
      </w:r>
      <w:r w:rsidRPr="00CF47D4">
        <w:rPr>
          <w:rFonts w:cs="Miriam" w:hint="cs"/>
          <w:b/>
          <w:spacing w:val="0"/>
          <w:szCs w:val="24"/>
          <w:rtl/>
        </w:rPr>
        <w:t>שנית</w:t>
      </w:r>
      <w:r>
        <w:rPr>
          <w:rFonts w:hint="cs"/>
          <w:rtl/>
        </w:rPr>
        <w:t xml:space="preserve">, את ה"דוגמה להסכם בר רשות" שצירפה ההסתדרות הציונית לסיכומיה בע"א 7668/18 </w:t>
      </w:r>
      <w:r>
        <w:rPr>
          <w:rtl/>
        </w:rPr>
        <w:t>–</w:t>
      </w:r>
      <w:r>
        <w:rPr>
          <w:rFonts w:hint="cs"/>
          <w:rtl/>
        </w:rPr>
        <w:t xml:space="preserve"> שנחתם ביום 15.6.2011, חודשים</w:t>
      </w:r>
      <w:r w:rsidRPr="00253F63">
        <w:rPr>
          <w:rFonts w:hint="cs"/>
          <w:rtl/>
        </w:rPr>
        <w:t xml:space="preserve"> לאחר שניתן הצו הארעי בבג</w:t>
      </w:r>
      <w:r w:rsidRPr="00982A25">
        <w:rPr>
          <w:rFonts w:hint="cs"/>
          <w:rtl/>
        </w:rPr>
        <w:t xml:space="preserve">"ץ 953/11 </w:t>
      </w:r>
      <w:r w:rsidRPr="00982A25">
        <w:rPr>
          <w:rtl/>
        </w:rPr>
        <w:t>–</w:t>
      </w:r>
      <w:r w:rsidRPr="00982A25">
        <w:rPr>
          <w:rFonts w:hint="cs"/>
          <w:rtl/>
        </w:rPr>
        <w:t xml:space="preserve"> ושפרטים מרכזיים בו מושחרים (לרבות המשפט הבא: "הואיל: והמיישבת הורשתה על ידי הממונה על הרכוש הנטוש והממשלתי ביהודה ושומרון [...] להקים את היישוב [מושחר]"</w:t>
      </w:r>
      <w:r>
        <w:rPr>
          <w:rFonts w:hint="cs"/>
          <w:rtl/>
        </w:rPr>
        <w:t>; נספח מש/3 בתיק המוצגים מטעמה</w:t>
      </w:r>
      <w:r w:rsidRPr="00982A25">
        <w:rPr>
          <w:rFonts w:hint="cs"/>
          <w:rtl/>
        </w:rPr>
        <w:t xml:space="preserve">); </w:t>
      </w:r>
      <w:r w:rsidRPr="00E30EB8">
        <w:rPr>
          <w:rFonts w:ascii="Century" w:hAnsi="Century" w:cs="Miriam" w:hint="cs"/>
          <w:b/>
          <w:spacing w:val="0"/>
          <w:sz w:val="22"/>
          <w:szCs w:val="24"/>
          <w:rtl/>
        </w:rPr>
        <w:t>שלישית</w:t>
      </w:r>
      <w:r>
        <w:rPr>
          <w:rFonts w:hint="cs"/>
          <w:rtl/>
        </w:rPr>
        <w:t>, את אישורי בר הרשות שצורפו לתצהיר מטעם מר יעקב גור אריה (שמתגורר במצפה כרמים), שמהם עולה כי מרבית התובעים בהליך האזרחי הם בעלי זכויות "בר רשות" ממועד מאוחר להגשת העתירה בבג"ץ 953/11 (נספח 4 לתצהיר; ראו בהקשר זה גם את האמור אצל רונית לוין-שנור "</w:t>
      </w:r>
      <w:r w:rsidRPr="007E063E">
        <w:rPr>
          <w:rtl/>
        </w:rPr>
        <w:t>על מצפה כרמים ושייח' ג'ראח: תשובה לפרופ' שחר ליפשיץ</w:t>
      </w:r>
      <w:r>
        <w:rPr>
          <w:rFonts w:hint="cs"/>
          <w:rtl/>
        </w:rPr>
        <w:t xml:space="preserve">" </w:t>
      </w:r>
      <w:r w:rsidRPr="00937908">
        <w:rPr>
          <w:rFonts w:ascii="Century" w:hAnsi="Century" w:cs="Miriam" w:hint="cs"/>
          <w:b/>
          <w:spacing w:val="0"/>
          <w:sz w:val="22"/>
          <w:szCs w:val="24"/>
          <w:rtl/>
        </w:rPr>
        <w:t xml:space="preserve">פורום עיוני משפט </w:t>
      </w:r>
      <w:r w:rsidRPr="00937908">
        <w:rPr>
          <w:rFonts w:ascii="Century" w:hAnsi="Century" w:hint="cs"/>
          <w:sz w:val="22"/>
          <w:rtl/>
        </w:rPr>
        <w:t>מו 5-3 (2022)</w:t>
      </w:r>
      <w:r>
        <w:rPr>
          <w:rFonts w:hint="cs"/>
          <w:rtl/>
        </w:rPr>
        <w:t xml:space="preserve">). </w:t>
      </w:r>
    </w:p>
    <w:p w:rsidR="004C7127" w:rsidRPr="007E063E" w:rsidRDefault="004C7127" w:rsidP="004C7127">
      <w:pPr>
        <w:pStyle w:val="Ruller4"/>
        <w:numPr>
          <w:ilvl w:val="0"/>
          <w:numId w:val="0"/>
        </w:numPr>
      </w:pPr>
    </w:p>
    <w:p w:rsidR="004C7127" w:rsidRDefault="004C7127" w:rsidP="004C7127">
      <w:pPr>
        <w:pStyle w:val="Ruller4"/>
      </w:pPr>
      <w:r>
        <w:rPr>
          <w:rFonts w:hint="cs"/>
          <w:rtl/>
        </w:rPr>
        <w:t xml:space="preserve">זאת ועוד, ואולי חשוב מהאמור לעיל, יש לתת את הדעת גם לכך שהתובעים בהליך האזרחי </w:t>
      </w:r>
      <w:r>
        <w:rPr>
          <w:rtl/>
        </w:rPr>
        <w:t>–</w:t>
      </w:r>
      <w:r>
        <w:rPr>
          <w:rFonts w:hint="cs"/>
          <w:rtl/>
        </w:rPr>
        <w:t xml:space="preserve"> שלאינטרס ההסתמכות שלהם ניתן משקל בחוות דעתו של חברי </w:t>
      </w:r>
      <w:r>
        <w:rPr>
          <w:rtl/>
        </w:rPr>
        <w:t>–</w:t>
      </w:r>
      <w:r>
        <w:rPr>
          <w:rFonts w:hint="cs"/>
          <w:rtl/>
        </w:rPr>
        <w:t xml:space="preserve"> אינם אלה שעברו להתגורר במקום בשנת 2000, להוציא אחד מהם (ראו את האמור בחקירתו של יעקב גור אריה בבית המשפט המחוזי, בעמ' 122, ש' 32-11 ובעמ' 123, ש' 7-1; כן ראו בסיכומי המדינה בבית המשפט המחוזי, סעיפים 74-73). מטעמים אלה אני מוצא קושי במתן משקל נכבד לאינטרס ההסתמכות של מי שלא היה צד לעסקה עם הממונה; שעבר להתגורר במצפה כרמים במועד מאוחר לעלייה הראשונית לקרקע; ואשר חתם על חוזי "בר רשות" עם ההסתדרות הציונית לאחר גילוי "התאונה המשפטית".</w:t>
      </w:r>
    </w:p>
    <w:p w:rsidR="004C7127" w:rsidRDefault="004C7127" w:rsidP="004C7127">
      <w:pPr>
        <w:pStyle w:val="Ruller4"/>
        <w:numPr>
          <w:ilvl w:val="0"/>
          <w:numId w:val="0"/>
        </w:numPr>
      </w:pPr>
    </w:p>
    <w:p w:rsidR="004C7127" w:rsidRPr="00321135" w:rsidRDefault="004C7127" w:rsidP="00796E3C">
      <w:pPr>
        <w:pStyle w:val="Ruller4"/>
        <w:rPr>
          <w:rtl/>
        </w:rPr>
      </w:pPr>
      <w:r>
        <w:rPr>
          <w:rFonts w:hint="cs"/>
          <w:rtl/>
        </w:rPr>
        <w:t xml:space="preserve">לבסוף, אשר לחוות דעתה של חברתי השופטת </w:t>
      </w:r>
      <w:r w:rsidRPr="00CD7759">
        <w:rPr>
          <w:rFonts w:ascii="Century" w:hAnsi="Century" w:cs="Miriam" w:hint="cs"/>
          <w:b/>
          <w:spacing w:val="0"/>
          <w:sz w:val="22"/>
          <w:szCs w:val="24"/>
          <w:rtl/>
        </w:rPr>
        <w:t>ד' ברק-ארז</w:t>
      </w:r>
      <w:r>
        <w:rPr>
          <w:rFonts w:hint="cs"/>
          <w:rtl/>
        </w:rPr>
        <w:t xml:space="preserve">. בחוות הדעת מנתחת חברתי את תחולת סעיף 5 על מערכת היחסים שבין הממונה לבין המחזיקים </w:t>
      </w:r>
      <w:r>
        <w:rPr>
          <w:rFonts w:hint="cs"/>
          <w:rtl/>
        </w:rPr>
        <w:lastRenderedPageBreak/>
        <w:t xml:space="preserve">(כשההסתדרות הציונית היא בבחינת "גורם מתווך" בלבד, פסקה </w:t>
      </w:r>
      <w:r w:rsidR="00796E3C">
        <w:rPr>
          <w:rFonts w:hint="cs"/>
          <w:rtl/>
        </w:rPr>
        <w:t>18</w:t>
      </w:r>
      <w:r>
        <w:rPr>
          <w:rFonts w:hint="cs"/>
          <w:rtl/>
        </w:rPr>
        <w:t xml:space="preserve"> לחוות דעתה). אף מבלי להביע עמדה בכל הנוגע לקביעתה של חברתי שההסתדרות הציונית אינה "אדם אחר" לצורך סעיף 5 (סוגיה שבה לא ראיתי להכריע, פסקה 64 לחוות דעתי), אני מתקשה להסכים לניתוח המוצע על ידה. תחילה, דומה שחוות דעתה של חברתי "מפרקת" את רכיב העסקה לשני רכיבים שונים: רכיב העסקה, שלשיטתה התקיים בשנת 1997 (הסכם ההרשאה האחרון בין הממונה לבין ההסתדרות הציונית; פסקה 24 לחוות דעתה) ורכיב "עם אדם אחר", שלשיטתה התגבש רק עם עליית תושבי מצפה כרמים למיקומו הנוכחי, בראשית שנת 2000 (שם). אציין כי להשקפתי להפרדה זו אין עיגון ממשי בלשון הסעיף. זאת ועוד, היא מכניסה עמימות מובנית לבחינת יסודות סעיף 5; כך למשל, האם את תום הלב של הממונה יש לבחון </w:t>
      </w:r>
      <w:r w:rsidRPr="006B3D52">
        <w:rPr>
          <w:rFonts w:hint="cs"/>
          <w:rtl/>
        </w:rPr>
        <w:t xml:space="preserve">בשנת 1997 (כשחתם על הסכם ההרשאה) או בשנת 2000 (שבה, כנטען, התקבלה ההחלטה להעביר את מצפה כרמים למיקומו הנוכחי). בהקשר </w:t>
      </w:r>
      <w:r w:rsidRPr="006B3D52">
        <w:rPr>
          <w:rFonts w:hint="eastAsia"/>
          <w:rtl/>
        </w:rPr>
        <w:t>זה</w:t>
      </w:r>
      <w:r w:rsidRPr="006B3D52">
        <w:rPr>
          <w:rtl/>
        </w:rPr>
        <w:t xml:space="preserve"> </w:t>
      </w:r>
      <w:r w:rsidRPr="006B3D52">
        <w:rPr>
          <w:rFonts w:hint="eastAsia"/>
          <w:rtl/>
        </w:rPr>
        <w:t>מצאתי</w:t>
      </w:r>
      <w:r w:rsidRPr="006B3D52">
        <w:rPr>
          <w:rtl/>
        </w:rPr>
        <w:t xml:space="preserve"> </w:t>
      </w:r>
      <w:r w:rsidRPr="006B3D52">
        <w:rPr>
          <w:rFonts w:hint="eastAsia"/>
          <w:rtl/>
        </w:rPr>
        <w:t>להצטרף</w:t>
      </w:r>
      <w:r w:rsidRPr="006B3D52">
        <w:rPr>
          <w:rtl/>
        </w:rPr>
        <w:t xml:space="preserve"> </w:t>
      </w:r>
      <w:r w:rsidRPr="006B3D52">
        <w:rPr>
          <w:rFonts w:hint="cs"/>
          <w:rtl/>
        </w:rPr>
        <w:t xml:space="preserve">גם </w:t>
      </w:r>
      <w:r w:rsidRPr="006B3D52">
        <w:rPr>
          <w:rFonts w:hint="eastAsia"/>
          <w:rtl/>
        </w:rPr>
        <w:t>לדבריה</w:t>
      </w:r>
      <w:r w:rsidRPr="006B3D52">
        <w:rPr>
          <w:rtl/>
        </w:rPr>
        <w:t xml:space="preserve"> </w:t>
      </w:r>
      <w:r w:rsidRPr="006B3D52">
        <w:rPr>
          <w:rFonts w:hint="eastAsia"/>
          <w:rtl/>
        </w:rPr>
        <w:t>של</w:t>
      </w:r>
      <w:r w:rsidRPr="006B3D52">
        <w:rPr>
          <w:rtl/>
        </w:rPr>
        <w:t xml:space="preserve"> </w:t>
      </w:r>
      <w:r w:rsidRPr="006B3D52">
        <w:rPr>
          <w:rFonts w:hint="eastAsia"/>
          <w:rtl/>
        </w:rPr>
        <w:t>חברתי</w:t>
      </w:r>
      <w:r w:rsidRPr="006B3D52">
        <w:rPr>
          <w:rtl/>
        </w:rPr>
        <w:t xml:space="preserve"> </w:t>
      </w:r>
      <w:r w:rsidRPr="006B3D52">
        <w:rPr>
          <w:rFonts w:hint="eastAsia"/>
          <w:rtl/>
        </w:rPr>
        <w:t>הנשיאה</w:t>
      </w:r>
      <w:r w:rsidRPr="006B3D52">
        <w:rPr>
          <w:rtl/>
        </w:rPr>
        <w:t xml:space="preserve"> </w:t>
      </w:r>
      <w:r w:rsidRPr="006B3D52">
        <w:rPr>
          <w:rFonts w:ascii="Century" w:hAnsi="Century" w:cs="Miriam" w:hint="eastAsia"/>
          <w:b/>
          <w:spacing w:val="0"/>
          <w:sz w:val="22"/>
          <w:szCs w:val="24"/>
          <w:rtl/>
        </w:rPr>
        <w:t>א</w:t>
      </w:r>
      <w:r w:rsidRPr="006B3D52">
        <w:rPr>
          <w:rFonts w:ascii="Century" w:hAnsi="Century" w:cs="Miriam"/>
          <w:b/>
          <w:spacing w:val="0"/>
          <w:sz w:val="22"/>
          <w:szCs w:val="24"/>
          <w:rtl/>
        </w:rPr>
        <w:t xml:space="preserve">' </w:t>
      </w:r>
      <w:r w:rsidRPr="006B3D52">
        <w:rPr>
          <w:rFonts w:ascii="Century" w:hAnsi="Century" w:cs="Miriam" w:hint="eastAsia"/>
          <w:b/>
          <w:spacing w:val="0"/>
          <w:sz w:val="22"/>
          <w:szCs w:val="24"/>
          <w:rtl/>
        </w:rPr>
        <w:t>חיות</w:t>
      </w:r>
      <w:r w:rsidRPr="006B3D52">
        <w:rPr>
          <w:rFonts w:ascii="Century" w:hAnsi="Century" w:cs="Miriam" w:hint="cs"/>
          <w:b/>
          <w:sz w:val="22"/>
          <w:rtl/>
        </w:rPr>
        <w:t xml:space="preserve"> </w:t>
      </w:r>
      <w:r w:rsidRPr="006B3D52">
        <w:rPr>
          <w:rFonts w:ascii="Century" w:hAnsi="Century" w:hint="cs"/>
          <w:sz w:val="22"/>
          <w:rtl/>
        </w:rPr>
        <w:t>בחוות דעתה ביחס ליסוד תום הלב</w:t>
      </w:r>
      <w:r w:rsidRPr="006B3D52">
        <w:rPr>
          <w:rFonts w:ascii="Century" w:hAnsi="Century"/>
          <w:sz w:val="22"/>
          <w:rtl/>
        </w:rPr>
        <w:t>.</w:t>
      </w:r>
      <w:r>
        <w:rPr>
          <w:rFonts w:ascii="Century" w:hAnsi="Century"/>
          <w:sz w:val="22"/>
          <w:rtl/>
        </w:rPr>
        <w:br/>
      </w:r>
      <w:r w:rsidRPr="00CD7759">
        <w:rPr>
          <w:rFonts w:ascii="Century" w:hAnsi="Century"/>
          <w:sz w:val="22"/>
          <w:rtl/>
        </w:rPr>
        <w:t xml:space="preserve"> </w:t>
      </w:r>
    </w:p>
    <w:p w:rsidR="004C7127" w:rsidRPr="006E4214" w:rsidRDefault="004C7127" w:rsidP="004C7127">
      <w:pPr>
        <w:pStyle w:val="Ruller4"/>
      </w:pPr>
      <w:r>
        <w:rPr>
          <w:rFonts w:hint="cs"/>
          <w:rtl/>
        </w:rPr>
        <w:t xml:space="preserve">הקושי הנוסף נעוץ במישור העובדתי. כאמור, לאורך ההליך כולו מוקדו טענות הצדדים בשאלה אם ההסכם </w:t>
      </w:r>
      <w:r>
        <w:rPr>
          <w:rFonts w:ascii="Century" w:hAnsi="Century" w:hint="cs"/>
          <w:sz w:val="22"/>
          <w:rtl/>
        </w:rPr>
        <w:t xml:space="preserve">שנכרת </w:t>
      </w:r>
      <w:r>
        <w:rPr>
          <w:rFonts w:ascii="Century" w:hAnsi="Century" w:cs="Miriam" w:hint="cs"/>
          <w:b/>
          <w:spacing w:val="0"/>
          <w:sz w:val="22"/>
          <w:szCs w:val="24"/>
          <w:rtl/>
        </w:rPr>
        <w:t xml:space="preserve">בין הממונה לבין ההסתדרות הציונית </w:t>
      </w:r>
      <w:r>
        <w:rPr>
          <w:rFonts w:ascii="Century" w:hAnsi="Century" w:hint="cs"/>
          <w:sz w:val="22"/>
          <w:rtl/>
        </w:rPr>
        <w:t xml:space="preserve">חוסה תחת סעיף 5 </w:t>
      </w:r>
      <w:r>
        <w:rPr>
          <w:rFonts w:hint="cs"/>
          <w:rtl/>
        </w:rPr>
        <w:t xml:space="preserve">לצו (כפי שמציינת גם חברתי, בפסקאות 12 ו-31 לחוות דעתה; כן ראו, מני רבים, סעיף 39 לסיכומי המחזיקים בע"א 7668/18; סעיף 18 לסיכומי המחזיקים בבית המשפט המחוזי; סעיף 18 לסיכומי ההסתדרות הציונית בבית המשפט המחוזי). משכך, לא התבררו במסגרת ההליך רכיבים עובדתיים שונים שנדרשים לצורך ההכרעה שאליה הגיעה חברתי. בכלל זאת, ניתוחה של חברתי נשען על הסתמכות מצד תושביו הראשונים של מצפה כרמים, הגם שאין חפיפה בינם לבין המחזיקים ולא נפרשה תשתית עובדתית מלאה בשאלה אימתי הגיעו המחזיקים למצפה כרמים ומה היחס ביניהם לבין "התושבים הראשונים" (ראו האמור בחוות דעתה של חברתי בהקשר זה, "יתר המחזיקים שבפנינו באו </w:t>
      </w:r>
      <w:r>
        <w:rPr>
          <w:rFonts w:ascii="Century" w:hAnsi="Century" w:cs="Miriam" w:hint="cs"/>
          <w:b/>
          <w:spacing w:val="0"/>
          <w:sz w:val="22"/>
          <w:szCs w:val="24"/>
          <w:rtl/>
        </w:rPr>
        <w:t>ככל הנראה</w:t>
      </w:r>
      <w:r>
        <w:rPr>
          <w:rFonts w:ascii="Century" w:hAnsi="Century" w:hint="cs"/>
          <w:sz w:val="22"/>
          <w:rtl/>
        </w:rPr>
        <w:t xml:space="preserve"> בנעליהם</w:t>
      </w:r>
      <w:r>
        <w:rPr>
          <w:rFonts w:hint="cs"/>
          <w:rtl/>
        </w:rPr>
        <w:t xml:space="preserve">" של התושבים הראשונים; ההדגשה הוספה </w:t>
      </w:r>
      <w:r>
        <w:rPr>
          <w:rtl/>
        </w:rPr>
        <w:t>–</w:t>
      </w:r>
      <w:r>
        <w:rPr>
          <w:rFonts w:hint="cs"/>
          <w:rtl/>
        </w:rPr>
        <w:t xml:space="preserve"> ע' פ'; פסקה 24). בדומה, מציינת חברתי כי היא סבורה שניתן לומר שהמחזיקים עמדו ברף תום הלב הנדרש הגם שלא בכך מוקדה ההתדיינות בתיק דנן (פסקאות 32-31 לפסק הדין). בהקשר זה אומר שניים: ראשית, אין </w:t>
      </w:r>
      <w:r w:rsidRPr="002B15BB">
        <w:rPr>
          <w:rFonts w:hint="cs"/>
          <w:rtl/>
        </w:rPr>
        <w:t xml:space="preserve">לשכוח כי עסקינן בתקנת השוק שלתחולתה טענו המחזיקים </w:t>
      </w:r>
      <w:r>
        <w:rPr>
          <w:rFonts w:hint="cs"/>
          <w:rtl/>
        </w:rPr>
        <w:t xml:space="preserve">במסגרת </w:t>
      </w:r>
      <w:r w:rsidRPr="002B15BB">
        <w:rPr>
          <w:rFonts w:hint="cs"/>
          <w:rtl/>
        </w:rPr>
        <w:t xml:space="preserve">תביעה אזרחית </w:t>
      </w:r>
      <w:r w:rsidRPr="002B15BB">
        <w:rPr>
          <w:rtl/>
        </w:rPr>
        <w:t>–</w:t>
      </w:r>
      <w:r w:rsidRPr="002B15BB">
        <w:rPr>
          <w:rFonts w:hint="cs"/>
          <w:rtl/>
        </w:rPr>
        <w:t xml:space="preserve"> ועליהם נטל השכנוע (עניין </w:t>
      </w:r>
      <w:r w:rsidRPr="00B907A1">
        <w:rPr>
          <w:rFonts w:ascii="Century" w:hAnsi="Century" w:cs="Miriam" w:hint="eastAsia"/>
          <w:b/>
          <w:spacing w:val="0"/>
          <w:sz w:val="22"/>
          <w:szCs w:val="24"/>
          <w:rtl/>
        </w:rPr>
        <w:t>מורדכיוב</w:t>
      </w:r>
      <w:r w:rsidRPr="002B15BB">
        <w:rPr>
          <w:rFonts w:hint="cs"/>
          <w:rtl/>
        </w:rPr>
        <w:t xml:space="preserve">, פסקה יז; עניין </w:t>
      </w:r>
      <w:r w:rsidRPr="002B15BB">
        <w:rPr>
          <w:rFonts w:ascii="Century" w:hAnsi="Century" w:cs="Miriam" w:hint="cs"/>
          <w:b/>
          <w:spacing w:val="0"/>
          <w:sz w:val="22"/>
          <w:szCs w:val="24"/>
          <w:rtl/>
        </w:rPr>
        <w:t>אלג'אבר</w:t>
      </w:r>
      <w:r w:rsidRPr="002B15BB">
        <w:rPr>
          <w:rFonts w:ascii="Century" w:hAnsi="Century" w:hint="cs"/>
          <w:sz w:val="22"/>
          <w:rtl/>
        </w:rPr>
        <w:t xml:space="preserve">, פסקה 12; עניין </w:t>
      </w:r>
      <w:r w:rsidRPr="002B15BB">
        <w:rPr>
          <w:rFonts w:ascii="Century" w:hAnsi="Century" w:cs="Miriam" w:hint="cs"/>
          <w:b/>
          <w:spacing w:val="0"/>
          <w:sz w:val="22"/>
          <w:szCs w:val="24"/>
          <w:rtl/>
        </w:rPr>
        <w:t>חוות מקורה</w:t>
      </w:r>
      <w:r w:rsidRPr="002B15BB">
        <w:rPr>
          <w:rFonts w:ascii="Century" w:hAnsi="Century" w:hint="cs"/>
          <w:sz w:val="22"/>
          <w:rtl/>
        </w:rPr>
        <w:t>, בעמ' 17</w:t>
      </w:r>
      <w:r w:rsidRPr="002B15BB">
        <w:rPr>
          <w:rFonts w:hint="cs"/>
          <w:rtl/>
        </w:rPr>
        <w:t>; דויטש, כרך</w:t>
      </w:r>
      <w:r>
        <w:rPr>
          <w:rFonts w:hint="cs"/>
          <w:rtl/>
        </w:rPr>
        <w:t xml:space="preserve"> ג, בעמ' 185-184). משכך, דומני כי קיים קושי בקביעה שחוסר בהירות עובדתי יפעל לטובת המחזיקים (התובעים) במקרה דנן. שנית, בהיעדר קביעות עובדתיות הנדרשות לתמיכה במסגרת המשפטית שקבעה חברתי (או טיעון מלא מטעם הצדדים בעניין זה), איני סבור כי יש מקום לקביעות עובדתיות חדשות במסגרת פסק הדין בדיון נוסף.</w:t>
      </w:r>
    </w:p>
    <w:p w:rsidR="004C7127" w:rsidRPr="001226A5" w:rsidRDefault="004C7127" w:rsidP="004C7127">
      <w:pPr>
        <w:pStyle w:val="Ruller41"/>
        <w:rPr>
          <w:rtl/>
        </w:rPr>
      </w:pPr>
    </w:p>
    <w:p w:rsidR="004C7127" w:rsidRPr="00E26FC1" w:rsidRDefault="004C7127" w:rsidP="004C7127">
      <w:pPr>
        <w:pStyle w:val="1"/>
        <w:spacing w:before="0"/>
        <w:rPr>
          <w:rFonts w:ascii="Century" w:hAnsi="Century" w:cs="Miriam"/>
          <w:b/>
          <w:color w:val="auto"/>
          <w:spacing w:val="0"/>
          <w:sz w:val="22"/>
          <w:szCs w:val="24"/>
          <w:rtl/>
        </w:rPr>
      </w:pPr>
      <w:r w:rsidRPr="00E26FC1">
        <w:rPr>
          <w:rFonts w:ascii="Century" w:hAnsi="Century" w:cs="Miriam" w:hint="cs"/>
          <w:b/>
          <w:color w:val="auto"/>
          <w:spacing w:val="0"/>
          <w:sz w:val="22"/>
          <w:szCs w:val="24"/>
          <w:rtl/>
        </w:rPr>
        <w:t>סוף דבר</w:t>
      </w:r>
    </w:p>
    <w:p w:rsidR="004C7127" w:rsidRDefault="004C7127" w:rsidP="004C7127">
      <w:pPr>
        <w:pStyle w:val="Ruller41"/>
        <w:rPr>
          <w:rFonts w:ascii="Century" w:hAnsi="Century" w:cs="Miriam"/>
          <w:b/>
          <w:spacing w:val="0"/>
          <w:szCs w:val="24"/>
          <w:rtl/>
        </w:rPr>
      </w:pPr>
    </w:p>
    <w:p w:rsidR="004C7127" w:rsidRDefault="004C7127" w:rsidP="004C7127">
      <w:pPr>
        <w:pStyle w:val="Ruller4"/>
        <w:rPr>
          <w:rtl/>
        </w:rPr>
      </w:pPr>
      <w:r>
        <w:rPr>
          <w:rFonts w:hint="cs"/>
          <w:rtl/>
        </w:rPr>
        <w:t xml:space="preserve">במסגרתו של הדיון הנוסף התבקשנו להכריע אם ניתן להחיל בעניינו של היישוב מצפה כרמים את הוראות סעיף 5 לצו בדבר רכוש ממשלתי. כפי שפירטתי לעיל, דרישת תום הלב שבסעיף 5 משמיעה לממונה את חובתו לקיים בירור עובדתי ומשפטי מספק </w:t>
      </w:r>
      <w:r>
        <w:rPr>
          <w:rtl/>
        </w:rPr>
        <w:t>–</w:t>
      </w:r>
      <w:r>
        <w:rPr>
          <w:rFonts w:hint="cs"/>
          <w:rtl/>
        </w:rPr>
        <w:t xml:space="preserve"> כך שיהא זה מוצדק להגן על אינטרס ההסתמכות של המתקשר עמו. השאלה אם בירור שכזה נעשה נבחנת סובייקטיבית, דהיינו, אם הבדיקות שערך הממונה נתנו מענה לאי סדרים ואי ההתאמות שהתעוררו. עריכת בירור מעין זה מתחייבת גם נוכח השלכותיו המשמעותיות של סעיף 5 במישור הזכויות בנכסים וגם נוכח החובות שמוטלות על הממונה כמי שמנהל נכסי מקרקעין בשטח שנתון לתפיסה לוחמתית. במקום אחר כבר צוין כי "תקנת השוק נועדה לתמי לב ולעסקאות שאין בהן סירכה שאם לא כן לא ב'תקנה' עסקינן, אלא בעיוות" (ע"א 1134/06 </w:t>
      </w:r>
      <w:r>
        <w:rPr>
          <w:rFonts w:ascii="Century" w:hAnsi="Century" w:cs="Miriam" w:hint="cs"/>
          <w:b/>
          <w:spacing w:val="0"/>
          <w:sz w:val="22"/>
          <w:szCs w:val="24"/>
          <w:rtl/>
        </w:rPr>
        <w:t>רושרוש נ' מנסור</w:t>
      </w:r>
      <w:r>
        <w:rPr>
          <w:rFonts w:ascii="Century" w:hAnsi="Century" w:hint="cs"/>
          <w:sz w:val="22"/>
          <w:rtl/>
        </w:rPr>
        <w:t xml:space="preserve">, פסקה טו (10.11.2009); עניין </w:t>
      </w:r>
      <w:r>
        <w:rPr>
          <w:rFonts w:ascii="Century" w:hAnsi="Century" w:cs="Miriam" w:hint="cs"/>
          <w:b/>
          <w:spacing w:val="0"/>
          <w:sz w:val="22"/>
          <w:szCs w:val="24"/>
          <w:rtl/>
        </w:rPr>
        <w:t>מורדכיוב</w:t>
      </w:r>
      <w:r>
        <w:rPr>
          <w:rFonts w:ascii="Century" w:hAnsi="Century" w:hint="cs"/>
          <w:sz w:val="22"/>
          <w:rtl/>
        </w:rPr>
        <w:t>, פסקה נא</w:t>
      </w:r>
      <w:r>
        <w:rPr>
          <w:rFonts w:hint="cs"/>
          <w:rtl/>
        </w:rPr>
        <w:t xml:space="preserve">). בנסיבות ענייננו, בחינת מערכת היחסים החוזית ומערך ההסכמים שנערך בין הממונה לבין ההסתדרות הציונית מעלה ספק של ממש בשאלה המקדמית והיא אם נערכה עסקה ביחס לשטח שעליו מוקם לימים היישוב מצפה כרמים. אך אף בהנחה כי נעשתה עסקה שכזו, לפני הצדדים לעסקה היו נורות אזהרה מובהקות וברורות </w:t>
      </w:r>
      <w:r>
        <w:rPr>
          <w:rtl/>
        </w:rPr>
        <w:t>–</w:t>
      </w:r>
      <w:r>
        <w:rPr>
          <w:rFonts w:hint="cs"/>
          <w:rtl/>
        </w:rPr>
        <w:t xml:space="preserve"> שבהתקיימן ומבלי שנערך בזמן אמת בירור שיכול לתת להן מענה, לא ניתן לקבוע כי העסקה נעשתה בתום לב. משכך, אין אני סבור כי ניתן להחיל בענייננו את הוראות סעיף 5, בהתייחס לשטח שעליו הוקם היישוב מצפה כרמים, וממילא לא ניתן לקבוע כי למחזיקים זכויות בשטח זה. אציע אפוא לחבריי להותיר את תוצאת פסק הדין נושא הדיון הנוסף על כנה.</w:t>
      </w:r>
    </w:p>
    <w:p w:rsidR="004C7127" w:rsidRPr="00D178FB" w:rsidRDefault="004C7127" w:rsidP="004C7127">
      <w:pPr>
        <w:pStyle w:val="Ruller4"/>
        <w:numPr>
          <w:ilvl w:val="0"/>
          <w:numId w:val="0"/>
        </w:numPr>
      </w:pPr>
    </w:p>
    <w:p w:rsidR="004C7127" w:rsidRPr="00FC3B49" w:rsidRDefault="004C7127" w:rsidP="004C7127">
      <w:pPr>
        <w:pStyle w:val="Ruller4"/>
        <w:rPr>
          <w:rFonts w:eastAsiaTheme="majorEastAsia" w:cs="Miriam"/>
          <w:b/>
          <w:spacing w:val="0"/>
          <w:sz w:val="22"/>
          <w:szCs w:val="24"/>
        </w:rPr>
      </w:pPr>
      <w:r>
        <w:rPr>
          <w:rFonts w:hint="cs"/>
          <w:rtl/>
        </w:rPr>
        <w:t>כזכור, בפסק הדין נושא הדיון הנוסף הוכרעה העתירה בבג"ץ 953/11 בהתאם לתוצאת הניתוח האזרחית-קניינית. משמעות הדבר היא כי לשיטתי אין מקום להתערב גם בתוצאת העתירה. התוצאה האופרטיבית של הכרעה זו היא קשה וכואבת. תושבי מצפה כרמים הקימו במקום בית, משפחה וקהילה. בצד האמור יש לזכור כי מדובר בקרקע פרטית פלסטינית, כמו גם את חובתו של המפקד הצבאי להגן על קניינם של התושבים המוגנים. מכך נגזרת התוצאה שאליה הגעתי הן במישור הפרשני, הן במישור היישומי. איני סבור כי הדין ופרשנות סעיף 5 מאפשרים תוצאה אחרת בנסיבות העניין.</w:t>
      </w:r>
      <w:r>
        <w:rPr>
          <w:rFonts w:eastAsiaTheme="majorEastAsia" w:cs="Miriam" w:hint="cs"/>
          <w:b/>
          <w:spacing w:val="0"/>
          <w:sz w:val="22"/>
          <w:szCs w:val="24"/>
          <w:rtl/>
        </w:rPr>
        <w:t xml:space="preserve"> </w:t>
      </w:r>
      <w:r>
        <w:rPr>
          <w:rFonts w:ascii="Century" w:eastAsiaTheme="majorEastAsia" w:hAnsi="Century" w:hint="cs"/>
          <w:sz w:val="22"/>
          <w:rtl/>
        </w:rPr>
        <w:t xml:space="preserve">התנהלותה הרשלנית של המדינה שתוארה לעיל בהרחבה, מחייבת, כפי שציינה הנשיאה בפסק הדין נושא הדיון הנוסף, כי יימצא למחזיקים פתרון חלופי, ראוי והולם, והנחתי כי כך אכן ייעשה. </w:t>
      </w:r>
    </w:p>
    <w:p w:rsidR="004C7127" w:rsidRPr="00FC3B49" w:rsidRDefault="004C7127" w:rsidP="004C7127">
      <w:pPr>
        <w:pStyle w:val="Ruller4"/>
        <w:numPr>
          <w:ilvl w:val="0"/>
          <w:numId w:val="0"/>
        </w:numPr>
        <w:rPr>
          <w:rFonts w:eastAsiaTheme="majorEastAsia" w:cs="Miriam"/>
          <w:b/>
          <w:spacing w:val="0"/>
          <w:sz w:val="22"/>
          <w:szCs w:val="24"/>
        </w:rPr>
      </w:pPr>
    </w:p>
    <w:p w:rsidR="004C7127" w:rsidRDefault="004C7127" w:rsidP="004C7127">
      <w:pPr>
        <w:pStyle w:val="Ruller4"/>
        <w:numPr>
          <w:ilvl w:val="0"/>
          <w:numId w:val="0"/>
        </w:numPr>
        <w:rPr>
          <w:rtl/>
        </w:rPr>
      </w:pPr>
      <w:r>
        <w:rPr>
          <w:rtl/>
        </w:rPr>
        <w:lastRenderedPageBreak/>
        <w:tab/>
      </w:r>
      <w:r>
        <w:rPr>
          <w:rFonts w:hint="cs"/>
          <w:rtl/>
        </w:rPr>
        <w:t>בנסיבות העניין, אציע שלא יעשה צו להוצאות.</w:t>
      </w:r>
    </w:p>
    <w:p w:rsidR="004C7127" w:rsidRDefault="004C7127" w:rsidP="004C7127">
      <w:pPr>
        <w:pStyle w:val="Ruller41"/>
        <w:rPr>
          <w:rFonts w:ascii="Century" w:hAnsi="Century"/>
          <w:rtl/>
        </w:rPr>
      </w:pPr>
    </w:p>
    <w:p w:rsidR="00F83F79" w:rsidRPr="004C7127" w:rsidRDefault="00F83F79" w:rsidP="004C7127">
      <w:pPr>
        <w:pStyle w:val="Ruller41"/>
        <w:rPr>
          <w:rFonts w:ascii="Century" w:hAnsi="Century"/>
          <w:rtl/>
        </w:rPr>
      </w:pPr>
    </w:p>
    <w:tbl>
      <w:tblPr>
        <w:bidiVisual/>
        <w:tblW w:w="8363" w:type="dxa"/>
        <w:tblLook w:val="01E0" w:firstRow="1" w:lastRow="1" w:firstColumn="1" w:lastColumn="1" w:noHBand="0" w:noVBand="0"/>
      </w:tblPr>
      <w:tblGrid>
        <w:gridCol w:w="2782"/>
        <w:gridCol w:w="2782"/>
        <w:gridCol w:w="2799"/>
      </w:tblGrid>
      <w:tr w:rsidR="00F83F79" w:rsidRPr="004C7127" w:rsidTr="00BA1299">
        <w:tc>
          <w:tcPr>
            <w:tcW w:w="2842" w:type="dxa"/>
            <w:shd w:val="clear" w:color="auto" w:fill="auto"/>
          </w:tcPr>
          <w:p w:rsidR="00F83F79" w:rsidRPr="004C7127" w:rsidRDefault="00F83F79" w:rsidP="00BA1299">
            <w:pPr>
              <w:pStyle w:val="Ruller41"/>
              <w:rPr>
                <w:rtl/>
              </w:rPr>
            </w:pPr>
          </w:p>
        </w:tc>
        <w:tc>
          <w:tcPr>
            <w:tcW w:w="2843" w:type="dxa"/>
            <w:shd w:val="clear" w:color="auto" w:fill="auto"/>
          </w:tcPr>
          <w:p w:rsidR="00F83F79" w:rsidRPr="004C7127" w:rsidRDefault="00F83F79" w:rsidP="00BA1299">
            <w:pPr>
              <w:pStyle w:val="Ruller41"/>
              <w:jc w:val="center"/>
              <w:rPr>
                <w:rtl/>
              </w:rPr>
            </w:pPr>
          </w:p>
        </w:tc>
        <w:tc>
          <w:tcPr>
            <w:tcW w:w="2843" w:type="dxa"/>
            <w:shd w:val="clear" w:color="auto" w:fill="auto"/>
          </w:tcPr>
          <w:p w:rsidR="00F83F79" w:rsidRPr="004C7127" w:rsidRDefault="00F83F79" w:rsidP="00BA1299">
            <w:pPr>
              <w:pStyle w:val="Ruller41"/>
              <w:jc w:val="right"/>
              <w:rPr>
                <w:rtl/>
              </w:rPr>
            </w:pPr>
            <w:r>
              <w:rPr>
                <w:rFonts w:hint="cs"/>
                <w:rtl/>
              </w:rPr>
              <w:t>המשנה לנשיאה</w:t>
            </w:r>
          </w:p>
        </w:tc>
      </w:tr>
    </w:tbl>
    <w:p w:rsidR="004C7127" w:rsidRDefault="004C7127" w:rsidP="004C7127">
      <w:pPr>
        <w:pStyle w:val="Ruller41"/>
        <w:rPr>
          <w:rFonts w:ascii="Century" w:hAnsi="Century"/>
          <w:rtl/>
        </w:rPr>
      </w:pPr>
    </w:p>
    <w:p w:rsidR="00462244" w:rsidRPr="00A56E77" w:rsidRDefault="00462244" w:rsidP="00A56E77">
      <w:pPr>
        <w:pStyle w:val="1"/>
        <w:spacing w:before="0"/>
        <w:rPr>
          <w:rFonts w:ascii="Century" w:hAnsi="Century" w:cs="Miriam"/>
          <w:b/>
          <w:color w:val="auto"/>
          <w:spacing w:val="0"/>
          <w:sz w:val="22"/>
          <w:szCs w:val="24"/>
          <w:rtl/>
        </w:rPr>
      </w:pPr>
      <w:r w:rsidRPr="00A56E77">
        <w:rPr>
          <w:rFonts w:ascii="Century" w:hAnsi="Century" w:cs="Miriam" w:hint="cs"/>
          <w:b/>
          <w:color w:val="auto"/>
          <w:spacing w:val="0"/>
          <w:sz w:val="22"/>
          <w:szCs w:val="24"/>
          <w:u w:val="single"/>
          <w:rtl/>
        </w:rPr>
        <w:t>השופט נ' סולברג</w:t>
      </w:r>
      <w:r w:rsidRPr="00A56E77">
        <w:rPr>
          <w:rFonts w:ascii="Century" w:hAnsi="Century" w:cs="Miriam" w:hint="cs"/>
          <w:b/>
          <w:color w:val="auto"/>
          <w:spacing w:val="0"/>
          <w:sz w:val="22"/>
          <w:szCs w:val="24"/>
          <w:rtl/>
        </w:rPr>
        <w:t>:</w:t>
      </w:r>
    </w:p>
    <w:p w:rsidR="00295623" w:rsidRDefault="00295623" w:rsidP="00295623">
      <w:pPr>
        <w:pStyle w:val="Ruller41"/>
        <w:tabs>
          <w:tab w:val="left" w:pos="90"/>
        </w:tabs>
        <w:rPr>
          <w:rtl/>
        </w:rPr>
      </w:pPr>
    </w:p>
    <w:p w:rsidR="00295623" w:rsidRDefault="00295623" w:rsidP="00295623">
      <w:pPr>
        <w:pStyle w:val="Ruller41"/>
        <w:rPr>
          <w:rtl/>
        </w:rPr>
      </w:pPr>
      <w:r>
        <w:rPr>
          <w:rFonts w:hint="cs"/>
          <w:rtl/>
        </w:rPr>
        <w:t>1.</w:t>
      </w:r>
      <w:r>
        <w:rPr>
          <w:rFonts w:hint="cs"/>
          <w:rtl/>
        </w:rPr>
        <w:tab/>
        <w:t xml:space="preserve">בתחילת שנת 2000, הועתק המאחז מצפה כרמים ממקומו הקודם </w:t>
      </w:r>
      <w:r>
        <w:rPr>
          <w:rtl/>
        </w:rPr>
        <w:t>–</w:t>
      </w:r>
      <w:r>
        <w:rPr>
          <w:rFonts w:hint="cs"/>
          <w:rtl/>
        </w:rPr>
        <w:t xml:space="preserve"> דרומית מערבית לישוב כוכב השחר שבחבל בנימין </w:t>
      </w:r>
      <w:r>
        <w:rPr>
          <w:rtl/>
        </w:rPr>
        <w:t>–</w:t>
      </w:r>
      <w:r>
        <w:rPr>
          <w:rFonts w:hint="cs"/>
          <w:rtl/>
        </w:rPr>
        <w:t xml:space="preserve"> אל מקומו הנוכחי, לצדו הדרומי-מזרחי של הישוב. ההעתקה בוצעה, כחלק מ'הסכם המאחזים', שנחתם בין ראש הממשלה דאז, אהוד ברק, לבין ראשי מועצת יש"ע. תכליתו של ההסכם היתה, להסדיר נקודות התיישבות באזור יהודה ושומרון, שלא הוקמו ברצף מבונה עם ישובים קיימים. חרף העובדה, כי המיקום הקודם של מצפה כרמים היה על אדמות מדינה, </w:t>
      </w:r>
      <w:r w:rsidRPr="009A5FD2">
        <w:rPr>
          <w:rFonts w:hint="cs"/>
          <w:rtl/>
        </w:rPr>
        <w:t>נדרש</w:t>
      </w:r>
      <w:r>
        <w:rPr>
          <w:rFonts w:hint="cs"/>
          <w:rtl/>
        </w:rPr>
        <w:t>ה</w:t>
      </w:r>
      <w:r w:rsidRPr="009A5FD2">
        <w:rPr>
          <w:rFonts w:hint="cs"/>
          <w:rtl/>
        </w:rPr>
        <w:t xml:space="preserve"> העתק</w:t>
      </w:r>
      <w:r>
        <w:rPr>
          <w:rFonts w:hint="cs"/>
          <w:rtl/>
        </w:rPr>
        <w:t>ת</w:t>
      </w:r>
      <w:r w:rsidRPr="009A5FD2">
        <w:rPr>
          <w:rFonts w:hint="cs"/>
          <w:rtl/>
        </w:rPr>
        <w:t xml:space="preserve">ו למיקומו החדש, משום שהמקרקעין שעליהם הוקם בתחילה, ללא אישור, </w:t>
      </w:r>
      <w:r>
        <w:rPr>
          <w:rFonts w:hint="cs"/>
          <w:rtl/>
        </w:rPr>
        <w:t>נמצאו</w:t>
      </w:r>
      <w:r w:rsidRPr="009A5FD2">
        <w:rPr>
          <w:rFonts w:hint="cs"/>
          <w:rtl/>
        </w:rPr>
        <w:t xml:space="preserve"> מחוץ לגבולות התכנית הסטטוטורית של כוכב השחר</w:t>
      </w:r>
      <w:r>
        <w:rPr>
          <w:rFonts w:hint="cs"/>
          <w:rtl/>
        </w:rPr>
        <w:t xml:space="preserve">. העתקת מצפה כרמים נדרשה אפוא, לצורך הסדרת הישוב במישור התכנוני, ומתוך הנחה כי המיקום החדש יהא ראוי להתיישבות </w:t>
      </w:r>
      <w:r>
        <w:rPr>
          <w:rtl/>
        </w:rPr>
        <w:t>–</w:t>
      </w:r>
      <w:r>
        <w:rPr>
          <w:rFonts w:hint="cs"/>
          <w:rtl/>
        </w:rPr>
        <w:t xml:space="preserve"> הן מבחינה קניינית, הן מבחינה תכנונית. </w:t>
      </w:r>
    </w:p>
    <w:p w:rsidR="00295623" w:rsidRPr="0002268F" w:rsidRDefault="00295623" w:rsidP="00295623">
      <w:pPr>
        <w:pStyle w:val="Ruller41"/>
        <w:tabs>
          <w:tab w:val="left" w:pos="90"/>
        </w:tabs>
        <w:spacing w:line="240" w:lineRule="auto"/>
      </w:pPr>
    </w:p>
    <w:p w:rsidR="00295623" w:rsidRDefault="00295623" w:rsidP="00295623">
      <w:pPr>
        <w:pStyle w:val="Ruller41"/>
        <w:rPr>
          <w:rtl/>
        </w:rPr>
      </w:pPr>
      <w:r>
        <w:rPr>
          <w:rFonts w:hint="cs"/>
          <w:rtl/>
        </w:rPr>
        <w:t>2.</w:t>
      </w:r>
      <w:r>
        <w:rPr>
          <w:rtl/>
        </w:rPr>
        <w:tab/>
      </w:r>
      <w:r>
        <w:rPr>
          <w:rFonts w:hint="cs"/>
          <w:rtl/>
        </w:rPr>
        <w:t xml:space="preserve">בעת העתקת הישוב, סברו כלל הגורמים שליוו את המהלך </w:t>
      </w:r>
      <w:r>
        <w:rPr>
          <w:rtl/>
        </w:rPr>
        <w:t>–</w:t>
      </w:r>
      <w:r>
        <w:rPr>
          <w:rFonts w:hint="cs"/>
          <w:rtl/>
        </w:rPr>
        <w:t xml:space="preserve"> בעלי תפקידים בצבא ובמינהל האזרחי, גורמי ממשל בלשכת שר הביטחון, עובדי ההסתדרות הציונית, שעמה התקשר הממונה על הרכוש הממשלתי באיו"ש (להלן: </w:t>
      </w:r>
      <w:r w:rsidRPr="00E4549E">
        <w:rPr>
          <w:rFonts w:ascii="Century" w:hAnsi="Century" w:cs="Miriam" w:hint="cs"/>
          <w:b/>
          <w:spacing w:val="0"/>
          <w:szCs w:val="24"/>
          <w:rtl/>
        </w:rPr>
        <w:t>הממונה</w:t>
      </w:r>
      <w:r>
        <w:rPr>
          <w:rFonts w:hint="cs"/>
          <w:rtl/>
        </w:rPr>
        <w:t xml:space="preserve">) בעסקת הרשאה לגבי המקרקעין, ומתיישבי מצפה כרמים עצמם </w:t>
      </w:r>
      <w:r>
        <w:rPr>
          <w:rtl/>
        </w:rPr>
        <w:t>–</w:t>
      </w:r>
      <w:r>
        <w:rPr>
          <w:rFonts w:hint="cs"/>
          <w:rtl/>
        </w:rPr>
        <w:t xml:space="preserve"> כי המיקום החדש שאליו הועתק הישוב, נכלל בתא שטח, אשר נתפס ב'תפיסה צבאית' על-ידי הממונה. הנחה זו התבססה, בין היתר, על כך שהשטח נכלל בתכניות הסטטוטוריות של כוכב השחר. </w:t>
      </w:r>
    </w:p>
    <w:p w:rsidR="00295623" w:rsidRPr="00E1541F" w:rsidRDefault="00295623" w:rsidP="00295623">
      <w:pPr>
        <w:pStyle w:val="Ruller41"/>
        <w:tabs>
          <w:tab w:val="left" w:pos="90"/>
        </w:tabs>
        <w:spacing w:line="240" w:lineRule="auto"/>
      </w:pPr>
    </w:p>
    <w:p w:rsidR="00295623" w:rsidRDefault="00295623" w:rsidP="00295623">
      <w:pPr>
        <w:pStyle w:val="Ruller41"/>
      </w:pPr>
      <w:r>
        <w:rPr>
          <w:rFonts w:hint="cs"/>
          <w:rtl/>
        </w:rPr>
        <w:t>3.</w:t>
      </w:r>
      <w:r>
        <w:rPr>
          <w:rFonts w:hint="cs"/>
          <w:rtl/>
        </w:rPr>
        <w:tab/>
        <w:t xml:space="preserve">ואכן, הליך ההעתקה הושלם, הימים נקפו, ומתיישבי מצפה כרמים הכו שורש באדמה. בין היתר, נוסדה במקום קהילה פועמת, חלק מן המתיישבים בנו בתי-קבע; מצפה כרמים, קרם עור וגידים. בחלוף למעלה מעשור-שנים, בשנת 2011, בעתירה שהוגשה לבית משפט זה על-ידי המשיבים 3-1 (להלן: </w:t>
      </w:r>
      <w:r w:rsidRPr="00E1541F">
        <w:rPr>
          <w:rFonts w:ascii="Century" w:hAnsi="Century" w:cs="Miriam" w:hint="cs"/>
          <w:b/>
          <w:spacing w:val="0"/>
          <w:szCs w:val="24"/>
          <w:rtl/>
        </w:rPr>
        <w:t>המשיבים</w:t>
      </w:r>
      <w:r>
        <w:rPr>
          <w:rFonts w:hint="cs"/>
          <w:rtl/>
        </w:rPr>
        <w:t xml:space="preserve">), נטען לראשונה כי הקרקע שעליה הוקם הישוב, חורגת משטח התפיסה הצבאי, ועל כן, יש להורות על פינויה, בהיותה קרקע פלסטינית, פרטית ומוסדרת. מתיישבי מצפה כרמים (להלן: </w:t>
      </w:r>
      <w:r w:rsidRPr="00E1541F">
        <w:rPr>
          <w:rFonts w:ascii="Century" w:hAnsi="Century" w:cs="Miriam" w:hint="cs"/>
          <w:b/>
          <w:spacing w:val="0"/>
          <w:szCs w:val="24"/>
          <w:rtl/>
        </w:rPr>
        <w:t>המחזיקים</w:t>
      </w:r>
      <w:r>
        <w:rPr>
          <w:rFonts w:hint="cs"/>
          <w:rtl/>
        </w:rPr>
        <w:t xml:space="preserve">), הגישו מצִדם תביעה אזרחית לבית המשפט המחוזי בירושלים, למתן שורה של סעדים הצהרתיים, נגד המשיבים ונגד גורמי המדינה השונים, ביחס למעמדם בקרקע. תביעה זו </w:t>
      </w:r>
      <w:r>
        <w:rPr>
          <w:rtl/>
        </w:rPr>
        <w:t>–</w:t>
      </w:r>
      <w:r>
        <w:rPr>
          <w:rFonts w:hint="cs"/>
          <w:rtl/>
        </w:rPr>
        <w:t xml:space="preserve"> התקבלה במלואה; אך ערעור שהוגש לבית משפט זה </w:t>
      </w:r>
      <w:r>
        <w:rPr>
          <w:rtl/>
        </w:rPr>
        <w:t>–</w:t>
      </w:r>
      <w:r>
        <w:rPr>
          <w:rFonts w:hint="cs"/>
          <w:rtl/>
        </w:rPr>
        <w:t xml:space="preserve"> התקבל בדעת רוב, </w:t>
      </w:r>
      <w:r>
        <w:rPr>
          <w:rFonts w:hint="cs"/>
          <w:rtl/>
        </w:rPr>
        <w:lastRenderedPageBreak/>
        <w:t xml:space="preserve">והביא להיפוך התוצאה. השאלה שבה התחבטו שופטי ההרכב, ובהמשך גם נחלקו לגביה בדעותיהם (להלן: </w:t>
      </w:r>
      <w:r w:rsidRPr="00E1541F">
        <w:rPr>
          <w:rFonts w:ascii="Century" w:hAnsi="Century" w:cs="Miriam" w:hint="cs"/>
          <w:b/>
          <w:spacing w:val="0"/>
          <w:szCs w:val="24"/>
          <w:rtl/>
        </w:rPr>
        <w:t>פסק הדין בערעור</w:t>
      </w:r>
      <w:r>
        <w:rPr>
          <w:rFonts w:hint="cs"/>
          <w:rtl/>
        </w:rPr>
        <w:t xml:space="preserve">) היתה זו: האם יש מקום להחיל, בנסיבות המתוארות, את הוראת סעיף 5 לצו בדבר רכוש ממשלתי (יהודה ושומרון) (מס' 59), התשכ"ז-1967 (להלן: </w:t>
      </w:r>
      <w:r w:rsidRPr="00E1541F">
        <w:rPr>
          <w:rFonts w:ascii="Century" w:hAnsi="Century" w:cs="Miriam" w:hint="cs"/>
          <w:b/>
          <w:spacing w:val="0"/>
          <w:szCs w:val="24"/>
          <w:rtl/>
        </w:rPr>
        <w:t>הצו</w:t>
      </w:r>
      <w:r w:rsidRPr="001304AD">
        <w:rPr>
          <w:rFonts w:hint="cs"/>
          <w:rtl/>
        </w:rPr>
        <w:t xml:space="preserve"> </w:t>
      </w:r>
      <w:r>
        <w:rPr>
          <w:rFonts w:hint="cs"/>
          <w:rtl/>
        </w:rPr>
        <w:t>ו-</w:t>
      </w:r>
      <w:r w:rsidRPr="00E1541F">
        <w:rPr>
          <w:rFonts w:ascii="Century" w:hAnsi="Century" w:cs="Miriam" w:hint="cs"/>
          <w:b/>
          <w:spacing w:val="0"/>
          <w:szCs w:val="24"/>
          <w:rtl/>
        </w:rPr>
        <w:t>סעיף 5</w:t>
      </w:r>
      <w:r>
        <w:rPr>
          <w:rFonts w:hint="cs"/>
          <w:rtl/>
        </w:rPr>
        <w:t xml:space="preserve"> בהתאמה), הקובע הסדר של 'מעין תקנת שוק'? במסגרת הדיון וההכרעה בסוגיה, נדרשו חברי ההרכב לפרשנות רכיבי סעיף 5 הנ"ל, ובפרט להגדרת אמת המידה הבוחנת את תום הלב הנדרש, על-פי הוראת הסעיף.</w:t>
      </w:r>
    </w:p>
    <w:p w:rsidR="00295623" w:rsidRPr="0077011A" w:rsidRDefault="00295623" w:rsidP="00295623">
      <w:pPr>
        <w:pStyle w:val="Ruller4"/>
        <w:numPr>
          <w:ilvl w:val="0"/>
          <w:numId w:val="0"/>
        </w:numPr>
        <w:tabs>
          <w:tab w:val="left" w:pos="90"/>
        </w:tabs>
        <w:spacing w:line="240" w:lineRule="auto"/>
      </w:pPr>
    </w:p>
    <w:p w:rsidR="00295623" w:rsidRDefault="00295623" w:rsidP="00295623">
      <w:pPr>
        <w:pStyle w:val="Ruller41"/>
        <w:rPr>
          <w:rtl/>
        </w:rPr>
      </w:pPr>
      <w:r>
        <w:rPr>
          <w:rFonts w:hint="cs"/>
          <w:rtl/>
        </w:rPr>
        <w:t>4.</w:t>
      </w:r>
      <w:r>
        <w:rPr>
          <w:rFonts w:hint="cs"/>
          <w:rtl/>
        </w:rPr>
        <w:tab/>
        <w:t xml:space="preserve">על פסק הדין בערעור הוגשה בקשה לדיון נוסף </w:t>
      </w:r>
      <w:r>
        <w:rPr>
          <w:rtl/>
        </w:rPr>
        <w:t>–</w:t>
      </w:r>
      <w:r>
        <w:rPr>
          <w:rFonts w:hint="cs"/>
          <w:rtl/>
        </w:rPr>
        <w:t xml:space="preserve"> הוא ההליך שלפנינו. הבקשה התקבלה, בהחלטת חברי השופט </w:t>
      </w:r>
      <w:r w:rsidRPr="009A5FD2">
        <w:rPr>
          <w:rFonts w:ascii="Century" w:hAnsi="Century" w:cs="Miriam" w:hint="eastAsia"/>
          <w:b/>
          <w:spacing w:val="0"/>
          <w:szCs w:val="24"/>
          <w:rtl/>
        </w:rPr>
        <w:t>י</w:t>
      </w:r>
      <w:r w:rsidRPr="009A5FD2">
        <w:rPr>
          <w:rFonts w:ascii="Century" w:hAnsi="Century" w:cs="Miriam"/>
          <w:b/>
          <w:spacing w:val="0"/>
          <w:szCs w:val="24"/>
          <w:rtl/>
        </w:rPr>
        <w:t xml:space="preserve">' </w:t>
      </w:r>
      <w:r w:rsidRPr="009A5FD2">
        <w:rPr>
          <w:rFonts w:ascii="Century" w:hAnsi="Century" w:cs="Miriam" w:hint="eastAsia"/>
          <w:b/>
          <w:spacing w:val="0"/>
          <w:szCs w:val="24"/>
          <w:rtl/>
        </w:rPr>
        <w:t>עמית</w:t>
      </w:r>
      <w:r>
        <w:rPr>
          <w:rFonts w:hint="cs"/>
          <w:rtl/>
        </w:rPr>
        <w:t xml:space="preserve">, מיום 24.11.2020, והשאלה העומדת עתה לדיון, כפי שנקבע באותה החלטה, היא זו: </w:t>
      </w:r>
      <w:r w:rsidRPr="009A5FD2">
        <w:rPr>
          <w:rFonts w:ascii="Century" w:hAnsi="Century" w:cs="Miriam"/>
          <w:b/>
          <w:spacing w:val="0"/>
          <w:szCs w:val="24"/>
          <w:rtl/>
        </w:rPr>
        <w:t>"</w:t>
      </w:r>
      <w:r w:rsidRPr="009A5FD2">
        <w:rPr>
          <w:rFonts w:ascii="Century" w:hAnsi="Century" w:cs="Miriam" w:hint="eastAsia"/>
          <w:b/>
          <w:spacing w:val="0"/>
          <w:szCs w:val="24"/>
          <w:rtl/>
        </w:rPr>
        <w:t>מהן</w:t>
      </w:r>
      <w:r w:rsidRPr="009A5FD2">
        <w:rPr>
          <w:rFonts w:ascii="Century" w:hAnsi="Century" w:cs="Miriam"/>
          <w:b/>
          <w:spacing w:val="0"/>
          <w:szCs w:val="24"/>
          <w:rtl/>
        </w:rPr>
        <w:t xml:space="preserve"> </w:t>
      </w:r>
      <w:r w:rsidRPr="009A5FD2">
        <w:rPr>
          <w:rFonts w:ascii="Century" w:hAnsi="Century" w:cs="Miriam" w:hint="eastAsia"/>
          <w:b/>
          <w:spacing w:val="0"/>
          <w:szCs w:val="24"/>
          <w:rtl/>
        </w:rPr>
        <w:t>אמות</w:t>
      </w:r>
      <w:r w:rsidRPr="009A5FD2">
        <w:rPr>
          <w:rFonts w:ascii="Century" w:hAnsi="Century" w:cs="Miriam"/>
          <w:b/>
          <w:spacing w:val="0"/>
          <w:szCs w:val="24"/>
          <w:rtl/>
        </w:rPr>
        <w:t xml:space="preserve"> </w:t>
      </w:r>
      <w:r w:rsidRPr="009A5FD2">
        <w:rPr>
          <w:rFonts w:ascii="Century" w:hAnsi="Century" w:cs="Miriam" w:hint="eastAsia"/>
          <w:b/>
          <w:spacing w:val="0"/>
          <w:szCs w:val="24"/>
          <w:rtl/>
        </w:rPr>
        <w:t>המידה</w:t>
      </w:r>
      <w:r w:rsidRPr="009A5FD2">
        <w:rPr>
          <w:rFonts w:ascii="Century" w:hAnsi="Century" w:cs="Miriam"/>
          <w:b/>
          <w:spacing w:val="0"/>
          <w:szCs w:val="24"/>
          <w:rtl/>
        </w:rPr>
        <w:t xml:space="preserve"> </w:t>
      </w:r>
      <w:r w:rsidRPr="009A5FD2">
        <w:rPr>
          <w:rFonts w:ascii="Century" w:hAnsi="Century" w:cs="Miriam" w:hint="eastAsia"/>
          <w:b/>
          <w:spacing w:val="0"/>
          <w:szCs w:val="24"/>
          <w:rtl/>
        </w:rPr>
        <w:t>המשפטיות</w:t>
      </w:r>
      <w:r w:rsidRPr="009A5FD2">
        <w:rPr>
          <w:rFonts w:ascii="Century" w:hAnsi="Century" w:cs="Miriam"/>
          <w:b/>
          <w:spacing w:val="0"/>
          <w:szCs w:val="24"/>
          <w:rtl/>
        </w:rPr>
        <w:t xml:space="preserve"> </w:t>
      </w:r>
      <w:r w:rsidRPr="009A5FD2">
        <w:rPr>
          <w:rFonts w:ascii="Century" w:hAnsi="Century" w:cs="Miriam" w:hint="eastAsia"/>
          <w:b/>
          <w:spacing w:val="0"/>
          <w:szCs w:val="24"/>
          <w:rtl/>
        </w:rPr>
        <w:t>לבחינת</w:t>
      </w:r>
      <w:r w:rsidRPr="009A5FD2">
        <w:rPr>
          <w:rFonts w:ascii="Century" w:hAnsi="Century" w:cs="Miriam"/>
          <w:b/>
          <w:spacing w:val="0"/>
          <w:szCs w:val="24"/>
          <w:rtl/>
        </w:rPr>
        <w:t xml:space="preserve"> </w:t>
      </w:r>
      <w:r w:rsidRPr="009A5FD2">
        <w:rPr>
          <w:rFonts w:ascii="Century" w:hAnsi="Century" w:cs="Miriam" w:hint="eastAsia"/>
          <w:b/>
          <w:spacing w:val="0"/>
          <w:szCs w:val="24"/>
          <w:rtl/>
        </w:rPr>
        <w:t>עקרון</w:t>
      </w:r>
      <w:r w:rsidRPr="009A5FD2">
        <w:rPr>
          <w:rFonts w:ascii="Century" w:hAnsi="Century" w:cs="Miriam"/>
          <w:b/>
          <w:spacing w:val="0"/>
          <w:szCs w:val="24"/>
          <w:rtl/>
        </w:rPr>
        <w:t xml:space="preserve"> </w:t>
      </w:r>
      <w:r w:rsidRPr="009A5FD2">
        <w:rPr>
          <w:rFonts w:ascii="Century" w:hAnsi="Century" w:cs="Miriam" w:hint="eastAsia"/>
          <w:b/>
          <w:spacing w:val="0"/>
          <w:szCs w:val="24"/>
          <w:rtl/>
        </w:rPr>
        <w:t>תום</w:t>
      </w:r>
      <w:r w:rsidRPr="009A5FD2">
        <w:rPr>
          <w:rFonts w:ascii="Century" w:hAnsi="Century" w:cs="Miriam"/>
          <w:b/>
          <w:spacing w:val="0"/>
          <w:szCs w:val="24"/>
          <w:rtl/>
        </w:rPr>
        <w:t xml:space="preserve"> </w:t>
      </w:r>
      <w:r w:rsidRPr="009A5FD2">
        <w:rPr>
          <w:rFonts w:ascii="Century" w:hAnsi="Century" w:cs="Miriam" w:hint="eastAsia"/>
          <w:b/>
          <w:spacing w:val="0"/>
          <w:szCs w:val="24"/>
          <w:rtl/>
        </w:rPr>
        <w:t>הלב</w:t>
      </w:r>
      <w:r w:rsidRPr="009A5FD2">
        <w:rPr>
          <w:rFonts w:ascii="Century" w:hAnsi="Century" w:cs="Miriam"/>
          <w:b/>
          <w:spacing w:val="0"/>
          <w:szCs w:val="24"/>
          <w:rtl/>
        </w:rPr>
        <w:t xml:space="preserve"> </w:t>
      </w:r>
      <w:r w:rsidRPr="009A5FD2">
        <w:rPr>
          <w:rFonts w:ascii="Century" w:hAnsi="Century" w:cs="Miriam" w:hint="eastAsia"/>
          <w:b/>
          <w:spacing w:val="0"/>
          <w:szCs w:val="24"/>
          <w:rtl/>
        </w:rPr>
        <w:t>המעוגן</w:t>
      </w:r>
      <w:r w:rsidRPr="009A5FD2">
        <w:rPr>
          <w:rFonts w:ascii="Century" w:hAnsi="Century" w:cs="Miriam"/>
          <w:b/>
          <w:spacing w:val="0"/>
          <w:szCs w:val="24"/>
          <w:rtl/>
        </w:rPr>
        <w:t xml:space="preserve"> </w:t>
      </w:r>
      <w:r w:rsidRPr="009A5FD2">
        <w:rPr>
          <w:rFonts w:ascii="Century" w:hAnsi="Century" w:cs="Miriam" w:hint="eastAsia"/>
          <w:b/>
          <w:spacing w:val="0"/>
          <w:szCs w:val="24"/>
          <w:rtl/>
        </w:rPr>
        <w:t>בסעיף</w:t>
      </w:r>
      <w:r w:rsidRPr="009A5FD2">
        <w:rPr>
          <w:rFonts w:ascii="Century" w:hAnsi="Century" w:cs="Miriam"/>
          <w:b/>
          <w:spacing w:val="0"/>
          <w:szCs w:val="24"/>
          <w:rtl/>
        </w:rPr>
        <w:t xml:space="preserve"> 5 </w:t>
      </w:r>
      <w:r w:rsidRPr="009A5FD2">
        <w:rPr>
          <w:rFonts w:ascii="Century" w:hAnsi="Century" w:cs="Miriam" w:hint="eastAsia"/>
          <w:b/>
          <w:spacing w:val="0"/>
          <w:szCs w:val="24"/>
          <w:rtl/>
        </w:rPr>
        <w:t>ל</w:t>
      </w:r>
      <w:r w:rsidRPr="009A5FD2">
        <w:rPr>
          <w:rFonts w:ascii="Century" w:hAnsi="Century" w:cs="Miriam"/>
          <w:b/>
          <w:spacing w:val="0"/>
          <w:szCs w:val="24"/>
          <w:rtl/>
        </w:rPr>
        <w:t>[</w:t>
      </w:r>
      <w:r w:rsidRPr="009A5FD2">
        <w:rPr>
          <w:rFonts w:ascii="Century" w:hAnsi="Century" w:cs="Miriam" w:hint="eastAsia"/>
          <w:b/>
          <w:spacing w:val="0"/>
          <w:szCs w:val="24"/>
          <w:rtl/>
        </w:rPr>
        <w:t>צו</w:t>
      </w:r>
      <w:r w:rsidRPr="009A5FD2">
        <w:rPr>
          <w:rFonts w:ascii="Century" w:hAnsi="Century" w:cs="Miriam"/>
          <w:b/>
          <w:spacing w:val="0"/>
          <w:szCs w:val="24"/>
          <w:rtl/>
        </w:rPr>
        <w:t xml:space="preserve">], </w:t>
      </w:r>
      <w:r w:rsidRPr="009A5FD2">
        <w:rPr>
          <w:rFonts w:ascii="Century" w:hAnsi="Century" w:cs="Miriam" w:hint="eastAsia"/>
          <w:b/>
          <w:spacing w:val="0"/>
          <w:szCs w:val="24"/>
          <w:rtl/>
        </w:rPr>
        <w:t>ואופן</w:t>
      </w:r>
      <w:r w:rsidRPr="009A5FD2">
        <w:rPr>
          <w:rFonts w:ascii="Century" w:hAnsi="Century" w:cs="Miriam"/>
          <w:b/>
          <w:spacing w:val="0"/>
          <w:szCs w:val="24"/>
          <w:rtl/>
        </w:rPr>
        <w:t xml:space="preserve"> </w:t>
      </w:r>
      <w:r w:rsidRPr="009A5FD2">
        <w:rPr>
          <w:rFonts w:ascii="Century" w:hAnsi="Century" w:cs="Miriam" w:hint="eastAsia"/>
          <w:b/>
          <w:spacing w:val="0"/>
          <w:szCs w:val="24"/>
          <w:rtl/>
        </w:rPr>
        <w:t>יישומן</w:t>
      </w:r>
      <w:r w:rsidRPr="009A5FD2">
        <w:rPr>
          <w:rFonts w:ascii="Century" w:hAnsi="Century" w:cs="Miriam"/>
          <w:b/>
          <w:spacing w:val="0"/>
          <w:szCs w:val="24"/>
          <w:rtl/>
        </w:rPr>
        <w:t xml:space="preserve"> </w:t>
      </w:r>
      <w:r w:rsidRPr="009A5FD2">
        <w:rPr>
          <w:rFonts w:ascii="Century" w:hAnsi="Century" w:cs="Miriam" w:hint="eastAsia"/>
          <w:b/>
          <w:spacing w:val="0"/>
          <w:szCs w:val="24"/>
          <w:rtl/>
        </w:rPr>
        <w:t>ויישום</w:t>
      </w:r>
      <w:r w:rsidRPr="009A5FD2">
        <w:rPr>
          <w:rFonts w:ascii="Century" w:hAnsi="Century" w:cs="Miriam"/>
          <w:b/>
          <w:spacing w:val="0"/>
          <w:szCs w:val="24"/>
          <w:rtl/>
        </w:rPr>
        <w:t xml:space="preserve"> </w:t>
      </w:r>
      <w:r w:rsidRPr="009A5FD2">
        <w:rPr>
          <w:rFonts w:ascii="Century" w:hAnsi="Century" w:cs="Miriam" w:hint="eastAsia"/>
          <w:b/>
          <w:spacing w:val="0"/>
          <w:szCs w:val="24"/>
          <w:rtl/>
        </w:rPr>
        <w:t>יתר</w:t>
      </w:r>
      <w:r w:rsidRPr="009A5FD2">
        <w:rPr>
          <w:rFonts w:ascii="Century" w:hAnsi="Century" w:cs="Miriam"/>
          <w:b/>
          <w:spacing w:val="0"/>
          <w:szCs w:val="24"/>
          <w:rtl/>
        </w:rPr>
        <w:t xml:space="preserve"> </w:t>
      </w:r>
      <w:r w:rsidRPr="009A5FD2">
        <w:rPr>
          <w:rFonts w:ascii="Century" w:hAnsi="Century" w:cs="Miriam" w:hint="eastAsia"/>
          <w:b/>
          <w:spacing w:val="0"/>
          <w:szCs w:val="24"/>
          <w:rtl/>
        </w:rPr>
        <w:t>תנאי</w:t>
      </w:r>
      <w:r w:rsidRPr="009A5FD2">
        <w:rPr>
          <w:rFonts w:ascii="Century" w:hAnsi="Century" w:cs="Miriam"/>
          <w:b/>
          <w:spacing w:val="0"/>
          <w:szCs w:val="24"/>
          <w:rtl/>
        </w:rPr>
        <w:t xml:space="preserve"> </w:t>
      </w:r>
      <w:r w:rsidRPr="009A5FD2">
        <w:rPr>
          <w:rFonts w:ascii="Century" w:hAnsi="Century" w:cs="Miriam" w:hint="eastAsia"/>
          <w:b/>
          <w:spacing w:val="0"/>
          <w:szCs w:val="24"/>
          <w:rtl/>
        </w:rPr>
        <w:t>הסעיף</w:t>
      </w:r>
      <w:r w:rsidRPr="009A5FD2">
        <w:rPr>
          <w:rFonts w:ascii="Century" w:hAnsi="Century" w:cs="Miriam"/>
          <w:b/>
          <w:spacing w:val="0"/>
          <w:szCs w:val="24"/>
          <w:rtl/>
        </w:rPr>
        <w:t xml:space="preserve"> </w:t>
      </w:r>
      <w:r w:rsidRPr="009A5FD2">
        <w:rPr>
          <w:rFonts w:ascii="Century" w:hAnsi="Century" w:cs="Miriam" w:hint="eastAsia"/>
          <w:b/>
          <w:spacing w:val="0"/>
          <w:szCs w:val="24"/>
          <w:rtl/>
        </w:rPr>
        <w:t>במקרה</w:t>
      </w:r>
      <w:r w:rsidRPr="009A5FD2">
        <w:rPr>
          <w:rFonts w:ascii="Century" w:hAnsi="Century" w:cs="Miriam"/>
          <w:b/>
          <w:spacing w:val="0"/>
          <w:szCs w:val="24"/>
          <w:rtl/>
        </w:rPr>
        <w:t xml:space="preserve"> </w:t>
      </w:r>
      <w:r w:rsidRPr="009A5FD2">
        <w:rPr>
          <w:rFonts w:ascii="Century" w:hAnsi="Century" w:cs="Miriam" w:hint="eastAsia"/>
          <w:b/>
          <w:spacing w:val="0"/>
          <w:szCs w:val="24"/>
          <w:rtl/>
        </w:rPr>
        <w:t>דנן</w:t>
      </w:r>
      <w:r w:rsidRPr="009A5FD2">
        <w:rPr>
          <w:rFonts w:ascii="Century" w:hAnsi="Century" w:cs="Miriam"/>
          <w:b/>
          <w:spacing w:val="0"/>
          <w:szCs w:val="24"/>
          <w:rtl/>
        </w:rPr>
        <w:t>"</w:t>
      </w:r>
      <w:r>
        <w:rPr>
          <w:rFonts w:hint="cs"/>
          <w:rtl/>
        </w:rPr>
        <w:t>.</w:t>
      </w:r>
    </w:p>
    <w:p w:rsidR="00295623" w:rsidRPr="00047CF0" w:rsidRDefault="00295623" w:rsidP="00295623">
      <w:pPr>
        <w:pStyle w:val="Ruller41"/>
        <w:tabs>
          <w:tab w:val="left" w:pos="90"/>
        </w:tabs>
        <w:spacing w:line="240" w:lineRule="auto"/>
      </w:pPr>
    </w:p>
    <w:p w:rsidR="00295623" w:rsidRDefault="00295623" w:rsidP="00295623">
      <w:pPr>
        <w:pStyle w:val="Ruller41"/>
        <w:rPr>
          <w:rtl/>
        </w:rPr>
      </w:pPr>
      <w:r>
        <w:rPr>
          <w:rFonts w:hint="cs"/>
          <w:rtl/>
        </w:rPr>
        <w:t>5.</w:t>
      </w:r>
      <w:r>
        <w:rPr>
          <w:rFonts w:hint="cs"/>
          <w:rtl/>
        </w:rPr>
        <w:tab/>
        <w:t xml:space="preserve">עיינתי בחוות דעתו המקיפה של חברי המשנה לנשיאה </w:t>
      </w:r>
      <w:r w:rsidRPr="00AF565D">
        <w:rPr>
          <w:rFonts w:ascii="Century" w:hAnsi="Century" w:cs="Miriam" w:hint="cs"/>
          <w:b/>
          <w:spacing w:val="0"/>
          <w:szCs w:val="24"/>
          <w:rtl/>
        </w:rPr>
        <w:t>ע' פוגלמן</w:t>
      </w:r>
      <w:r>
        <w:rPr>
          <w:rFonts w:hint="cs"/>
          <w:rtl/>
        </w:rPr>
        <w:t xml:space="preserve">, שבסופה הגיע לכלל מסקנה כי יש להותיר את תוצאת פסק הדין בערעור על כנה, אך אין בידי להצטרף אליה. במחלוקת שנפלה בין חברי ההרכב בפסק הדין בערעור </w:t>
      </w:r>
      <w:r>
        <w:rPr>
          <w:rtl/>
        </w:rPr>
        <w:t>–</w:t>
      </w:r>
      <w:r>
        <w:rPr>
          <w:rFonts w:hint="cs"/>
          <w:rtl/>
        </w:rPr>
        <w:t xml:space="preserve"> הן בנוגע לעיקר הפרשנות של סעיף 5, הן בנוגע ליישומו בנסיבות המקרה דנן </w:t>
      </w:r>
      <w:r>
        <w:rPr>
          <w:rtl/>
        </w:rPr>
        <w:t>–</w:t>
      </w:r>
      <w:r>
        <w:rPr>
          <w:rFonts w:hint="cs"/>
          <w:rtl/>
        </w:rPr>
        <w:t xml:space="preserve"> מצאתי עצמי שותף,</w:t>
      </w:r>
      <w:r w:rsidRPr="00DC47DE">
        <w:rPr>
          <w:rFonts w:hint="cs"/>
          <w:rtl/>
        </w:rPr>
        <w:t xml:space="preserve"> </w:t>
      </w:r>
      <w:r>
        <w:rPr>
          <w:rFonts w:hint="cs"/>
          <w:rtl/>
        </w:rPr>
        <w:t xml:space="preserve">בשינויים כאלה ואחרים, לעמדתו של השופט (כתוארו אז) </w:t>
      </w:r>
      <w:r w:rsidRPr="0082630A">
        <w:rPr>
          <w:rFonts w:ascii="Century" w:hAnsi="Century" w:cs="Miriam" w:hint="cs"/>
          <w:b/>
          <w:spacing w:val="0"/>
          <w:szCs w:val="24"/>
          <w:rtl/>
        </w:rPr>
        <w:t>נ' הנדל</w:t>
      </w:r>
      <w:r>
        <w:rPr>
          <w:rFonts w:hint="cs"/>
          <w:rtl/>
        </w:rPr>
        <w:t xml:space="preserve">, אשר נותר בדעת מיעוט; מכאן מסקנתי, כי דין העתירה לדיון נוסף </w:t>
      </w:r>
      <w:r>
        <w:rPr>
          <w:rtl/>
        </w:rPr>
        <w:t>–</w:t>
      </w:r>
      <w:r>
        <w:rPr>
          <w:rFonts w:hint="cs"/>
          <w:rtl/>
        </w:rPr>
        <w:t xml:space="preserve"> להתקבל.</w:t>
      </w:r>
    </w:p>
    <w:p w:rsidR="00295623" w:rsidRDefault="00295623" w:rsidP="00295623">
      <w:pPr>
        <w:pStyle w:val="Ruller41"/>
        <w:tabs>
          <w:tab w:val="left" w:pos="90"/>
        </w:tabs>
        <w:spacing w:line="240" w:lineRule="auto"/>
        <w:rPr>
          <w:rtl/>
        </w:rPr>
      </w:pPr>
    </w:p>
    <w:p w:rsidR="00295623" w:rsidRDefault="00295623" w:rsidP="00295623">
      <w:pPr>
        <w:pStyle w:val="Ruller4"/>
        <w:numPr>
          <w:ilvl w:val="0"/>
          <w:numId w:val="0"/>
        </w:numPr>
        <w:tabs>
          <w:tab w:val="left" w:pos="90"/>
        </w:tabs>
        <w:rPr>
          <w:rtl/>
        </w:rPr>
      </w:pPr>
      <w:r>
        <w:rPr>
          <w:rFonts w:hint="cs"/>
          <w:rtl/>
        </w:rPr>
        <w:t>6.</w:t>
      </w:r>
      <w:r>
        <w:rPr>
          <w:rtl/>
        </w:rPr>
        <w:tab/>
      </w:r>
      <w:r>
        <w:rPr>
          <w:rFonts w:hint="cs"/>
          <w:rtl/>
        </w:rPr>
        <w:t xml:space="preserve">דרך הילוכי תהא כדלקמן: תחילה, אתייחס להצדקות לקיומו של הסדר (מעין) 'תקנת שוק' במקרקעין באיו"ש; בהמשך, אעיר הערה בנוגע לתחרות שבין הזכויות העומדות במוקד ענייננו; לאחר מכן, אבחן את תנאי סעיף 5, </w:t>
      </w:r>
      <w:r w:rsidRPr="0026794B">
        <w:rPr>
          <w:rtl/>
        </w:rPr>
        <w:t>ואיישׂמם</w:t>
      </w:r>
      <w:r>
        <w:rPr>
          <w:rFonts w:hint="cs"/>
          <w:rtl/>
        </w:rPr>
        <w:t xml:space="preserve"> על המקרה דנן, תוך תיאור העובדות הנדרשות; לבסוף, אתייחס לשאלת תום הלב, אשר עמדה בלב ליבו של פסק הדין בערעור.  </w:t>
      </w:r>
    </w:p>
    <w:p w:rsidR="00295623" w:rsidRDefault="00295623" w:rsidP="00295623">
      <w:pPr>
        <w:pStyle w:val="Ruller41"/>
        <w:tabs>
          <w:tab w:val="left" w:pos="90"/>
        </w:tabs>
        <w:spacing w:line="240" w:lineRule="auto"/>
        <w:rPr>
          <w:rtl/>
        </w:rPr>
      </w:pPr>
    </w:p>
    <w:p w:rsidR="00295623" w:rsidRPr="00DC0F24" w:rsidRDefault="00295623" w:rsidP="00295623">
      <w:pPr>
        <w:pStyle w:val="Ruller41"/>
        <w:tabs>
          <w:tab w:val="left" w:pos="90"/>
        </w:tabs>
        <w:rPr>
          <w:rFonts w:ascii="Century" w:hAnsi="Century" w:cs="Miriam"/>
          <w:b/>
          <w:spacing w:val="0"/>
          <w:szCs w:val="24"/>
        </w:rPr>
      </w:pPr>
      <w:r w:rsidRPr="00DC0F24">
        <w:rPr>
          <w:rFonts w:ascii="Century" w:hAnsi="Century" w:cs="Miriam" w:hint="cs"/>
          <w:b/>
          <w:spacing w:val="0"/>
          <w:szCs w:val="24"/>
          <w:rtl/>
        </w:rPr>
        <w:t xml:space="preserve">סעיף 5 </w:t>
      </w:r>
      <w:r w:rsidRPr="00DC0F24">
        <w:rPr>
          <w:rFonts w:ascii="Century" w:hAnsi="Century"/>
          <w:rtl/>
        </w:rPr>
        <w:t>–</w:t>
      </w:r>
      <w:r w:rsidRPr="00DC0F24">
        <w:rPr>
          <w:rFonts w:ascii="Century" w:hAnsi="Century" w:cs="Miriam" w:hint="cs"/>
          <w:b/>
          <w:spacing w:val="0"/>
          <w:szCs w:val="24"/>
          <w:rtl/>
        </w:rPr>
        <w:t xml:space="preserve"> תכלי</w:t>
      </w:r>
      <w:r>
        <w:rPr>
          <w:rFonts w:ascii="Century" w:hAnsi="Century" w:cs="Miriam" w:hint="cs"/>
          <w:b/>
          <w:spacing w:val="0"/>
          <w:szCs w:val="24"/>
          <w:rtl/>
        </w:rPr>
        <w:t>ו</w:t>
      </w:r>
      <w:r w:rsidRPr="00DC0F24">
        <w:rPr>
          <w:rFonts w:ascii="Century" w:hAnsi="Century" w:cs="Miriam" w:hint="cs"/>
          <w:b/>
          <w:spacing w:val="0"/>
          <w:szCs w:val="24"/>
          <w:rtl/>
        </w:rPr>
        <w:t>ת והצדקות</w:t>
      </w:r>
    </w:p>
    <w:p w:rsidR="00295623" w:rsidRDefault="00295623" w:rsidP="00295623">
      <w:pPr>
        <w:pStyle w:val="Ruller4"/>
        <w:numPr>
          <w:ilvl w:val="0"/>
          <w:numId w:val="0"/>
        </w:numPr>
        <w:tabs>
          <w:tab w:val="left" w:pos="90"/>
        </w:tabs>
        <w:rPr>
          <w:rtl/>
        </w:rPr>
      </w:pPr>
      <w:r>
        <w:rPr>
          <w:rFonts w:hint="cs"/>
          <w:rtl/>
        </w:rPr>
        <w:t>7.</w:t>
      </w:r>
      <w:r>
        <w:rPr>
          <w:rFonts w:hint="cs"/>
          <w:rtl/>
        </w:rPr>
        <w:tab/>
        <w:t xml:space="preserve">חברי המשנה לנשיאה, העמיד בפתח הכרעתו שלושה קווים מנחים, לפרשנות סעיף 5: הראשון </w:t>
      </w:r>
      <w:r>
        <w:rPr>
          <w:rtl/>
        </w:rPr>
        <w:t>–</w:t>
      </w:r>
      <w:r>
        <w:rPr>
          <w:rFonts w:hint="cs"/>
          <w:rtl/>
        </w:rPr>
        <w:t xml:space="preserve"> חובת המפקד הצבאי להימנע מפגיעה בזכויות הקניין של התושבים המוגנים, המתגוררים בשטח הנתון לתפיסה לוחמתית; השני </w:t>
      </w:r>
      <w:r>
        <w:rPr>
          <w:rtl/>
        </w:rPr>
        <w:t>–</w:t>
      </w:r>
      <w:r>
        <w:rPr>
          <w:rFonts w:hint="cs"/>
          <w:rtl/>
        </w:rPr>
        <w:t xml:space="preserve"> מגמת הצמצום הכללית של הסדרי תקנת השוק, נוכח פגיעתם בזכויות הקניין של הבעלים המקורי; והשלישי </w:t>
      </w:r>
      <w:r>
        <w:rPr>
          <w:rtl/>
        </w:rPr>
        <w:t>–</w:t>
      </w:r>
      <w:r>
        <w:rPr>
          <w:rFonts w:hint="cs"/>
          <w:rtl/>
        </w:rPr>
        <w:t xml:space="preserve"> הסתייגות מהיקשים והשוואות להסדרי תקנת שוק אחרים, מחמת השוני בין הסדרים אלה, לבין המנגנון המעוגן בסעיף 5. שלושת הקווים המנחים שמנה חברי, מובילים אפוא לפרשנות מצמצמת וממעטת. יתרה מכך, בחוות דעתו, מעלה חברי ספקות מספקות שונים, לגבי עצם הקביעה כי סעיף 5 משתייך למשפחת תקנות השוק, וניכר כי אלמלא היתה שאלה זו מצויה מחוץ לגבולותיו של הדיון הנוסף, היה חברי קובע כי סעיף 5 כלל </w:t>
      </w:r>
      <w:r>
        <w:rPr>
          <w:rFonts w:hint="cs"/>
          <w:rtl/>
        </w:rPr>
        <w:lastRenderedPageBreak/>
        <w:t xml:space="preserve">אינו בן-בית במשפחה זו. כשלעצמי סבורני, כי האלטרנטיבה הפרשנית שהציגו המשיבים, באשר למשמעותו של סעיף 5, דחוקה עד מאוד, בפרט נוכח הדמיון הלשוני והענייני, בין ההסדר שנקבע בסעיף זה, לבין הסדרי תקנת-השוק האחרים (ובעיקר אלה שבחוק נכסי נפקדים, התש"י-1950 (להלן: </w:t>
      </w:r>
      <w:r w:rsidRPr="00AF565D">
        <w:rPr>
          <w:rFonts w:ascii="Century" w:hAnsi="Century" w:cs="Miriam" w:hint="cs"/>
          <w:b/>
          <w:spacing w:val="0"/>
          <w:sz w:val="22"/>
          <w:szCs w:val="24"/>
          <w:rtl/>
        </w:rPr>
        <w:t>חוק נכסי נפקדים</w:t>
      </w:r>
      <w:r>
        <w:rPr>
          <w:rFonts w:hint="cs"/>
          <w:rtl/>
        </w:rPr>
        <w:t xml:space="preserve">), ובחוק האפוטרופוס הכללי, התשל"ח-1978 (להלן: </w:t>
      </w:r>
      <w:r w:rsidRPr="00AF565D">
        <w:rPr>
          <w:rFonts w:ascii="Century" w:hAnsi="Century" w:cs="Miriam" w:hint="cs"/>
          <w:b/>
          <w:spacing w:val="0"/>
          <w:sz w:val="22"/>
          <w:szCs w:val="24"/>
          <w:rtl/>
        </w:rPr>
        <w:t>חוק האפוטרופוס הכללי</w:t>
      </w:r>
      <w:r>
        <w:rPr>
          <w:rFonts w:hint="cs"/>
          <w:rtl/>
        </w:rPr>
        <w:t xml:space="preserve">)). מכל מקום, אינני סבור כי הקווים המנחים שאותם הציג חברי, לפחות בחלקם, הם שאמורים להנחותנו בפרשנות סעיף 5. לגישתי, ארחיב לגביה להלן, המגמה המצמצמת שהציע חברי, ביחס לפרשנות סעיף 5, מביאה לכרסום משמעותי, ואף למעלה מכך, באפשרות לעשות שימוש בהסדר שנקבע בו, מחטיאה את התכלית העומדת ביסודו, ומחמיצה את העובדה, כי הסדר זה נחקק, דווקא על רקע הנסיבות הייחודיות, הנוגעות להקצאת קרקע באיו"ש.  </w:t>
      </w:r>
    </w:p>
    <w:p w:rsidR="00295623" w:rsidRPr="0082630A" w:rsidRDefault="00295623" w:rsidP="00295623">
      <w:pPr>
        <w:pStyle w:val="Ruller41"/>
        <w:tabs>
          <w:tab w:val="left" w:pos="90"/>
        </w:tabs>
        <w:spacing w:line="240" w:lineRule="auto"/>
      </w:pPr>
    </w:p>
    <w:p w:rsidR="00295623" w:rsidRDefault="00295623" w:rsidP="00295623">
      <w:pPr>
        <w:pStyle w:val="Ruller4"/>
        <w:numPr>
          <w:ilvl w:val="0"/>
          <w:numId w:val="0"/>
        </w:numPr>
        <w:tabs>
          <w:tab w:val="left" w:pos="90"/>
        </w:tabs>
        <w:rPr>
          <w:rtl/>
        </w:rPr>
      </w:pPr>
      <w:r>
        <w:rPr>
          <w:rFonts w:hint="cs"/>
          <w:rtl/>
        </w:rPr>
        <w:t>8.</w:t>
      </w:r>
      <w:r>
        <w:rPr>
          <w:rFonts w:hint="cs"/>
          <w:rtl/>
        </w:rPr>
        <w:tab/>
        <w:t xml:space="preserve">אין חולק, כי ההסדר שנקבע </w:t>
      </w:r>
      <w:r w:rsidRPr="00A97C74">
        <w:rPr>
          <w:rFonts w:hint="cs"/>
          <w:rtl/>
        </w:rPr>
        <w:t>בסעיף 5</w:t>
      </w:r>
      <w:r>
        <w:rPr>
          <w:rFonts w:hint="cs"/>
          <w:rtl/>
        </w:rPr>
        <w:t xml:space="preserve">, בין אם נכנהו בשם 'תקנת שוק', בין אם לאו, נועד בראש ובראשונה </w:t>
      </w:r>
      <w:r w:rsidRPr="00A97C74">
        <w:rPr>
          <w:rFonts w:hint="cs"/>
          <w:rtl/>
        </w:rPr>
        <w:t xml:space="preserve">להגן </w:t>
      </w:r>
      <w:r>
        <w:rPr>
          <w:rFonts w:hint="cs"/>
          <w:rtl/>
        </w:rPr>
        <w:t xml:space="preserve">על </w:t>
      </w:r>
      <w:r w:rsidRPr="00A97C74">
        <w:rPr>
          <w:rFonts w:hint="cs"/>
          <w:rtl/>
        </w:rPr>
        <w:t>אינטרס ההסתמכות של המתקשר בעסקה עם הממונה</w:t>
      </w:r>
      <w:r>
        <w:rPr>
          <w:rFonts w:hint="cs"/>
          <w:rtl/>
        </w:rPr>
        <w:t xml:space="preserve">. חברי המשנה לנשיאה סבור, כי לבד מתכלית מתוחמת זו, אין לקרוא לתוככי ההסדר כל תכלית נוספת, של הקלה על חיי מסחר שוטפים, ושל יעול שוק המקרקעין. לשיטתו, העסקאות הסטנדרטיות שבהן עוסק הסעיף, אינן נוגעות לאינטראקציות מסחריות בין 'צדדים רגילים', אלא לאלה החלות בין צדדים בעלי מאפיינים שלטוניים, בין אם מדובר בממונה ובהסתדרות הציונית, בין אם בכל גורם מיישב אחר (פסקה 45 לחוות דעתו). לגישתו זו של חברי </w:t>
      </w:r>
      <w:r>
        <w:rPr>
          <w:rtl/>
        </w:rPr>
        <w:t>–</w:t>
      </w:r>
      <w:r>
        <w:rPr>
          <w:rFonts w:hint="cs"/>
          <w:rtl/>
        </w:rPr>
        <w:t xml:space="preserve"> אינני יכול להסכים. להבנתי, התכלית שאותה נועד סעיף 5 לשרת, אינה תחומה אך ורק לעסקת המכר הראשונה, שנעשית בין הממונה, לבין הגורם השלטוני המתקשר עמו. מנגנון זה, נועד להגן גם על חוליות ההעברה הבאות, אשר נסמכות כולן על עסקת ההקצאה הראשונה שנחתמה עם הממונה. מבלעדי רשת ביטחון זו, המאפשרת להסתמך על כשרותן של ההקצאות הראשונות שביצע הממונה, יורתעו מתקשרים פוטנציאליים, לכל אורך שרשרת ההעברה, מביצוע עסקאות המשך. בהעדר הגנה כאמור, יקנן כל העת חשש בליבם, שמא מקור הזכויות של הממונה יוטל בשלב כלשהו בספק, וממילא רכושם יִנטל, והם יצאו כשידיהם על ראשם. חשש זה, יבריח קונים פוטנציאליים, ולמעשה ישבית את שוק הנדל"ן ביחס לעסקאות מסוג זה. אם כן, תכליתו של סעיף 5 אינה מסתכמת בהגנה על אותה חוליה ראשונה </w:t>
      </w:r>
      <w:r>
        <w:rPr>
          <w:rtl/>
        </w:rPr>
        <w:t>–</w:t>
      </w:r>
      <w:r>
        <w:rPr>
          <w:rFonts w:hint="cs"/>
          <w:rtl/>
        </w:rPr>
        <w:t xml:space="preserve"> הסתמכות המתקשר הישיר עם הממונה. מטרתה הנוספת היא ליצור שוק מקרקעין בטוח, אשר יאפשר חיי מסחר תקינים. לכך אוסיף, כי תכליתו של סעיף 17(א) לחוק נכסי נפקדים, פורשה אף היא בפסיקה, ככזו שנועדה לאפשר חיי מסחר תקינים, וזאת אף שמדובר גם שם, ב'עסקה' הנעשית בין שני גורמים בעלי מאפיינים שלטוניים </w:t>
      </w:r>
      <w:r>
        <w:rPr>
          <w:rtl/>
        </w:rPr>
        <w:t>–</w:t>
      </w:r>
      <w:r>
        <w:rPr>
          <w:rFonts w:hint="cs"/>
          <w:rtl/>
        </w:rPr>
        <w:t xml:space="preserve"> האפוטרופוס ורשות הפיתוח (ראו למשל: </w:t>
      </w:r>
      <w:r w:rsidRPr="00BE1CBB">
        <w:rPr>
          <w:rFonts w:hint="eastAsia"/>
          <w:rtl/>
        </w:rPr>
        <w:t>ע</w:t>
      </w:r>
      <w:r>
        <w:rPr>
          <w:rFonts w:hint="cs"/>
          <w:rtl/>
        </w:rPr>
        <w:t>"</w:t>
      </w:r>
      <w:r w:rsidRPr="00BE1CBB">
        <w:rPr>
          <w:rFonts w:hint="eastAsia"/>
          <w:rtl/>
        </w:rPr>
        <w:t>א</w:t>
      </w:r>
      <w:r w:rsidRPr="00BE1CBB">
        <w:rPr>
          <w:rtl/>
        </w:rPr>
        <w:t xml:space="preserve"> 4636/07 </w:t>
      </w:r>
      <w:r w:rsidRPr="0077011A">
        <w:rPr>
          <w:rFonts w:ascii="Century" w:hAnsi="Century" w:cs="Miriam" w:hint="eastAsia"/>
          <w:b/>
          <w:spacing w:val="0"/>
          <w:sz w:val="22"/>
          <w:szCs w:val="24"/>
          <w:rtl/>
        </w:rPr>
        <w:t>מרעי</w:t>
      </w:r>
      <w:r w:rsidRPr="0077011A">
        <w:rPr>
          <w:rFonts w:ascii="Century" w:hAnsi="Century" w:cs="Miriam"/>
          <w:b/>
          <w:spacing w:val="0"/>
          <w:sz w:val="22"/>
          <w:szCs w:val="24"/>
          <w:rtl/>
        </w:rPr>
        <w:t xml:space="preserve"> </w:t>
      </w:r>
      <w:r w:rsidRPr="0077011A">
        <w:rPr>
          <w:rFonts w:ascii="Century" w:hAnsi="Century" w:cs="Miriam" w:hint="eastAsia"/>
          <w:b/>
          <w:spacing w:val="0"/>
          <w:sz w:val="22"/>
          <w:szCs w:val="24"/>
          <w:rtl/>
        </w:rPr>
        <w:t>נ</w:t>
      </w:r>
      <w:r w:rsidRPr="0077011A">
        <w:rPr>
          <w:rFonts w:ascii="Century" w:hAnsi="Century" w:cs="Miriam"/>
          <w:b/>
          <w:spacing w:val="0"/>
          <w:sz w:val="22"/>
          <w:szCs w:val="24"/>
          <w:rtl/>
        </w:rPr>
        <w:t xml:space="preserve">' </w:t>
      </w:r>
      <w:r w:rsidRPr="0077011A">
        <w:rPr>
          <w:rFonts w:ascii="Century" w:hAnsi="Century" w:cs="Miriam" w:hint="eastAsia"/>
          <w:b/>
          <w:spacing w:val="0"/>
          <w:sz w:val="22"/>
          <w:szCs w:val="24"/>
          <w:rtl/>
        </w:rPr>
        <w:t>מרעי</w:t>
      </w:r>
      <w:r>
        <w:rPr>
          <w:rFonts w:hint="cs"/>
          <w:rtl/>
        </w:rPr>
        <w:t xml:space="preserve">, פסקה 9 (21.12.2009) (להלן: </w:t>
      </w:r>
      <w:r w:rsidRPr="0077011A">
        <w:rPr>
          <w:rFonts w:ascii="Century" w:hAnsi="Century" w:cs="Miriam" w:hint="cs"/>
          <w:b/>
          <w:spacing w:val="0"/>
          <w:sz w:val="22"/>
          <w:szCs w:val="24"/>
          <w:rtl/>
        </w:rPr>
        <w:t>עניין מרעי</w:t>
      </w:r>
      <w:r>
        <w:rPr>
          <w:rFonts w:hint="cs"/>
          <w:rtl/>
        </w:rPr>
        <w:t xml:space="preserve">)). על רקע תכליות אלה, אציג להלן כמה הצדקות לקיומו של מנגנון תקנת שוק, גם </w:t>
      </w:r>
      <w:r>
        <w:rPr>
          <w:rFonts w:hint="cs"/>
          <w:rtl/>
        </w:rPr>
        <w:lastRenderedPageBreak/>
        <w:t xml:space="preserve">בעסקאות מקרקעין הנעשות עם הממונה באיו"ש. הצדקות אלה, לגישתי, אינן תומכות ברוח המצמצמת, הנושבת מחוות הדעת של חברי. </w:t>
      </w:r>
    </w:p>
    <w:p w:rsidR="00295623" w:rsidRPr="00F918E5" w:rsidRDefault="00295623" w:rsidP="00295623">
      <w:pPr>
        <w:pStyle w:val="Ruller41"/>
        <w:tabs>
          <w:tab w:val="left" w:pos="90"/>
        </w:tabs>
        <w:spacing w:line="240" w:lineRule="auto"/>
      </w:pPr>
    </w:p>
    <w:p w:rsidR="00295623" w:rsidRDefault="00295623" w:rsidP="00295623">
      <w:pPr>
        <w:pStyle w:val="Ruller4"/>
        <w:numPr>
          <w:ilvl w:val="0"/>
          <w:numId w:val="0"/>
        </w:numPr>
        <w:tabs>
          <w:tab w:val="left" w:pos="90"/>
        </w:tabs>
        <w:rPr>
          <w:rtl/>
        </w:rPr>
      </w:pPr>
      <w:r w:rsidRPr="00B018D5">
        <w:rPr>
          <w:rtl/>
        </w:rPr>
        <w:t>9</w:t>
      </w:r>
      <w:r>
        <w:rPr>
          <w:rFonts w:ascii="Century" w:hAnsi="Century" w:cs="Miriam" w:hint="cs"/>
          <w:b/>
          <w:spacing w:val="0"/>
          <w:sz w:val="22"/>
          <w:szCs w:val="24"/>
          <w:rtl/>
        </w:rPr>
        <w:t>.</w:t>
      </w:r>
      <w:r>
        <w:rPr>
          <w:rFonts w:ascii="Century" w:hAnsi="Century" w:cs="Miriam"/>
          <w:b/>
          <w:spacing w:val="0"/>
          <w:sz w:val="22"/>
          <w:szCs w:val="24"/>
          <w:rtl/>
        </w:rPr>
        <w:tab/>
      </w:r>
      <w:r w:rsidRPr="008B5994">
        <w:rPr>
          <w:rFonts w:ascii="Century" w:hAnsi="Century" w:cs="Miriam" w:hint="cs"/>
          <w:b/>
          <w:spacing w:val="0"/>
          <w:sz w:val="22"/>
          <w:szCs w:val="24"/>
          <w:rtl/>
        </w:rPr>
        <w:t>ראשית</w:t>
      </w:r>
      <w:r>
        <w:rPr>
          <w:rFonts w:hint="cs"/>
          <w:rtl/>
        </w:rPr>
        <w:t xml:space="preserve">, יש להתחשב </w:t>
      </w:r>
      <w:r w:rsidRPr="00FA0415">
        <w:rPr>
          <w:rFonts w:ascii="Century" w:hAnsi="Century" w:cs="Miriam" w:hint="cs"/>
          <w:b/>
          <w:spacing w:val="0"/>
          <w:sz w:val="22"/>
          <w:szCs w:val="24"/>
          <w:rtl/>
        </w:rPr>
        <w:t>ב</w:t>
      </w:r>
      <w:r>
        <w:rPr>
          <w:rFonts w:ascii="Century" w:hAnsi="Century" w:cs="Miriam" w:hint="cs"/>
          <w:b/>
          <w:spacing w:val="0"/>
          <w:sz w:val="22"/>
          <w:szCs w:val="24"/>
          <w:rtl/>
        </w:rPr>
        <w:t>מאפייני מרשם המקרקעין באיו"ש</w:t>
      </w:r>
      <w:r>
        <w:rPr>
          <w:rFonts w:hint="cs"/>
          <w:rtl/>
        </w:rPr>
        <w:t xml:space="preserve">. אין זה סוד, שפנקסי המקרקעין באיו"ש, אינם זוכים לאותה רמת אמינות שלה זוכים מקביליהם, המתעדים את רישום המקרקעין שבשטחי ישראל. כידוע, בניגוד למרשם המקרקעין החל בתחומי 'הקו הירוק', מרשם המקרקעין באיו"ש איננו פומבי. </w:t>
      </w:r>
      <w:r w:rsidRPr="006E4571">
        <w:rPr>
          <w:rFonts w:hint="cs"/>
          <w:rtl/>
        </w:rPr>
        <w:t>כך, בעוד שמרשמי המקרקעין בתחומי ישראל (</w:t>
      </w:r>
      <w:r>
        <w:rPr>
          <w:rFonts w:hint="cs"/>
          <w:rtl/>
        </w:rPr>
        <w:t>לבד מ</w:t>
      </w:r>
      <w:r w:rsidRPr="006E4571">
        <w:rPr>
          <w:rFonts w:hint="cs"/>
          <w:rtl/>
        </w:rPr>
        <w:t>המסמכים ששימשו יסוד לרישום), גלויים לעי</w:t>
      </w:r>
      <w:r>
        <w:rPr>
          <w:rFonts w:hint="cs"/>
          <w:rtl/>
        </w:rPr>
        <w:t>ני</w:t>
      </w:r>
      <w:r w:rsidRPr="006E4571">
        <w:rPr>
          <w:rFonts w:hint="cs"/>
          <w:rtl/>
        </w:rPr>
        <w:t xml:space="preserve"> הציבור</w:t>
      </w:r>
      <w:r>
        <w:rPr>
          <w:rFonts w:hint="cs"/>
          <w:rtl/>
        </w:rPr>
        <w:t>,</w:t>
      </w:r>
      <w:r w:rsidRPr="006E4571">
        <w:rPr>
          <w:rFonts w:hint="cs"/>
          <w:rtl/>
        </w:rPr>
        <w:t xml:space="preserve"> </w:t>
      </w:r>
      <w:r>
        <w:rPr>
          <w:rFonts w:hint="cs"/>
          <w:rtl/>
        </w:rPr>
        <w:t xml:space="preserve">ובהתאם, מצופה כי רוכש פוטנציאלי יעיין בהם, טרם ביצוע עסקה במקרקעין </w:t>
      </w:r>
      <w:r w:rsidRPr="006E4571">
        <w:rPr>
          <w:rFonts w:hint="cs"/>
          <w:rtl/>
        </w:rPr>
        <w:t xml:space="preserve">(ע"א 842/79 </w:t>
      </w:r>
      <w:r w:rsidRPr="006E4571">
        <w:rPr>
          <w:rFonts w:ascii="Century" w:hAnsi="Century" w:cs="Miriam" w:hint="cs"/>
          <w:b/>
          <w:spacing w:val="0"/>
          <w:sz w:val="22"/>
          <w:szCs w:val="24"/>
          <w:rtl/>
        </w:rPr>
        <w:t>נס נ' גולדה</w:t>
      </w:r>
      <w:r w:rsidRPr="006E4571">
        <w:rPr>
          <w:rFonts w:hint="cs"/>
          <w:rtl/>
        </w:rPr>
        <w:t xml:space="preserve">, פ"ד לו(1), 204, 213 (1981); יהושע ויסמן, </w:t>
      </w:r>
      <w:r w:rsidRPr="006E4571">
        <w:rPr>
          <w:rFonts w:ascii="Century" w:hAnsi="Century" w:cs="Miriam" w:hint="cs"/>
          <w:b/>
          <w:spacing w:val="0"/>
          <w:sz w:val="22"/>
          <w:szCs w:val="24"/>
          <w:rtl/>
        </w:rPr>
        <w:t xml:space="preserve">קניין </w:t>
      </w:r>
      <w:r w:rsidRPr="006E4571">
        <w:rPr>
          <w:rFonts w:ascii="Century" w:hAnsi="Century"/>
          <w:sz w:val="22"/>
          <w:rtl/>
        </w:rPr>
        <w:t>–</w:t>
      </w:r>
      <w:r w:rsidRPr="006E4571">
        <w:rPr>
          <w:rFonts w:ascii="Century" w:hAnsi="Century" w:cs="Miriam" w:hint="cs"/>
          <w:b/>
          <w:spacing w:val="0"/>
          <w:sz w:val="22"/>
          <w:szCs w:val="24"/>
          <w:rtl/>
        </w:rPr>
        <w:t xml:space="preserve"> חלק כללי</w:t>
      </w:r>
      <w:r w:rsidRPr="006E4571">
        <w:rPr>
          <w:rFonts w:hint="cs"/>
          <w:rtl/>
        </w:rPr>
        <w:t>, 303-302 (1993)</w:t>
      </w:r>
      <w:r w:rsidR="003112ED">
        <w:rPr>
          <w:rFonts w:hint="cs"/>
          <w:rtl/>
        </w:rPr>
        <w:t xml:space="preserve"> (להלן: </w:t>
      </w:r>
      <w:r w:rsidR="003112ED" w:rsidRPr="003112ED">
        <w:rPr>
          <w:rFonts w:ascii="Century" w:hAnsi="Century" w:cs="Miriam" w:hint="cs"/>
          <w:b/>
          <w:spacing w:val="0"/>
          <w:sz w:val="22"/>
          <w:szCs w:val="24"/>
          <w:rtl/>
        </w:rPr>
        <w:t>ויסמן</w:t>
      </w:r>
      <w:r w:rsidRPr="006E4571">
        <w:rPr>
          <w:rFonts w:hint="cs"/>
          <w:rtl/>
        </w:rPr>
        <w:t>)</w:t>
      </w:r>
      <w:r>
        <w:rPr>
          <w:rFonts w:hint="cs"/>
          <w:rtl/>
        </w:rPr>
        <w:t>;</w:t>
      </w:r>
      <w:r w:rsidRPr="006E4571">
        <w:rPr>
          <w:rFonts w:hint="cs"/>
          <w:rtl/>
        </w:rPr>
        <w:t xml:space="preserve"> כלל </w:t>
      </w:r>
      <w:r>
        <w:rPr>
          <w:rFonts w:hint="cs"/>
          <w:rtl/>
        </w:rPr>
        <w:t xml:space="preserve">זה, ביחס למקרקעין </w:t>
      </w:r>
      <w:r w:rsidRPr="006E4571">
        <w:rPr>
          <w:rFonts w:hint="cs"/>
          <w:rtl/>
        </w:rPr>
        <w:t xml:space="preserve">בתחומי איו"ש </w:t>
      </w:r>
      <w:r>
        <w:rPr>
          <w:rtl/>
        </w:rPr>
        <w:t>–</w:t>
      </w:r>
      <w:r>
        <w:rPr>
          <w:rFonts w:hint="cs"/>
          <w:rtl/>
        </w:rPr>
        <w:t xml:space="preserve"> </w:t>
      </w:r>
      <w:r w:rsidRPr="006E4571">
        <w:rPr>
          <w:rFonts w:hint="cs"/>
          <w:rtl/>
        </w:rPr>
        <w:t>הוא הפוך. מרשמי</w:t>
      </w:r>
      <w:r>
        <w:rPr>
          <w:rFonts w:hint="cs"/>
          <w:rtl/>
        </w:rPr>
        <w:t xml:space="preserve"> המקרקעין</w:t>
      </w:r>
      <w:r w:rsidRPr="006E4571">
        <w:rPr>
          <w:rFonts w:hint="cs"/>
          <w:rtl/>
        </w:rPr>
        <w:t xml:space="preserve"> </w:t>
      </w:r>
      <w:r>
        <w:rPr>
          <w:rFonts w:hint="cs"/>
          <w:rtl/>
        </w:rPr>
        <w:t xml:space="preserve">באיו"ש </w:t>
      </w:r>
      <w:r w:rsidRPr="006E4571">
        <w:rPr>
          <w:rFonts w:hint="cs"/>
          <w:rtl/>
        </w:rPr>
        <w:t>אינם פומביים, ואינם חשופים למי שאינו בעל זכות במקרקעין. עיון בהם</w:t>
      </w:r>
      <w:r>
        <w:rPr>
          <w:rFonts w:hint="cs"/>
          <w:rtl/>
        </w:rPr>
        <w:t xml:space="preserve"> מהווה </w:t>
      </w:r>
      <w:r w:rsidRPr="006E4571">
        <w:rPr>
          <w:rFonts w:hint="cs"/>
          <w:rtl/>
        </w:rPr>
        <w:t>חריג לכלל</w:t>
      </w:r>
      <w:r>
        <w:rPr>
          <w:rFonts w:hint="cs"/>
          <w:rtl/>
        </w:rPr>
        <w:t xml:space="preserve"> האמור</w:t>
      </w:r>
      <w:r w:rsidRPr="006E4571">
        <w:rPr>
          <w:rFonts w:hint="cs"/>
          <w:rtl/>
        </w:rPr>
        <w:t xml:space="preserve">, </w:t>
      </w:r>
      <w:r>
        <w:rPr>
          <w:rFonts w:hint="cs"/>
          <w:rtl/>
        </w:rPr>
        <w:t xml:space="preserve">ולא ניתן לאפשרו, אלא בכפוף לעמידה </w:t>
      </w:r>
      <w:r w:rsidRPr="006E4571">
        <w:rPr>
          <w:rFonts w:hint="cs"/>
          <w:rtl/>
        </w:rPr>
        <w:t>בתנאים שקבע המפקד הצבאי באיו"ש, ב</w:t>
      </w:r>
      <w:r>
        <w:rPr>
          <w:rFonts w:hint="cs"/>
          <w:rtl/>
        </w:rPr>
        <w:t>מסגרת ה</w:t>
      </w:r>
      <w:r w:rsidRPr="006E4571">
        <w:rPr>
          <w:rFonts w:hint="cs"/>
          <w:rtl/>
        </w:rPr>
        <w:t xml:space="preserve">צו </w:t>
      </w:r>
      <w:r w:rsidRPr="006E4571">
        <w:rPr>
          <w:rFonts w:hint="eastAsia"/>
          <w:rtl/>
        </w:rPr>
        <w:t>בדבר</w:t>
      </w:r>
      <w:r w:rsidRPr="006E4571">
        <w:rPr>
          <w:rtl/>
        </w:rPr>
        <w:t xml:space="preserve"> </w:t>
      </w:r>
      <w:r w:rsidRPr="006E4571">
        <w:rPr>
          <w:rFonts w:hint="eastAsia"/>
          <w:rtl/>
        </w:rPr>
        <w:t>מקרקעין</w:t>
      </w:r>
      <w:r w:rsidRPr="006E4571">
        <w:rPr>
          <w:rtl/>
        </w:rPr>
        <w:t xml:space="preserve"> (</w:t>
      </w:r>
      <w:r w:rsidRPr="006E4571">
        <w:rPr>
          <w:rFonts w:hint="eastAsia"/>
          <w:rtl/>
        </w:rPr>
        <w:t>עיון</w:t>
      </w:r>
      <w:r w:rsidRPr="006E4571">
        <w:rPr>
          <w:rtl/>
        </w:rPr>
        <w:t xml:space="preserve"> </w:t>
      </w:r>
      <w:r w:rsidRPr="006E4571">
        <w:rPr>
          <w:rFonts w:hint="eastAsia"/>
          <w:rtl/>
        </w:rPr>
        <w:t>במרשמים</w:t>
      </w:r>
      <w:r w:rsidRPr="006E4571">
        <w:rPr>
          <w:rtl/>
        </w:rPr>
        <w:t>) (</w:t>
      </w:r>
      <w:r w:rsidRPr="006E4571">
        <w:rPr>
          <w:rFonts w:hint="eastAsia"/>
          <w:rtl/>
        </w:rPr>
        <w:t>יהודה</w:t>
      </w:r>
      <w:r w:rsidRPr="006E4571">
        <w:rPr>
          <w:rtl/>
        </w:rPr>
        <w:t xml:space="preserve"> </w:t>
      </w:r>
      <w:r w:rsidRPr="006E4571">
        <w:rPr>
          <w:rFonts w:hint="eastAsia"/>
          <w:rtl/>
        </w:rPr>
        <w:t>ושומרון</w:t>
      </w:r>
      <w:r w:rsidRPr="006E4571">
        <w:rPr>
          <w:rtl/>
        </w:rPr>
        <w:t>) (</w:t>
      </w:r>
      <w:r w:rsidRPr="006E4571">
        <w:rPr>
          <w:rFonts w:hint="eastAsia"/>
          <w:rtl/>
        </w:rPr>
        <w:t>מס</w:t>
      </w:r>
      <w:r w:rsidRPr="006E4571">
        <w:rPr>
          <w:rtl/>
        </w:rPr>
        <w:t xml:space="preserve">' 1737), </w:t>
      </w:r>
      <w:r w:rsidRPr="006E4571">
        <w:rPr>
          <w:rFonts w:hint="eastAsia"/>
          <w:rtl/>
        </w:rPr>
        <w:t>התשע</w:t>
      </w:r>
      <w:r w:rsidRPr="006E4571">
        <w:rPr>
          <w:rtl/>
        </w:rPr>
        <w:t>"</w:t>
      </w:r>
      <w:r w:rsidRPr="006E4571">
        <w:rPr>
          <w:rFonts w:hint="eastAsia"/>
          <w:rtl/>
        </w:rPr>
        <w:t>ד</w:t>
      </w:r>
      <w:r w:rsidRPr="006E4571">
        <w:rPr>
          <w:rFonts w:hint="cs"/>
          <w:rtl/>
        </w:rPr>
        <w:t>-</w:t>
      </w:r>
      <w:r w:rsidRPr="006E4571">
        <w:rPr>
          <w:rtl/>
        </w:rPr>
        <w:t>2014</w:t>
      </w:r>
      <w:r w:rsidRPr="006E4571">
        <w:rPr>
          <w:rFonts w:hint="cs"/>
          <w:rtl/>
        </w:rPr>
        <w:t xml:space="preserve"> (לעניין זה, ראו: רע"א 2505/16 </w:t>
      </w:r>
      <w:r w:rsidRPr="006E4571">
        <w:rPr>
          <w:rFonts w:ascii="Century" w:hAnsi="Century" w:cs="Miriam" w:hint="cs"/>
          <w:b/>
          <w:spacing w:val="0"/>
          <w:sz w:val="22"/>
          <w:szCs w:val="24"/>
          <w:rtl/>
        </w:rPr>
        <w:t>אנג'ל נ' המ</w:t>
      </w:r>
      <w:r>
        <w:rPr>
          <w:rFonts w:ascii="Century" w:hAnsi="Century" w:cs="Miriam" w:hint="cs"/>
          <w:b/>
          <w:spacing w:val="0"/>
          <w:sz w:val="22"/>
          <w:szCs w:val="24"/>
          <w:rtl/>
        </w:rPr>
        <w:t>י</w:t>
      </w:r>
      <w:r w:rsidRPr="006E4571">
        <w:rPr>
          <w:rFonts w:ascii="Century" w:hAnsi="Century" w:cs="Miriam" w:hint="cs"/>
          <w:b/>
          <w:spacing w:val="0"/>
          <w:sz w:val="22"/>
          <w:szCs w:val="24"/>
          <w:rtl/>
        </w:rPr>
        <w:t>נהל האזרחי ביהודה ושומרון</w:t>
      </w:r>
      <w:r w:rsidRPr="006E4571">
        <w:rPr>
          <w:rFonts w:hint="cs"/>
          <w:rtl/>
        </w:rPr>
        <w:t xml:space="preserve"> (22.12.2016);</w:t>
      </w:r>
      <w:r w:rsidRPr="006E4571">
        <w:rPr>
          <w:rFonts w:ascii="Century" w:hAnsi="Century" w:hint="eastAsia"/>
          <w:sz w:val="22"/>
          <w:rtl/>
        </w:rPr>
        <w:t xml:space="preserve"> בג</w:t>
      </w:r>
      <w:r w:rsidRPr="006E4571">
        <w:rPr>
          <w:rFonts w:ascii="Century" w:hAnsi="Century"/>
          <w:sz w:val="22"/>
          <w:rtl/>
        </w:rPr>
        <w:t>"</w:t>
      </w:r>
      <w:r w:rsidRPr="006E4571">
        <w:rPr>
          <w:rFonts w:ascii="Century" w:hAnsi="Century" w:hint="eastAsia"/>
          <w:sz w:val="22"/>
          <w:rtl/>
        </w:rPr>
        <w:t>ץ</w:t>
      </w:r>
      <w:r w:rsidRPr="006E4571">
        <w:rPr>
          <w:rFonts w:ascii="Century" w:hAnsi="Century"/>
          <w:sz w:val="22"/>
          <w:rtl/>
        </w:rPr>
        <w:t xml:space="preserve"> 6870</w:t>
      </w:r>
      <w:r w:rsidRPr="006E4571">
        <w:rPr>
          <w:rFonts w:ascii="Century" w:hAnsi="Century" w:hint="cs"/>
          <w:sz w:val="22"/>
          <w:rtl/>
        </w:rPr>
        <w:t>/</w:t>
      </w:r>
      <w:r w:rsidRPr="006E4571">
        <w:rPr>
          <w:rFonts w:ascii="Century" w:hAnsi="Century"/>
          <w:sz w:val="22"/>
          <w:rtl/>
        </w:rPr>
        <w:t xml:space="preserve">14 </w:t>
      </w:r>
      <w:r w:rsidRPr="006E4571">
        <w:rPr>
          <w:rFonts w:ascii="Century" w:hAnsi="Century" w:cs="Miriam" w:hint="eastAsia"/>
          <w:b/>
          <w:spacing w:val="0"/>
          <w:sz w:val="22"/>
          <w:szCs w:val="24"/>
          <w:rtl/>
        </w:rPr>
        <w:t>רגבים</w:t>
      </w:r>
      <w:r w:rsidRPr="006E4571">
        <w:rPr>
          <w:rFonts w:ascii="Century" w:hAnsi="Century" w:cs="Miriam"/>
          <w:b/>
          <w:spacing w:val="0"/>
          <w:sz w:val="22"/>
          <w:szCs w:val="24"/>
          <w:rtl/>
        </w:rPr>
        <w:t xml:space="preserve"> </w:t>
      </w:r>
      <w:r w:rsidRPr="006E4571">
        <w:rPr>
          <w:rFonts w:ascii="Century" w:hAnsi="Century" w:cs="Miriam" w:hint="eastAsia"/>
          <w:b/>
          <w:spacing w:val="0"/>
          <w:sz w:val="22"/>
          <w:szCs w:val="24"/>
          <w:rtl/>
        </w:rPr>
        <w:t>נ</w:t>
      </w:r>
      <w:r w:rsidRPr="006E4571">
        <w:rPr>
          <w:rFonts w:ascii="Century" w:hAnsi="Century" w:cs="Miriam"/>
          <w:b/>
          <w:spacing w:val="0"/>
          <w:sz w:val="22"/>
          <w:szCs w:val="24"/>
          <w:rtl/>
        </w:rPr>
        <w:t xml:space="preserve">' </w:t>
      </w:r>
      <w:r w:rsidRPr="006E4571">
        <w:rPr>
          <w:rFonts w:ascii="Century" w:hAnsi="Century" w:cs="Miriam" w:hint="eastAsia"/>
          <w:b/>
          <w:spacing w:val="0"/>
          <w:sz w:val="22"/>
          <w:szCs w:val="24"/>
          <w:rtl/>
        </w:rPr>
        <w:t>ראש</w:t>
      </w:r>
      <w:r w:rsidRPr="006E4571">
        <w:rPr>
          <w:rFonts w:ascii="Century" w:hAnsi="Century" w:cs="Miriam"/>
          <w:b/>
          <w:spacing w:val="0"/>
          <w:sz w:val="22"/>
          <w:szCs w:val="24"/>
          <w:rtl/>
        </w:rPr>
        <w:t xml:space="preserve"> </w:t>
      </w:r>
      <w:r w:rsidRPr="006E4571">
        <w:rPr>
          <w:rFonts w:ascii="Century" w:hAnsi="Century" w:cs="Miriam" w:hint="eastAsia"/>
          <w:b/>
          <w:spacing w:val="0"/>
          <w:sz w:val="22"/>
          <w:szCs w:val="24"/>
          <w:rtl/>
        </w:rPr>
        <w:t>המינהל</w:t>
      </w:r>
      <w:r w:rsidRPr="006E4571">
        <w:rPr>
          <w:rFonts w:ascii="Century" w:hAnsi="Century" w:cs="Miriam"/>
          <w:b/>
          <w:spacing w:val="0"/>
          <w:sz w:val="22"/>
          <w:szCs w:val="24"/>
          <w:rtl/>
        </w:rPr>
        <w:t xml:space="preserve"> </w:t>
      </w:r>
      <w:r w:rsidRPr="006E4571">
        <w:rPr>
          <w:rFonts w:ascii="Century" w:hAnsi="Century" w:cs="Miriam" w:hint="eastAsia"/>
          <w:b/>
          <w:spacing w:val="0"/>
          <w:sz w:val="22"/>
          <w:szCs w:val="24"/>
          <w:rtl/>
        </w:rPr>
        <w:t>האזרחי</w:t>
      </w:r>
      <w:r w:rsidRPr="006E4571">
        <w:rPr>
          <w:rFonts w:ascii="Century" w:hAnsi="Century" w:hint="cs"/>
          <w:sz w:val="22"/>
          <w:rtl/>
        </w:rPr>
        <w:t xml:space="preserve"> (3.1.2017);</w:t>
      </w:r>
      <w:r w:rsidRPr="006E4571">
        <w:rPr>
          <w:rFonts w:hint="cs"/>
          <w:rtl/>
        </w:rPr>
        <w:t xml:space="preserve"> רונית לוין-שנור, </w:t>
      </w:r>
      <w:r w:rsidRPr="006E4571">
        <w:rPr>
          <w:rFonts w:ascii="Century" w:hAnsi="Century" w:cs="Miriam" w:hint="eastAsia"/>
          <w:b/>
          <w:spacing w:val="0"/>
          <w:sz w:val="22"/>
          <w:szCs w:val="24"/>
          <w:rtl/>
        </w:rPr>
        <w:t>דיני</w:t>
      </w:r>
      <w:r w:rsidRPr="006E4571">
        <w:rPr>
          <w:rFonts w:ascii="Century" w:hAnsi="Century" w:cs="Miriam"/>
          <w:b/>
          <w:spacing w:val="0"/>
          <w:sz w:val="22"/>
          <w:szCs w:val="24"/>
          <w:rtl/>
        </w:rPr>
        <w:t xml:space="preserve"> </w:t>
      </w:r>
      <w:r w:rsidRPr="006E4571">
        <w:rPr>
          <w:rFonts w:ascii="Century" w:hAnsi="Century" w:cs="Miriam" w:hint="eastAsia"/>
          <w:b/>
          <w:spacing w:val="0"/>
          <w:sz w:val="22"/>
          <w:szCs w:val="24"/>
          <w:rtl/>
        </w:rPr>
        <w:t>רישום</w:t>
      </w:r>
      <w:r w:rsidRPr="006E4571">
        <w:rPr>
          <w:rFonts w:ascii="Century" w:hAnsi="Century" w:cs="Miriam"/>
          <w:b/>
          <w:spacing w:val="0"/>
          <w:sz w:val="22"/>
          <w:szCs w:val="24"/>
          <w:rtl/>
        </w:rPr>
        <w:t xml:space="preserve"> </w:t>
      </w:r>
      <w:r w:rsidRPr="006E4571">
        <w:rPr>
          <w:rFonts w:ascii="Century" w:hAnsi="Century" w:cs="Miriam" w:hint="eastAsia"/>
          <w:b/>
          <w:spacing w:val="0"/>
          <w:sz w:val="22"/>
          <w:szCs w:val="24"/>
          <w:rtl/>
        </w:rPr>
        <w:t>מקרקעין</w:t>
      </w:r>
      <w:r w:rsidRPr="006E4571">
        <w:rPr>
          <w:rFonts w:ascii="Century" w:hAnsi="Century"/>
          <w:sz w:val="22"/>
          <w:rtl/>
        </w:rPr>
        <w:t xml:space="preserve"> –</w:t>
      </w:r>
      <w:r w:rsidRPr="006E4571">
        <w:rPr>
          <w:rFonts w:ascii="Century" w:hAnsi="Century" w:cs="Miriam"/>
          <w:b/>
          <w:spacing w:val="0"/>
          <w:sz w:val="22"/>
          <w:szCs w:val="24"/>
          <w:rtl/>
        </w:rPr>
        <w:t xml:space="preserve"> </w:t>
      </w:r>
      <w:r w:rsidRPr="006E4571">
        <w:rPr>
          <w:rFonts w:ascii="Century" w:hAnsi="Century" w:cs="Miriam" w:hint="eastAsia"/>
          <w:b/>
          <w:spacing w:val="0"/>
          <w:sz w:val="22"/>
          <w:szCs w:val="24"/>
          <w:rtl/>
        </w:rPr>
        <w:t>הרישום</w:t>
      </w:r>
      <w:r w:rsidRPr="006E4571">
        <w:rPr>
          <w:rFonts w:ascii="Century" w:hAnsi="Century" w:cs="Miriam"/>
          <w:b/>
          <w:spacing w:val="0"/>
          <w:sz w:val="22"/>
          <w:szCs w:val="24"/>
          <w:rtl/>
        </w:rPr>
        <w:t xml:space="preserve">, </w:t>
      </w:r>
      <w:r w:rsidRPr="006E4571">
        <w:rPr>
          <w:rFonts w:ascii="Century" w:hAnsi="Century" w:cs="Miriam" w:hint="eastAsia"/>
          <w:b/>
          <w:spacing w:val="0"/>
          <w:sz w:val="22"/>
          <w:szCs w:val="24"/>
          <w:rtl/>
        </w:rPr>
        <w:t>ההסדר</w:t>
      </w:r>
      <w:r w:rsidRPr="006E4571">
        <w:rPr>
          <w:rFonts w:ascii="Century" w:hAnsi="Century" w:cs="Miriam"/>
          <w:b/>
          <w:spacing w:val="0"/>
          <w:sz w:val="22"/>
          <w:szCs w:val="24"/>
          <w:rtl/>
        </w:rPr>
        <w:t xml:space="preserve"> </w:t>
      </w:r>
      <w:r w:rsidRPr="006E4571">
        <w:rPr>
          <w:rFonts w:ascii="Century" w:hAnsi="Century" w:cs="Miriam" w:hint="eastAsia"/>
          <w:b/>
          <w:spacing w:val="0"/>
          <w:sz w:val="22"/>
          <w:szCs w:val="24"/>
          <w:rtl/>
        </w:rPr>
        <w:t>ותוצאותיהם</w:t>
      </w:r>
      <w:r w:rsidRPr="006E4571">
        <w:rPr>
          <w:rFonts w:ascii="Century" w:hAnsi="Century" w:cs="Miriam"/>
          <w:b/>
          <w:spacing w:val="0"/>
          <w:sz w:val="22"/>
          <w:szCs w:val="24"/>
          <w:rtl/>
        </w:rPr>
        <w:t xml:space="preserve"> </w:t>
      </w:r>
      <w:r w:rsidRPr="006E4571">
        <w:rPr>
          <w:rFonts w:ascii="Century" w:hAnsi="Century" w:cs="Miriam" w:hint="eastAsia"/>
          <w:b/>
          <w:spacing w:val="0"/>
          <w:sz w:val="22"/>
          <w:szCs w:val="24"/>
          <w:rtl/>
        </w:rPr>
        <w:t>בישראל</w:t>
      </w:r>
      <w:r w:rsidRPr="006E4571">
        <w:rPr>
          <w:rFonts w:ascii="Century" w:hAnsi="Century" w:cs="Miriam"/>
          <w:b/>
          <w:spacing w:val="0"/>
          <w:sz w:val="22"/>
          <w:szCs w:val="24"/>
          <w:rtl/>
        </w:rPr>
        <w:t xml:space="preserve"> </w:t>
      </w:r>
      <w:r w:rsidRPr="00E1541F">
        <w:rPr>
          <w:rFonts w:ascii="Century" w:hAnsi="Century" w:cs="Miriam" w:hint="eastAsia"/>
          <w:b/>
          <w:spacing w:val="0"/>
          <w:sz w:val="22"/>
          <w:szCs w:val="24"/>
          <w:rtl/>
        </w:rPr>
        <w:t>והגדה</w:t>
      </w:r>
      <w:r w:rsidRPr="006E4571">
        <w:rPr>
          <w:rFonts w:ascii="Century" w:hAnsi="Century" w:cs="Miriam"/>
          <w:b/>
          <w:spacing w:val="0"/>
          <w:sz w:val="22"/>
          <w:szCs w:val="24"/>
          <w:rtl/>
        </w:rPr>
        <w:t xml:space="preserve"> </w:t>
      </w:r>
      <w:r w:rsidRPr="006E4571">
        <w:rPr>
          <w:rFonts w:ascii="Century" w:hAnsi="Century" w:cs="Miriam" w:hint="eastAsia"/>
          <w:b/>
          <w:spacing w:val="0"/>
          <w:sz w:val="22"/>
          <w:szCs w:val="24"/>
          <w:rtl/>
        </w:rPr>
        <w:t>המערבית</w:t>
      </w:r>
      <w:r w:rsidRPr="006E4571">
        <w:rPr>
          <w:rtl/>
        </w:rPr>
        <w:t xml:space="preserve"> 279 (2012)</w:t>
      </w:r>
      <w:r w:rsidRPr="006E4571">
        <w:rPr>
          <w:rFonts w:hint="cs"/>
          <w:rtl/>
        </w:rPr>
        <w:t xml:space="preserve">; דו"ח מסכם של הצוות המקצועי לגיבוש מתווה להסדרת בנייה באיו"ש (15.2.2018) (להלן: </w:t>
      </w:r>
      <w:r w:rsidRPr="003A34AC">
        <w:rPr>
          <w:rFonts w:ascii="Century" w:hAnsi="Century" w:cs="Miriam"/>
          <w:b/>
          <w:spacing w:val="0"/>
          <w:sz w:val="22"/>
          <w:szCs w:val="24"/>
          <w:rtl/>
        </w:rPr>
        <w:t>דו"ח זנדברג</w:t>
      </w:r>
      <w:r w:rsidRPr="006E4571">
        <w:rPr>
          <w:rFonts w:hint="cs"/>
          <w:rtl/>
        </w:rPr>
        <w:t xml:space="preserve">)). </w:t>
      </w:r>
      <w:r>
        <w:rPr>
          <w:rFonts w:hint="cs"/>
          <w:rtl/>
        </w:rPr>
        <w:t>מעבר לכך, מרשם המקרקעין באיו"ש איננו מקיף ומהימן די הצורך, ולא פעם נמצא כי קיימות בו שגיאות, וחסרה בו אינפורמציה. זאת, בין היתר, משום שאחוז המקרקעין המוסדרים אינו עולה על שליש מכלל שטחי איו"ש</w:t>
      </w:r>
      <w:r w:rsidRPr="00ED213D">
        <w:rPr>
          <w:rFonts w:hint="eastAsia"/>
          <w:rtl/>
        </w:rPr>
        <w:t xml:space="preserve"> </w:t>
      </w:r>
      <w:r>
        <w:rPr>
          <w:rFonts w:hint="cs"/>
          <w:rtl/>
        </w:rPr>
        <w:t>(</w:t>
      </w:r>
      <w:r w:rsidRPr="00ED0980">
        <w:rPr>
          <w:rFonts w:hint="eastAsia"/>
          <w:rtl/>
        </w:rPr>
        <w:t>איל</w:t>
      </w:r>
      <w:r w:rsidRPr="00ED0980">
        <w:rPr>
          <w:rtl/>
        </w:rPr>
        <w:t xml:space="preserve"> </w:t>
      </w:r>
      <w:r w:rsidRPr="00ED0980">
        <w:rPr>
          <w:rFonts w:hint="eastAsia"/>
          <w:rtl/>
        </w:rPr>
        <w:t>זמיר</w:t>
      </w:r>
      <w:r w:rsidRPr="00ED0980">
        <w:rPr>
          <w:rtl/>
        </w:rPr>
        <w:t xml:space="preserve"> </w:t>
      </w:r>
      <w:r w:rsidRPr="00ED0980">
        <w:rPr>
          <w:rFonts w:ascii="Century" w:hAnsi="Century" w:cs="Miriam" w:hint="eastAsia"/>
          <w:b/>
          <w:spacing w:val="0"/>
          <w:sz w:val="22"/>
          <w:szCs w:val="24"/>
          <w:rtl/>
        </w:rPr>
        <w:t>אדמות</w:t>
      </w:r>
      <w:r w:rsidRPr="00ED0980">
        <w:rPr>
          <w:rFonts w:ascii="Century" w:hAnsi="Century" w:cs="Miriam"/>
          <w:b/>
          <w:spacing w:val="0"/>
          <w:sz w:val="22"/>
          <w:szCs w:val="24"/>
          <w:rtl/>
        </w:rPr>
        <w:t xml:space="preserve"> </w:t>
      </w:r>
      <w:r w:rsidRPr="00ED0980">
        <w:rPr>
          <w:rFonts w:ascii="Century" w:hAnsi="Century" w:cs="Miriam" w:hint="eastAsia"/>
          <w:b/>
          <w:spacing w:val="0"/>
          <w:sz w:val="22"/>
          <w:szCs w:val="24"/>
          <w:rtl/>
        </w:rPr>
        <w:t>היהודים</w:t>
      </w:r>
      <w:r w:rsidRPr="00ED0980">
        <w:rPr>
          <w:rFonts w:ascii="Century" w:hAnsi="Century" w:cs="Miriam"/>
          <w:b/>
          <w:spacing w:val="0"/>
          <w:sz w:val="22"/>
          <w:szCs w:val="24"/>
          <w:rtl/>
        </w:rPr>
        <w:t xml:space="preserve"> </w:t>
      </w:r>
      <w:r w:rsidRPr="00ED0980">
        <w:rPr>
          <w:rFonts w:ascii="Century" w:hAnsi="Century" w:cs="Miriam" w:hint="eastAsia"/>
          <w:b/>
          <w:spacing w:val="0"/>
          <w:sz w:val="22"/>
          <w:szCs w:val="24"/>
          <w:rtl/>
        </w:rPr>
        <w:t>ביהודה</w:t>
      </w:r>
      <w:r w:rsidRPr="00ED0980">
        <w:rPr>
          <w:rFonts w:ascii="Century" w:hAnsi="Century" w:cs="Miriam"/>
          <w:b/>
          <w:spacing w:val="0"/>
          <w:sz w:val="22"/>
          <w:szCs w:val="24"/>
          <w:rtl/>
        </w:rPr>
        <w:t xml:space="preserve"> </w:t>
      </w:r>
      <w:r w:rsidRPr="00ED0980">
        <w:rPr>
          <w:rFonts w:ascii="Century" w:hAnsi="Century" w:cs="Miriam" w:hint="eastAsia"/>
          <w:b/>
          <w:spacing w:val="0"/>
          <w:sz w:val="22"/>
          <w:szCs w:val="24"/>
          <w:rtl/>
        </w:rPr>
        <w:t>ושומרון</w:t>
      </w:r>
      <w:r w:rsidRPr="00ED0980">
        <w:rPr>
          <w:rFonts w:ascii="Century" w:hAnsi="Century" w:cs="Miriam"/>
          <w:b/>
          <w:spacing w:val="0"/>
          <w:sz w:val="22"/>
          <w:szCs w:val="24"/>
          <w:rtl/>
        </w:rPr>
        <w:t xml:space="preserve"> </w:t>
      </w:r>
      <w:r w:rsidRPr="00ED0980">
        <w:rPr>
          <w:rFonts w:ascii="Century" w:hAnsi="Century"/>
          <w:sz w:val="22"/>
          <w:rtl/>
        </w:rPr>
        <w:t>–</w:t>
      </w:r>
      <w:r w:rsidRPr="00ED0980">
        <w:rPr>
          <w:rFonts w:ascii="Century" w:hAnsi="Century" w:cs="Miriam"/>
          <w:b/>
          <w:spacing w:val="0"/>
          <w:sz w:val="22"/>
          <w:szCs w:val="24"/>
          <w:rtl/>
        </w:rPr>
        <w:t xml:space="preserve"> </w:t>
      </w:r>
      <w:r w:rsidRPr="00ED0980">
        <w:rPr>
          <w:rFonts w:ascii="Century" w:hAnsi="Century" w:cs="Miriam" w:hint="eastAsia"/>
          <w:b/>
          <w:spacing w:val="0"/>
          <w:sz w:val="22"/>
          <w:szCs w:val="24"/>
          <w:rtl/>
        </w:rPr>
        <w:t>סקירה</w:t>
      </w:r>
      <w:r w:rsidRPr="00ED0980">
        <w:rPr>
          <w:rFonts w:ascii="Century" w:hAnsi="Century" w:cs="Miriam"/>
          <w:b/>
          <w:spacing w:val="0"/>
          <w:sz w:val="22"/>
          <w:szCs w:val="24"/>
          <w:rtl/>
        </w:rPr>
        <w:t xml:space="preserve"> </w:t>
      </w:r>
      <w:r w:rsidRPr="00ED0980">
        <w:rPr>
          <w:rFonts w:ascii="Century" w:hAnsi="Century" w:cs="Miriam" w:hint="eastAsia"/>
          <w:b/>
          <w:spacing w:val="0"/>
          <w:sz w:val="22"/>
          <w:szCs w:val="24"/>
          <w:rtl/>
        </w:rPr>
        <w:t>משפטית</w:t>
      </w:r>
      <w:r w:rsidRPr="00ED0980">
        <w:rPr>
          <w:rtl/>
        </w:rPr>
        <w:t xml:space="preserve"> </w:t>
      </w:r>
      <w:r w:rsidRPr="00ED0980">
        <w:rPr>
          <w:rFonts w:hint="eastAsia"/>
          <w:rtl/>
        </w:rPr>
        <w:t>מחקרי</w:t>
      </w:r>
      <w:r w:rsidRPr="00ED0980">
        <w:rPr>
          <w:rtl/>
        </w:rPr>
        <w:t xml:space="preserve"> </w:t>
      </w:r>
      <w:r w:rsidRPr="00ED0980">
        <w:rPr>
          <w:rFonts w:hint="eastAsia"/>
          <w:rtl/>
        </w:rPr>
        <w:t>מכון</w:t>
      </w:r>
      <w:r w:rsidRPr="00ED0980">
        <w:rPr>
          <w:rtl/>
        </w:rPr>
        <w:t xml:space="preserve"> </w:t>
      </w:r>
      <w:r w:rsidRPr="00ED0980">
        <w:rPr>
          <w:rFonts w:hint="eastAsia"/>
          <w:rtl/>
        </w:rPr>
        <w:t>ירושלים</w:t>
      </w:r>
      <w:r w:rsidRPr="00ED0980">
        <w:rPr>
          <w:rtl/>
        </w:rPr>
        <w:t xml:space="preserve"> </w:t>
      </w:r>
      <w:r w:rsidRPr="00ED0980">
        <w:rPr>
          <w:rFonts w:hint="eastAsia"/>
          <w:rtl/>
        </w:rPr>
        <w:t>לחקר</w:t>
      </w:r>
      <w:r w:rsidRPr="00ED0980">
        <w:rPr>
          <w:rtl/>
        </w:rPr>
        <w:t xml:space="preserve"> </w:t>
      </w:r>
      <w:r w:rsidRPr="00ED0980">
        <w:rPr>
          <w:rFonts w:hint="eastAsia"/>
          <w:rtl/>
        </w:rPr>
        <w:t>ישראל</w:t>
      </w:r>
      <w:r w:rsidRPr="00ED0980">
        <w:rPr>
          <w:rtl/>
        </w:rPr>
        <w:t xml:space="preserve">, </w:t>
      </w:r>
      <w:r w:rsidRPr="00ED0980">
        <w:rPr>
          <w:rFonts w:hint="eastAsia"/>
          <w:rtl/>
        </w:rPr>
        <w:t>בעמ</w:t>
      </w:r>
      <w:r w:rsidRPr="00ED0980">
        <w:rPr>
          <w:rtl/>
        </w:rPr>
        <w:t xml:space="preserve">' </w:t>
      </w:r>
      <w:r>
        <w:rPr>
          <w:rFonts w:hint="cs"/>
          <w:rtl/>
        </w:rPr>
        <w:t>27</w:t>
      </w:r>
      <w:r w:rsidRPr="00ED0980">
        <w:rPr>
          <w:rtl/>
        </w:rPr>
        <w:t xml:space="preserve"> (1985)</w:t>
      </w:r>
      <w:r>
        <w:rPr>
          <w:rFonts w:hint="cs"/>
          <w:rtl/>
        </w:rPr>
        <w:t xml:space="preserve"> (להלן: </w:t>
      </w:r>
      <w:r w:rsidRPr="00F32309">
        <w:rPr>
          <w:rFonts w:ascii="Century" w:hAnsi="Century" w:cs="Miriam" w:hint="eastAsia"/>
          <w:b/>
          <w:spacing w:val="0"/>
          <w:sz w:val="22"/>
          <w:szCs w:val="24"/>
          <w:rtl/>
        </w:rPr>
        <w:t>זמיר</w:t>
      </w:r>
      <w:r>
        <w:rPr>
          <w:rFonts w:hint="cs"/>
          <w:rtl/>
        </w:rPr>
        <w:t xml:space="preserve">)). נוסף לכך, ישובים רבים באיו"ש הוקמו תחת המשטר של צווי תפיסה צבאיים, כדוגמת המקרה שלפנינו, ומרשם המקרקעין אינו נותן מענה לגביהם. תחת אקלים משפטי זה, שבו פעל הממונה בשעה שהִקצה זכויות חוזיות במקרקעין, התעצם החשש להיווצרותן של 'תאונות משפטיות'. בהתאם, התגבר הצורך לקבוע מנגנון הגנה, הן עבור המתקשרים עם הממונה, הן לצורך מניעת פגיעה בחיי המסחר התקינים במקרקעי איו"ש. סעיף 5 נועד אפוא בדיוק למטרה זו. מכאן, שפרשנות מצמצמת לסעיף </w:t>
      </w:r>
      <w:r>
        <w:rPr>
          <w:rtl/>
        </w:rPr>
        <w:t>–</w:t>
      </w:r>
      <w:r>
        <w:rPr>
          <w:rFonts w:hint="cs"/>
          <w:rtl/>
        </w:rPr>
        <w:t xml:space="preserve"> אינה עולה בקנה אחד עם כוונה זו.</w:t>
      </w:r>
    </w:p>
    <w:p w:rsidR="00295623" w:rsidRPr="00555E36" w:rsidRDefault="00295623" w:rsidP="00295623">
      <w:pPr>
        <w:pStyle w:val="Ruller41"/>
        <w:tabs>
          <w:tab w:val="left" w:pos="90"/>
        </w:tabs>
        <w:spacing w:line="240" w:lineRule="auto"/>
      </w:pPr>
    </w:p>
    <w:p w:rsidR="00295623" w:rsidRDefault="00295623" w:rsidP="00295623">
      <w:pPr>
        <w:pStyle w:val="Ruller4"/>
        <w:numPr>
          <w:ilvl w:val="0"/>
          <w:numId w:val="0"/>
        </w:numPr>
        <w:tabs>
          <w:tab w:val="left" w:pos="90"/>
        </w:tabs>
        <w:rPr>
          <w:rtl/>
        </w:rPr>
      </w:pPr>
      <w:r w:rsidRPr="00B018D5">
        <w:rPr>
          <w:rtl/>
        </w:rPr>
        <w:t>10</w:t>
      </w:r>
      <w:r>
        <w:rPr>
          <w:rFonts w:ascii="Century" w:hAnsi="Century" w:cs="Miriam" w:hint="cs"/>
          <w:b/>
          <w:spacing w:val="0"/>
          <w:sz w:val="22"/>
          <w:szCs w:val="24"/>
          <w:rtl/>
        </w:rPr>
        <w:t>.</w:t>
      </w:r>
      <w:r>
        <w:rPr>
          <w:rFonts w:ascii="Century" w:hAnsi="Century" w:cs="Miriam"/>
          <w:b/>
          <w:spacing w:val="0"/>
          <w:sz w:val="22"/>
          <w:szCs w:val="24"/>
          <w:rtl/>
        </w:rPr>
        <w:tab/>
      </w:r>
      <w:r w:rsidRPr="008B5994">
        <w:rPr>
          <w:rFonts w:ascii="Century" w:hAnsi="Century" w:cs="Miriam" w:hint="cs"/>
          <w:b/>
          <w:spacing w:val="0"/>
          <w:sz w:val="22"/>
          <w:szCs w:val="24"/>
          <w:rtl/>
        </w:rPr>
        <w:t>שנית</w:t>
      </w:r>
      <w:r>
        <w:rPr>
          <w:rFonts w:hint="cs"/>
          <w:rtl/>
        </w:rPr>
        <w:t xml:space="preserve">, יש לייחס משקל לכך שהכרעתנו לגבי הסדר (מעין) תקנת השוק, שאותו קובע סעיף 5, היא בעיקרו של דבר, </w:t>
      </w:r>
      <w:r w:rsidRPr="00481278">
        <w:rPr>
          <w:rFonts w:ascii="Century" w:hAnsi="Century" w:cs="Miriam"/>
          <w:b/>
          <w:spacing w:val="0"/>
          <w:sz w:val="22"/>
          <w:szCs w:val="24"/>
          <w:rtl/>
        </w:rPr>
        <w:t>צופה פני עבר</w:t>
      </w:r>
      <w:r>
        <w:rPr>
          <w:rFonts w:hint="cs"/>
          <w:rtl/>
        </w:rPr>
        <w:t>. במה דברים אמורים? הצורך לעשות שימוש בהוראת הסעיף נולד, לא מעט, בשל שיטות מיפוי ישנות, מחמת מדידות לא מדויקות,</w:t>
      </w:r>
      <w:r w:rsidRPr="00AC4D78">
        <w:rPr>
          <w:rFonts w:hint="cs"/>
          <w:rtl/>
        </w:rPr>
        <w:t xml:space="preserve"> </w:t>
      </w:r>
      <w:r>
        <w:rPr>
          <w:rFonts w:hint="cs"/>
          <w:rtl/>
        </w:rPr>
        <w:t xml:space="preserve">ונוכח שגיאות שנפלו באיתור וזיהוי גבולות קרקע. אי-דיוקים אלה, תוקנו </w:t>
      </w:r>
      <w:r>
        <w:rPr>
          <w:rFonts w:hint="cs"/>
          <w:rtl/>
        </w:rPr>
        <w:lastRenderedPageBreak/>
        <w:t xml:space="preserve">בחלקם, בעשורים האחרונים, על-ידי צוות סטטוס מקרקעין, המכונה גם 'צוות קו כחול'. לא פעם, פָּערה עבודת הצוות תהום עמוקה בין המציאות שבה ישובים הוקמו ופרחו במשך שנים רבות על-גבי מקרקעין באיו"ש, באישור כלל הגורמים, ורק בדיעבד התברר כי נפלה טעות ביחס למעמדם המשפטי, מחמת אי-דיוקים במלאכת המדידה המקורית, ומטעמים דומים, כמפורט לעיל (לתיאור עבודת צוות 'קו כחול', ראו בג"ץ 1308/17 </w:t>
      </w:r>
      <w:r w:rsidRPr="00AC5482">
        <w:rPr>
          <w:rFonts w:ascii="Century" w:hAnsi="Century" w:cs="Miriam" w:hint="cs"/>
          <w:b/>
          <w:spacing w:val="0"/>
          <w:sz w:val="22"/>
          <w:szCs w:val="24"/>
          <w:rtl/>
        </w:rPr>
        <w:t>עיריית סילוואד נ' הכנסת</w:t>
      </w:r>
      <w:r>
        <w:rPr>
          <w:rFonts w:hint="cs"/>
          <w:rtl/>
        </w:rPr>
        <w:t xml:space="preserve">, פסקאות 14 ו-16 לחוות הדעת של חברתי הנשיאה </w:t>
      </w:r>
      <w:r w:rsidRPr="000513BB">
        <w:rPr>
          <w:rFonts w:ascii="Century" w:hAnsi="Century" w:cs="Miriam" w:hint="cs"/>
          <w:b/>
          <w:spacing w:val="0"/>
          <w:sz w:val="22"/>
          <w:szCs w:val="24"/>
          <w:rtl/>
        </w:rPr>
        <w:t>א' חיות</w:t>
      </w:r>
      <w:r>
        <w:rPr>
          <w:rFonts w:hint="cs"/>
          <w:rtl/>
        </w:rPr>
        <w:t xml:space="preserve">; פסקאות 20-19 לחוות דעתי (9.6.2020) (להלן: </w:t>
      </w:r>
      <w:r>
        <w:rPr>
          <w:rFonts w:ascii="Century" w:hAnsi="Century" w:cs="Miriam" w:hint="cs"/>
          <w:b/>
          <w:spacing w:val="0"/>
          <w:sz w:val="22"/>
          <w:szCs w:val="24"/>
          <w:rtl/>
        </w:rPr>
        <w:t>ענין</w:t>
      </w:r>
      <w:r w:rsidRPr="00AC5482">
        <w:rPr>
          <w:rFonts w:ascii="Century" w:hAnsi="Century" w:cs="Miriam" w:hint="cs"/>
          <w:b/>
          <w:spacing w:val="0"/>
          <w:sz w:val="22"/>
          <w:szCs w:val="24"/>
          <w:rtl/>
        </w:rPr>
        <w:t xml:space="preserve"> חוק ההסדרה</w:t>
      </w:r>
      <w:r>
        <w:rPr>
          <w:rFonts w:hint="cs"/>
          <w:rtl/>
        </w:rPr>
        <w:t xml:space="preserve">)). אמנם, לא ניתן לקבוע כי סעיף 5 חל על 'סל' מקרים מוגדר וברור, שכן הוא עשוי לחול גם בעתיד, על עסקאות חדשות, אם אכן ימצֵא כי נתקיימו תנאיו. ואולם, דומה כי בעקבות מלאכת המדידה העדכנית כיום, המבוצעת באמצעות מכשירי מדידה מתקדמים, טעויות בהיקפים דומים </w:t>
      </w:r>
      <w:r>
        <w:rPr>
          <w:rtl/>
        </w:rPr>
        <w:t>–</w:t>
      </w:r>
      <w:r>
        <w:rPr>
          <w:rFonts w:hint="cs"/>
          <w:rtl/>
        </w:rPr>
        <w:t xml:space="preserve"> אינן כה צפויות. הדברים נכונים ביתר שאת, בכל הקשור למקרקעין שגורמי המדינה סברו, בשגגה, לגביהם, כי הם נתפסו בתפיסה צבאית, וכפועל יוצא, התקשרו בהסכמי הרשאה לגביהם, עם צדדים שלישיים. זאת, שכן הפרקטיקה של הקמת ישובים אזרחיים על מקרקעין תפוסים, אינה נהוגה עוד כיום (ראו: בג"ץ 390/79 </w:t>
      </w:r>
      <w:r w:rsidRPr="007C6D04">
        <w:rPr>
          <w:rFonts w:ascii="Century" w:hAnsi="Century" w:cs="Miriam" w:hint="cs"/>
          <w:b/>
          <w:spacing w:val="0"/>
          <w:sz w:val="22"/>
          <w:szCs w:val="24"/>
          <w:rtl/>
        </w:rPr>
        <w:t>דוויקאת נ' ממשלת ישראל</w:t>
      </w:r>
      <w:r>
        <w:rPr>
          <w:rFonts w:hint="cs"/>
          <w:rtl/>
        </w:rPr>
        <w:t xml:space="preserve">, פ"ד לד(1) 1 (1979) (להלן: </w:t>
      </w:r>
      <w:r>
        <w:rPr>
          <w:rFonts w:ascii="Century" w:hAnsi="Century" w:cs="Miriam" w:hint="cs"/>
          <w:b/>
          <w:spacing w:val="0"/>
          <w:sz w:val="22"/>
          <w:szCs w:val="24"/>
          <w:rtl/>
        </w:rPr>
        <w:t>עניין</w:t>
      </w:r>
      <w:r w:rsidRPr="00481278">
        <w:rPr>
          <w:rFonts w:ascii="Century" w:hAnsi="Century" w:cs="Miriam" w:hint="cs"/>
          <w:b/>
          <w:spacing w:val="0"/>
          <w:sz w:val="22"/>
          <w:szCs w:val="24"/>
          <w:rtl/>
        </w:rPr>
        <w:t xml:space="preserve"> אלון מורה</w:t>
      </w:r>
      <w:r>
        <w:rPr>
          <w:rFonts w:hint="cs"/>
          <w:rtl/>
        </w:rPr>
        <w:t xml:space="preserve">); החלטת ממשלה מספר 145, מיום 11.11.1979, על הרחבת מפעל ההתיישבות (בין היתר) ביהודה ושומרון, על קרקעות שהן 'בבעלות המדינה'; להרחבה, ראו: </w:t>
      </w:r>
      <w:r>
        <w:rPr>
          <w:rFonts w:ascii="Century" w:hAnsi="Century" w:cs="Miriam" w:hint="cs"/>
          <w:b/>
          <w:spacing w:val="0"/>
          <w:sz w:val="22"/>
          <w:szCs w:val="24"/>
          <w:rtl/>
        </w:rPr>
        <w:t>ענין</w:t>
      </w:r>
      <w:r w:rsidRPr="004B5F14">
        <w:rPr>
          <w:rFonts w:ascii="Century" w:hAnsi="Century" w:cs="Miriam" w:hint="cs"/>
          <w:b/>
          <w:spacing w:val="0"/>
          <w:sz w:val="22"/>
          <w:szCs w:val="24"/>
          <w:rtl/>
        </w:rPr>
        <w:t xml:space="preserve"> חוק ההסדרה</w:t>
      </w:r>
      <w:r>
        <w:rPr>
          <w:rFonts w:hint="cs"/>
          <w:rtl/>
        </w:rPr>
        <w:t xml:space="preserve">, פסקה 10-9 לחוות הדעת של חברתי הנשיאה </w:t>
      </w:r>
      <w:r w:rsidRPr="004B5F14">
        <w:rPr>
          <w:rFonts w:ascii="Century" w:hAnsi="Century" w:cs="Miriam" w:hint="cs"/>
          <w:b/>
          <w:spacing w:val="0"/>
          <w:sz w:val="22"/>
          <w:szCs w:val="24"/>
          <w:rtl/>
        </w:rPr>
        <w:t>א' חיות</w:t>
      </w:r>
      <w:r>
        <w:rPr>
          <w:rFonts w:hint="cs"/>
          <w:rtl/>
        </w:rPr>
        <w:t xml:space="preserve">; </w:t>
      </w:r>
      <w:r w:rsidRPr="002A7CEF">
        <w:rPr>
          <w:rFonts w:hint="eastAsia"/>
          <w:rtl/>
        </w:rPr>
        <w:t>בג</w:t>
      </w:r>
      <w:r w:rsidRPr="002A7CEF">
        <w:rPr>
          <w:rtl/>
        </w:rPr>
        <w:t>"</w:t>
      </w:r>
      <w:r w:rsidRPr="002A7CEF">
        <w:rPr>
          <w:rFonts w:hint="eastAsia"/>
          <w:rtl/>
        </w:rPr>
        <w:t>ץ</w:t>
      </w:r>
      <w:r w:rsidRPr="002A7CEF">
        <w:rPr>
          <w:rtl/>
        </w:rPr>
        <w:t xml:space="preserve"> 8452/19 </w:t>
      </w:r>
      <w:r w:rsidRPr="002A7CEF">
        <w:rPr>
          <w:rFonts w:ascii="Century" w:hAnsi="Century" w:cs="Miriam" w:hint="eastAsia"/>
          <w:b/>
          <w:spacing w:val="0"/>
          <w:sz w:val="22"/>
          <w:szCs w:val="24"/>
          <w:rtl/>
        </w:rPr>
        <w:t>עירית</w:t>
      </w:r>
      <w:r w:rsidRPr="002A7CEF">
        <w:rPr>
          <w:rFonts w:ascii="Century" w:hAnsi="Century" w:cs="Miriam"/>
          <w:b/>
          <w:spacing w:val="0"/>
          <w:sz w:val="22"/>
          <w:szCs w:val="24"/>
          <w:rtl/>
        </w:rPr>
        <w:t xml:space="preserve"> </w:t>
      </w:r>
      <w:r w:rsidRPr="002A7CEF">
        <w:rPr>
          <w:rFonts w:ascii="Century" w:hAnsi="Century" w:cs="Miriam" w:hint="eastAsia"/>
          <w:b/>
          <w:spacing w:val="0"/>
          <w:sz w:val="22"/>
          <w:szCs w:val="24"/>
          <w:rtl/>
        </w:rPr>
        <w:t>חברון</w:t>
      </w:r>
      <w:r w:rsidRPr="002A7CEF">
        <w:rPr>
          <w:rFonts w:ascii="Century" w:hAnsi="Century" w:cs="Miriam"/>
          <w:b/>
          <w:spacing w:val="0"/>
          <w:sz w:val="22"/>
          <w:szCs w:val="24"/>
          <w:rtl/>
        </w:rPr>
        <w:t xml:space="preserve"> </w:t>
      </w:r>
      <w:r w:rsidRPr="002A7CEF">
        <w:rPr>
          <w:rFonts w:ascii="Century" w:hAnsi="Century" w:cs="Miriam" w:hint="eastAsia"/>
          <w:b/>
          <w:spacing w:val="0"/>
          <w:sz w:val="22"/>
          <w:szCs w:val="24"/>
          <w:rtl/>
        </w:rPr>
        <w:t>נ</w:t>
      </w:r>
      <w:r w:rsidRPr="002A7CEF">
        <w:rPr>
          <w:rFonts w:ascii="Century" w:hAnsi="Century" w:cs="Miriam"/>
          <w:b/>
          <w:spacing w:val="0"/>
          <w:sz w:val="22"/>
          <w:szCs w:val="24"/>
          <w:rtl/>
        </w:rPr>
        <w:t xml:space="preserve">' </w:t>
      </w:r>
      <w:r w:rsidRPr="002A7CEF">
        <w:rPr>
          <w:rFonts w:ascii="Century" w:hAnsi="Century" w:cs="Miriam" w:hint="eastAsia"/>
          <w:b/>
          <w:spacing w:val="0"/>
          <w:sz w:val="22"/>
          <w:szCs w:val="24"/>
          <w:rtl/>
        </w:rPr>
        <w:t>מדינת</w:t>
      </w:r>
      <w:r w:rsidRPr="002A7CEF">
        <w:rPr>
          <w:rFonts w:ascii="Century" w:hAnsi="Century" w:cs="Miriam"/>
          <w:b/>
          <w:spacing w:val="0"/>
          <w:sz w:val="22"/>
          <w:szCs w:val="24"/>
          <w:rtl/>
        </w:rPr>
        <w:t xml:space="preserve"> </w:t>
      </w:r>
      <w:r w:rsidRPr="002A7CEF">
        <w:rPr>
          <w:rFonts w:ascii="Century" w:hAnsi="Century" w:cs="Miriam" w:hint="eastAsia"/>
          <w:b/>
          <w:spacing w:val="0"/>
          <w:sz w:val="22"/>
          <w:szCs w:val="24"/>
          <w:rtl/>
        </w:rPr>
        <w:t>ישראל</w:t>
      </w:r>
      <w:r w:rsidRPr="002A7CEF">
        <w:rPr>
          <w:rtl/>
        </w:rPr>
        <w:t xml:space="preserve"> (28.2.2022)</w:t>
      </w:r>
      <w:r>
        <w:rPr>
          <w:rFonts w:hint="cs"/>
          <w:rtl/>
        </w:rPr>
        <w:t>). אם כן, עיקר תחולתו של סעיף 5 נוגעת בעיקרה, לעסקאות שבוצעו בעבר הרחוק. דומה, כי יש בכך כדי לרכך את הפגיעה הפוטנציאלית לעתיד לבוא. ממילא, פוחתת מידת הפגיעה שעליה הצביע חברי, בשני הקווים המנחים הראשונים שבחוות דעתו.</w:t>
      </w:r>
    </w:p>
    <w:p w:rsidR="00295623" w:rsidRDefault="00295623" w:rsidP="00295623">
      <w:pPr>
        <w:pStyle w:val="Ruller4"/>
        <w:numPr>
          <w:ilvl w:val="0"/>
          <w:numId w:val="0"/>
        </w:numPr>
        <w:tabs>
          <w:tab w:val="left" w:pos="90"/>
        </w:tabs>
        <w:spacing w:line="240" w:lineRule="auto"/>
        <w:rPr>
          <w:rtl/>
        </w:rPr>
      </w:pPr>
    </w:p>
    <w:p w:rsidR="00295623" w:rsidRDefault="00295623" w:rsidP="00295623">
      <w:pPr>
        <w:pStyle w:val="Ruller41"/>
        <w:tabs>
          <w:tab w:val="left" w:pos="90"/>
        </w:tabs>
        <w:rPr>
          <w:rtl/>
        </w:rPr>
      </w:pPr>
      <w:r w:rsidRPr="00B018D5">
        <w:rPr>
          <w:rtl/>
        </w:rPr>
        <w:t>11</w:t>
      </w:r>
      <w:r>
        <w:rPr>
          <w:rFonts w:ascii="Century" w:hAnsi="Century" w:cs="Miriam" w:hint="cs"/>
          <w:b/>
          <w:spacing w:val="0"/>
          <w:szCs w:val="24"/>
          <w:rtl/>
        </w:rPr>
        <w:t>.</w:t>
      </w:r>
      <w:r>
        <w:rPr>
          <w:rFonts w:ascii="Century" w:hAnsi="Century" w:cs="Miriam"/>
          <w:b/>
          <w:spacing w:val="0"/>
          <w:szCs w:val="24"/>
          <w:rtl/>
        </w:rPr>
        <w:tab/>
      </w:r>
      <w:r w:rsidRPr="00481278">
        <w:rPr>
          <w:rFonts w:ascii="Century" w:hAnsi="Century" w:cs="Miriam" w:hint="cs"/>
          <w:b/>
          <w:spacing w:val="0"/>
          <w:szCs w:val="24"/>
          <w:rtl/>
        </w:rPr>
        <w:t>שלישית</w:t>
      </w:r>
      <w:r>
        <w:rPr>
          <w:rFonts w:hint="cs"/>
          <w:rtl/>
        </w:rPr>
        <w:t>,</w:t>
      </w:r>
      <w:r w:rsidRPr="00AC5482">
        <w:rPr>
          <w:rFonts w:hint="cs"/>
          <w:rtl/>
        </w:rPr>
        <w:t xml:space="preserve"> </w:t>
      </w:r>
      <w:r>
        <w:rPr>
          <w:rFonts w:hint="cs"/>
          <w:rtl/>
        </w:rPr>
        <w:t xml:space="preserve">נתון בעל חשיבות לא מועטה בעינַי, נעוץ בהכרעתו של בית משפט זה בעניין </w:t>
      </w:r>
      <w:r w:rsidRPr="00481278">
        <w:rPr>
          <w:rFonts w:ascii="Century" w:hAnsi="Century" w:cs="Miriam"/>
          <w:b/>
          <w:spacing w:val="0"/>
          <w:szCs w:val="24"/>
          <w:rtl/>
        </w:rPr>
        <w:t>חוק ההסדרה</w:t>
      </w:r>
      <w:r>
        <w:rPr>
          <w:rFonts w:hint="cs"/>
          <w:rtl/>
        </w:rPr>
        <w:t xml:space="preserve">. כידוע, נקבע שם בדעת רוב, כי חוק ההסדרה </w:t>
      </w:r>
      <w:r>
        <w:rPr>
          <w:rtl/>
        </w:rPr>
        <w:t>–</w:t>
      </w:r>
      <w:r>
        <w:rPr>
          <w:rFonts w:hint="cs"/>
          <w:rtl/>
        </w:rPr>
        <w:t xml:space="preserve"> החוק להסדרת ההתיישבות ביהודה והשומרון, התשע"ז-2017 </w:t>
      </w:r>
      <w:r>
        <w:rPr>
          <w:rtl/>
        </w:rPr>
        <w:t>–</w:t>
      </w:r>
      <w:r>
        <w:rPr>
          <w:rFonts w:hint="cs"/>
          <w:rtl/>
        </w:rPr>
        <w:t xml:space="preserve"> איננו חוקתי, וכי יש להורות על בטלותו (עמדתי באותו עניין, בדעת מיעוט, היתה כי אין להורות על בטלות החוק כליל, וכי די בתיקון ההגדרות של כמה מונחים, כדי לקבוע כי החוק עומד במבחן החוקתי). בין היתר נקבע שם, בדעת הרוב, כי הגם שאין להורות על בטלות החוק, רק בשל קיומם של אמצעים פוגעניים פחות להגשמת תכליתו (מבחן המידתיות השני), הרי ש</w:t>
      </w:r>
      <w:r w:rsidRPr="00481278">
        <w:rPr>
          <w:rFonts w:ascii="Century" w:hAnsi="Century" w:cs="Miriam" w:hint="cs"/>
          <w:b/>
          <w:spacing w:val="0"/>
          <w:szCs w:val="24"/>
          <w:rtl/>
        </w:rPr>
        <w:t>"</w:t>
      </w:r>
      <w:r w:rsidRPr="00481278">
        <w:rPr>
          <w:rFonts w:ascii="Century" w:hAnsi="Century" w:cs="Miriam"/>
          <w:b/>
          <w:spacing w:val="0"/>
          <w:szCs w:val="24"/>
          <w:rtl/>
        </w:rPr>
        <w:t>קיומם של אמצעים חלופיים אף שהיקפם חלקי, יש לו משמעות לצורך מבחן המשנה השלישי הנוגע למידתיות במובן הצר</w:t>
      </w:r>
      <w:r w:rsidRPr="00481278">
        <w:rPr>
          <w:rFonts w:ascii="Century" w:hAnsi="Century" w:cs="Miriam" w:hint="cs"/>
          <w:b/>
          <w:spacing w:val="0"/>
          <w:szCs w:val="24"/>
          <w:rtl/>
        </w:rPr>
        <w:t>"</w:t>
      </w:r>
      <w:r>
        <w:rPr>
          <w:rFonts w:hint="cs"/>
          <w:rtl/>
        </w:rPr>
        <w:t xml:space="preserve"> (פסקה 92 לחוות הדעת של חברתי הנשיאה </w:t>
      </w:r>
      <w:r w:rsidRPr="003D019D">
        <w:rPr>
          <w:rFonts w:ascii="Century" w:hAnsi="Century" w:cs="Miriam" w:hint="cs"/>
          <w:b/>
          <w:spacing w:val="0"/>
          <w:szCs w:val="24"/>
          <w:rtl/>
        </w:rPr>
        <w:t>א' חיות</w:t>
      </w:r>
      <w:r>
        <w:rPr>
          <w:rFonts w:hint="cs"/>
          <w:rtl/>
        </w:rPr>
        <w:t xml:space="preserve">; וראו גם פסקה 8 לחוות הדעת של המשנה לנשיאה דאז, </w:t>
      </w:r>
      <w:r w:rsidRPr="003D019D">
        <w:rPr>
          <w:rFonts w:ascii="Century" w:hAnsi="Century" w:cs="Miriam" w:hint="cs"/>
          <w:b/>
          <w:spacing w:val="0"/>
          <w:szCs w:val="24"/>
          <w:rtl/>
        </w:rPr>
        <w:t>ח' מלצר</w:t>
      </w:r>
      <w:r>
        <w:rPr>
          <w:rFonts w:hint="cs"/>
          <w:rtl/>
        </w:rPr>
        <w:t xml:space="preserve">). ואמנם, חוק ההסדרה בוטל, בסופו של דבר, מחמת אי-עמידתו במבחן המידתיות במובן הצר (מבחן המידתיות השלישי). </w:t>
      </w:r>
      <w:r>
        <w:rPr>
          <w:rFonts w:hint="cs"/>
          <w:rtl/>
        </w:rPr>
        <w:lastRenderedPageBreak/>
        <w:t xml:space="preserve">סעיף 5 הוא החלופה המרכזית, מבין אותם 'אמצעים חלופיים', שעליהם דוּבּר </w:t>
      </w:r>
      <w:r w:rsidRPr="00B018D5">
        <w:rPr>
          <w:rFonts w:hint="eastAsia"/>
          <w:rtl/>
        </w:rPr>
        <w:t>ב</w:t>
      </w:r>
      <w:r w:rsidRPr="00724082">
        <w:rPr>
          <w:rFonts w:ascii="FrankRuehl" w:hAnsi="FrankRuehl"/>
          <w:b/>
          <w:spacing w:val="0"/>
          <w:sz w:val="28"/>
          <w:rtl/>
        </w:rPr>
        <w:t>עניין</w:t>
      </w:r>
      <w:r w:rsidRPr="00B018D5">
        <w:rPr>
          <w:rFonts w:ascii="Century" w:hAnsi="Century" w:cs="Miriam"/>
          <w:b/>
          <w:spacing w:val="0"/>
          <w:szCs w:val="24"/>
          <w:rtl/>
        </w:rPr>
        <w:t xml:space="preserve"> </w:t>
      </w:r>
      <w:r w:rsidRPr="00B018D5">
        <w:rPr>
          <w:rFonts w:ascii="Century" w:hAnsi="Century" w:cs="Miriam" w:hint="eastAsia"/>
          <w:b/>
          <w:spacing w:val="0"/>
          <w:szCs w:val="24"/>
          <w:rtl/>
        </w:rPr>
        <w:t>חוק</w:t>
      </w:r>
      <w:r w:rsidRPr="00B018D5">
        <w:rPr>
          <w:rFonts w:ascii="Century" w:hAnsi="Century" w:cs="Miriam"/>
          <w:b/>
          <w:spacing w:val="0"/>
          <w:szCs w:val="24"/>
          <w:rtl/>
        </w:rPr>
        <w:t xml:space="preserve"> </w:t>
      </w:r>
      <w:r w:rsidRPr="00B018D5">
        <w:rPr>
          <w:rFonts w:ascii="Century" w:hAnsi="Century" w:cs="Miriam" w:hint="eastAsia"/>
          <w:b/>
          <w:spacing w:val="0"/>
          <w:szCs w:val="24"/>
          <w:rtl/>
        </w:rPr>
        <w:t>ההסדרה</w:t>
      </w:r>
      <w:r>
        <w:rPr>
          <w:rFonts w:hint="cs"/>
          <w:rtl/>
        </w:rPr>
        <w:t xml:space="preserve">, אשר היוו נדבך חשוב להכרעת הרוב שם. עניין זה, זכה למקום משמעותי גם בעמדת היועץ המשפטי לממשלה, אשר תמך בקבלת העתירות, לא מעט בשל הסתמכותו על מנגנון תקנת השוק שבסעיף 5. בהתייחס לפתרונות החלופיים, שכאמור </w:t>
      </w:r>
      <w:r>
        <w:rPr>
          <w:rtl/>
        </w:rPr>
        <w:t>–</w:t>
      </w:r>
      <w:r>
        <w:rPr>
          <w:rFonts w:hint="cs"/>
          <w:rtl/>
        </w:rPr>
        <w:t xml:space="preserve"> בראשם סעיף 5 דנן, צויין בדעת הרוב, כדברים האלה: </w:t>
      </w:r>
      <w:r w:rsidRPr="00711A07">
        <w:rPr>
          <w:rFonts w:ascii="Century" w:hAnsi="Century" w:cs="Miriam" w:hint="cs"/>
          <w:b/>
          <w:spacing w:val="0"/>
          <w:szCs w:val="24"/>
          <w:rtl/>
        </w:rPr>
        <w:t>"</w:t>
      </w:r>
      <w:r w:rsidRPr="00481278">
        <w:rPr>
          <w:rFonts w:ascii="Century" w:hAnsi="Century" w:cs="Miriam" w:hint="eastAsia"/>
          <w:b/>
          <w:spacing w:val="0"/>
          <w:szCs w:val="24"/>
          <w:rtl/>
        </w:rPr>
        <w:t>מבלי</w:t>
      </w:r>
      <w:r w:rsidRPr="00481278">
        <w:rPr>
          <w:rFonts w:ascii="Century" w:hAnsi="Century" w:cs="Miriam"/>
          <w:b/>
          <w:spacing w:val="0"/>
          <w:szCs w:val="24"/>
          <w:rtl/>
        </w:rPr>
        <w:t xml:space="preserve"> </w:t>
      </w:r>
      <w:r w:rsidRPr="00481278">
        <w:rPr>
          <w:rFonts w:ascii="Century" w:hAnsi="Century" w:cs="Miriam" w:hint="eastAsia"/>
          <w:b/>
          <w:spacing w:val="0"/>
          <w:szCs w:val="24"/>
          <w:rtl/>
        </w:rPr>
        <w:t>להידרש</w:t>
      </w:r>
      <w:r w:rsidRPr="00481278">
        <w:rPr>
          <w:rFonts w:ascii="Century" w:hAnsi="Century" w:cs="Miriam"/>
          <w:b/>
          <w:spacing w:val="0"/>
          <w:szCs w:val="24"/>
          <w:rtl/>
        </w:rPr>
        <w:t xml:space="preserve"> </w:t>
      </w:r>
      <w:r w:rsidRPr="00481278">
        <w:rPr>
          <w:rFonts w:ascii="Century" w:hAnsi="Century" w:cs="Miriam" w:hint="eastAsia"/>
          <w:b/>
          <w:spacing w:val="0"/>
          <w:szCs w:val="24"/>
          <w:rtl/>
        </w:rPr>
        <w:t>לטיבו</w:t>
      </w:r>
      <w:r w:rsidRPr="00481278">
        <w:rPr>
          <w:rFonts w:ascii="Century" w:hAnsi="Century" w:cs="Miriam"/>
          <w:b/>
          <w:spacing w:val="0"/>
          <w:szCs w:val="24"/>
          <w:rtl/>
        </w:rPr>
        <w:t xml:space="preserve"> </w:t>
      </w:r>
      <w:r w:rsidRPr="00481278">
        <w:rPr>
          <w:rFonts w:ascii="Century" w:hAnsi="Century" w:cs="Miriam" w:hint="eastAsia"/>
          <w:b/>
          <w:spacing w:val="0"/>
          <w:szCs w:val="24"/>
          <w:rtl/>
        </w:rPr>
        <w:t>של</w:t>
      </w:r>
      <w:r w:rsidRPr="00481278">
        <w:rPr>
          <w:rFonts w:ascii="Century" w:hAnsi="Century" w:cs="Miriam"/>
          <w:b/>
          <w:spacing w:val="0"/>
          <w:szCs w:val="24"/>
          <w:rtl/>
        </w:rPr>
        <w:t xml:space="preserve"> </w:t>
      </w:r>
      <w:r w:rsidRPr="00481278">
        <w:rPr>
          <w:rFonts w:ascii="Century" w:hAnsi="Century" w:cs="Miriam" w:hint="eastAsia"/>
          <w:b/>
          <w:spacing w:val="0"/>
          <w:szCs w:val="24"/>
          <w:rtl/>
        </w:rPr>
        <w:t>כל</w:t>
      </w:r>
      <w:r w:rsidRPr="00481278">
        <w:rPr>
          <w:rFonts w:ascii="Century" w:hAnsi="Century" w:cs="Miriam"/>
          <w:b/>
          <w:spacing w:val="0"/>
          <w:szCs w:val="24"/>
          <w:rtl/>
        </w:rPr>
        <w:t xml:space="preserve"> </w:t>
      </w:r>
      <w:r w:rsidRPr="00481278">
        <w:rPr>
          <w:rFonts w:ascii="Century" w:hAnsi="Century" w:cs="Miriam" w:hint="eastAsia"/>
          <w:b/>
          <w:spacing w:val="0"/>
          <w:szCs w:val="24"/>
          <w:rtl/>
        </w:rPr>
        <w:t>פתרון</w:t>
      </w:r>
      <w:r w:rsidRPr="00481278">
        <w:rPr>
          <w:rFonts w:ascii="Century" w:hAnsi="Century" w:cs="Miriam"/>
          <w:b/>
          <w:spacing w:val="0"/>
          <w:szCs w:val="24"/>
          <w:rtl/>
        </w:rPr>
        <w:t xml:space="preserve"> </w:t>
      </w:r>
      <w:r w:rsidRPr="00481278">
        <w:rPr>
          <w:rFonts w:ascii="Century" w:hAnsi="Century" w:cs="Miriam" w:hint="eastAsia"/>
          <w:b/>
          <w:spacing w:val="0"/>
          <w:szCs w:val="24"/>
          <w:rtl/>
        </w:rPr>
        <w:t>שהוצג</w:t>
      </w:r>
      <w:r w:rsidRPr="00481278">
        <w:rPr>
          <w:rFonts w:ascii="Century" w:hAnsi="Century" w:cs="Miriam"/>
          <w:b/>
          <w:spacing w:val="0"/>
          <w:szCs w:val="24"/>
          <w:rtl/>
        </w:rPr>
        <w:t xml:space="preserve"> </w:t>
      </w:r>
      <w:r w:rsidRPr="00481278">
        <w:rPr>
          <w:rFonts w:ascii="Century" w:hAnsi="Century" w:cs="Miriam" w:hint="eastAsia"/>
          <w:b/>
          <w:spacing w:val="0"/>
          <w:szCs w:val="24"/>
          <w:rtl/>
        </w:rPr>
        <w:t>על</w:t>
      </w:r>
      <w:r w:rsidRPr="00481278">
        <w:rPr>
          <w:rFonts w:ascii="Century" w:hAnsi="Century" w:cs="Miriam"/>
          <w:b/>
          <w:spacing w:val="0"/>
          <w:szCs w:val="24"/>
          <w:rtl/>
        </w:rPr>
        <w:t xml:space="preserve"> </w:t>
      </w:r>
      <w:r w:rsidRPr="00481278">
        <w:rPr>
          <w:rFonts w:ascii="Century" w:hAnsi="Century" w:cs="Miriam" w:hint="eastAsia"/>
          <w:b/>
          <w:spacing w:val="0"/>
          <w:szCs w:val="24"/>
          <w:rtl/>
        </w:rPr>
        <w:t>ידי</w:t>
      </w:r>
      <w:r w:rsidRPr="00481278">
        <w:rPr>
          <w:rFonts w:ascii="Century" w:hAnsi="Century" w:cs="Miriam"/>
          <w:b/>
          <w:spacing w:val="0"/>
          <w:szCs w:val="24"/>
          <w:rtl/>
        </w:rPr>
        <w:t xml:space="preserve"> </w:t>
      </w:r>
      <w:r w:rsidRPr="00481278">
        <w:rPr>
          <w:rFonts w:ascii="Century" w:hAnsi="Century" w:cs="Miriam" w:hint="eastAsia"/>
          <w:b/>
          <w:spacing w:val="0"/>
          <w:szCs w:val="24"/>
          <w:rtl/>
        </w:rPr>
        <w:t>היועץ</w:t>
      </w:r>
      <w:r w:rsidRPr="00481278">
        <w:rPr>
          <w:rFonts w:ascii="Century" w:hAnsi="Century" w:cs="Miriam"/>
          <w:b/>
          <w:spacing w:val="0"/>
          <w:szCs w:val="24"/>
          <w:rtl/>
        </w:rPr>
        <w:t xml:space="preserve"> </w:t>
      </w:r>
      <w:r w:rsidRPr="00481278">
        <w:rPr>
          <w:rFonts w:ascii="Century" w:hAnsi="Century" w:cs="Miriam" w:hint="eastAsia"/>
          <w:b/>
          <w:spacing w:val="0"/>
          <w:szCs w:val="24"/>
          <w:rtl/>
        </w:rPr>
        <w:t>המשפטי</w:t>
      </w:r>
      <w:r w:rsidRPr="00481278">
        <w:rPr>
          <w:rFonts w:ascii="Century" w:hAnsi="Century" w:cs="Miriam"/>
          <w:b/>
          <w:spacing w:val="0"/>
          <w:szCs w:val="24"/>
          <w:rtl/>
        </w:rPr>
        <w:t xml:space="preserve"> </w:t>
      </w:r>
      <w:r w:rsidRPr="00481278">
        <w:rPr>
          <w:rFonts w:ascii="Century" w:hAnsi="Century" w:cs="Miriam" w:hint="eastAsia"/>
          <w:b/>
          <w:spacing w:val="0"/>
          <w:szCs w:val="24"/>
          <w:rtl/>
        </w:rPr>
        <w:t>לממשלה</w:t>
      </w:r>
      <w:r w:rsidRPr="00481278">
        <w:rPr>
          <w:rFonts w:ascii="Century" w:hAnsi="Century" w:cs="Miriam"/>
          <w:b/>
          <w:spacing w:val="0"/>
          <w:szCs w:val="24"/>
          <w:rtl/>
        </w:rPr>
        <w:t xml:space="preserve"> </w:t>
      </w:r>
      <w:r w:rsidRPr="00481278">
        <w:rPr>
          <w:rFonts w:ascii="Century" w:hAnsi="Century" w:cs="Miriam" w:hint="eastAsia"/>
          <w:b/>
          <w:spacing w:val="0"/>
          <w:szCs w:val="24"/>
          <w:rtl/>
        </w:rPr>
        <w:t>ולפתרונות</w:t>
      </w:r>
      <w:r w:rsidRPr="00481278">
        <w:rPr>
          <w:rFonts w:ascii="Century" w:hAnsi="Century" w:cs="Miriam"/>
          <w:b/>
          <w:spacing w:val="0"/>
          <w:szCs w:val="24"/>
          <w:rtl/>
        </w:rPr>
        <w:t xml:space="preserve"> </w:t>
      </w:r>
      <w:r w:rsidRPr="00481278">
        <w:rPr>
          <w:rFonts w:ascii="Century" w:hAnsi="Century" w:cs="Miriam" w:hint="eastAsia"/>
          <w:b/>
          <w:spacing w:val="0"/>
          <w:szCs w:val="24"/>
          <w:rtl/>
        </w:rPr>
        <w:t>אפשריים</w:t>
      </w:r>
      <w:r w:rsidRPr="00481278">
        <w:rPr>
          <w:rFonts w:ascii="Century" w:hAnsi="Century" w:cs="Miriam"/>
          <w:b/>
          <w:spacing w:val="0"/>
          <w:szCs w:val="24"/>
          <w:rtl/>
        </w:rPr>
        <w:t xml:space="preserve"> </w:t>
      </w:r>
      <w:r w:rsidRPr="00481278">
        <w:rPr>
          <w:rFonts w:ascii="Century" w:hAnsi="Century" w:cs="Miriam" w:hint="eastAsia"/>
          <w:b/>
          <w:spacing w:val="0"/>
          <w:szCs w:val="24"/>
          <w:rtl/>
        </w:rPr>
        <w:t>אחרים</w:t>
      </w:r>
      <w:r w:rsidRPr="00481278">
        <w:rPr>
          <w:rFonts w:ascii="Century" w:hAnsi="Century" w:cs="Miriam"/>
          <w:b/>
          <w:spacing w:val="0"/>
          <w:szCs w:val="24"/>
          <w:rtl/>
        </w:rPr>
        <w:t xml:space="preserve"> </w:t>
      </w:r>
      <w:r w:rsidRPr="00481278">
        <w:rPr>
          <w:rFonts w:ascii="Century" w:hAnsi="Century" w:cs="Miriam" w:hint="eastAsia"/>
          <w:b/>
          <w:spacing w:val="0"/>
          <w:szCs w:val="24"/>
          <w:rtl/>
        </w:rPr>
        <w:t>וכן</w:t>
      </w:r>
      <w:r w:rsidRPr="00481278">
        <w:rPr>
          <w:rFonts w:ascii="Century" w:hAnsi="Century" w:cs="Miriam"/>
          <w:b/>
          <w:spacing w:val="0"/>
          <w:szCs w:val="24"/>
          <w:rtl/>
        </w:rPr>
        <w:t xml:space="preserve"> </w:t>
      </w:r>
      <w:r w:rsidRPr="00481278">
        <w:rPr>
          <w:rFonts w:ascii="Century" w:hAnsi="Century" w:cs="Miriam" w:hint="eastAsia"/>
          <w:b/>
          <w:spacing w:val="0"/>
          <w:szCs w:val="24"/>
          <w:rtl/>
        </w:rPr>
        <w:t>מבלי</w:t>
      </w:r>
      <w:r w:rsidRPr="00481278">
        <w:rPr>
          <w:rFonts w:ascii="Century" w:hAnsi="Century" w:cs="Miriam"/>
          <w:b/>
          <w:spacing w:val="0"/>
          <w:szCs w:val="24"/>
          <w:rtl/>
        </w:rPr>
        <w:t xml:space="preserve"> </w:t>
      </w:r>
      <w:r w:rsidRPr="00481278">
        <w:rPr>
          <w:rFonts w:ascii="Century" w:hAnsi="Century" w:cs="Miriam" w:hint="eastAsia"/>
          <w:b/>
          <w:spacing w:val="0"/>
          <w:szCs w:val="24"/>
          <w:rtl/>
        </w:rPr>
        <w:t>לקבוע</w:t>
      </w:r>
      <w:r w:rsidRPr="00481278">
        <w:rPr>
          <w:rFonts w:ascii="Century" w:hAnsi="Century" w:cs="Miriam"/>
          <w:b/>
          <w:spacing w:val="0"/>
          <w:szCs w:val="24"/>
          <w:rtl/>
        </w:rPr>
        <w:t xml:space="preserve"> </w:t>
      </w:r>
      <w:r w:rsidRPr="00481278">
        <w:rPr>
          <w:rFonts w:ascii="Century" w:hAnsi="Century" w:cs="Miriam" w:hint="eastAsia"/>
          <w:b/>
          <w:spacing w:val="0"/>
          <w:szCs w:val="24"/>
          <w:rtl/>
        </w:rPr>
        <w:t>מסמרות</w:t>
      </w:r>
      <w:r w:rsidRPr="00481278">
        <w:rPr>
          <w:rFonts w:ascii="Century" w:hAnsi="Century" w:cs="Miriam"/>
          <w:b/>
          <w:spacing w:val="0"/>
          <w:szCs w:val="24"/>
          <w:rtl/>
        </w:rPr>
        <w:t xml:space="preserve"> </w:t>
      </w:r>
      <w:r w:rsidRPr="00481278">
        <w:rPr>
          <w:rFonts w:ascii="Century" w:hAnsi="Century" w:cs="Miriam" w:hint="eastAsia"/>
          <w:b/>
          <w:spacing w:val="0"/>
          <w:szCs w:val="24"/>
          <w:rtl/>
        </w:rPr>
        <w:t>באשר</w:t>
      </w:r>
      <w:r w:rsidRPr="00481278">
        <w:rPr>
          <w:rFonts w:ascii="Century" w:hAnsi="Century" w:cs="Miriam"/>
          <w:b/>
          <w:spacing w:val="0"/>
          <w:szCs w:val="24"/>
          <w:rtl/>
        </w:rPr>
        <w:t xml:space="preserve"> </w:t>
      </w:r>
      <w:r w:rsidRPr="00481278">
        <w:rPr>
          <w:rFonts w:ascii="Century" w:hAnsi="Century" w:cs="Miriam" w:hint="eastAsia"/>
          <w:b/>
          <w:spacing w:val="0"/>
          <w:szCs w:val="24"/>
          <w:rtl/>
        </w:rPr>
        <w:t>לשאלת</w:t>
      </w:r>
      <w:r w:rsidRPr="00481278">
        <w:rPr>
          <w:rFonts w:ascii="Century" w:hAnsi="Century" w:cs="Miriam"/>
          <w:b/>
          <w:spacing w:val="0"/>
          <w:szCs w:val="24"/>
          <w:rtl/>
        </w:rPr>
        <w:t xml:space="preserve"> </w:t>
      </w:r>
      <w:r w:rsidRPr="00481278">
        <w:rPr>
          <w:rFonts w:ascii="Century" w:hAnsi="Century" w:cs="Miriam" w:hint="eastAsia"/>
          <w:b/>
          <w:spacing w:val="0"/>
          <w:szCs w:val="24"/>
          <w:rtl/>
        </w:rPr>
        <w:t>תחולת</w:t>
      </w:r>
      <w:r w:rsidRPr="00481278">
        <w:rPr>
          <w:rFonts w:ascii="Century" w:hAnsi="Century" w:cs="Miriam"/>
          <w:b/>
          <w:spacing w:val="0"/>
          <w:szCs w:val="24"/>
          <w:rtl/>
        </w:rPr>
        <w:t xml:space="preserve"> </w:t>
      </w:r>
      <w:r w:rsidRPr="00481278">
        <w:rPr>
          <w:rFonts w:ascii="Century" w:hAnsi="Century" w:cs="Miriam" w:hint="eastAsia"/>
          <w:b/>
          <w:spacing w:val="0"/>
          <w:szCs w:val="24"/>
          <w:rtl/>
        </w:rPr>
        <w:t>ההסדרים</w:t>
      </w:r>
      <w:r w:rsidRPr="00481278">
        <w:rPr>
          <w:rFonts w:ascii="Century" w:hAnsi="Century" w:cs="Miriam"/>
          <w:b/>
          <w:spacing w:val="0"/>
          <w:szCs w:val="24"/>
          <w:rtl/>
        </w:rPr>
        <w:t xml:space="preserve"> </w:t>
      </w:r>
      <w:r w:rsidRPr="00481278">
        <w:rPr>
          <w:rFonts w:ascii="Century" w:hAnsi="Century" w:cs="Miriam" w:hint="eastAsia"/>
          <w:b/>
          <w:spacing w:val="0"/>
          <w:szCs w:val="24"/>
          <w:rtl/>
        </w:rPr>
        <w:t>האמורים</w:t>
      </w:r>
      <w:r w:rsidRPr="00481278">
        <w:rPr>
          <w:rFonts w:ascii="Century" w:hAnsi="Century" w:cs="Miriam"/>
          <w:b/>
          <w:spacing w:val="0"/>
          <w:szCs w:val="24"/>
          <w:rtl/>
        </w:rPr>
        <w:t xml:space="preserve"> </w:t>
      </w:r>
      <w:r w:rsidRPr="00481278">
        <w:rPr>
          <w:rFonts w:ascii="Century" w:hAnsi="Century" w:cs="Miriam" w:hint="eastAsia"/>
          <w:b/>
          <w:spacing w:val="0"/>
          <w:szCs w:val="24"/>
          <w:rtl/>
        </w:rPr>
        <w:t>ואופן</w:t>
      </w:r>
      <w:r w:rsidRPr="00481278">
        <w:rPr>
          <w:rFonts w:ascii="Century" w:hAnsi="Century" w:cs="Miriam"/>
          <w:b/>
          <w:spacing w:val="0"/>
          <w:szCs w:val="24"/>
          <w:rtl/>
        </w:rPr>
        <w:t xml:space="preserve"> </w:t>
      </w:r>
      <w:r w:rsidRPr="00481278">
        <w:rPr>
          <w:rFonts w:ascii="Century" w:hAnsi="Century" w:cs="Miriam" w:hint="eastAsia"/>
          <w:b/>
          <w:spacing w:val="0"/>
          <w:szCs w:val="24"/>
          <w:rtl/>
        </w:rPr>
        <w:t>יישומם</w:t>
      </w:r>
      <w:r w:rsidRPr="00481278">
        <w:rPr>
          <w:rFonts w:ascii="Century" w:hAnsi="Century" w:cs="Miriam"/>
          <w:b/>
          <w:spacing w:val="0"/>
          <w:szCs w:val="24"/>
          <w:rtl/>
        </w:rPr>
        <w:t xml:space="preserve">, </w:t>
      </w:r>
      <w:r w:rsidRPr="00481278">
        <w:rPr>
          <w:rFonts w:ascii="Century" w:hAnsi="Century" w:cs="Miriam" w:hint="eastAsia"/>
          <w:b/>
          <w:spacing w:val="0"/>
          <w:szCs w:val="24"/>
          <w:rtl/>
        </w:rPr>
        <w:t>ניתן</w:t>
      </w:r>
      <w:r w:rsidRPr="00481278">
        <w:rPr>
          <w:rFonts w:ascii="Century" w:hAnsi="Century" w:cs="Miriam"/>
          <w:b/>
          <w:spacing w:val="0"/>
          <w:szCs w:val="24"/>
          <w:rtl/>
        </w:rPr>
        <w:t xml:space="preserve"> </w:t>
      </w:r>
      <w:r w:rsidRPr="00481278">
        <w:rPr>
          <w:rFonts w:ascii="Century" w:hAnsi="Century" w:cs="Miriam" w:hint="eastAsia"/>
          <w:b/>
          <w:spacing w:val="0"/>
          <w:szCs w:val="24"/>
          <w:rtl/>
        </w:rPr>
        <w:t>לומר</w:t>
      </w:r>
      <w:r w:rsidRPr="00481278">
        <w:rPr>
          <w:rFonts w:ascii="Century" w:hAnsi="Century" w:cs="Miriam"/>
          <w:b/>
          <w:spacing w:val="0"/>
          <w:szCs w:val="24"/>
          <w:rtl/>
        </w:rPr>
        <w:t xml:space="preserve"> </w:t>
      </w:r>
      <w:r w:rsidRPr="00481278">
        <w:rPr>
          <w:rFonts w:ascii="Century" w:hAnsi="Century" w:cs="Miriam" w:hint="eastAsia"/>
          <w:b/>
          <w:spacing w:val="0"/>
          <w:szCs w:val="24"/>
          <w:rtl/>
        </w:rPr>
        <w:t>כי</w:t>
      </w:r>
      <w:r w:rsidRPr="00481278">
        <w:rPr>
          <w:rFonts w:ascii="Century" w:hAnsi="Century" w:cs="Miriam"/>
          <w:b/>
          <w:spacing w:val="0"/>
          <w:szCs w:val="24"/>
          <w:rtl/>
        </w:rPr>
        <w:t xml:space="preserve"> </w:t>
      </w:r>
      <w:r w:rsidRPr="00206FAE">
        <w:rPr>
          <w:rFonts w:ascii="Century" w:hAnsi="Century" w:cs="Miriam" w:hint="eastAsia"/>
          <w:b/>
          <w:spacing w:val="0"/>
          <w:szCs w:val="24"/>
          <w:u w:val="single"/>
          <w:rtl/>
        </w:rPr>
        <w:t>הכלים</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המשפטיים</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הקיימים</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בדין</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האזור</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עשויים</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ליתן</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במידה</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לא</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מבוטלת</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מענה</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לתכלית</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הראויה</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שביסוד</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חוק</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ההסדרה</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תוך</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פגיעה</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פחותה</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בזכות</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הקניין</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ובזכות</w:t>
      </w:r>
      <w:r w:rsidRPr="00206FAE">
        <w:rPr>
          <w:rFonts w:ascii="Century" w:hAnsi="Century" w:cs="Miriam"/>
          <w:b/>
          <w:spacing w:val="0"/>
          <w:szCs w:val="24"/>
          <w:u w:val="single"/>
          <w:rtl/>
        </w:rPr>
        <w:t xml:space="preserve"> </w:t>
      </w:r>
      <w:r w:rsidRPr="00206FAE">
        <w:rPr>
          <w:rFonts w:ascii="Century" w:hAnsi="Century" w:cs="Miriam" w:hint="eastAsia"/>
          <w:b/>
          <w:spacing w:val="0"/>
          <w:szCs w:val="24"/>
          <w:u w:val="single"/>
          <w:rtl/>
        </w:rPr>
        <w:t>לשוויון</w:t>
      </w:r>
      <w:r w:rsidRPr="00481278">
        <w:rPr>
          <w:rFonts w:ascii="Century" w:hAnsi="Century" w:cs="Miriam" w:hint="cs"/>
          <w:b/>
          <w:spacing w:val="0"/>
          <w:szCs w:val="24"/>
          <w:rtl/>
        </w:rPr>
        <w:t>"</w:t>
      </w:r>
      <w:r>
        <w:rPr>
          <w:rFonts w:hint="cs"/>
          <w:rtl/>
        </w:rPr>
        <w:t xml:space="preserve"> (שם, פסקה 106 לחוות הדעת של חברתי הנשיאה) (ההדגשה הוּספה </w:t>
      </w:r>
      <w:r>
        <w:rPr>
          <w:rtl/>
        </w:rPr>
        <w:t>–</w:t>
      </w:r>
      <w:r>
        <w:rPr>
          <w:rFonts w:hint="cs"/>
          <w:rtl/>
        </w:rPr>
        <w:t xml:space="preserve"> נ' ס'). לטעמי, הכרעת בית משפט זה בעניין </w:t>
      </w:r>
      <w:r w:rsidRPr="00DF4AD7">
        <w:rPr>
          <w:rFonts w:ascii="Century" w:hAnsi="Century" w:cs="Miriam" w:hint="cs"/>
          <w:b/>
          <w:spacing w:val="0"/>
          <w:szCs w:val="24"/>
          <w:rtl/>
        </w:rPr>
        <w:t>חוק ההסדרה</w:t>
      </w:r>
      <w:r w:rsidRPr="00D02B6A">
        <w:rPr>
          <w:rFonts w:ascii="Century" w:hAnsi="Century"/>
          <w:rtl/>
        </w:rPr>
        <w:t>,</w:t>
      </w:r>
      <w:r w:rsidRPr="00F26A03">
        <w:rPr>
          <w:rFonts w:ascii="Century" w:hAnsi="Century" w:cs="Miriam" w:hint="cs"/>
          <w:b/>
          <w:spacing w:val="0"/>
          <w:szCs w:val="24"/>
          <w:rtl/>
        </w:rPr>
        <w:t xml:space="preserve"> </w:t>
      </w:r>
      <w:r>
        <w:rPr>
          <w:rFonts w:hint="cs"/>
          <w:rtl/>
        </w:rPr>
        <w:t>שבגדרה 'נקשרו כתרים לראשו' של סעיף 5, בשל אופיו הפרטני והבלתי-גורף, אינה תומכת עתה במתן פרשנות מצמצמת ודווקנית להוראה זו; אין לאחוז את החבל משני קצותיו.</w:t>
      </w:r>
    </w:p>
    <w:p w:rsidR="00295623" w:rsidRPr="00B018D5" w:rsidRDefault="00295623" w:rsidP="00295623">
      <w:pPr>
        <w:pStyle w:val="Ruller41"/>
        <w:tabs>
          <w:tab w:val="left" w:pos="90"/>
        </w:tabs>
        <w:spacing w:line="240" w:lineRule="auto"/>
        <w:rPr>
          <w:rtl/>
        </w:rPr>
      </w:pPr>
    </w:p>
    <w:p w:rsidR="00295623" w:rsidRPr="00AC5482" w:rsidRDefault="00295623" w:rsidP="00295623">
      <w:pPr>
        <w:pStyle w:val="Ruller4"/>
        <w:numPr>
          <w:ilvl w:val="0"/>
          <w:numId w:val="0"/>
        </w:numPr>
        <w:tabs>
          <w:tab w:val="left" w:pos="90"/>
        </w:tabs>
        <w:rPr>
          <w:rtl/>
        </w:rPr>
      </w:pPr>
      <w:r>
        <w:rPr>
          <w:rFonts w:hint="cs"/>
          <w:rtl/>
        </w:rPr>
        <w:t>12.</w:t>
      </w:r>
      <w:r>
        <w:rPr>
          <w:rFonts w:hint="cs"/>
          <w:rtl/>
        </w:rPr>
        <w:tab/>
        <w:t>פרט לאמור, אבקש להתמקד בשני כלי-עזר נוספים, שעשויים גם הם לסייע במלאכת הפרשנות.</w:t>
      </w:r>
    </w:p>
    <w:p w:rsidR="00295623" w:rsidRDefault="00295623" w:rsidP="00295623">
      <w:pPr>
        <w:pStyle w:val="Ruller4"/>
        <w:numPr>
          <w:ilvl w:val="0"/>
          <w:numId w:val="0"/>
        </w:numPr>
        <w:tabs>
          <w:tab w:val="left" w:pos="90"/>
        </w:tabs>
        <w:spacing w:line="240" w:lineRule="auto"/>
        <w:rPr>
          <w:rtl/>
        </w:rPr>
      </w:pPr>
    </w:p>
    <w:p w:rsidR="00295623" w:rsidRDefault="00295623" w:rsidP="00295623">
      <w:pPr>
        <w:pStyle w:val="Ruller4"/>
        <w:numPr>
          <w:ilvl w:val="0"/>
          <w:numId w:val="0"/>
        </w:numPr>
        <w:tabs>
          <w:tab w:val="left" w:pos="90"/>
        </w:tabs>
        <w:rPr>
          <w:rtl/>
        </w:rPr>
      </w:pPr>
      <w:r>
        <w:rPr>
          <w:rtl/>
        </w:rPr>
        <w:tab/>
      </w:r>
      <w:r>
        <w:rPr>
          <w:rtl/>
        </w:rPr>
        <w:tab/>
      </w:r>
      <w:r w:rsidRPr="005B039E">
        <w:rPr>
          <w:rFonts w:ascii="Century" w:hAnsi="Century" w:cs="Miriam" w:hint="cs"/>
          <w:b/>
          <w:spacing w:val="0"/>
          <w:sz w:val="22"/>
          <w:szCs w:val="24"/>
          <w:rtl/>
        </w:rPr>
        <w:t>ראשית</w:t>
      </w:r>
      <w:r>
        <w:rPr>
          <w:rFonts w:hint="cs"/>
          <w:rtl/>
        </w:rPr>
        <w:t xml:space="preserve">, כידוע, במלאכת הפרשנות יש להתחשב בהסדרים חוקיים בעלי קרבה עניינית. כלל פרשני זה, נגזר מנטייתו הכללית של המשפט לשאוף להרמוניה נורמטיבית, מתוך הבנה כי דבר חקיקה מסוים אינו חי לבדו, והוא חלק ממארג רחב יותר, הכולל את קודקס החקיקה כולו (אהרן ברק, </w:t>
      </w:r>
      <w:r w:rsidRPr="00BB2E4E">
        <w:rPr>
          <w:rFonts w:ascii="Century" w:hAnsi="Century" w:cs="Miriam" w:hint="cs"/>
          <w:b/>
          <w:spacing w:val="0"/>
          <w:sz w:val="22"/>
          <w:szCs w:val="24"/>
          <w:rtl/>
        </w:rPr>
        <w:t xml:space="preserve">פרשנות במשפט </w:t>
      </w:r>
      <w:r w:rsidRPr="00E64D45">
        <w:rPr>
          <w:rFonts w:ascii="Century" w:hAnsi="Century"/>
          <w:sz w:val="22"/>
          <w:rtl/>
        </w:rPr>
        <w:t>–</w:t>
      </w:r>
      <w:r w:rsidRPr="00BB2E4E">
        <w:rPr>
          <w:rFonts w:ascii="Century" w:hAnsi="Century" w:cs="Miriam" w:hint="cs"/>
          <w:b/>
          <w:spacing w:val="0"/>
          <w:sz w:val="22"/>
          <w:szCs w:val="24"/>
          <w:rtl/>
        </w:rPr>
        <w:t xml:space="preserve"> כרך שני פרשנות החקיקה</w:t>
      </w:r>
      <w:r>
        <w:rPr>
          <w:rFonts w:hint="cs"/>
          <w:rtl/>
        </w:rPr>
        <w:t>, 327 (1994)). מכאן, שיש לבחון את סעיף 5, על רקע הסדרים דומים המצויים בהוראות הדין. ההסדר המקביל לסעיף 5 בחקיקה הישראלית, הוא סעיף 17(א) לחוק נכסי נפקדים, אשר זכה להתייחסות מקיפה בפסיקה (לצדו קיימים גם הסדרים נוספים; להרחבה, ראו:</w:t>
      </w:r>
      <w:r w:rsidRPr="00E64D45">
        <w:rPr>
          <w:rFonts w:hint="eastAsia"/>
          <w:rtl/>
        </w:rPr>
        <w:t xml:space="preserve"> חגי</w:t>
      </w:r>
      <w:r w:rsidRPr="00E64D45">
        <w:rPr>
          <w:rtl/>
        </w:rPr>
        <w:t xml:space="preserve"> </w:t>
      </w:r>
      <w:r w:rsidRPr="00E64D45">
        <w:rPr>
          <w:rFonts w:hint="eastAsia"/>
          <w:rtl/>
        </w:rPr>
        <w:t>ויניצקי</w:t>
      </w:r>
      <w:r w:rsidRPr="00E64D45">
        <w:rPr>
          <w:rtl/>
        </w:rPr>
        <w:t xml:space="preserve"> "</w:t>
      </w:r>
      <w:r w:rsidRPr="00E64D45">
        <w:rPr>
          <w:rFonts w:hint="eastAsia"/>
          <w:rtl/>
        </w:rPr>
        <w:t>תקנת</w:t>
      </w:r>
      <w:r w:rsidRPr="00E64D45">
        <w:rPr>
          <w:rtl/>
        </w:rPr>
        <w:t xml:space="preserve"> </w:t>
      </w:r>
      <w:r w:rsidRPr="00E64D45">
        <w:rPr>
          <w:rFonts w:hint="eastAsia"/>
          <w:rtl/>
        </w:rPr>
        <w:t>השוק</w:t>
      </w:r>
      <w:r w:rsidRPr="00E64D45">
        <w:rPr>
          <w:rtl/>
        </w:rPr>
        <w:t xml:space="preserve"> </w:t>
      </w:r>
      <w:r w:rsidRPr="00E64D45">
        <w:rPr>
          <w:rFonts w:hint="eastAsia"/>
          <w:rtl/>
        </w:rPr>
        <w:t>בעסקאות</w:t>
      </w:r>
      <w:r w:rsidRPr="00E64D45">
        <w:rPr>
          <w:rtl/>
        </w:rPr>
        <w:t xml:space="preserve"> </w:t>
      </w:r>
      <w:r w:rsidRPr="00E64D45">
        <w:rPr>
          <w:rFonts w:hint="eastAsia"/>
          <w:rtl/>
        </w:rPr>
        <w:t>עם</w:t>
      </w:r>
      <w:r w:rsidRPr="00E64D45">
        <w:rPr>
          <w:rtl/>
        </w:rPr>
        <w:t xml:space="preserve"> </w:t>
      </w:r>
      <w:r w:rsidRPr="00E64D45">
        <w:rPr>
          <w:rFonts w:hint="eastAsia"/>
          <w:rtl/>
        </w:rPr>
        <w:t>הממונה</w:t>
      </w:r>
      <w:r w:rsidRPr="00E64D45">
        <w:rPr>
          <w:rtl/>
        </w:rPr>
        <w:t xml:space="preserve"> </w:t>
      </w:r>
      <w:r w:rsidRPr="00E64D45">
        <w:rPr>
          <w:rFonts w:hint="eastAsia"/>
          <w:rtl/>
        </w:rPr>
        <w:t>על</w:t>
      </w:r>
      <w:r w:rsidRPr="00E64D45">
        <w:rPr>
          <w:rtl/>
        </w:rPr>
        <w:t xml:space="preserve"> </w:t>
      </w:r>
      <w:r w:rsidRPr="00E64D45">
        <w:rPr>
          <w:rFonts w:hint="eastAsia"/>
          <w:rtl/>
        </w:rPr>
        <w:t>הרכוש</w:t>
      </w:r>
      <w:r w:rsidRPr="00E64D45">
        <w:rPr>
          <w:rtl/>
        </w:rPr>
        <w:t xml:space="preserve"> </w:t>
      </w:r>
      <w:r w:rsidRPr="00E64D45">
        <w:rPr>
          <w:rFonts w:hint="eastAsia"/>
          <w:rtl/>
        </w:rPr>
        <w:t>הממשלתי</w:t>
      </w:r>
      <w:r w:rsidRPr="00E64D45">
        <w:rPr>
          <w:rtl/>
        </w:rPr>
        <w:t xml:space="preserve"> </w:t>
      </w:r>
      <w:r w:rsidRPr="00E64D45">
        <w:rPr>
          <w:rFonts w:hint="eastAsia"/>
          <w:rtl/>
        </w:rPr>
        <w:t>ביהודה</w:t>
      </w:r>
      <w:r w:rsidRPr="00E64D45">
        <w:rPr>
          <w:rtl/>
        </w:rPr>
        <w:t xml:space="preserve"> </w:t>
      </w:r>
      <w:r w:rsidRPr="00E64D45">
        <w:rPr>
          <w:rFonts w:hint="eastAsia"/>
          <w:rtl/>
        </w:rPr>
        <w:t>ושומרון</w:t>
      </w:r>
      <w:r w:rsidRPr="00E64D45">
        <w:rPr>
          <w:rtl/>
        </w:rPr>
        <w:t>"</w:t>
      </w:r>
      <w:r>
        <w:rPr>
          <w:rFonts w:hint="cs"/>
          <w:rtl/>
        </w:rPr>
        <w:t xml:space="preserve"> </w:t>
      </w:r>
      <w:r>
        <w:rPr>
          <w:rFonts w:ascii="Century" w:hAnsi="Century" w:cs="Miriam" w:hint="cs"/>
          <w:b/>
          <w:spacing w:val="0"/>
          <w:sz w:val="22"/>
          <w:szCs w:val="24"/>
          <w:rtl/>
        </w:rPr>
        <w:t>משפטים</w:t>
      </w:r>
      <w:r>
        <w:rPr>
          <w:rFonts w:hint="cs"/>
          <w:rtl/>
        </w:rPr>
        <w:t xml:space="preserve"> נ 359, 370-369 (להלן: </w:t>
      </w:r>
      <w:r w:rsidRPr="00E64D45">
        <w:rPr>
          <w:rFonts w:ascii="Century" w:hAnsi="Century" w:cs="Miriam" w:hint="cs"/>
          <w:b/>
          <w:spacing w:val="0"/>
          <w:sz w:val="22"/>
          <w:szCs w:val="24"/>
          <w:rtl/>
        </w:rPr>
        <w:t>ויניצקי</w:t>
      </w:r>
      <w:r>
        <w:rPr>
          <w:rFonts w:hint="cs"/>
          <w:rtl/>
        </w:rPr>
        <w:t xml:space="preserve">)). אמנם, אין מדובר, באופן פורמלי, בחוקים שיצאו מאותו בית יוצר, שכן על פני הדברים, לפנינו שני מחוקקים שונים: המחוקק הצבאי והמחוקק הישראלי. ועדיין, בעינַי, הדמיון הרב שבין שני דברי החקיקה, הן בלשון (הכמעט זהה), הן בתכלית, אינו מותיר מקום לספק, מה היווה מקור ההשראה לחקיקת סעיף 5. לפיכך, חרף הבדלים מסויימים בפרטי ההסדרים, דומה כי היקש והשוואה ביניהם הוא דבר טבעי ומתבקש. בהמשך אוסיף ואתייחס לנקודה זו, בכמה היבטים. </w:t>
      </w:r>
    </w:p>
    <w:p w:rsidR="00295623" w:rsidRDefault="00295623" w:rsidP="00295623">
      <w:pPr>
        <w:pStyle w:val="Ruller4"/>
        <w:numPr>
          <w:ilvl w:val="0"/>
          <w:numId w:val="0"/>
        </w:numPr>
        <w:tabs>
          <w:tab w:val="left" w:pos="90"/>
        </w:tabs>
        <w:spacing w:line="240" w:lineRule="auto"/>
        <w:rPr>
          <w:rtl/>
        </w:rPr>
      </w:pPr>
    </w:p>
    <w:p w:rsidR="00295623" w:rsidRDefault="00295623" w:rsidP="001401FC">
      <w:pPr>
        <w:pStyle w:val="Ruller4"/>
        <w:numPr>
          <w:ilvl w:val="0"/>
          <w:numId w:val="0"/>
        </w:numPr>
        <w:tabs>
          <w:tab w:val="left" w:pos="90"/>
        </w:tabs>
        <w:rPr>
          <w:rtl/>
        </w:rPr>
      </w:pPr>
      <w:r>
        <w:rPr>
          <w:rFonts w:hint="cs"/>
          <w:rtl/>
        </w:rPr>
        <w:t>13.</w:t>
      </w:r>
      <w:r>
        <w:rPr>
          <w:rtl/>
        </w:rPr>
        <w:tab/>
      </w:r>
      <w:r>
        <w:rPr>
          <w:rFonts w:ascii="Century" w:hAnsi="Century" w:cs="Miriam" w:hint="cs"/>
          <w:b/>
          <w:spacing w:val="0"/>
          <w:sz w:val="22"/>
          <w:szCs w:val="24"/>
          <w:rtl/>
        </w:rPr>
        <w:t>שנית</w:t>
      </w:r>
      <w:r>
        <w:rPr>
          <w:rFonts w:hint="cs"/>
          <w:rtl/>
        </w:rPr>
        <w:t xml:space="preserve">, יש להתחשב בעקרון-העל, החולש על כלל פעולותיהן של רשויות המינהל, באשר הן </w:t>
      </w:r>
      <w:r>
        <w:rPr>
          <w:rtl/>
        </w:rPr>
        <w:t>–</w:t>
      </w:r>
      <w:r>
        <w:rPr>
          <w:rFonts w:hint="cs"/>
          <w:rtl/>
        </w:rPr>
        <w:t xml:space="preserve"> </w:t>
      </w:r>
      <w:r w:rsidRPr="00D02B6A">
        <w:rPr>
          <w:rFonts w:ascii="Century" w:hAnsi="Century" w:hint="eastAsia"/>
          <w:sz w:val="22"/>
          <w:rtl/>
        </w:rPr>
        <w:t>הוא</w:t>
      </w:r>
      <w:r w:rsidRPr="00A5076B">
        <w:rPr>
          <w:rFonts w:ascii="Century" w:hAnsi="Century" w:cs="Miriam"/>
          <w:b/>
          <w:spacing w:val="0"/>
          <w:sz w:val="22"/>
          <w:szCs w:val="24"/>
          <w:rtl/>
        </w:rPr>
        <w:t xml:space="preserve"> </w:t>
      </w:r>
      <w:r w:rsidRPr="00FA0415">
        <w:rPr>
          <w:rFonts w:ascii="Century" w:hAnsi="Century" w:cs="Miriam" w:hint="cs"/>
          <w:b/>
          <w:spacing w:val="0"/>
          <w:sz w:val="22"/>
          <w:szCs w:val="24"/>
          <w:rtl/>
        </w:rPr>
        <w:t xml:space="preserve">עקרון תקינות </w:t>
      </w:r>
      <w:r>
        <w:rPr>
          <w:rFonts w:ascii="Century" w:hAnsi="Century" w:cs="Miriam" w:hint="cs"/>
          <w:b/>
          <w:spacing w:val="0"/>
          <w:sz w:val="22"/>
          <w:szCs w:val="24"/>
          <w:rtl/>
        </w:rPr>
        <w:t xml:space="preserve">המעשה </w:t>
      </w:r>
      <w:r w:rsidRPr="00FA0415">
        <w:rPr>
          <w:rFonts w:ascii="Century" w:hAnsi="Century" w:cs="Miriam" w:hint="cs"/>
          <w:b/>
          <w:spacing w:val="0"/>
          <w:sz w:val="22"/>
          <w:szCs w:val="24"/>
          <w:rtl/>
        </w:rPr>
        <w:t>המ</w:t>
      </w:r>
      <w:r>
        <w:rPr>
          <w:rFonts w:ascii="Century" w:hAnsi="Century" w:cs="Miriam" w:hint="cs"/>
          <w:b/>
          <w:spacing w:val="0"/>
          <w:sz w:val="22"/>
          <w:szCs w:val="24"/>
          <w:rtl/>
        </w:rPr>
        <w:t>י</w:t>
      </w:r>
      <w:r w:rsidRPr="00FA0415">
        <w:rPr>
          <w:rFonts w:ascii="Century" w:hAnsi="Century" w:cs="Miriam" w:hint="cs"/>
          <w:b/>
          <w:spacing w:val="0"/>
          <w:sz w:val="22"/>
          <w:szCs w:val="24"/>
          <w:rtl/>
        </w:rPr>
        <w:t>נהל</w:t>
      </w:r>
      <w:r>
        <w:rPr>
          <w:rFonts w:ascii="Century" w:hAnsi="Century" w:cs="Miriam" w:hint="cs"/>
          <w:b/>
          <w:spacing w:val="0"/>
          <w:sz w:val="22"/>
          <w:szCs w:val="24"/>
          <w:rtl/>
        </w:rPr>
        <w:t>י</w:t>
      </w:r>
      <w:r>
        <w:rPr>
          <w:rFonts w:hint="cs"/>
          <w:rtl/>
        </w:rPr>
        <w:t xml:space="preserve">. כידוע, עיקרון זה קובע חזקה </w:t>
      </w:r>
      <w:r>
        <w:rPr>
          <w:rFonts w:hint="cs"/>
          <w:rtl/>
        </w:rPr>
        <w:lastRenderedPageBreak/>
        <w:t xml:space="preserve">משפטית, שלפיה, כל עוד לא נסתרה, פעולותיהן והחלטותיהן של רשויות מינהליות </w:t>
      </w:r>
      <w:r>
        <w:rPr>
          <w:rtl/>
        </w:rPr>
        <w:t>–</w:t>
      </w:r>
      <w:r>
        <w:rPr>
          <w:rFonts w:hint="cs"/>
          <w:rtl/>
        </w:rPr>
        <w:t xml:space="preserve"> נתקבלו כדין. לעניין זה, נטל הראיה לסתור חזקה זו, מוטל על המבקש לסטות ממנה (יצחק זמיר, חזקת החוקיות במשפט המינהלי, </w:t>
      </w:r>
      <w:r w:rsidRPr="008B5994">
        <w:rPr>
          <w:rFonts w:ascii="Century" w:hAnsi="Century" w:cs="Miriam" w:hint="cs"/>
          <w:b/>
          <w:spacing w:val="0"/>
          <w:sz w:val="22"/>
          <w:szCs w:val="24"/>
          <w:rtl/>
        </w:rPr>
        <w:t>ספר אור</w:t>
      </w:r>
      <w:r>
        <w:rPr>
          <w:rFonts w:hint="cs"/>
          <w:rtl/>
        </w:rPr>
        <w:t xml:space="preserve">, 741, 742 (2013) (להלן: </w:t>
      </w:r>
      <w:r w:rsidRPr="004E6A43">
        <w:rPr>
          <w:rFonts w:ascii="Century" w:hAnsi="Century" w:cs="Miriam" w:hint="cs"/>
          <w:b/>
          <w:spacing w:val="0"/>
          <w:sz w:val="22"/>
          <w:szCs w:val="24"/>
          <w:rtl/>
        </w:rPr>
        <w:t xml:space="preserve">זמיר </w:t>
      </w:r>
      <w:r w:rsidRPr="008A3F7F">
        <w:rPr>
          <w:rFonts w:ascii="Century" w:hAnsi="Century"/>
          <w:sz w:val="22"/>
          <w:rtl/>
        </w:rPr>
        <w:t>–</w:t>
      </w:r>
      <w:r w:rsidRPr="008A3F7F">
        <w:rPr>
          <w:rFonts w:ascii="Century" w:hAnsi="Century" w:cs="Miriam" w:hint="cs"/>
          <w:b/>
          <w:spacing w:val="0"/>
          <w:sz w:val="22"/>
          <w:szCs w:val="24"/>
          <w:rtl/>
        </w:rPr>
        <w:t xml:space="preserve"> </w:t>
      </w:r>
      <w:r w:rsidRPr="004E6A43">
        <w:rPr>
          <w:rFonts w:ascii="Century" w:hAnsi="Century" w:cs="Miriam" w:hint="cs"/>
          <w:b/>
          <w:spacing w:val="0"/>
          <w:sz w:val="22"/>
          <w:szCs w:val="24"/>
          <w:rtl/>
        </w:rPr>
        <w:t>ח</w:t>
      </w:r>
      <w:r>
        <w:rPr>
          <w:rFonts w:ascii="Century" w:hAnsi="Century" w:cs="Miriam" w:hint="cs"/>
          <w:b/>
          <w:spacing w:val="0"/>
          <w:sz w:val="22"/>
          <w:szCs w:val="24"/>
          <w:rtl/>
        </w:rPr>
        <w:t>זקת הח</w:t>
      </w:r>
      <w:r w:rsidRPr="004E6A43">
        <w:rPr>
          <w:rFonts w:ascii="Century" w:hAnsi="Century" w:cs="Miriam" w:hint="cs"/>
          <w:b/>
          <w:spacing w:val="0"/>
          <w:sz w:val="22"/>
          <w:szCs w:val="24"/>
          <w:rtl/>
        </w:rPr>
        <w:t>וקיות</w:t>
      </w:r>
      <w:r>
        <w:rPr>
          <w:rFonts w:hint="cs"/>
          <w:rtl/>
        </w:rPr>
        <w:t xml:space="preserve">)). חזקה זו הולכת ומתעצמת ככל שחולף הזמן מאז קבלת ההחלטה המינהלית, ובהתאמה מתגברת גם ההצדקה להסתמך עליה (דפנה ברק ארז, </w:t>
      </w:r>
      <w:r w:rsidRPr="00EC1103">
        <w:rPr>
          <w:rFonts w:ascii="Century" w:hAnsi="Century" w:cs="Miriam"/>
          <w:b/>
          <w:spacing w:val="0"/>
          <w:sz w:val="22"/>
          <w:szCs w:val="24"/>
          <w:rtl/>
        </w:rPr>
        <w:t xml:space="preserve">משפט מנהלי </w:t>
      </w:r>
      <w:r w:rsidRPr="00EC1103">
        <w:rPr>
          <w:rFonts w:ascii="Century" w:hAnsi="Century"/>
          <w:sz w:val="22"/>
          <w:rtl/>
        </w:rPr>
        <w:t>–</w:t>
      </w:r>
      <w:r w:rsidRPr="00EC1103">
        <w:rPr>
          <w:rFonts w:ascii="Century" w:hAnsi="Century" w:cs="Miriam"/>
          <w:b/>
          <w:spacing w:val="0"/>
          <w:sz w:val="22"/>
          <w:szCs w:val="24"/>
          <w:rtl/>
        </w:rPr>
        <w:t xml:space="preserve"> כרך ד</w:t>
      </w:r>
      <w:r>
        <w:rPr>
          <w:rFonts w:hint="cs"/>
          <w:rtl/>
        </w:rPr>
        <w:t xml:space="preserve">, 34 (2017) (להלן: </w:t>
      </w:r>
      <w:r w:rsidRPr="003977CF">
        <w:rPr>
          <w:rFonts w:ascii="Miriam" w:hAnsi="Miriam" w:cs="Miriam"/>
          <w:szCs w:val="24"/>
          <w:rtl/>
        </w:rPr>
        <w:t xml:space="preserve">ברק ארז </w:t>
      </w:r>
      <w:r w:rsidRPr="00870A34">
        <w:rPr>
          <w:rFonts w:ascii="Century" w:hAnsi="Century"/>
          <w:sz w:val="22"/>
          <w:rtl/>
        </w:rPr>
        <w:t>–</w:t>
      </w:r>
      <w:r w:rsidRPr="003977CF">
        <w:rPr>
          <w:rFonts w:ascii="Miriam" w:hAnsi="Miriam" w:cs="Miriam"/>
          <w:szCs w:val="24"/>
          <w:rtl/>
        </w:rPr>
        <w:t xml:space="preserve"> משפט מנהלי</w:t>
      </w:r>
      <w:r>
        <w:rPr>
          <w:rFonts w:hint="cs"/>
          <w:rtl/>
        </w:rPr>
        <w:t xml:space="preserve">)). כוחה של חזקה זו, יפה גם לגבי פעולותיו של הממונה באיו"ש. לענייננו, נקודת המוצא צריכה להיות </w:t>
      </w:r>
      <w:r>
        <w:rPr>
          <w:rtl/>
        </w:rPr>
        <w:t>–</w:t>
      </w:r>
      <w:r>
        <w:rPr>
          <w:rFonts w:hint="cs"/>
          <w:rtl/>
        </w:rPr>
        <w:t xml:space="preserve"> קיומו של תום לב מצד הממונה. כך קבע בית משפט זה, בין היתר גם ביחס לדרישת תום הלב שבסעיף 17 לחוק נכסי נפקדים: </w:t>
      </w:r>
      <w:r w:rsidRPr="005D06AD">
        <w:rPr>
          <w:rFonts w:ascii="Century" w:hAnsi="Century" w:cs="Miriam" w:hint="cs"/>
          <w:b/>
          <w:spacing w:val="0"/>
          <w:sz w:val="22"/>
          <w:szCs w:val="24"/>
          <w:rtl/>
        </w:rPr>
        <w:t>"</w:t>
      </w:r>
      <w:r w:rsidRPr="005D06AD">
        <w:rPr>
          <w:rFonts w:ascii="Century" w:hAnsi="Century" w:cs="Miriam"/>
          <w:b/>
          <w:spacing w:val="0"/>
          <w:sz w:val="22"/>
          <w:szCs w:val="24"/>
          <w:shd w:val="clear" w:color="auto" w:fill="FFFFFF"/>
          <w:rtl/>
        </w:rPr>
        <w:t>האפוטרופוס נהנה מן ההגנה על תוקפה של העיסקה לגבי נכסים שסבר שהם נכסים מוקנים כל עוד לא הוכח כי העיסקה נגועה בחוסר תום</w:t>
      </w:r>
      <w:r w:rsidRPr="005D06AD">
        <w:rPr>
          <w:rFonts w:ascii="Century" w:hAnsi="Century" w:cs="Miriam"/>
          <w:b/>
          <w:spacing w:val="0"/>
          <w:sz w:val="22"/>
          <w:szCs w:val="24"/>
          <w:shd w:val="clear" w:color="auto" w:fill="FFFFFF"/>
        </w:rPr>
        <w:t>-</w:t>
      </w:r>
      <w:r w:rsidRPr="005D06AD">
        <w:rPr>
          <w:rFonts w:ascii="Century" w:hAnsi="Century" w:cs="Miriam"/>
          <w:b/>
          <w:spacing w:val="0"/>
          <w:sz w:val="22"/>
          <w:szCs w:val="24"/>
          <w:shd w:val="clear" w:color="auto" w:fill="FFFFFF"/>
          <w:rtl/>
        </w:rPr>
        <w:t>לב, והעברה זו של נטל השכנוע נובעת מחזקת תקינותו של המעשה המינהל</w:t>
      </w:r>
      <w:r w:rsidRPr="005D06AD">
        <w:rPr>
          <w:rFonts w:ascii="Century" w:hAnsi="Century" w:cs="Miriam" w:hint="cs"/>
          <w:b/>
          <w:spacing w:val="0"/>
          <w:sz w:val="22"/>
          <w:szCs w:val="24"/>
          <w:shd w:val="clear" w:color="auto" w:fill="FFFFFF"/>
          <w:rtl/>
        </w:rPr>
        <w:t xml:space="preserve">י" </w:t>
      </w:r>
      <w:r w:rsidRPr="00DB00D6">
        <w:rPr>
          <w:rFonts w:ascii="Century" w:hAnsi="Century" w:hint="cs"/>
          <w:sz w:val="22"/>
          <w:shd w:val="clear" w:color="auto" w:fill="FFFFFF"/>
          <w:rtl/>
        </w:rPr>
        <w:t xml:space="preserve">(ע"א </w:t>
      </w:r>
      <w:r w:rsidRPr="00DB00D6">
        <w:rPr>
          <w:rFonts w:ascii="Century" w:hAnsi="Century"/>
          <w:sz w:val="22"/>
          <w:shd w:val="clear" w:color="auto" w:fill="FFFFFF"/>
          <w:rtl/>
        </w:rPr>
        <w:t xml:space="preserve">6858/99 </w:t>
      </w:r>
      <w:r w:rsidRPr="005D06AD">
        <w:rPr>
          <w:rFonts w:ascii="Century" w:hAnsi="Century" w:cs="Miriam" w:hint="eastAsia"/>
          <w:b/>
          <w:spacing w:val="0"/>
          <w:sz w:val="22"/>
          <w:szCs w:val="24"/>
          <w:shd w:val="clear" w:color="auto" w:fill="FFFFFF"/>
          <w:rtl/>
        </w:rPr>
        <w:t>האפוטרופוס</w:t>
      </w:r>
      <w:r w:rsidRPr="005D06AD">
        <w:rPr>
          <w:rFonts w:ascii="Century" w:hAnsi="Century" w:cs="Miriam"/>
          <w:b/>
          <w:spacing w:val="0"/>
          <w:sz w:val="22"/>
          <w:szCs w:val="24"/>
          <w:shd w:val="clear" w:color="auto" w:fill="FFFFFF"/>
          <w:rtl/>
        </w:rPr>
        <w:t xml:space="preserve"> </w:t>
      </w:r>
      <w:r w:rsidRPr="005D06AD">
        <w:rPr>
          <w:rFonts w:ascii="Century" w:hAnsi="Century" w:cs="Miriam" w:hint="eastAsia"/>
          <w:b/>
          <w:spacing w:val="0"/>
          <w:sz w:val="22"/>
          <w:szCs w:val="24"/>
          <w:shd w:val="clear" w:color="auto" w:fill="FFFFFF"/>
          <w:rtl/>
        </w:rPr>
        <w:t>לנכסי</w:t>
      </w:r>
      <w:r w:rsidRPr="005D06AD">
        <w:rPr>
          <w:rFonts w:ascii="Century" w:hAnsi="Century" w:cs="Miriam"/>
          <w:b/>
          <w:spacing w:val="0"/>
          <w:sz w:val="22"/>
          <w:szCs w:val="24"/>
          <w:shd w:val="clear" w:color="auto" w:fill="FFFFFF"/>
          <w:rtl/>
        </w:rPr>
        <w:t xml:space="preserve"> </w:t>
      </w:r>
      <w:r w:rsidRPr="005D06AD">
        <w:rPr>
          <w:rFonts w:ascii="Century" w:hAnsi="Century" w:cs="Miriam" w:hint="eastAsia"/>
          <w:b/>
          <w:spacing w:val="0"/>
          <w:sz w:val="22"/>
          <w:szCs w:val="24"/>
          <w:shd w:val="clear" w:color="auto" w:fill="FFFFFF"/>
          <w:rtl/>
        </w:rPr>
        <w:t>נפקדים</w:t>
      </w:r>
      <w:r w:rsidRPr="005D06AD">
        <w:rPr>
          <w:rFonts w:ascii="Century" w:hAnsi="Century" w:cs="Miriam"/>
          <w:b/>
          <w:spacing w:val="0"/>
          <w:sz w:val="22"/>
          <w:szCs w:val="24"/>
          <w:shd w:val="clear" w:color="auto" w:fill="FFFFFF"/>
          <w:rtl/>
        </w:rPr>
        <w:t xml:space="preserve"> </w:t>
      </w:r>
      <w:r w:rsidRPr="005D06AD">
        <w:rPr>
          <w:rFonts w:ascii="Century" w:hAnsi="Century" w:cs="Miriam" w:hint="eastAsia"/>
          <w:b/>
          <w:spacing w:val="0"/>
          <w:sz w:val="22"/>
          <w:szCs w:val="24"/>
          <w:shd w:val="clear" w:color="auto" w:fill="FFFFFF"/>
          <w:rtl/>
        </w:rPr>
        <w:t>נ</w:t>
      </w:r>
      <w:r w:rsidRPr="005D06AD">
        <w:rPr>
          <w:rFonts w:ascii="Century" w:hAnsi="Century" w:cs="Miriam"/>
          <w:b/>
          <w:spacing w:val="0"/>
          <w:sz w:val="22"/>
          <w:szCs w:val="24"/>
          <w:shd w:val="clear" w:color="auto" w:fill="FFFFFF"/>
          <w:rtl/>
        </w:rPr>
        <w:t xml:space="preserve">' </w:t>
      </w:r>
      <w:r w:rsidRPr="005D06AD">
        <w:rPr>
          <w:rFonts w:ascii="Century" w:hAnsi="Century" w:cs="Miriam" w:hint="eastAsia"/>
          <w:b/>
          <w:spacing w:val="0"/>
          <w:sz w:val="22"/>
          <w:szCs w:val="24"/>
          <w:shd w:val="clear" w:color="auto" w:fill="FFFFFF"/>
          <w:rtl/>
        </w:rPr>
        <w:t>טברי</w:t>
      </w:r>
      <w:r w:rsidRPr="00A36738">
        <w:rPr>
          <w:rFonts w:ascii="FrankRuehl" w:hAnsi="FrankRuehl"/>
          <w:color w:val="000000"/>
          <w:shd w:val="clear" w:color="auto" w:fill="FFFFFF"/>
          <w:rtl/>
        </w:rPr>
        <w:t xml:space="preserve">, </w:t>
      </w:r>
      <w:r>
        <w:rPr>
          <w:rFonts w:ascii="FrankRuehl" w:hAnsi="FrankRuehl" w:hint="cs"/>
          <w:color w:val="000000"/>
          <w:shd w:val="clear" w:color="auto" w:fill="FFFFFF"/>
          <w:rtl/>
        </w:rPr>
        <w:t xml:space="preserve">פ"ד </w:t>
      </w:r>
      <w:r w:rsidRPr="00A36738">
        <w:rPr>
          <w:rFonts w:ascii="FrankRuehl" w:hAnsi="FrankRuehl" w:hint="eastAsia"/>
          <w:color w:val="000000"/>
          <w:shd w:val="clear" w:color="auto" w:fill="FFFFFF"/>
          <w:rtl/>
        </w:rPr>
        <w:t>נח</w:t>
      </w:r>
      <w:r w:rsidRPr="00A36738">
        <w:rPr>
          <w:rFonts w:ascii="FrankRuehl" w:hAnsi="FrankRuehl"/>
          <w:color w:val="000000"/>
          <w:shd w:val="clear" w:color="auto" w:fill="FFFFFF"/>
          <w:rtl/>
        </w:rPr>
        <w:t>(4) 577</w:t>
      </w:r>
      <w:r>
        <w:rPr>
          <w:rFonts w:ascii="FrankRuehl" w:hAnsi="FrankRuehl" w:hint="cs"/>
          <w:color w:val="000000"/>
          <w:shd w:val="clear" w:color="auto" w:fill="FFFFFF"/>
          <w:rtl/>
        </w:rPr>
        <w:t>, 581</w:t>
      </w:r>
      <w:r w:rsidRPr="00A36738">
        <w:rPr>
          <w:rFonts w:ascii="FrankRuehl" w:hAnsi="FrankRuehl"/>
          <w:color w:val="000000"/>
          <w:shd w:val="clear" w:color="auto" w:fill="FFFFFF"/>
          <w:rtl/>
        </w:rPr>
        <w:t xml:space="preserve"> (2004)</w:t>
      </w:r>
      <w:r>
        <w:rPr>
          <w:rFonts w:ascii="FrankRuehl" w:hAnsi="FrankRuehl" w:hint="cs"/>
          <w:color w:val="000000"/>
          <w:shd w:val="clear" w:color="auto" w:fill="FFFFFF"/>
          <w:rtl/>
        </w:rPr>
        <w:t xml:space="preserve"> (להלן: </w:t>
      </w:r>
      <w:r w:rsidRPr="00EC1103">
        <w:rPr>
          <w:rFonts w:ascii="Century" w:hAnsi="Century" w:cs="Miriam" w:hint="cs"/>
          <w:b/>
          <w:spacing w:val="0"/>
          <w:sz w:val="22"/>
          <w:szCs w:val="24"/>
          <w:shd w:val="clear" w:color="auto" w:fill="FFFFFF"/>
          <w:rtl/>
        </w:rPr>
        <w:t>עניין</w:t>
      </w:r>
      <w:r w:rsidRPr="00EC1103">
        <w:rPr>
          <w:rFonts w:ascii="FrankRuehl" w:hAnsi="FrankRuehl" w:hint="cs"/>
          <w:color w:val="000000"/>
          <w:shd w:val="clear" w:color="auto" w:fill="FFFFFF"/>
          <w:rtl/>
        </w:rPr>
        <w:t xml:space="preserve"> </w:t>
      </w:r>
      <w:r w:rsidRPr="00A36738">
        <w:rPr>
          <w:rFonts w:ascii="Century" w:hAnsi="Century" w:cs="Miriam" w:hint="cs"/>
          <w:b/>
          <w:spacing w:val="0"/>
          <w:sz w:val="22"/>
          <w:szCs w:val="24"/>
          <w:shd w:val="clear" w:color="auto" w:fill="FFFFFF"/>
          <w:rtl/>
        </w:rPr>
        <w:t>טברי</w:t>
      </w:r>
      <w:r>
        <w:rPr>
          <w:rFonts w:ascii="FrankRuehl" w:hAnsi="FrankRuehl" w:hint="cs"/>
          <w:color w:val="000000"/>
          <w:shd w:val="clear" w:color="auto" w:fill="FFFFFF"/>
          <w:rtl/>
        </w:rPr>
        <w:t>); וראו גם מן העת האחרונה:</w:t>
      </w:r>
      <w:r w:rsidRPr="00BB6916">
        <w:rPr>
          <w:rFonts w:hint="cs"/>
          <w:rtl/>
        </w:rPr>
        <w:t xml:space="preserve"> </w:t>
      </w:r>
      <w:r>
        <w:rPr>
          <w:rFonts w:hint="cs"/>
          <w:rtl/>
        </w:rPr>
        <w:t xml:space="preserve">ע"א 7793/19 </w:t>
      </w:r>
      <w:r w:rsidRPr="00BB6916">
        <w:rPr>
          <w:rFonts w:ascii="Century" w:hAnsi="Century" w:cs="Miriam" w:hint="cs"/>
          <w:b/>
          <w:spacing w:val="0"/>
          <w:sz w:val="22"/>
          <w:szCs w:val="24"/>
          <w:rtl/>
        </w:rPr>
        <w:t xml:space="preserve">מדינת ישראל </w:t>
      </w:r>
      <w:r w:rsidRPr="00BB6916">
        <w:rPr>
          <w:rFonts w:ascii="Century" w:hAnsi="Century"/>
          <w:sz w:val="22"/>
          <w:rtl/>
        </w:rPr>
        <w:t>–</w:t>
      </w:r>
      <w:r w:rsidRPr="00BB6916">
        <w:rPr>
          <w:rFonts w:ascii="Century" w:hAnsi="Century" w:cs="Miriam" w:hint="cs"/>
          <w:b/>
          <w:spacing w:val="0"/>
          <w:sz w:val="22"/>
          <w:szCs w:val="24"/>
          <w:rtl/>
        </w:rPr>
        <w:t xml:space="preserve"> רשות הפיתוח נ' עקל</w:t>
      </w:r>
      <w:r>
        <w:rPr>
          <w:rFonts w:hint="cs"/>
          <w:rtl/>
        </w:rPr>
        <w:t xml:space="preserve">, פסקה 20 לחוות הדעת של השופט </w:t>
      </w:r>
      <w:r w:rsidRPr="00BB6916">
        <w:rPr>
          <w:rFonts w:ascii="Century" w:hAnsi="Century" w:cs="Miriam" w:hint="cs"/>
          <w:b/>
          <w:spacing w:val="0"/>
          <w:sz w:val="22"/>
          <w:szCs w:val="24"/>
          <w:rtl/>
        </w:rPr>
        <w:t>ע' גרוסקופף</w:t>
      </w:r>
      <w:r>
        <w:rPr>
          <w:rFonts w:hint="cs"/>
          <w:rtl/>
        </w:rPr>
        <w:t xml:space="preserve"> (8.5.2022) (להלן: </w:t>
      </w:r>
      <w:r w:rsidRPr="00BB6916">
        <w:rPr>
          <w:rFonts w:ascii="Century" w:hAnsi="Century" w:cs="Miriam" w:hint="cs"/>
          <w:b/>
          <w:spacing w:val="0"/>
          <w:sz w:val="22"/>
          <w:szCs w:val="24"/>
          <w:rtl/>
        </w:rPr>
        <w:t>עניין עקל</w:t>
      </w:r>
      <w:r>
        <w:rPr>
          <w:rFonts w:hint="cs"/>
          <w:rtl/>
        </w:rPr>
        <w:t>)</w:t>
      </w:r>
      <w:r>
        <w:rPr>
          <w:rFonts w:ascii="FrankRuehl" w:hAnsi="FrankRuehl" w:hint="cs"/>
          <w:color w:val="000000"/>
          <w:shd w:val="clear" w:color="auto" w:fill="FFFFFF"/>
          <w:rtl/>
        </w:rPr>
        <w:t xml:space="preserve">). יתרה מכך, דברים מעין אלה נקבעו גם ביחס לפעולותיו של הממונה על נכסי האויב </w:t>
      </w:r>
      <w:r w:rsidRPr="008A3F7F">
        <w:rPr>
          <w:rFonts w:ascii="Century" w:hAnsi="Century" w:cs="Miriam" w:hint="cs"/>
          <w:b/>
          <w:spacing w:val="0"/>
          <w:sz w:val="22"/>
          <w:szCs w:val="24"/>
          <w:shd w:val="clear" w:color="auto" w:fill="FFFFFF"/>
          <w:rtl/>
        </w:rPr>
        <w:t>הירדני</w:t>
      </w:r>
      <w:r w:rsidRPr="008A3F7F">
        <w:rPr>
          <w:rFonts w:ascii="FrankRuehl" w:hAnsi="FrankRuehl" w:hint="cs"/>
          <w:color w:val="000000"/>
          <w:shd w:val="clear" w:color="auto" w:fill="FFFFFF"/>
          <w:rtl/>
        </w:rPr>
        <w:t xml:space="preserve"> </w:t>
      </w:r>
      <w:r>
        <w:rPr>
          <w:rFonts w:ascii="FrankRuehl" w:hAnsi="FrankRuehl" w:hint="cs"/>
          <w:color w:val="000000"/>
          <w:shd w:val="clear" w:color="auto" w:fill="FFFFFF"/>
          <w:rtl/>
        </w:rPr>
        <w:t>(</w:t>
      </w:r>
      <w:r w:rsidRPr="005D06AD">
        <w:rPr>
          <w:rFonts w:ascii="FrankRuehl" w:hAnsi="FrankRuehl" w:hint="eastAsia"/>
          <w:color w:val="000000"/>
          <w:shd w:val="clear" w:color="auto" w:fill="FFFFFF"/>
          <w:rtl/>
        </w:rPr>
        <w:t>ע</w:t>
      </w:r>
      <w:r w:rsidRPr="005D06AD">
        <w:rPr>
          <w:rFonts w:ascii="FrankRuehl" w:hAnsi="FrankRuehl"/>
          <w:color w:val="000000"/>
          <w:shd w:val="clear" w:color="auto" w:fill="FFFFFF"/>
          <w:rtl/>
        </w:rPr>
        <w:t>"</w:t>
      </w:r>
      <w:r w:rsidRPr="005D06AD">
        <w:rPr>
          <w:rFonts w:ascii="FrankRuehl" w:hAnsi="FrankRuehl" w:hint="eastAsia"/>
          <w:color w:val="000000"/>
          <w:shd w:val="clear" w:color="auto" w:fill="FFFFFF"/>
          <w:rtl/>
        </w:rPr>
        <w:t>א</w:t>
      </w:r>
      <w:r w:rsidRPr="005D06AD">
        <w:rPr>
          <w:rFonts w:ascii="FrankRuehl" w:hAnsi="FrankRuehl"/>
          <w:color w:val="000000"/>
          <w:shd w:val="clear" w:color="auto" w:fill="FFFFFF"/>
          <w:rtl/>
        </w:rPr>
        <w:t xml:space="preserve"> 51/89 </w:t>
      </w:r>
      <w:r w:rsidRPr="00DB00D6">
        <w:rPr>
          <w:rFonts w:ascii="Century" w:hAnsi="Century" w:cs="Miriam" w:hint="eastAsia"/>
          <w:b/>
          <w:spacing w:val="0"/>
          <w:sz w:val="22"/>
          <w:szCs w:val="24"/>
          <w:shd w:val="clear" w:color="auto" w:fill="FFFFFF"/>
          <w:rtl/>
        </w:rPr>
        <w:t>האפוטרופוס</w:t>
      </w:r>
      <w:r w:rsidRPr="00DB00D6">
        <w:rPr>
          <w:rFonts w:ascii="Century" w:hAnsi="Century" w:cs="Miriam"/>
          <w:b/>
          <w:spacing w:val="0"/>
          <w:sz w:val="22"/>
          <w:szCs w:val="24"/>
          <w:shd w:val="clear" w:color="auto" w:fill="FFFFFF"/>
          <w:rtl/>
        </w:rPr>
        <w:t xml:space="preserve"> </w:t>
      </w:r>
      <w:r w:rsidRPr="00DB00D6">
        <w:rPr>
          <w:rFonts w:ascii="Century" w:hAnsi="Century" w:cs="Miriam" w:hint="eastAsia"/>
          <w:b/>
          <w:spacing w:val="0"/>
          <w:sz w:val="22"/>
          <w:szCs w:val="24"/>
          <w:shd w:val="clear" w:color="auto" w:fill="FFFFFF"/>
          <w:rtl/>
        </w:rPr>
        <w:t>הכללי</w:t>
      </w:r>
      <w:r w:rsidRPr="00DB00D6">
        <w:rPr>
          <w:rFonts w:ascii="Century" w:hAnsi="Century" w:cs="Miriam"/>
          <w:b/>
          <w:spacing w:val="0"/>
          <w:sz w:val="22"/>
          <w:szCs w:val="24"/>
          <w:shd w:val="clear" w:color="auto" w:fill="FFFFFF"/>
          <w:rtl/>
        </w:rPr>
        <w:t xml:space="preserve"> </w:t>
      </w:r>
      <w:r w:rsidRPr="00DB00D6">
        <w:rPr>
          <w:rFonts w:ascii="Century" w:hAnsi="Century" w:cs="Miriam" w:hint="eastAsia"/>
          <w:b/>
          <w:spacing w:val="0"/>
          <w:sz w:val="22"/>
          <w:szCs w:val="24"/>
          <w:shd w:val="clear" w:color="auto" w:fill="FFFFFF"/>
          <w:rtl/>
        </w:rPr>
        <w:t>נ</w:t>
      </w:r>
      <w:r w:rsidRPr="00DB00D6">
        <w:rPr>
          <w:rFonts w:ascii="Century" w:hAnsi="Century" w:cs="Miriam"/>
          <w:b/>
          <w:spacing w:val="0"/>
          <w:sz w:val="22"/>
          <w:szCs w:val="24"/>
          <w:shd w:val="clear" w:color="auto" w:fill="FFFFFF"/>
          <w:rtl/>
        </w:rPr>
        <w:t xml:space="preserve">' </w:t>
      </w:r>
      <w:r w:rsidRPr="00DB00D6">
        <w:rPr>
          <w:rFonts w:ascii="Century" w:hAnsi="Century" w:cs="Miriam" w:hint="eastAsia"/>
          <w:b/>
          <w:spacing w:val="0"/>
          <w:sz w:val="22"/>
          <w:szCs w:val="24"/>
          <w:shd w:val="clear" w:color="auto" w:fill="FFFFFF"/>
          <w:rtl/>
        </w:rPr>
        <w:t>אבו</w:t>
      </w:r>
      <w:r w:rsidRPr="00DB00D6">
        <w:rPr>
          <w:rFonts w:ascii="Century" w:hAnsi="Century" w:cs="Miriam"/>
          <w:b/>
          <w:spacing w:val="0"/>
          <w:sz w:val="22"/>
          <w:szCs w:val="24"/>
          <w:shd w:val="clear" w:color="auto" w:fill="FFFFFF"/>
          <w:rtl/>
        </w:rPr>
        <w:t xml:space="preserve"> </w:t>
      </w:r>
      <w:r w:rsidRPr="00DB00D6">
        <w:rPr>
          <w:rFonts w:ascii="Century" w:hAnsi="Century" w:cs="Miriam" w:hint="eastAsia"/>
          <w:b/>
          <w:spacing w:val="0"/>
          <w:sz w:val="22"/>
          <w:szCs w:val="24"/>
          <w:shd w:val="clear" w:color="auto" w:fill="FFFFFF"/>
          <w:rtl/>
        </w:rPr>
        <w:t>חמדה</w:t>
      </w:r>
      <w:r w:rsidRPr="005D06AD">
        <w:rPr>
          <w:rFonts w:ascii="FrankRuehl" w:hAnsi="FrankRuehl"/>
          <w:color w:val="000000"/>
          <w:shd w:val="clear" w:color="auto" w:fill="FFFFFF"/>
          <w:rtl/>
        </w:rPr>
        <w:t xml:space="preserve">, </w:t>
      </w:r>
      <w:r w:rsidRPr="005D06AD">
        <w:rPr>
          <w:rFonts w:ascii="FrankRuehl" w:hAnsi="FrankRuehl" w:hint="eastAsia"/>
          <w:color w:val="000000"/>
          <w:shd w:val="clear" w:color="auto" w:fill="FFFFFF"/>
          <w:rtl/>
        </w:rPr>
        <w:t>פ</w:t>
      </w:r>
      <w:r w:rsidRPr="005D06AD">
        <w:rPr>
          <w:rFonts w:ascii="FrankRuehl" w:hAnsi="FrankRuehl"/>
          <w:color w:val="000000"/>
          <w:shd w:val="clear" w:color="auto" w:fill="FFFFFF"/>
          <w:rtl/>
        </w:rPr>
        <w:t>"</w:t>
      </w:r>
      <w:r w:rsidRPr="005D06AD">
        <w:rPr>
          <w:rFonts w:ascii="FrankRuehl" w:hAnsi="FrankRuehl" w:hint="eastAsia"/>
          <w:color w:val="000000"/>
          <w:shd w:val="clear" w:color="auto" w:fill="FFFFFF"/>
          <w:rtl/>
        </w:rPr>
        <w:t>ד</w:t>
      </w:r>
      <w:r w:rsidRPr="005D06AD">
        <w:rPr>
          <w:rFonts w:ascii="FrankRuehl" w:hAnsi="FrankRuehl"/>
          <w:color w:val="000000"/>
          <w:shd w:val="clear" w:color="auto" w:fill="FFFFFF"/>
          <w:rtl/>
        </w:rPr>
        <w:t xml:space="preserve"> </w:t>
      </w:r>
      <w:r w:rsidRPr="005D06AD">
        <w:rPr>
          <w:rFonts w:ascii="FrankRuehl" w:hAnsi="FrankRuehl" w:hint="eastAsia"/>
          <w:color w:val="000000"/>
          <w:shd w:val="clear" w:color="auto" w:fill="FFFFFF"/>
          <w:rtl/>
        </w:rPr>
        <w:t>מו</w:t>
      </w:r>
      <w:r w:rsidRPr="005D06AD">
        <w:rPr>
          <w:rFonts w:ascii="FrankRuehl" w:hAnsi="FrankRuehl"/>
          <w:color w:val="000000"/>
          <w:shd w:val="clear" w:color="auto" w:fill="FFFFFF"/>
          <w:rtl/>
        </w:rPr>
        <w:t>(1), 491, 502 (1992)</w:t>
      </w:r>
      <w:r>
        <w:rPr>
          <w:rFonts w:ascii="FrankRuehl" w:hAnsi="FrankRuehl" w:hint="cs"/>
          <w:color w:val="000000"/>
          <w:shd w:val="clear" w:color="auto" w:fill="FFFFFF"/>
          <w:rtl/>
        </w:rPr>
        <w:t xml:space="preserve">; </w:t>
      </w:r>
      <w:r w:rsidRPr="005D06AD">
        <w:rPr>
          <w:rFonts w:ascii="FrankRuehl" w:hAnsi="FrankRuehl" w:hint="eastAsia"/>
          <w:color w:val="000000"/>
          <w:shd w:val="clear" w:color="auto" w:fill="FFFFFF"/>
          <w:rtl/>
        </w:rPr>
        <w:t>רע</w:t>
      </w:r>
      <w:r w:rsidRPr="005D06AD">
        <w:rPr>
          <w:rFonts w:ascii="FrankRuehl" w:hAnsi="FrankRuehl"/>
          <w:color w:val="000000"/>
          <w:shd w:val="clear" w:color="auto" w:fill="FFFFFF"/>
          <w:rtl/>
        </w:rPr>
        <w:t>"</w:t>
      </w:r>
      <w:r w:rsidRPr="005D06AD">
        <w:rPr>
          <w:rFonts w:ascii="FrankRuehl" w:hAnsi="FrankRuehl" w:hint="eastAsia"/>
          <w:color w:val="000000"/>
          <w:shd w:val="clear" w:color="auto" w:fill="FFFFFF"/>
          <w:rtl/>
        </w:rPr>
        <w:t>א</w:t>
      </w:r>
      <w:r w:rsidRPr="005D06AD">
        <w:rPr>
          <w:rFonts w:ascii="FrankRuehl" w:hAnsi="FrankRuehl"/>
          <w:color w:val="000000"/>
          <w:shd w:val="clear" w:color="auto" w:fill="FFFFFF"/>
          <w:rtl/>
        </w:rPr>
        <w:t xml:space="preserve"> 2401/21 </w:t>
      </w:r>
      <w:r w:rsidRPr="00DB00D6">
        <w:rPr>
          <w:rFonts w:ascii="Century" w:hAnsi="Century" w:cs="Miriam" w:hint="eastAsia"/>
          <w:b/>
          <w:spacing w:val="0"/>
          <w:sz w:val="22"/>
          <w:szCs w:val="24"/>
          <w:shd w:val="clear" w:color="auto" w:fill="FFFFFF"/>
          <w:rtl/>
        </w:rPr>
        <w:t>ג</w:t>
      </w:r>
      <w:r w:rsidRPr="00DB00D6">
        <w:rPr>
          <w:rFonts w:ascii="Century" w:hAnsi="Century" w:cs="Miriam"/>
          <w:b/>
          <w:spacing w:val="0"/>
          <w:sz w:val="22"/>
          <w:szCs w:val="24"/>
          <w:shd w:val="clear" w:color="auto" w:fill="FFFFFF"/>
          <w:rtl/>
        </w:rPr>
        <w:t>'</w:t>
      </w:r>
      <w:r w:rsidRPr="00DB00D6">
        <w:rPr>
          <w:rFonts w:ascii="Century" w:hAnsi="Century" w:cs="Miriam" w:hint="eastAsia"/>
          <w:b/>
          <w:spacing w:val="0"/>
          <w:sz w:val="22"/>
          <w:szCs w:val="24"/>
          <w:shd w:val="clear" w:color="auto" w:fill="FFFFFF"/>
          <w:rtl/>
        </w:rPr>
        <w:t>אעוני</w:t>
      </w:r>
      <w:r w:rsidRPr="00DB00D6">
        <w:rPr>
          <w:rFonts w:ascii="Century" w:hAnsi="Century" w:cs="Miriam"/>
          <w:b/>
          <w:spacing w:val="0"/>
          <w:sz w:val="22"/>
          <w:szCs w:val="24"/>
          <w:shd w:val="clear" w:color="auto" w:fill="FFFFFF"/>
          <w:rtl/>
        </w:rPr>
        <w:t xml:space="preserve"> </w:t>
      </w:r>
      <w:r w:rsidRPr="00DB00D6">
        <w:rPr>
          <w:rFonts w:ascii="Century" w:hAnsi="Century" w:cs="Miriam" w:hint="eastAsia"/>
          <w:b/>
          <w:spacing w:val="0"/>
          <w:sz w:val="22"/>
          <w:szCs w:val="24"/>
          <w:shd w:val="clear" w:color="auto" w:fill="FFFFFF"/>
          <w:rtl/>
        </w:rPr>
        <w:t>נ</w:t>
      </w:r>
      <w:r w:rsidRPr="00DB00D6">
        <w:rPr>
          <w:rFonts w:ascii="Century" w:hAnsi="Century" w:cs="Miriam"/>
          <w:b/>
          <w:spacing w:val="0"/>
          <w:sz w:val="22"/>
          <w:szCs w:val="24"/>
          <w:shd w:val="clear" w:color="auto" w:fill="FFFFFF"/>
          <w:rtl/>
        </w:rPr>
        <w:t xml:space="preserve">' </w:t>
      </w:r>
      <w:r w:rsidRPr="00DB00D6">
        <w:rPr>
          <w:rFonts w:ascii="Century" w:hAnsi="Century" w:cs="Miriam" w:hint="eastAsia"/>
          <w:b/>
          <w:spacing w:val="0"/>
          <w:sz w:val="22"/>
          <w:szCs w:val="24"/>
          <w:shd w:val="clear" w:color="auto" w:fill="FFFFFF"/>
          <w:rtl/>
        </w:rPr>
        <w:t>נחלת</w:t>
      </w:r>
      <w:r w:rsidRPr="00DB00D6">
        <w:rPr>
          <w:rFonts w:ascii="Century" w:hAnsi="Century" w:cs="Miriam"/>
          <w:b/>
          <w:spacing w:val="0"/>
          <w:sz w:val="22"/>
          <w:szCs w:val="24"/>
          <w:shd w:val="clear" w:color="auto" w:fill="FFFFFF"/>
          <w:rtl/>
        </w:rPr>
        <w:t xml:space="preserve"> </w:t>
      </w:r>
      <w:r w:rsidRPr="00DB00D6">
        <w:rPr>
          <w:rFonts w:ascii="Century" w:hAnsi="Century" w:cs="Miriam" w:hint="eastAsia"/>
          <w:b/>
          <w:spacing w:val="0"/>
          <w:sz w:val="22"/>
          <w:szCs w:val="24"/>
          <w:shd w:val="clear" w:color="auto" w:fill="FFFFFF"/>
          <w:rtl/>
        </w:rPr>
        <w:t>שמעון</w:t>
      </w:r>
      <w:r w:rsidRPr="00DB00D6">
        <w:rPr>
          <w:rFonts w:ascii="Century" w:hAnsi="Century" w:cs="Miriam"/>
          <w:b/>
          <w:spacing w:val="0"/>
          <w:sz w:val="22"/>
          <w:szCs w:val="24"/>
          <w:shd w:val="clear" w:color="auto" w:fill="FFFFFF"/>
          <w:rtl/>
        </w:rPr>
        <w:t xml:space="preserve"> </w:t>
      </w:r>
      <w:r w:rsidRPr="00DB00D6">
        <w:rPr>
          <w:rFonts w:ascii="Century" w:hAnsi="Century" w:cs="Miriam" w:hint="eastAsia"/>
          <w:b/>
          <w:spacing w:val="0"/>
          <w:sz w:val="22"/>
          <w:szCs w:val="24"/>
          <w:shd w:val="clear" w:color="auto" w:fill="FFFFFF"/>
          <w:rtl/>
        </w:rPr>
        <w:t>בע</w:t>
      </w:r>
      <w:r w:rsidRPr="00DB00D6">
        <w:rPr>
          <w:rFonts w:ascii="Century" w:hAnsi="Century" w:cs="Miriam"/>
          <w:b/>
          <w:spacing w:val="0"/>
          <w:sz w:val="22"/>
          <w:szCs w:val="24"/>
          <w:shd w:val="clear" w:color="auto" w:fill="FFFFFF"/>
          <w:rtl/>
        </w:rPr>
        <w:t>"</w:t>
      </w:r>
      <w:r w:rsidRPr="00DB00D6">
        <w:rPr>
          <w:rFonts w:ascii="Century" w:hAnsi="Century" w:cs="Miriam" w:hint="eastAsia"/>
          <w:b/>
          <w:spacing w:val="0"/>
          <w:sz w:val="22"/>
          <w:szCs w:val="24"/>
          <w:shd w:val="clear" w:color="auto" w:fill="FFFFFF"/>
          <w:rtl/>
        </w:rPr>
        <w:t>מ</w:t>
      </w:r>
      <w:r>
        <w:rPr>
          <w:rFonts w:ascii="FrankRuehl" w:hAnsi="FrankRuehl" w:hint="cs"/>
          <w:color w:val="000000"/>
          <w:shd w:val="clear" w:color="auto" w:fill="FFFFFF"/>
          <w:rtl/>
        </w:rPr>
        <w:t xml:space="preserve">, פסקה 91 לחוות הדעת של חברתי השופטת </w:t>
      </w:r>
      <w:r w:rsidRPr="00DB00D6">
        <w:rPr>
          <w:rFonts w:ascii="Century" w:hAnsi="Century" w:cs="Miriam" w:hint="cs"/>
          <w:b/>
          <w:spacing w:val="0"/>
          <w:sz w:val="22"/>
          <w:szCs w:val="24"/>
          <w:shd w:val="clear" w:color="auto" w:fill="FFFFFF"/>
          <w:rtl/>
        </w:rPr>
        <w:t>ד' ברק-ארז</w:t>
      </w:r>
      <w:r>
        <w:rPr>
          <w:rFonts w:ascii="FrankRuehl" w:hAnsi="FrankRuehl" w:hint="cs"/>
          <w:color w:val="000000"/>
          <w:shd w:val="clear" w:color="auto" w:fill="FFFFFF"/>
          <w:rtl/>
        </w:rPr>
        <w:t xml:space="preserve">, פסקה 61 לחוות דעתי, פסקה 13 לחוות הדעת של חברי השופט </w:t>
      </w:r>
      <w:r w:rsidRPr="00DB00D6">
        <w:rPr>
          <w:rFonts w:ascii="Century" w:hAnsi="Century" w:cs="Miriam" w:hint="cs"/>
          <w:b/>
          <w:spacing w:val="0"/>
          <w:sz w:val="22"/>
          <w:szCs w:val="24"/>
          <w:shd w:val="clear" w:color="auto" w:fill="FFFFFF"/>
          <w:rtl/>
        </w:rPr>
        <w:t>י' עמית</w:t>
      </w:r>
      <w:r>
        <w:rPr>
          <w:rFonts w:ascii="FrankRuehl" w:hAnsi="FrankRuehl" w:hint="cs"/>
          <w:color w:val="000000"/>
          <w:shd w:val="clear" w:color="auto" w:fill="FFFFFF"/>
          <w:rtl/>
        </w:rPr>
        <w:t xml:space="preserve"> </w:t>
      </w:r>
      <w:r w:rsidRPr="005D06AD">
        <w:rPr>
          <w:rFonts w:ascii="FrankRuehl" w:hAnsi="FrankRuehl"/>
          <w:color w:val="000000"/>
          <w:shd w:val="clear" w:color="auto" w:fill="FFFFFF"/>
          <w:rtl/>
        </w:rPr>
        <w:t>(01.03.2022)</w:t>
      </w:r>
      <w:r>
        <w:rPr>
          <w:rFonts w:ascii="FrankRuehl" w:hAnsi="FrankRuehl" w:hint="cs"/>
          <w:color w:val="000000"/>
          <w:shd w:val="clear" w:color="auto" w:fill="FFFFFF"/>
          <w:rtl/>
        </w:rPr>
        <w:t xml:space="preserve"> (להלן: </w:t>
      </w:r>
      <w:r w:rsidRPr="00DB00D6">
        <w:rPr>
          <w:rFonts w:ascii="Century" w:hAnsi="Century" w:cs="Miriam" w:hint="cs"/>
          <w:b/>
          <w:spacing w:val="0"/>
          <w:sz w:val="22"/>
          <w:szCs w:val="24"/>
          <w:shd w:val="clear" w:color="auto" w:fill="FFFFFF"/>
          <w:rtl/>
        </w:rPr>
        <w:t>עניין ג'אעוני</w:t>
      </w:r>
      <w:r>
        <w:rPr>
          <w:rFonts w:ascii="FrankRuehl" w:hAnsi="FrankRuehl" w:hint="cs"/>
          <w:color w:val="000000"/>
          <w:shd w:val="clear" w:color="auto" w:fill="FFFFFF"/>
          <w:rtl/>
        </w:rPr>
        <w:t>)).</w:t>
      </w:r>
      <w:r>
        <w:rPr>
          <w:rFonts w:hint="cs"/>
          <w:rtl/>
        </w:rPr>
        <w:t xml:space="preserve"> יש לציין, כי חזקה זו, עשויה לפעול</w:t>
      </w:r>
      <w:r w:rsidRPr="0091394E">
        <w:rPr>
          <w:rFonts w:hint="cs"/>
          <w:rtl/>
        </w:rPr>
        <w:t xml:space="preserve"> </w:t>
      </w:r>
      <w:r>
        <w:rPr>
          <w:rFonts w:hint="cs"/>
          <w:rtl/>
        </w:rPr>
        <w:t>לעתים גם נגד הרשות עצמה. כך, כאשר הרשות מבקשת להתנער בדיעבד מהחלטה שקיבלה או מפעולה שביצעה, חזקה זו תעמוד לה לרועץ, ויוטל עליה הנטל להוכיח כי פעלה בניגוד לדין</w:t>
      </w:r>
      <w:r w:rsidRPr="008B5994">
        <w:rPr>
          <w:rFonts w:hint="cs"/>
          <w:rtl/>
        </w:rPr>
        <w:t xml:space="preserve"> </w:t>
      </w:r>
      <w:r>
        <w:rPr>
          <w:rFonts w:hint="cs"/>
          <w:rtl/>
        </w:rPr>
        <w:t xml:space="preserve">(ע"א 1188/92 </w:t>
      </w:r>
      <w:r w:rsidRPr="008B5994">
        <w:rPr>
          <w:rFonts w:ascii="Century" w:hAnsi="Century" w:cs="Miriam" w:hint="cs"/>
          <w:b/>
          <w:spacing w:val="0"/>
          <w:sz w:val="22"/>
          <w:szCs w:val="24"/>
          <w:rtl/>
        </w:rPr>
        <w:t>הועדה המקומית לתכנון ובניה נ' ברעלי</w:t>
      </w:r>
      <w:r>
        <w:rPr>
          <w:rFonts w:hint="cs"/>
          <w:rtl/>
        </w:rPr>
        <w:t xml:space="preserve">, פ"ד מט(1) 463, 472 (1992); </w:t>
      </w:r>
      <w:r w:rsidRPr="004E6A43">
        <w:rPr>
          <w:rFonts w:ascii="Century" w:hAnsi="Century" w:cs="Miriam" w:hint="cs"/>
          <w:b/>
          <w:spacing w:val="0"/>
          <w:sz w:val="22"/>
          <w:szCs w:val="24"/>
          <w:rtl/>
        </w:rPr>
        <w:t xml:space="preserve">זמיר </w:t>
      </w:r>
      <w:r w:rsidRPr="006E6C2F">
        <w:rPr>
          <w:rFonts w:ascii="Century" w:hAnsi="Century"/>
          <w:sz w:val="22"/>
          <w:rtl/>
        </w:rPr>
        <w:t>–</w:t>
      </w:r>
      <w:r w:rsidRPr="004E6A43">
        <w:rPr>
          <w:rFonts w:ascii="Century" w:hAnsi="Century" w:cs="Miriam" w:hint="cs"/>
          <w:b/>
          <w:spacing w:val="0"/>
          <w:sz w:val="22"/>
          <w:szCs w:val="24"/>
          <w:rtl/>
        </w:rPr>
        <w:t xml:space="preserve"> </w:t>
      </w:r>
      <w:r>
        <w:rPr>
          <w:rFonts w:ascii="Century" w:hAnsi="Century" w:cs="Miriam" w:hint="cs"/>
          <w:b/>
          <w:spacing w:val="0"/>
          <w:sz w:val="22"/>
          <w:szCs w:val="24"/>
          <w:rtl/>
        </w:rPr>
        <w:t xml:space="preserve">חזקת </w:t>
      </w:r>
      <w:r w:rsidRPr="004E6A43">
        <w:rPr>
          <w:rFonts w:ascii="Century" w:hAnsi="Century" w:cs="Miriam" w:hint="cs"/>
          <w:b/>
          <w:spacing w:val="0"/>
          <w:sz w:val="22"/>
          <w:szCs w:val="24"/>
          <w:rtl/>
        </w:rPr>
        <w:t>חוקיות</w:t>
      </w:r>
      <w:r>
        <w:rPr>
          <w:rFonts w:hint="cs"/>
          <w:rtl/>
        </w:rPr>
        <w:t xml:space="preserve">, 752; </w:t>
      </w:r>
      <w:r w:rsidRPr="003977CF">
        <w:rPr>
          <w:rFonts w:ascii="Miriam" w:hAnsi="Miriam" w:cs="Miriam"/>
          <w:szCs w:val="24"/>
          <w:rtl/>
        </w:rPr>
        <w:t xml:space="preserve">ברק ארז </w:t>
      </w:r>
      <w:r w:rsidRPr="00870A34">
        <w:rPr>
          <w:rFonts w:ascii="Century" w:hAnsi="Century"/>
          <w:sz w:val="22"/>
          <w:rtl/>
        </w:rPr>
        <w:t>–</w:t>
      </w:r>
      <w:r w:rsidRPr="003977CF">
        <w:rPr>
          <w:rFonts w:ascii="Miriam" w:hAnsi="Miriam" w:cs="Miriam"/>
          <w:szCs w:val="24"/>
          <w:rtl/>
        </w:rPr>
        <w:t xml:space="preserve"> משפט מינהלי</w:t>
      </w:r>
      <w:r w:rsidRPr="006E6C2F">
        <w:rPr>
          <w:rFonts w:ascii="Century" w:hAnsi="Century" w:hint="cs"/>
          <w:sz w:val="22"/>
          <w:rtl/>
        </w:rPr>
        <w:t xml:space="preserve">, </w:t>
      </w:r>
      <w:r>
        <w:rPr>
          <w:rFonts w:ascii="Century" w:hAnsi="Century" w:hint="cs"/>
          <w:sz w:val="22"/>
          <w:rtl/>
        </w:rPr>
        <w:t>25</w:t>
      </w:r>
      <w:r>
        <w:rPr>
          <w:rFonts w:hint="cs"/>
          <w:rtl/>
        </w:rPr>
        <w:t xml:space="preserve">). בנדון דידן, העמדה הראשונית שהציגה המדינה, היתה כי העתקת מצפה כרמים למקומו הנוכחי, בעידוד ותמיכה של מספר רשויות שלטוניות </w:t>
      </w:r>
      <w:r>
        <w:rPr>
          <w:rtl/>
        </w:rPr>
        <w:t>–</w:t>
      </w:r>
      <w:r>
        <w:rPr>
          <w:rFonts w:hint="cs"/>
          <w:rtl/>
        </w:rPr>
        <w:t xml:space="preserve"> יסודה בטעות, וכי לא ניתן להחיל על פעולה זו את הוראות סעיף 5. עמדה זו הוצגה על-ידי פרקליטות המדינה, בניגוד לתצהיריהם ועדויותיהם של אלו שכיהנו בתפקידים הרלבנטיים בזמן ההתרחשויות. אותם בעלי תפקידים, אנשי צבא ועובדי מדינה, תמכו דווקא בגרסת המשיבים, ואף נחקרו חקירה נגדית על-ידי ב"כ המדינה. בנסיבות אלה, הנטל להוכחת העדר תום לב מצד הממונה (כמוסד), בעסקה שביצע עם ההסתדרות הציונית, ובהקמת הישוב במקומו הנוכחי, מוטל לפתחה של המדינה. לא הבאתי נתון זה, אלא כדי להרהר אחר המשקל הרב שנתנה דעת הרוב בפסק הדין בערעור, לעמדתה הראשונית של המדינה, חרף העיקרון האמור (ראו: פסקה 41 לחוות הדעת של חברתי הנשיאה </w:t>
      </w:r>
      <w:r w:rsidRPr="004E6A43">
        <w:rPr>
          <w:rFonts w:ascii="Century" w:hAnsi="Century" w:cs="Miriam" w:hint="cs"/>
          <w:b/>
          <w:spacing w:val="0"/>
          <w:sz w:val="22"/>
          <w:szCs w:val="24"/>
          <w:rtl/>
        </w:rPr>
        <w:t>חיות</w:t>
      </w:r>
      <w:r>
        <w:rPr>
          <w:rFonts w:hint="cs"/>
          <w:rtl/>
        </w:rPr>
        <w:t xml:space="preserve">; חוות הדעת של המשנה לנשיאה דאז, </w:t>
      </w:r>
      <w:r w:rsidRPr="004E6A43">
        <w:rPr>
          <w:rFonts w:ascii="Century" w:hAnsi="Century" w:cs="Miriam" w:hint="cs"/>
          <w:b/>
          <w:spacing w:val="0"/>
          <w:sz w:val="22"/>
          <w:szCs w:val="24"/>
          <w:rtl/>
        </w:rPr>
        <w:t>ח' מלצר</w:t>
      </w:r>
      <w:r>
        <w:rPr>
          <w:rFonts w:hint="cs"/>
          <w:rtl/>
        </w:rPr>
        <w:t xml:space="preserve">). מכל מקום, משעמדת המדינה קיבלה תפנית מסוימת, לאחר שמיעת העדויות בתיק, ועמדתה הנוכחית היא כי </w:t>
      </w:r>
      <w:r>
        <w:rPr>
          <w:rFonts w:hint="cs"/>
          <w:rtl/>
        </w:rPr>
        <w:lastRenderedPageBreak/>
        <w:t xml:space="preserve">יש להחיל את סעיף 5 על מסכת העובדות שלפנינו, ממילא שבה </w:t>
      </w:r>
      <w:r w:rsidRPr="00B018D5">
        <w:rPr>
          <w:rFonts w:ascii="Century" w:hAnsi="Century" w:cs="Miriam" w:hint="eastAsia"/>
          <w:b/>
          <w:spacing w:val="0"/>
          <w:sz w:val="22"/>
          <w:szCs w:val="24"/>
          <w:rtl/>
        </w:rPr>
        <w:t>חזקת</w:t>
      </w:r>
      <w:r w:rsidRPr="00B018D5">
        <w:rPr>
          <w:rFonts w:ascii="Century" w:hAnsi="Century" w:cs="Miriam"/>
          <w:b/>
          <w:spacing w:val="0"/>
          <w:sz w:val="22"/>
          <w:szCs w:val="24"/>
          <w:rtl/>
        </w:rPr>
        <w:t xml:space="preserve"> </w:t>
      </w:r>
      <w:r w:rsidRPr="00B018D5">
        <w:rPr>
          <w:rFonts w:ascii="Century" w:hAnsi="Century" w:cs="Miriam" w:hint="eastAsia"/>
          <w:b/>
          <w:spacing w:val="0"/>
          <w:sz w:val="22"/>
          <w:szCs w:val="24"/>
          <w:rtl/>
        </w:rPr>
        <w:t>תקינות</w:t>
      </w:r>
      <w:r w:rsidRPr="00B018D5">
        <w:rPr>
          <w:rFonts w:ascii="Century" w:hAnsi="Century" w:cs="Miriam"/>
          <w:b/>
          <w:spacing w:val="0"/>
          <w:sz w:val="22"/>
          <w:szCs w:val="24"/>
          <w:rtl/>
        </w:rPr>
        <w:t xml:space="preserve"> </w:t>
      </w:r>
      <w:r w:rsidRPr="00B018D5">
        <w:rPr>
          <w:rFonts w:ascii="Century" w:hAnsi="Century" w:cs="Miriam" w:hint="eastAsia"/>
          <w:b/>
          <w:spacing w:val="0"/>
          <w:sz w:val="22"/>
          <w:szCs w:val="24"/>
          <w:rtl/>
        </w:rPr>
        <w:t>המעשה</w:t>
      </w:r>
      <w:r w:rsidRPr="00B018D5">
        <w:rPr>
          <w:rFonts w:ascii="Century" w:hAnsi="Century" w:cs="Miriam"/>
          <w:b/>
          <w:spacing w:val="0"/>
          <w:sz w:val="22"/>
          <w:szCs w:val="24"/>
          <w:rtl/>
        </w:rPr>
        <w:t xml:space="preserve"> </w:t>
      </w:r>
      <w:r w:rsidRPr="00B018D5">
        <w:rPr>
          <w:rFonts w:ascii="Century" w:hAnsi="Century" w:cs="Miriam" w:hint="eastAsia"/>
          <w:b/>
          <w:spacing w:val="0"/>
          <w:sz w:val="22"/>
          <w:szCs w:val="24"/>
          <w:rtl/>
        </w:rPr>
        <w:t>המינהלי</w:t>
      </w:r>
      <w:r>
        <w:rPr>
          <w:rFonts w:hint="cs"/>
          <w:rtl/>
        </w:rPr>
        <w:t xml:space="preserve"> לתוקפה, בין אם כך, בין אם אחרת.</w:t>
      </w:r>
    </w:p>
    <w:p w:rsidR="00295623" w:rsidRDefault="00295623" w:rsidP="00295623">
      <w:pPr>
        <w:pStyle w:val="Ruller4"/>
        <w:numPr>
          <w:ilvl w:val="0"/>
          <w:numId w:val="0"/>
        </w:numPr>
        <w:tabs>
          <w:tab w:val="left" w:pos="90"/>
        </w:tabs>
        <w:spacing w:line="240" w:lineRule="auto"/>
        <w:rPr>
          <w:rtl/>
        </w:rPr>
      </w:pPr>
      <w:r>
        <w:rPr>
          <w:rFonts w:hint="cs"/>
          <w:rtl/>
        </w:rPr>
        <w:t xml:space="preserve"> </w:t>
      </w:r>
    </w:p>
    <w:p w:rsidR="00295623" w:rsidRPr="00ED0980" w:rsidRDefault="00295623" w:rsidP="00295623">
      <w:pPr>
        <w:pStyle w:val="Ruller4"/>
        <w:numPr>
          <w:ilvl w:val="0"/>
          <w:numId w:val="0"/>
        </w:numPr>
        <w:tabs>
          <w:tab w:val="left" w:pos="90"/>
        </w:tabs>
        <w:rPr>
          <w:rtl/>
        </w:rPr>
      </w:pPr>
      <w:r>
        <w:rPr>
          <w:rFonts w:hint="cs"/>
          <w:rtl/>
        </w:rPr>
        <w:t>14.</w:t>
      </w:r>
      <w:r>
        <w:rPr>
          <w:rFonts w:hint="cs"/>
          <w:rtl/>
        </w:rPr>
        <w:tab/>
      </w:r>
      <w:r w:rsidRPr="00ED0980">
        <w:rPr>
          <w:rFonts w:hint="cs"/>
          <w:rtl/>
        </w:rPr>
        <w:t xml:space="preserve">הערה אחרונה לסיום חלק זה: חברי </w:t>
      </w:r>
      <w:r>
        <w:rPr>
          <w:rFonts w:hint="cs"/>
          <w:rtl/>
        </w:rPr>
        <w:t xml:space="preserve">המשנה לנשיאה </w:t>
      </w:r>
      <w:r w:rsidRPr="00ED0980">
        <w:rPr>
          <w:rFonts w:hint="cs"/>
          <w:rtl/>
        </w:rPr>
        <w:t xml:space="preserve">מייחס חשיבות רבה לכך שסעיף 5 חל בשטח הנתון לתפיסה לוחמתית, שבו, כידוע, מוטלת על המפקד הצבאי חובה להגן על קניינם של 'תושבים מוגנים'. אמנם, אין </w:t>
      </w:r>
      <w:r>
        <w:rPr>
          <w:rFonts w:hint="cs"/>
          <w:rtl/>
        </w:rPr>
        <w:t>עוררין</w:t>
      </w:r>
      <w:r w:rsidRPr="00ED0980">
        <w:rPr>
          <w:rFonts w:hint="cs"/>
          <w:rtl/>
        </w:rPr>
        <w:t xml:space="preserve"> על קיומה של חובה זו, ואולם, במקרה זה שלפנינו, היחס לתושבים המוגנים באיו"ש, אינו 'גרוע' מזה שניתן לאזרחים ישראלים, בתוך תחומי 'הקו הירוק', הנהנים מהגנה </w:t>
      </w:r>
      <w:r w:rsidRPr="002F0A6E">
        <w:rPr>
          <w:rFonts w:ascii="Century" w:hAnsi="Century" w:cs="Miriam" w:hint="eastAsia"/>
          <w:b/>
          <w:spacing w:val="0"/>
          <w:sz w:val="22"/>
          <w:szCs w:val="24"/>
          <w:rtl/>
        </w:rPr>
        <w:t>חוקתית</w:t>
      </w:r>
      <w:r w:rsidRPr="00ED0980">
        <w:rPr>
          <w:rFonts w:hint="cs"/>
          <w:rtl/>
        </w:rPr>
        <w:t xml:space="preserve"> על זכותם לקניין. חרף ההגנה החוקתית הנתונה לאזרחים ישראלים, ניתן למצוא כי גם בדין הישראלי קיימים מנגנוני תקנת שוק, המגנים על המתקשרים בעסקה עם הרשות. </w:t>
      </w:r>
      <w:r w:rsidRPr="00ED0980">
        <w:rPr>
          <w:rFonts w:hint="eastAsia"/>
          <w:rtl/>
        </w:rPr>
        <w:t>בהקשר</w:t>
      </w:r>
      <w:r w:rsidRPr="00ED0980">
        <w:rPr>
          <w:rtl/>
        </w:rPr>
        <w:t xml:space="preserve"> </w:t>
      </w:r>
      <w:r w:rsidRPr="00ED0980">
        <w:rPr>
          <w:rFonts w:hint="eastAsia"/>
          <w:rtl/>
        </w:rPr>
        <w:t>זה</w:t>
      </w:r>
      <w:r w:rsidRPr="00ED0980">
        <w:rPr>
          <w:rtl/>
        </w:rPr>
        <w:t xml:space="preserve">, </w:t>
      </w:r>
      <w:r w:rsidRPr="00ED0980">
        <w:rPr>
          <w:rFonts w:hint="eastAsia"/>
          <w:rtl/>
        </w:rPr>
        <w:t>צוין</w:t>
      </w:r>
      <w:r w:rsidRPr="00ED0980">
        <w:rPr>
          <w:rtl/>
        </w:rPr>
        <w:t xml:space="preserve"> </w:t>
      </w:r>
      <w:r w:rsidRPr="00ED0980">
        <w:rPr>
          <w:rFonts w:hint="eastAsia"/>
          <w:rtl/>
        </w:rPr>
        <w:t>בספרות</w:t>
      </w:r>
      <w:r w:rsidRPr="00ED0980">
        <w:rPr>
          <w:rtl/>
        </w:rPr>
        <w:t xml:space="preserve">, </w:t>
      </w:r>
      <w:r w:rsidRPr="00ED0980">
        <w:rPr>
          <w:rFonts w:hint="eastAsia"/>
          <w:rtl/>
        </w:rPr>
        <w:t>כי</w:t>
      </w:r>
      <w:r w:rsidRPr="00ED0980">
        <w:rPr>
          <w:rtl/>
        </w:rPr>
        <w:t xml:space="preserve"> </w:t>
      </w:r>
      <w:r w:rsidRPr="002F0A6E">
        <w:rPr>
          <w:rFonts w:ascii="Century" w:hAnsi="Century" w:cs="Miriam"/>
          <w:b/>
          <w:spacing w:val="0"/>
          <w:sz w:val="22"/>
          <w:szCs w:val="24"/>
          <w:rtl/>
        </w:rPr>
        <w:t>"</w:t>
      </w:r>
      <w:r w:rsidRPr="002F0A6E">
        <w:rPr>
          <w:rFonts w:ascii="Century" w:hAnsi="Century" w:cs="Miriam" w:hint="eastAsia"/>
          <w:b/>
          <w:spacing w:val="0"/>
          <w:sz w:val="22"/>
          <w:szCs w:val="24"/>
          <w:rtl/>
        </w:rPr>
        <w:t>הקריטריון</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המרכזי</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לבחינת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השאלה</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האם</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חקיקה</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היא</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באמת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לטובת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האוכלוסיה</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המקומית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הוא</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האם</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קיים</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חוק</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דומה</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בארצו</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של</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הכובש</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כאשר</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התשובה</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היא</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חיובית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תוכשר</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לרוב</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גם</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החקיקה</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בשטח</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הכבוש</w:t>
      </w:r>
      <w:r w:rsidRPr="002F0A6E">
        <w:rPr>
          <w:rFonts w:ascii="Century" w:hAnsi="Century" w:cs="Miriam"/>
          <w:b/>
          <w:spacing w:val="0"/>
          <w:sz w:val="22"/>
          <w:szCs w:val="24"/>
          <w:rtl/>
        </w:rPr>
        <w:t>"</w:t>
      </w:r>
      <w:r w:rsidRPr="00ED0980">
        <w:rPr>
          <w:rtl/>
        </w:rPr>
        <w:t xml:space="preserve"> (</w:t>
      </w:r>
      <w:r w:rsidRPr="002F0A6E">
        <w:rPr>
          <w:rFonts w:ascii="Century" w:hAnsi="Century" w:cs="Miriam" w:hint="eastAsia"/>
          <w:b/>
          <w:spacing w:val="0"/>
          <w:sz w:val="22"/>
          <w:szCs w:val="24"/>
          <w:rtl/>
        </w:rPr>
        <w:t>זמיר</w:t>
      </w:r>
      <w:r w:rsidRPr="00ED0980">
        <w:rPr>
          <w:rtl/>
        </w:rPr>
        <w:t xml:space="preserve">, </w:t>
      </w:r>
      <w:r w:rsidRPr="00ED0980">
        <w:rPr>
          <w:rFonts w:hint="eastAsia"/>
          <w:rtl/>
        </w:rPr>
        <w:t>בעמ</w:t>
      </w:r>
      <w:r w:rsidRPr="00ED0980">
        <w:rPr>
          <w:rtl/>
        </w:rPr>
        <w:t>' 7).</w:t>
      </w:r>
      <w:r w:rsidRPr="00ED0980">
        <w:rPr>
          <w:rFonts w:hint="cs"/>
          <w:rtl/>
        </w:rPr>
        <w:t xml:space="preserve"> במובן זה, סעיף 5 אינו דומה לפתרון שהותווה בחוק ההסדרה, שהיה ברור לכל כי הוא 'חוק חריג' (ראו </w:t>
      </w:r>
      <w:r>
        <w:rPr>
          <w:rFonts w:hint="cs"/>
          <w:rtl/>
        </w:rPr>
        <w:t xml:space="preserve">ענין </w:t>
      </w:r>
      <w:r w:rsidRPr="002F0A6E">
        <w:rPr>
          <w:rFonts w:ascii="Century" w:hAnsi="Century" w:cs="Miriam" w:hint="eastAsia"/>
          <w:b/>
          <w:spacing w:val="0"/>
          <w:sz w:val="22"/>
          <w:szCs w:val="24"/>
          <w:rtl/>
        </w:rPr>
        <w:t>חוק</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ההסדרה</w:t>
      </w:r>
      <w:r w:rsidRPr="002F0A6E">
        <w:rPr>
          <w:rFonts w:ascii="Century" w:hAnsi="Century" w:cs="Miriam"/>
          <w:b/>
          <w:spacing w:val="0"/>
          <w:sz w:val="22"/>
          <w:szCs w:val="24"/>
          <w:rtl/>
        </w:rPr>
        <w:t xml:space="preserve"> </w:t>
      </w:r>
      <w:r w:rsidRPr="00ED0980">
        <w:rPr>
          <w:rFonts w:hint="cs"/>
          <w:rtl/>
        </w:rPr>
        <w:t xml:space="preserve">שם, פסקה 1 לחוות דעתי). סעיף 5 קובע מנגנון הכרעה מוכר </w:t>
      </w:r>
      <w:r w:rsidRPr="00ED0980">
        <w:rPr>
          <w:rtl/>
        </w:rPr>
        <w:t>–</w:t>
      </w:r>
      <w:r w:rsidRPr="00ED0980">
        <w:rPr>
          <w:rFonts w:hint="cs"/>
          <w:rtl/>
        </w:rPr>
        <w:t xml:space="preserve"> תקנת שוק </w:t>
      </w:r>
      <w:r w:rsidRPr="00ED0980">
        <w:rPr>
          <w:rtl/>
        </w:rPr>
        <w:t>–</w:t>
      </w:r>
      <w:r w:rsidRPr="00ED0980">
        <w:rPr>
          <w:rFonts w:hint="cs"/>
          <w:rtl/>
        </w:rPr>
        <w:t xml:space="preserve"> שאותו ניתן למצוא גם בהסדרי חקיקה נוספים. תכליתם של ההסדרים הללו, איננה העדפת קבוצה מסוימת על פני קבוצה אחרת. מטרתם איננה פגיעה בקניינו של האזרח המתגורר בישראל, או של 'התושב המוגן' באיו"ש; תכליתם אינה אלא להעניק פתרון הולם ל'תאונות משפטיות'. עוד מוסיף חברי, כי הגם שסעיף 5 עשוי לחול גם בעסקאות שביצע הממונה עם תושבים פלסטינים, משום שהוא אדיש לזהות הלאומית של הבעלים המקורי של הקרקע, הרי שבפועל מביא ההסדר </w:t>
      </w:r>
      <w:r w:rsidRPr="002F0A6E">
        <w:rPr>
          <w:rFonts w:ascii="Century" w:hAnsi="Century" w:cs="Miriam" w:hint="cs"/>
          <w:b/>
          <w:spacing w:val="0"/>
          <w:sz w:val="22"/>
          <w:szCs w:val="24"/>
          <w:rtl/>
        </w:rPr>
        <w:t>לתוצאה</w:t>
      </w:r>
      <w:r w:rsidRPr="00ED0980">
        <w:rPr>
          <w:rFonts w:hint="cs"/>
          <w:rtl/>
        </w:rPr>
        <w:t xml:space="preserve"> מפלה, בהיותו מיטיב בעיקר עם האוכלוסיה הישראלית באיו"ש, וזאת, בדרך-כלל, על חשבון זכויות הקניין של התושבים המוגנים. אין לכחד: משמרבית הקצאות הקרקע מאת הממונה נעשו עבור ההתיישבות הישראלית, מובן כי מוטביו העיקריים של ההסדר יהיו מתיישבים ישראליים. </w:t>
      </w:r>
      <w:r>
        <w:rPr>
          <w:rFonts w:hint="cs"/>
          <w:rtl/>
        </w:rPr>
        <w:t>בר</w:t>
      </w:r>
      <w:r w:rsidRPr="00ED0980">
        <w:rPr>
          <w:rFonts w:hint="cs"/>
          <w:rtl/>
        </w:rPr>
        <w:t xml:space="preserve">ם, טענה זו, להפליה במבחן התוצאה, נובעת, בסופו של דבר, מחוסר השוויון בהיקף הקצאות הקרקע באיו"ש, בין ההתיישבות הישראלית לבין זו הפלסטינית. במובן זה, ההסדר שבסעיף 5 אינו מקור ה'בעיה' לאי-השוויון החלוקתי </w:t>
      </w:r>
      <w:r w:rsidRPr="00ED0980">
        <w:rPr>
          <w:rtl/>
        </w:rPr>
        <w:t>–</w:t>
      </w:r>
      <w:r w:rsidRPr="00ED0980">
        <w:rPr>
          <w:rFonts w:hint="cs"/>
          <w:rtl/>
        </w:rPr>
        <w:t xml:space="preserve"> עניין שלא התברר במסגרת ההליכים שלפנינו. אשר לעצם ה'בעיה', לכך התייחסתי </w:t>
      </w:r>
      <w:r w:rsidRPr="002F0A6E">
        <w:rPr>
          <w:rFonts w:ascii="Century" w:hAnsi="Century" w:hint="eastAsia"/>
          <w:sz w:val="22"/>
          <w:rtl/>
        </w:rPr>
        <w:t>בעניין</w:t>
      </w:r>
      <w:r w:rsidRPr="002F0A6E">
        <w:rPr>
          <w:rFonts w:ascii="Century" w:hAnsi="Century" w:cs="Miriam"/>
          <w:b/>
          <w:spacing w:val="0"/>
          <w:sz w:val="22"/>
          <w:szCs w:val="24"/>
          <w:rtl/>
        </w:rPr>
        <w:t xml:space="preserve"> </w:t>
      </w:r>
      <w:r w:rsidRPr="002F0A6E">
        <w:rPr>
          <w:rFonts w:ascii="Century" w:hAnsi="Century" w:cs="Miriam" w:hint="cs"/>
          <w:b/>
          <w:spacing w:val="0"/>
          <w:sz w:val="22"/>
          <w:szCs w:val="24"/>
          <w:rtl/>
        </w:rPr>
        <w:t>חוק ההסדרה</w:t>
      </w:r>
      <w:r w:rsidRPr="00ED0980">
        <w:rPr>
          <w:rFonts w:hint="cs"/>
          <w:rtl/>
        </w:rPr>
        <w:t>, שם פירטתי על אודות הכ</w:t>
      </w:r>
      <w:r>
        <w:rPr>
          <w:rFonts w:hint="cs"/>
          <w:rtl/>
        </w:rPr>
        <w:t>ּ</w:t>
      </w:r>
      <w:r w:rsidRPr="00ED0980">
        <w:rPr>
          <w:rFonts w:hint="cs"/>
          <w:rtl/>
        </w:rPr>
        <w:t xml:space="preserve">של המובנה בשוק הקרקעות ביהודה ושומרון, שבעקבותיו, הדרך </w:t>
      </w:r>
      <w:r w:rsidRPr="002F0A6E">
        <w:rPr>
          <w:rFonts w:ascii="Century" w:hAnsi="Century" w:cs="Miriam" w:hint="eastAsia"/>
          <w:b/>
          <w:spacing w:val="0"/>
          <w:sz w:val="22"/>
          <w:szCs w:val="24"/>
          <w:rtl/>
        </w:rPr>
        <w:t>הכמעט</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יחידה</w:t>
      </w:r>
      <w:r w:rsidRPr="00ED0980">
        <w:rPr>
          <w:rtl/>
        </w:rPr>
        <w:t xml:space="preserve"> </w:t>
      </w:r>
      <w:r w:rsidRPr="00ED0980">
        <w:rPr>
          <w:rFonts w:hint="cs"/>
          <w:rtl/>
        </w:rPr>
        <w:t xml:space="preserve">שבאמצעותה יכולים מתיישבים ישראליים, בניגוד לתושבים פלסטינים, לרכוש זכויות באיו"ש, היא הקצאה מאת הממונה: </w:t>
      </w:r>
      <w:r w:rsidRPr="002F0A6E">
        <w:rPr>
          <w:rFonts w:ascii="Century" w:hAnsi="Century" w:cs="Miriam"/>
          <w:b/>
          <w:spacing w:val="0"/>
          <w:sz w:val="22"/>
          <w:szCs w:val="24"/>
          <w:rtl/>
        </w:rPr>
        <w:t>"</w:t>
      </w:r>
      <w:r w:rsidRPr="002F0A6E">
        <w:rPr>
          <w:rFonts w:ascii="Century" w:hAnsi="Century" w:cs="Miriam" w:hint="eastAsia"/>
          <w:b/>
          <w:spacing w:val="0"/>
          <w:sz w:val="22"/>
          <w:szCs w:val="24"/>
          <w:rtl/>
        </w:rPr>
        <w:t>בשונה</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משוק</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הקרקעות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הישראלי</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בתחומי</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הקו</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הירוק</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ולמעשה</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בשונה</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מכל</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שוק</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קרקעות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נורמלי</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ברחבי</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העולם</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שוק</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הקרקעות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ביהודה</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ושומרון</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איננו</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שוק</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חופשי</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סכנת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מאסר</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ממושך</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ועבודות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פרך</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במקרה</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הטוב</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וסכנת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מוות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במקרה</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הרע</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מרחפות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מעל</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ראשיהם</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של</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פלסטינים</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המבקשים</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למכור</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את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קרקעותיהם</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ליהודים</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ולפיכך</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מוגבלת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גם</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אפשרות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העיון</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במרשם</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המקרקעין</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באזור</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מטבע</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הדברים</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lastRenderedPageBreak/>
        <w:t>כאמור</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לא</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ניתן</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להציג</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נתונים</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ברורים</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באשר</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להיקף</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התופעה</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אך</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מן</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המקורות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השונים</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המובאים</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לעיל</w:t>
      </w:r>
      <w:r w:rsidRPr="002F0A6E">
        <w:rPr>
          <w:rFonts w:ascii="Century" w:hAnsi="Century" w:cs="Miriam"/>
          <w:b/>
          <w:spacing w:val="0"/>
          <w:sz w:val="22"/>
          <w:szCs w:val="24"/>
          <w:rtl/>
        </w:rPr>
        <w:t xml:space="preserve"> </w:t>
      </w:r>
      <w:r w:rsidRPr="002F0A6E">
        <w:rPr>
          <w:rFonts w:ascii="Century" w:hAnsi="Century"/>
          <w:sz w:val="22"/>
          <w:rtl/>
        </w:rPr>
        <w:t>–</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ואלו</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היו</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רק</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מעט</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מזעיר</w:t>
      </w:r>
      <w:r w:rsidRPr="002F0A6E">
        <w:rPr>
          <w:rFonts w:ascii="Century" w:hAnsi="Century" w:cs="Miriam"/>
          <w:b/>
          <w:spacing w:val="0"/>
          <w:sz w:val="22"/>
          <w:szCs w:val="24"/>
          <w:rtl/>
        </w:rPr>
        <w:t xml:space="preserve"> </w:t>
      </w:r>
      <w:r w:rsidRPr="002F0A6E">
        <w:rPr>
          <w:rFonts w:ascii="Century" w:hAnsi="Century" w:hint="eastAsia"/>
          <w:sz w:val="22"/>
          <w:rtl/>
        </w:rPr>
        <w:t>–</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ברי</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כי</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אין</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מדובר</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בתופעה</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שולית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כלל</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ועיקר</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עוצמת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המאבק</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במכירת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קרקעות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ליהודים</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גם</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בעת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האחרונה</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ממש</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היא</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כשלעצמה</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מלמדת</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משהו</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על</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שכיחותה</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של</w:t>
      </w:r>
      <w:r w:rsidRPr="002F0A6E">
        <w:rPr>
          <w:rFonts w:ascii="Century" w:hAnsi="Century" w:cs="Miriam"/>
          <w:b/>
          <w:spacing w:val="0"/>
          <w:sz w:val="22"/>
          <w:szCs w:val="24"/>
          <w:rtl/>
        </w:rPr>
        <w:t xml:space="preserve"> </w:t>
      </w:r>
      <w:r w:rsidRPr="002F0A6E">
        <w:rPr>
          <w:rFonts w:ascii="Century" w:hAnsi="Century" w:cs="Miriam" w:hint="eastAsia"/>
          <w:b/>
          <w:spacing w:val="0"/>
          <w:sz w:val="22"/>
          <w:szCs w:val="24"/>
          <w:rtl/>
        </w:rPr>
        <w:t>התופעה</w:t>
      </w:r>
      <w:r w:rsidRPr="002F0A6E">
        <w:rPr>
          <w:rFonts w:ascii="Century" w:hAnsi="Century" w:cs="Miriam"/>
          <w:b/>
          <w:spacing w:val="0"/>
          <w:sz w:val="22"/>
          <w:szCs w:val="24"/>
          <w:rtl/>
        </w:rPr>
        <w:t>"</w:t>
      </w:r>
      <w:r w:rsidRPr="00ED0980">
        <w:rPr>
          <w:rFonts w:hint="cs"/>
          <w:rtl/>
        </w:rPr>
        <w:t xml:space="preserve"> (שם, פסקה 18 לפסק דיני). לא אחזור על הדוגמאות שהובאו שם</w:t>
      </w:r>
      <w:r>
        <w:rPr>
          <w:rFonts w:hint="cs"/>
          <w:rtl/>
        </w:rPr>
        <w:t>;</w:t>
      </w:r>
      <w:r w:rsidRPr="00ED0980">
        <w:rPr>
          <w:rFonts w:hint="cs"/>
          <w:rtl/>
        </w:rPr>
        <w:t xml:space="preserve"> הרוצה להעמיק </w:t>
      </w:r>
      <w:r w:rsidRPr="00ED0980">
        <w:rPr>
          <w:rtl/>
        </w:rPr>
        <w:t>–</w:t>
      </w:r>
      <w:r w:rsidRPr="00ED0980">
        <w:rPr>
          <w:rFonts w:hint="cs"/>
          <w:rtl/>
        </w:rPr>
        <w:t xml:space="preserve"> יעיין שם. </w:t>
      </w:r>
    </w:p>
    <w:p w:rsidR="00295623" w:rsidRPr="00E97D5F" w:rsidRDefault="00295623" w:rsidP="00295623">
      <w:pPr>
        <w:pStyle w:val="Ruller41"/>
        <w:tabs>
          <w:tab w:val="left" w:pos="90"/>
        </w:tabs>
        <w:spacing w:line="240" w:lineRule="auto"/>
        <w:rPr>
          <w:highlight w:val="yellow"/>
        </w:rPr>
      </w:pPr>
    </w:p>
    <w:p w:rsidR="00295623" w:rsidRPr="00ED0980" w:rsidRDefault="00295623" w:rsidP="00295623">
      <w:pPr>
        <w:pStyle w:val="Ruller41"/>
      </w:pPr>
      <w:r>
        <w:rPr>
          <w:rFonts w:hint="cs"/>
          <w:rtl/>
        </w:rPr>
        <w:t>15.</w:t>
      </w:r>
      <w:r>
        <w:rPr>
          <w:rFonts w:hint="cs"/>
          <w:rtl/>
        </w:rPr>
        <w:tab/>
      </w:r>
      <w:r w:rsidRPr="00ED0980">
        <w:rPr>
          <w:rFonts w:hint="cs"/>
          <w:rtl/>
        </w:rPr>
        <w:t xml:space="preserve">עוד אעיר, כי גם סעיף 17(א) לחוק נכסי נפקדים, שאף הוא, לפי נוסחו, מעניק הגנה </w:t>
      </w:r>
      <w:r w:rsidRPr="00B018D5">
        <w:rPr>
          <w:rFonts w:ascii="Century" w:hAnsi="Century" w:cs="Miriam" w:hint="cs"/>
          <w:b/>
          <w:spacing w:val="0"/>
          <w:szCs w:val="24"/>
          <w:rtl/>
        </w:rPr>
        <w:t>לכל</w:t>
      </w:r>
      <w:r w:rsidRPr="00ED0980">
        <w:rPr>
          <w:rFonts w:hint="cs"/>
          <w:rtl/>
        </w:rPr>
        <w:t xml:space="preserve"> מי שהתקשר עם האפוטרופוס, מבלי להבחין בזהותו הלאומית, מביא, בפועל, לתוצאות חלוקתיות שאינן שוויוניות. כמו כן</w:t>
      </w:r>
      <w:r w:rsidRPr="00ED0980">
        <w:rPr>
          <w:rtl/>
        </w:rPr>
        <w:t xml:space="preserve">, </w:t>
      </w:r>
      <w:r w:rsidRPr="00ED0980">
        <w:rPr>
          <w:rFonts w:hint="eastAsia"/>
          <w:rtl/>
        </w:rPr>
        <w:t>גם</w:t>
      </w:r>
      <w:r w:rsidRPr="00ED0980">
        <w:rPr>
          <w:rtl/>
        </w:rPr>
        <w:t xml:space="preserve"> </w:t>
      </w:r>
      <w:r w:rsidRPr="00ED0980">
        <w:rPr>
          <w:rFonts w:hint="cs"/>
          <w:rtl/>
        </w:rPr>
        <w:t>עסקאו</w:t>
      </w:r>
      <w:r w:rsidRPr="00ED0980">
        <w:rPr>
          <w:rFonts w:hint="eastAsia"/>
          <w:rtl/>
        </w:rPr>
        <w:t>ת</w:t>
      </w:r>
      <w:r w:rsidRPr="00ED0980">
        <w:rPr>
          <w:rtl/>
        </w:rPr>
        <w:t xml:space="preserve"> </w:t>
      </w:r>
      <w:r w:rsidRPr="00ED0980">
        <w:rPr>
          <w:rFonts w:hint="eastAsia"/>
          <w:rtl/>
        </w:rPr>
        <w:t>שביצע</w:t>
      </w:r>
      <w:r w:rsidRPr="00ED0980">
        <w:rPr>
          <w:rtl/>
        </w:rPr>
        <w:t xml:space="preserve"> </w:t>
      </w:r>
      <w:r w:rsidRPr="00ED0980">
        <w:rPr>
          <w:rFonts w:hint="eastAsia"/>
          <w:rtl/>
        </w:rPr>
        <w:t>הממונה</w:t>
      </w:r>
      <w:r w:rsidRPr="00ED0980">
        <w:rPr>
          <w:rtl/>
        </w:rPr>
        <w:t xml:space="preserve"> </w:t>
      </w:r>
      <w:r w:rsidRPr="00B018D5">
        <w:rPr>
          <w:rFonts w:ascii="Century" w:hAnsi="Century" w:cs="Miriam" w:hint="eastAsia"/>
          <w:b/>
          <w:spacing w:val="0"/>
          <w:szCs w:val="24"/>
          <w:rtl/>
        </w:rPr>
        <w:t>הירדני</w:t>
      </w:r>
      <w:r w:rsidRPr="00ED0980">
        <w:rPr>
          <w:rtl/>
        </w:rPr>
        <w:t xml:space="preserve"> </w:t>
      </w:r>
      <w:r w:rsidRPr="00ED0980">
        <w:rPr>
          <w:rFonts w:hint="eastAsia"/>
          <w:rtl/>
        </w:rPr>
        <w:t>על</w:t>
      </w:r>
      <w:r w:rsidRPr="00ED0980">
        <w:rPr>
          <w:rtl/>
        </w:rPr>
        <w:t xml:space="preserve"> </w:t>
      </w:r>
      <w:r w:rsidRPr="00ED0980">
        <w:rPr>
          <w:rFonts w:hint="eastAsia"/>
          <w:rtl/>
        </w:rPr>
        <w:t>רכוש</w:t>
      </w:r>
      <w:r w:rsidRPr="00ED0980">
        <w:rPr>
          <w:rtl/>
        </w:rPr>
        <w:t xml:space="preserve"> </w:t>
      </w:r>
      <w:r w:rsidRPr="00ED0980">
        <w:rPr>
          <w:rFonts w:hint="eastAsia"/>
          <w:rtl/>
        </w:rPr>
        <w:t>האויב</w:t>
      </w:r>
      <w:r w:rsidRPr="00ED0980">
        <w:rPr>
          <w:rFonts w:hint="cs"/>
          <w:rtl/>
        </w:rPr>
        <w:t>,</w:t>
      </w:r>
      <w:r w:rsidRPr="00ED0980">
        <w:rPr>
          <w:rtl/>
        </w:rPr>
        <w:t xml:space="preserve"> </w:t>
      </w:r>
      <w:r w:rsidRPr="00ED0980">
        <w:rPr>
          <w:rFonts w:hint="eastAsia"/>
          <w:rtl/>
        </w:rPr>
        <w:t>בנכסי</w:t>
      </w:r>
      <w:r w:rsidRPr="00ED0980">
        <w:rPr>
          <w:rFonts w:hint="cs"/>
          <w:rtl/>
        </w:rPr>
        <w:t xml:space="preserve"> </w:t>
      </w:r>
      <w:r w:rsidRPr="00ED0980">
        <w:rPr>
          <w:rFonts w:hint="eastAsia"/>
          <w:rtl/>
        </w:rPr>
        <w:t>יהודים</w:t>
      </w:r>
      <w:r w:rsidRPr="00ED0980">
        <w:rPr>
          <w:rtl/>
        </w:rPr>
        <w:t xml:space="preserve"> </w:t>
      </w:r>
      <w:r w:rsidRPr="00ED0980">
        <w:rPr>
          <w:rFonts w:hint="eastAsia"/>
          <w:rtl/>
        </w:rPr>
        <w:t>שהוקנו</w:t>
      </w:r>
      <w:r w:rsidRPr="00ED0980">
        <w:rPr>
          <w:rtl/>
        </w:rPr>
        <w:t xml:space="preserve"> </w:t>
      </w:r>
      <w:r w:rsidRPr="00ED0980">
        <w:rPr>
          <w:rFonts w:hint="eastAsia"/>
          <w:rtl/>
        </w:rPr>
        <w:t>לו</w:t>
      </w:r>
      <w:r w:rsidRPr="00ED0980">
        <w:rPr>
          <w:rtl/>
        </w:rPr>
        <w:t xml:space="preserve"> </w:t>
      </w:r>
      <w:r w:rsidRPr="00ED0980">
        <w:rPr>
          <w:rFonts w:hint="eastAsia"/>
          <w:rtl/>
        </w:rPr>
        <w:t>בשנות</w:t>
      </w:r>
      <w:r w:rsidRPr="00ED0980">
        <w:rPr>
          <w:rtl/>
        </w:rPr>
        <w:t xml:space="preserve"> </w:t>
      </w:r>
      <w:r w:rsidRPr="00ED0980">
        <w:rPr>
          <w:rFonts w:hint="eastAsia"/>
          <w:rtl/>
        </w:rPr>
        <w:t>השליטה</w:t>
      </w:r>
      <w:r w:rsidRPr="00ED0980">
        <w:rPr>
          <w:rtl/>
        </w:rPr>
        <w:t xml:space="preserve"> </w:t>
      </w:r>
      <w:r w:rsidRPr="00ED0980">
        <w:rPr>
          <w:rFonts w:hint="eastAsia"/>
          <w:rtl/>
        </w:rPr>
        <w:t>הירדנית</w:t>
      </w:r>
      <w:r w:rsidRPr="00ED0980">
        <w:rPr>
          <w:rtl/>
        </w:rPr>
        <w:t xml:space="preserve"> </w:t>
      </w:r>
      <w:r w:rsidRPr="00ED0980">
        <w:rPr>
          <w:rFonts w:hint="eastAsia"/>
          <w:rtl/>
        </w:rPr>
        <w:t>באיו</w:t>
      </w:r>
      <w:r w:rsidRPr="00ED0980">
        <w:rPr>
          <w:rtl/>
        </w:rPr>
        <w:t>"</w:t>
      </w:r>
      <w:r w:rsidRPr="00ED0980">
        <w:rPr>
          <w:rFonts w:hint="eastAsia"/>
          <w:rtl/>
        </w:rPr>
        <w:t>ש</w:t>
      </w:r>
      <w:r w:rsidRPr="00ED0980">
        <w:rPr>
          <w:rtl/>
        </w:rPr>
        <w:t xml:space="preserve">, </w:t>
      </w:r>
      <w:r w:rsidRPr="00ED0980">
        <w:rPr>
          <w:rFonts w:hint="cs"/>
          <w:rtl/>
        </w:rPr>
        <w:t xml:space="preserve">הוכרו כתקפים במשפט הישראלי, הגם שברי כי הוקצו באופן בלתי שוויוני (עניין </w:t>
      </w:r>
      <w:r w:rsidRPr="00B018D5">
        <w:rPr>
          <w:rFonts w:ascii="Century" w:hAnsi="Century" w:cs="Miriam" w:hint="cs"/>
          <w:b/>
          <w:spacing w:val="0"/>
          <w:szCs w:val="24"/>
          <w:rtl/>
        </w:rPr>
        <w:t>ג</w:t>
      </w:r>
      <w:r>
        <w:rPr>
          <w:rFonts w:ascii="Century" w:hAnsi="Century" w:cs="Miriam" w:hint="cs"/>
          <w:b/>
          <w:spacing w:val="0"/>
          <w:szCs w:val="24"/>
          <w:rtl/>
        </w:rPr>
        <w:t>'</w:t>
      </w:r>
      <w:r w:rsidRPr="00B018D5">
        <w:rPr>
          <w:rFonts w:ascii="Century" w:hAnsi="Century" w:cs="Miriam" w:hint="cs"/>
          <w:b/>
          <w:spacing w:val="0"/>
          <w:szCs w:val="24"/>
          <w:rtl/>
        </w:rPr>
        <w:t>אעוני</w:t>
      </w:r>
      <w:r w:rsidRPr="00ED0980">
        <w:rPr>
          <w:rFonts w:hint="cs"/>
          <w:rtl/>
        </w:rPr>
        <w:t>, פסקאות</w:t>
      </w:r>
      <w:r>
        <w:rPr>
          <w:rFonts w:hint="cs"/>
          <w:rtl/>
        </w:rPr>
        <w:t xml:space="preserve">    </w:t>
      </w:r>
      <w:r w:rsidRPr="00ED0980">
        <w:rPr>
          <w:rFonts w:hint="cs"/>
          <w:rtl/>
        </w:rPr>
        <w:t xml:space="preserve"> 1</w:t>
      </w:r>
      <w:r>
        <w:rPr>
          <w:rFonts w:hint="cs"/>
          <w:rtl/>
        </w:rPr>
        <w:t>5</w:t>
      </w:r>
      <w:r w:rsidRPr="00ED0980">
        <w:rPr>
          <w:rFonts w:hint="cs"/>
          <w:rtl/>
        </w:rPr>
        <w:t>-1</w:t>
      </w:r>
      <w:r>
        <w:rPr>
          <w:rFonts w:hint="cs"/>
          <w:rtl/>
        </w:rPr>
        <w:t>3</w:t>
      </w:r>
      <w:r w:rsidRPr="00ED0980">
        <w:rPr>
          <w:rFonts w:hint="cs"/>
          <w:rtl/>
        </w:rPr>
        <w:t xml:space="preserve"> לפסק הדין של חברי השופט </w:t>
      </w:r>
      <w:r w:rsidRPr="00B018D5">
        <w:rPr>
          <w:rFonts w:ascii="Century" w:hAnsi="Century" w:cs="Miriam" w:hint="cs"/>
          <w:b/>
          <w:spacing w:val="0"/>
          <w:szCs w:val="24"/>
          <w:rtl/>
        </w:rPr>
        <w:t>עמית</w:t>
      </w:r>
      <w:r w:rsidRPr="00ED0980">
        <w:rPr>
          <w:rFonts w:hint="cs"/>
          <w:rtl/>
        </w:rPr>
        <w:t xml:space="preserve">). הצד השווה בהסדרים הללו, הוא שהם באים </w:t>
      </w:r>
      <w:r w:rsidRPr="00B018D5">
        <w:rPr>
          <w:rFonts w:ascii="Century" w:hAnsi="Century" w:cs="Miriam" w:hint="cs"/>
          <w:b/>
          <w:spacing w:val="0"/>
          <w:szCs w:val="24"/>
          <w:rtl/>
        </w:rPr>
        <w:t>"לענות על תהפוכות שהזמן גרמן"</w:t>
      </w:r>
      <w:r w:rsidRPr="00ED0980">
        <w:rPr>
          <w:rFonts w:hint="cs"/>
          <w:rtl/>
        </w:rPr>
        <w:t xml:space="preserve">, ולהתמודד עם מצבים שבהם </w:t>
      </w:r>
      <w:r w:rsidRPr="00B018D5">
        <w:rPr>
          <w:rFonts w:ascii="Century" w:hAnsi="Century" w:cs="Miriam" w:hint="cs"/>
          <w:b/>
          <w:spacing w:val="0"/>
          <w:szCs w:val="24"/>
          <w:rtl/>
        </w:rPr>
        <w:t>"קשה היה להימנע מטעויות עקב אינפורמציה לקויה"</w:t>
      </w:r>
      <w:r w:rsidRPr="00ED0980">
        <w:rPr>
          <w:rFonts w:hint="cs"/>
          <w:rtl/>
        </w:rPr>
        <w:t xml:space="preserve"> (ע"א 170/66 </w:t>
      </w:r>
      <w:r w:rsidRPr="00B018D5">
        <w:rPr>
          <w:rFonts w:ascii="Century" w:hAnsi="Century" w:cs="Miriam" w:hint="cs"/>
          <w:b/>
          <w:spacing w:val="0"/>
          <w:szCs w:val="24"/>
          <w:rtl/>
        </w:rPr>
        <w:t>פיאד נ' האפוטרופוס לנכסי נפקדים</w:t>
      </w:r>
      <w:r w:rsidRPr="00ED0980">
        <w:rPr>
          <w:rFonts w:hint="cs"/>
          <w:rtl/>
        </w:rPr>
        <w:t xml:space="preserve">, 433, 436 (1966) (להלן: </w:t>
      </w:r>
      <w:r w:rsidRPr="00B018D5">
        <w:rPr>
          <w:rFonts w:ascii="Century" w:hAnsi="Century" w:cs="Miriam" w:hint="eastAsia"/>
          <w:b/>
          <w:spacing w:val="0"/>
          <w:szCs w:val="24"/>
          <w:rtl/>
        </w:rPr>
        <w:t>עניין</w:t>
      </w:r>
      <w:r w:rsidRPr="00B018D5">
        <w:rPr>
          <w:rFonts w:ascii="Century" w:hAnsi="Century" w:cs="Miriam"/>
          <w:b/>
          <w:spacing w:val="0"/>
          <w:szCs w:val="24"/>
          <w:rtl/>
        </w:rPr>
        <w:t xml:space="preserve"> </w:t>
      </w:r>
      <w:r w:rsidRPr="00B018D5">
        <w:rPr>
          <w:rFonts w:ascii="Century" w:hAnsi="Century" w:cs="Miriam" w:hint="eastAsia"/>
          <w:b/>
          <w:spacing w:val="0"/>
          <w:szCs w:val="24"/>
          <w:rtl/>
        </w:rPr>
        <w:t>פיאד</w:t>
      </w:r>
      <w:r w:rsidRPr="00ED0980">
        <w:rPr>
          <w:rFonts w:hint="cs"/>
          <w:rtl/>
        </w:rPr>
        <w:t xml:space="preserve">)). כך או כך, כאמור, אינני סבור כי יש להעניק לסעיף 5 פרשנות אחרת, מחמירה או מקילה, מזו שניתנה בהלכה הפסוקה לסעיף 17(א) הנ"ל.      </w:t>
      </w:r>
    </w:p>
    <w:p w:rsidR="00295623" w:rsidRPr="00DC16AA" w:rsidRDefault="00295623" w:rsidP="00295623">
      <w:pPr>
        <w:pStyle w:val="Ruller4"/>
        <w:numPr>
          <w:ilvl w:val="0"/>
          <w:numId w:val="0"/>
        </w:numPr>
        <w:tabs>
          <w:tab w:val="left" w:pos="90"/>
        </w:tabs>
      </w:pPr>
      <w:r>
        <w:rPr>
          <w:rFonts w:hint="cs"/>
          <w:rtl/>
        </w:rPr>
        <w:t xml:space="preserve"> </w:t>
      </w:r>
    </w:p>
    <w:p w:rsidR="00295623" w:rsidRPr="001B7539" w:rsidRDefault="00295623" w:rsidP="00295623">
      <w:pPr>
        <w:pStyle w:val="Ruller4"/>
        <w:numPr>
          <w:ilvl w:val="0"/>
          <w:numId w:val="0"/>
        </w:numPr>
        <w:tabs>
          <w:tab w:val="left" w:pos="90"/>
        </w:tabs>
        <w:rPr>
          <w:rFonts w:ascii="Century" w:hAnsi="Century" w:cs="Miriam"/>
          <w:b/>
          <w:spacing w:val="0"/>
          <w:szCs w:val="24"/>
        </w:rPr>
      </w:pPr>
      <w:r>
        <w:rPr>
          <w:rFonts w:ascii="Century" w:hAnsi="Century" w:cs="Miriam" w:hint="cs"/>
          <w:b/>
          <w:spacing w:val="0"/>
          <w:szCs w:val="24"/>
          <w:rtl/>
        </w:rPr>
        <w:t>שיקולים ב'תחרות זכויות'</w:t>
      </w:r>
      <w:r w:rsidRPr="001B7539">
        <w:rPr>
          <w:rFonts w:ascii="Century" w:hAnsi="Century" w:cs="Miriam" w:hint="cs"/>
          <w:b/>
          <w:spacing w:val="0"/>
          <w:szCs w:val="24"/>
          <w:rtl/>
        </w:rPr>
        <w:t xml:space="preserve"> </w:t>
      </w:r>
    </w:p>
    <w:p w:rsidR="00295623" w:rsidRPr="00247D56" w:rsidRDefault="00295623" w:rsidP="00295623">
      <w:pPr>
        <w:pStyle w:val="Ruller41"/>
        <w:rPr>
          <w:rtl/>
        </w:rPr>
      </w:pPr>
      <w:r>
        <w:rPr>
          <w:rFonts w:hint="cs"/>
          <w:rtl/>
        </w:rPr>
        <w:t>16.</w:t>
      </w:r>
      <w:r>
        <w:rPr>
          <w:rFonts w:hint="cs"/>
          <w:rtl/>
        </w:rPr>
        <w:tab/>
      </w:r>
      <w:r w:rsidRPr="00247D56">
        <w:rPr>
          <w:rFonts w:hint="cs"/>
          <w:rtl/>
        </w:rPr>
        <w:t xml:space="preserve">בטרם נצלול למלאכת הפרשנות </w:t>
      </w:r>
      <w:r w:rsidRPr="00247D56">
        <w:rPr>
          <w:rtl/>
        </w:rPr>
        <w:t>–</w:t>
      </w:r>
      <w:r w:rsidRPr="00247D56">
        <w:rPr>
          <w:rFonts w:hint="cs"/>
          <w:rtl/>
        </w:rPr>
        <w:t xml:space="preserve"> הערה מקדימה, המתייחסת למה שנדמה בעינַי כחֶסֶר בולט בחוות דעתו של חברי. כאמור, נקודת המוצא היא שסעיף 5 קובע הסדר של </w:t>
      </w:r>
      <w:r w:rsidRPr="00247D56">
        <w:rPr>
          <w:rFonts w:ascii="Century" w:hAnsi="Century" w:cs="Miriam" w:hint="cs"/>
          <w:b/>
          <w:spacing w:val="0"/>
          <w:szCs w:val="24"/>
          <w:rtl/>
        </w:rPr>
        <w:t>"מעין תקנת שוק"</w:t>
      </w:r>
      <w:r w:rsidRPr="00247D56">
        <w:rPr>
          <w:rFonts w:hint="cs"/>
          <w:rtl/>
        </w:rPr>
        <w:t xml:space="preserve">. לפיכך, יש להקדים ולומר כמה מילים, לגבי המקרה הטיפוסי שבו עוסקות תקנות השוק למיניהן, של 'תחרות זכויות' בין צדדים שונים. </w:t>
      </w:r>
      <w:r>
        <w:rPr>
          <w:rFonts w:hint="cs"/>
          <w:rtl/>
        </w:rPr>
        <w:t>א</w:t>
      </w:r>
      <w:r w:rsidRPr="00247D56">
        <w:rPr>
          <w:rFonts w:hint="eastAsia"/>
          <w:rtl/>
        </w:rPr>
        <w:t>בה</w:t>
      </w:r>
      <w:r>
        <w:rPr>
          <w:rFonts w:hint="cs"/>
          <w:rtl/>
        </w:rPr>
        <w:t>י</w:t>
      </w:r>
      <w:r w:rsidRPr="00247D56">
        <w:rPr>
          <w:rFonts w:hint="eastAsia"/>
          <w:rtl/>
        </w:rPr>
        <w:t>ר</w:t>
      </w:r>
      <w:r w:rsidRPr="00247D56">
        <w:rPr>
          <w:rtl/>
        </w:rPr>
        <w:t xml:space="preserve"> </w:t>
      </w:r>
      <w:r w:rsidRPr="00247D56">
        <w:rPr>
          <w:rFonts w:hint="eastAsia"/>
          <w:rtl/>
        </w:rPr>
        <w:t>כבר</w:t>
      </w:r>
      <w:r w:rsidRPr="00247D56">
        <w:rPr>
          <w:rtl/>
        </w:rPr>
        <w:t xml:space="preserve"> </w:t>
      </w:r>
      <w:r w:rsidRPr="00247D56">
        <w:rPr>
          <w:rFonts w:hint="eastAsia"/>
          <w:rtl/>
        </w:rPr>
        <w:t>עתה</w:t>
      </w:r>
      <w:r w:rsidRPr="00247D56">
        <w:rPr>
          <w:rtl/>
        </w:rPr>
        <w:t xml:space="preserve">, </w:t>
      </w:r>
      <w:r w:rsidRPr="00247D56">
        <w:rPr>
          <w:rFonts w:hint="eastAsia"/>
          <w:rtl/>
        </w:rPr>
        <w:t>כי</w:t>
      </w:r>
      <w:r w:rsidRPr="00247D56">
        <w:rPr>
          <w:rtl/>
        </w:rPr>
        <w:t xml:space="preserve"> </w:t>
      </w:r>
      <w:r w:rsidRPr="00247D56">
        <w:rPr>
          <w:rFonts w:hint="eastAsia"/>
          <w:rtl/>
        </w:rPr>
        <w:t>דברַי</w:t>
      </w:r>
      <w:r w:rsidRPr="00247D56">
        <w:rPr>
          <w:rtl/>
        </w:rPr>
        <w:t xml:space="preserve"> </w:t>
      </w:r>
      <w:r w:rsidRPr="00247D56">
        <w:rPr>
          <w:rFonts w:hint="eastAsia"/>
          <w:rtl/>
        </w:rPr>
        <w:t>שלהלן</w:t>
      </w:r>
      <w:r w:rsidRPr="00247D56">
        <w:rPr>
          <w:rtl/>
        </w:rPr>
        <w:t xml:space="preserve"> </w:t>
      </w:r>
      <w:r w:rsidRPr="00247D56">
        <w:rPr>
          <w:rFonts w:hint="eastAsia"/>
          <w:rtl/>
        </w:rPr>
        <w:t>אינם</w:t>
      </w:r>
      <w:r w:rsidRPr="00247D56">
        <w:rPr>
          <w:rtl/>
        </w:rPr>
        <w:t xml:space="preserve"> </w:t>
      </w:r>
      <w:r w:rsidRPr="00247D56">
        <w:rPr>
          <w:rFonts w:hint="eastAsia"/>
          <w:rtl/>
        </w:rPr>
        <w:t>תחליף</w:t>
      </w:r>
      <w:r w:rsidRPr="00247D56">
        <w:rPr>
          <w:rtl/>
        </w:rPr>
        <w:t xml:space="preserve"> </w:t>
      </w:r>
      <w:r w:rsidRPr="00247D56">
        <w:rPr>
          <w:rFonts w:hint="eastAsia"/>
          <w:rtl/>
        </w:rPr>
        <w:t>ל</w:t>
      </w:r>
      <w:r w:rsidRPr="00247D56">
        <w:rPr>
          <w:rFonts w:hint="cs"/>
          <w:rtl/>
        </w:rPr>
        <w:t>צורך לבחון את ההסדר שב</w:t>
      </w:r>
      <w:r w:rsidRPr="00247D56">
        <w:rPr>
          <w:rFonts w:hint="eastAsia"/>
          <w:rtl/>
        </w:rPr>
        <w:t>סעיף</w:t>
      </w:r>
      <w:r w:rsidRPr="00247D56">
        <w:rPr>
          <w:rtl/>
        </w:rPr>
        <w:t xml:space="preserve"> 5, </w:t>
      </w:r>
      <w:r w:rsidRPr="00247D56">
        <w:rPr>
          <w:rFonts w:hint="eastAsia"/>
          <w:rtl/>
        </w:rPr>
        <w:t>על</w:t>
      </w:r>
      <w:r w:rsidRPr="00247D56">
        <w:rPr>
          <w:rtl/>
        </w:rPr>
        <w:t xml:space="preserve"> </w:t>
      </w:r>
      <w:r w:rsidRPr="00247D56">
        <w:rPr>
          <w:rFonts w:hint="eastAsia"/>
          <w:rtl/>
        </w:rPr>
        <w:t>כל</w:t>
      </w:r>
      <w:r w:rsidRPr="00247D56">
        <w:rPr>
          <w:rtl/>
        </w:rPr>
        <w:t xml:space="preserve"> </w:t>
      </w:r>
      <w:r w:rsidRPr="00247D56">
        <w:rPr>
          <w:rFonts w:hint="eastAsia"/>
          <w:rtl/>
        </w:rPr>
        <w:t>פרטיו</w:t>
      </w:r>
      <w:r w:rsidRPr="00247D56">
        <w:rPr>
          <w:rtl/>
        </w:rPr>
        <w:t xml:space="preserve"> </w:t>
      </w:r>
      <w:r w:rsidRPr="00247D56">
        <w:rPr>
          <w:rFonts w:hint="eastAsia"/>
          <w:rtl/>
        </w:rPr>
        <w:t>ודקדוקיו</w:t>
      </w:r>
      <w:r w:rsidRPr="00247D56">
        <w:rPr>
          <w:rFonts w:hint="cs"/>
          <w:rtl/>
        </w:rPr>
        <w:t>, באופן יסודי</w:t>
      </w:r>
      <w:r w:rsidRPr="00247D56">
        <w:rPr>
          <w:rtl/>
        </w:rPr>
        <w:t xml:space="preserve">. </w:t>
      </w:r>
      <w:r w:rsidRPr="00247D56">
        <w:rPr>
          <w:rFonts w:hint="eastAsia"/>
          <w:rtl/>
        </w:rPr>
        <w:t>אם</w:t>
      </w:r>
      <w:r w:rsidRPr="00247D56">
        <w:rPr>
          <w:rtl/>
        </w:rPr>
        <w:t xml:space="preserve"> </w:t>
      </w:r>
      <w:r w:rsidRPr="00247D56">
        <w:rPr>
          <w:rFonts w:hint="eastAsia"/>
          <w:rtl/>
        </w:rPr>
        <w:t>אכן</w:t>
      </w:r>
      <w:r w:rsidRPr="00247D56">
        <w:rPr>
          <w:rtl/>
        </w:rPr>
        <w:t xml:space="preserve"> </w:t>
      </w:r>
      <w:r w:rsidRPr="00247D56">
        <w:rPr>
          <w:rFonts w:hint="eastAsia"/>
          <w:rtl/>
        </w:rPr>
        <w:t>הייתי</w:t>
      </w:r>
      <w:r w:rsidRPr="00247D56">
        <w:rPr>
          <w:rtl/>
        </w:rPr>
        <w:t xml:space="preserve"> </w:t>
      </w:r>
      <w:r w:rsidRPr="00247D56">
        <w:rPr>
          <w:rFonts w:hint="eastAsia"/>
          <w:rtl/>
        </w:rPr>
        <w:t>מגיע</w:t>
      </w:r>
      <w:r w:rsidRPr="00247D56">
        <w:rPr>
          <w:rtl/>
        </w:rPr>
        <w:t xml:space="preserve"> </w:t>
      </w:r>
      <w:r w:rsidRPr="00247D56">
        <w:rPr>
          <w:rFonts w:hint="eastAsia"/>
          <w:rtl/>
        </w:rPr>
        <w:t>למסקנה</w:t>
      </w:r>
      <w:r w:rsidRPr="00247D56">
        <w:rPr>
          <w:rFonts w:hint="cs"/>
          <w:rtl/>
        </w:rPr>
        <w:t>,</w:t>
      </w:r>
      <w:r w:rsidRPr="00247D56">
        <w:rPr>
          <w:rtl/>
        </w:rPr>
        <w:t xml:space="preserve"> </w:t>
      </w:r>
      <w:r w:rsidRPr="00247D56">
        <w:rPr>
          <w:rFonts w:hint="eastAsia"/>
          <w:rtl/>
        </w:rPr>
        <w:t>כי</w:t>
      </w:r>
      <w:r w:rsidRPr="00247D56">
        <w:rPr>
          <w:rtl/>
        </w:rPr>
        <w:t xml:space="preserve"> </w:t>
      </w:r>
      <w:r w:rsidRPr="00247D56">
        <w:rPr>
          <w:rFonts w:hint="cs"/>
          <w:rtl/>
        </w:rPr>
        <w:t xml:space="preserve">תנאֵי </w:t>
      </w:r>
      <w:r w:rsidRPr="00247D56">
        <w:rPr>
          <w:rFonts w:hint="eastAsia"/>
          <w:rtl/>
        </w:rPr>
        <w:t>סעיף</w:t>
      </w:r>
      <w:r w:rsidRPr="00247D56">
        <w:rPr>
          <w:rtl/>
        </w:rPr>
        <w:t xml:space="preserve"> 5 </w:t>
      </w:r>
      <w:r w:rsidRPr="00247D56">
        <w:rPr>
          <w:rFonts w:hint="eastAsia"/>
          <w:rtl/>
        </w:rPr>
        <w:t>אינ</w:t>
      </w:r>
      <w:r>
        <w:rPr>
          <w:rFonts w:hint="cs"/>
          <w:rtl/>
        </w:rPr>
        <w:t>ם</w:t>
      </w:r>
      <w:r w:rsidRPr="00247D56">
        <w:rPr>
          <w:rtl/>
        </w:rPr>
        <w:t xml:space="preserve"> </w:t>
      </w:r>
      <w:r w:rsidRPr="00247D56">
        <w:rPr>
          <w:rFonts w:hint="eastAsia"/>
          <w:rtl/>
        </w:rPr>
        <w:t>מתקיי</w:t>
      </w:r>
      <w:r>
        <w:rPr>
          <w:rFonts w:hint="cs"/>
          <w:rtl/>
        </w:rPr>
        <w:t>מי</w:t>
      </w:r>
      <w:r w:rsidRPr="00247D56">
        <w:rPr>
          <w:rFonts w:hint="eastAsia"/>
          <w:rtl/>
        </w:rPr>
        <w:t>ם</w:t>
      </w:r>
      <w:r w:rsidRPr="00247D56">
        <w:rPr>
          <w:rtl/>
        </w:rPr>
        <w:t xml:space="preserve"> </w:t>
      </w:r>
      <w:r w:rsidRPr="00247D56">
        <w:rPr>
          <w:rFonts w:hint="eastAsia"/>
          <w:rtl/>
        </w:rPr>
        <w:t>בענייננו</w:t>
      </w:r>
      <w:r w:rsidRPr="00247D56">
        <w:rPr>
          <w:rtl/>
        </w:rPr>
        <w:t xml:space="preserve">, </w:t>
      </w:r>
      <w:r w:rsidRPr="00247D56">
        <w:rPr>
          <w:rFonts w:hint="eastAsia"/>
          <w:rtl/>
        </w:rPr>
        <w:t>לא</w:t>
      </w:r>
      <w:r w:rsidRPr="00247D56">
        <w:rPr>
          <w:rtl/>
        </w:rPr>
        <w:t xml:space="preserve"> </w:t>
      </w:r>
      <w:r w:rsidRPr="00247D56">
        <w:rPr>
          <w:rFonts w:hint="eastAsia"/>
          <w:rtl/>
        </w:rPr>
        <w:t>היה</w:t>
      </w:r>
      <w:r w:rsidRPr="00247D56">
        <w:rPr>
          <w:rtl/>
        </w:rPr>
        <w:t xml:space="preserve"> </w:t>
      </w:r>
      <w:r w:rsidRPr="00247D56">
        <w:rPr>
          <w:rFonts w:hint="eastAsia"/>
          <w:rtl/>
        </w:rPr>
        <w:t>מנוס</w:t>
      </w:r>
      <w:r w:rsidRPr="00247D56">
        <w:rPr>
          <w:rtl/>
        </w:rPr>
        <w:t xml:space="preserve"> </w:t>
      </w:r>
      <w:r w:rsidRPr="00247D56">
        <w:rPr>
          <w:rFonts w:hint="cs"/>
          <w:rtl/>
        </w:rPr>
        <w:t>מדחיית העתירה לדיון נוסף. ברם, משסבור אני כי תקנת השוק אכן מתקיימת בנדון דידן, כפי שאפרט בהמשך, ראיתי להקדים ולהצביע על כך שמערכת השיקולים, העומדת בבסיס תקנות השוק למיניה</w:t>
      </w:r>
      <w:r>
        <w:rPr>
          <w:rFonts w:hint="cs"/>
          <w:rtl/>
        </w:rPr>
        <w:t>ן</w:t>
      </w:r>
      <w:r w:rsidRPr="00247D56">
        <w:rPr>
          <w:rFonts w:hint="cs"/>
          <w:rtl/>
        </w:rPr>
        <w:t xml:space="preserve">, תומכת אף היא בתוצאה זו. לפיכך, התוצאה שאליה הגעתי, לא זו בלבד שהיא נכונה </w:t>
      </w:r>
      <w:r>
        <w:rPr>
          <w:rFonts w:hint="cs"/>
          <w:rtl/>
        </w:rPr>
        <w:t xml:space="preserve">לדעתי </w:t>
      </w:r>
      <w:r w:rsidRPr="00247D56">
        <w:rPr>
          <w:rFonts w:hint="cs"/>
          <w:rtl/>
        </w:rPr>
        <w:t>במישור המשפטי, היא גם צודקת במישור המעשי.</w:t>
      </w:r>
    </w:p>
    <w:p w:rsidR="00295623" w:rsidRPr="00E65374" w:rsidRDefault="00295623" w:rsidP="00295623">
      <w:pPr>
        <w:pStyle w:val="Ruller41"/>
        <w:tabs>
          <w:tab w:val="left" w:pos="90"/>
        </w:tabs>
        <w:spacing w:line="240" w:lineRule="auto"/>
      </w:pPr>
    </w:p>
    <w:p w:rsidR="00295623" w:rsidRDefault="00295623" w:rsidP="003112ED">
      <w:pPr>
        <w:pStyle w:val="Ruller41"/>
        <w:rPr>
          <w:rtl/>
        </w:rPr>
      </w:pPr>
      <w:r>
        <w:rPr>
          <w:rFonts w:hint="cs"/>
          <w:rtl/>
        </w:rPr>
        <w:t>17.</w:t>
      </w:r>
      <w:r>
        <w:rPr>
          <w:rFonts w:hint="cs"/>
          <w:rtl/>
        </w:rPr>
        <w:tab/>
        <w:t xml:space="preserve">הסדרי תקנת שוק, ממינים שונים, פזורים על פני החקיקה הישראלית. כל תקנה, תכליתה עמה; לכל אחת מהן, הסדרים משל עצמה: </w:t>
      </w:r>
      <w:r w:rsidRPr="001401FC">
        <w:rPr>
          <w:rFonts w:ascii="Century" w:hAnsi="Century" w:cs="Miriam" w:hint="cs"/>
          <w:b/>
          <w:spacing w:val="0"/>
          <w:szCs w:val="24"/>
          <w:rtl/>
        </w:rPr>
        <w:t>"</w:t>
      </w:r>
      <w:r w:rsidRPr="001401FC">
        <w:rPr>
          <w:rFonts w:ascii="Century" w:hAnsi="Century" w:cs="Miriam"/>
          <w:b/>
          <w:spacing w:val="0"/>
          <w:szCs w:val="24"/>
          <w:rtl/>
        </w:rPr>
        <w:t>משפט ישראל בירך אותנו בתקנות שוק רבות. אלו</w:t>
      </w:r>
      <w:r w:rsidRPr="001401FC">
        <w:rPr>
          <w:rFonts w:ascii="Century" w:hAnsi="Century" w:cs="Miriam"/>
          <w:b/>
          <w:spacing w:val="0"/>
          <w:szCs w:val="24"/>
        </w:rPr>
        <w:t> </w:t>
      </w:r>
      <w:r w:rsidRPr="001401FC">
        <w:rPr>
          <w:rFonts w:ascii="Century" w:hAnsi="Century" w:cs="Miriam"/>
          <w:b/>
          <w:spacing w:val="0"/>
          <w:szCs w:val="24"/>
          <w:rtl/>
        </w:rPr>
        <w:t>נקבעו בחוקים שונים, והשוני בין ההסדרים אינו מוע</w:t>
      </w:r>
      <w:r w:rsidRPr="001401FC">
        <w:rPr>
          <w:rFonts w:ascii="Century" w:hAnsi="Century" w:cs="Miriam" w:hint="cs"/>
          <w:b/>
          <w:spacing w:val="0"/>
          <w:szCs w:val="24"/>
          <w:rtl/>
        </w:rPr>
        <w:t>ט"</w:t>
      </w:r>
      <w:r>
        <w:rPr>
          <w:rFonts w:hint="cs"/>
          <w:rtl/>
        </w:rPr>
        <w:t xml:space="preserve"> ((ע"א 2267/95 </w:t>
      </w:r>
      <w:r w:rsidRPr="001401FC">
        <w:rPr>
          <w:rFonts w:ascii="Century" w:hAnsi="Century" w:cs="Miriam" w:hint="cs"/>
          <w:b/>
          <w:spacing w:val="0"/>
          <w:szCs w:val="24"/>
          <w:rtl/>
        </w:rPr>
        <w:t>היועץ המשפטי לממשלה במשרד האפוטרופוס הכללי נ' הרטפלד</w:t>
      </w:r>
      <w:r>
        <w:rPr>
          <w:rFonts w:hint="cs"/>
          <w:rtl/>
        </w:rPr>
        <w:t xml:space="preserve">, פ"ד מט(3) 854, 869 (1995) (להלן: </w:t>
      </w:r>
      <w:r w:rsidRPr="001401FC">
        <w:rPr>
          <w:rFonts w:ascii="Century" w:hAnsi="Century" w:cs="Miriam" w:hint="eastAsia"/>
          <w:b/>
          <w:spacing w:val="0"/>
          <w:szCs w:val="24"/>
          <w:rtl/>
        </w:rPr>
        <w:t>עניין</w:t>
      </w:r>
      <w:r w:rsidRPr="001401FC">
        <w:rPr>
          <w:rFonts w:ascii="Century" w:hAnsi="Century" w:cs="Miriam"/>
          <w:b/>
          <w:spacing w:val="0"/>
          <w:szCs w:val="24"/>
          <w:rtl/>
        </w:rPr>
        <w:t xml:space="preserve"> </w:t>
      </w:r>
      <w:r w:rsidRPr="001401FC">
        <w:rPr>
          <w:rFonts w:ascii="Century" w:hAnsi="Century" w:cs="Miriam" w:hint="eastAsia"/>
          <w:b/>
          <w:spacing w:val="0"/>
          <w:szCs w:val="24"/>
          <w:rtl/>
        </w:rPr>
        <w:t>הרטפלד</w:t>
      </w:r>
      <w:r>
        <w:rPr>
          <w:rFonts w:hint="cs"/>
          <w:rtl/>
        </w:rPr>
        <w:t xml:space="preserve">)). ישנן תקנות שוק שנועדו לקדם את שטף המסחר התקין </w:t>
      </w:r>
      <w:r>
        <w:rPr>
          <w:rFonts w:hint="cs"/>
          <w:rtl/>
        </w:rPr>
        <w:lastRenderedPageBreak/>
        <w:t xml:space="preserve">(סעיף 34 לחוק המכר, התשכ"ח-1968 (להלן: </w:t>
      </w:r>
      <w:r w:rsidRPr="001401FC">
        <w:rPr>
          <w:rFonts w:ascii="Century" w:hAnsi="Century" w:cs="Miriam" w:hint="cs"/>
          <w:b/>
          <w:spacing w:val="0"/>
          <w:szCs w:val="24"/>
          <w:rtl/>
        </w:rPr>
        <w:t>חוק המכר</w:t>
      </w:r>
      <w:r>
        <w:rPr>
          <w:rFonts w:hint="cs"/>
          <w:rtl/>
        </w:rPr>
        <w:t xml:space="preserve">); ראו גם: איל זמיר, </w:t>
      </w:r>
      <w:r w:rsidRPr="001401FC">
        <w:rPr>
          <w:rFonts w:ascii="Century" w:hAnsi="Century" w:cs="Miriam" w:hint="cs"/>
          <w:b/>
          <w:spacing w:val="0"/>
          <w:szCs w:val="24"/>
          <w:rtl/>
        </w:rPr>
        <w:t xml:space="preserve">חוק המכר, תשכ"ח-1968 </w:t>
      </w:r>
      <w:r w:rsidRPr="001401FC">
        <w:rPr>
          <w:rFonts w:ascii="Century" w:hAnsi="Century" w:cs="Miriam"/>
          <w:b/>
          <w:spacing w:val="0"/>
          <w:szCs w:val="24"/>
          <w:rtl/>
        </w:rPr>
        <w:t>–</w:t>
      </w:r>
      <w:r w:rsidRPr="001401FC">
        <w:rPr>
          <w:rFonts w:ascii="Century" w:hAnsi="Century" w:cs="Miriam" w:hint="cs"/>
          <w:b/>
          <w:spacing w:val="0"/>
          <w:szCs w:val="24"/>
          <w:rtl/>
        </w:rPr>
        <w:t xml:space="preserve"> פירוש לחוקי החוזים</w:t>
      </w:r>
      <w:r>
        <w:rPr>
          <w:rFonts w:hint="cs"/>
          <w:rtl/>
        </w:rPr>
        <w:t xml:space="preserve">, 682-681 (1987); סעיף 28(א) לפקודת השטרות [נוסח חדש]; רע"א 8301/13 </w:t>
      </w:r>
      <w:r w:rsidRPr="001401FC">
        <w:rPr>
          <w:rFonts w:ascii="Century" w:hAnsi="Century" w:cs="Miriam" w:hint="cs"/>
          <w:b/>
          <w:spacing w:val="0"/>
          <w:szCs w:val="24"/>
          <w:rtl/>
        </w:rPr>
        <w:t>טל טריידינג קורפ נ' בנק לאומי לישראל בע"מ</w:t>
      </w:r>
      <w:r>
        <w:rPr>
          <w:rFonts w:hint="cs"/>
          <w:rtl/>
        </w:rPr>
        <w:t>, פסקה 6 (24.11.2015)). תקנות שוק אחרות, מטרתן חיזוק מעמדם ואמינותם של מרשמים המסדירים זכויות קנייניות, שלא להרתיע רוכשים מביצוע עסקאות כגון דא, אם לא יוכלו להסתמך על נכונותם (סעיף 10 לחוק המקרקעין; סעיף 93 לפקודת הסדר זכויות במקרקעין [נוסח חדש], התשכ"ט-1969; סעיף 83 לחוק הספנות (כלי שייט), התש"ך-1960; ראו ג</w:t>
      </w:r>
      <w:r w:rsidRPr="00A97C74">
        <w:rPr>
          <w:rFonts w:hint="cs"/>
          <w:rtl/>
        </w:rPr>
        <w:t xml:space="preserve">ם: ע"א 767/11 </w:t>
      </w:r>
      <w:r w:rsidRPr="001401FC">
        <w:rPr>
          <w:rFonts w:ascii="Century" w:hAnsi="Century" w:cs="Miriam" w:hint="eastAsia"/>
          <w:b/>
          <w:spacing w:val="0"/>
          <w:szCs w:val="24"/>
          <w:rtl/>
        </w:rPr>
        <w:t>להיגי</w:t>
      </w:r>
      <w:r w:rsidRPr="001401FC">
        <w:rPr>
          <w:rFonts w:ascii="Century" w:hAnsi="Century" w:cs="Miriam"/>
          <w:b/>
          <w:spacing w:val="0"/>
          <w:szCs w:val="24"/>
          <w:rtl/>
        </w:rPr>
        <w:t xml:space="preserve"> </w:t>
      </w:r>
      <w:r w:rsidRPr="001401FC">
        <w:rPr>
          <w:rFonts w:ascii="Century" w:hAnsi="Century" w:cs="Miriam" w:hint="eastAsia"/>
          <w:b/>
          <w:spacing w:val="0"/>
          <w:szCs w:val="24"/>
          <w:rtl/>
        </w:rPr>
        <w:t>נ</w:t>
      </w:r>
      <w:r w:rsidRPr="001401FC">
        <w:rPr>
          <w:rFonts w:ascii="Century" w:hAnsi="Century" w:cs="Miriam"/>
          <w:b/>
          <w:spacing w:val="0"/>
          <w:szCs w:val="24"/>
          <w:rtl/>
        </w:rPr>
        <w:t xml:space="preserve">' </w:t>
      </w:r>
      <w:r w:rsidRPr="001401FC">
        <w:rPr>
          <w:rFonts w:ascii="Century" w:hAnsi="Century" w:cs="Miriam" w:hint="eastAsia"/>
          <w:b/>
          <w:spacing w:val="0"/>
          <w:szCs w:val="24"/>
          <w:rtl/>
        </w:rPr>
        <w:t>עזורי</w:t>
      </w:r>
      <w:r w:rsidRPr="00A97C74">
        <w:rPr>
          <w:rFonts w:hint="cs"/>
          <w:rtl/>
        </w:rPr>
        <w:t xml:space="preserve">, פ"ד סו(2) 853, 871 (2013); ע"א 624/13 </w:t>
      </w:r>
      <w:r w:rsidRPr="001401FC">
        <w:rPr>
          <w:rFonts w:ascii="Century" w:hAnsi="Century" w:cs="Miriam" w:hint="eastAsia"/>
          <w:b/>
          <w:spacing w:val="0"/>
          <w:szCs w:val="24"/>
          <w:rtl/>
        </w:rPr>
        <w:t>מורדכיוב</w:t>
      </w:r>
      <w:r w:rsidRPr="001401FC">
        <w:rPr>
          <w:rFonts w:ascii="Century" w:hAnsi="Century" w:cs="Miriam"/>
          <w:b/>
          <w:spacing w:val="0"/>
          <w:szCs w:val="24"/>
          <w:rtl/>
        </w:rPr>
        <w:t xml:space="preserve"> </w:t>
      </w:r>
      <w:r w:rsidRPr="001401FC">
        <w:rPr>
          <w:rFonts w:ascii="Century" w:hAnsi="Century" w:cs="Miriam" w:hint="eastAsia"/>
          <w:b/>
          <w:spacing w:val="0"/>
          <w:szCs w:val="24"/>
          <w:rtl/>
        </w:rPr>
        <w:t>נ</w:t>
      </w:r>
      <w:r w:rsidRPr="001401FC">
        <w:rPr>
          <w:rFonts w:ascii="Century" w:hAnsi="Century" w:cs="Miriam"/>
          <w:b/>
          <w:spacing w:val="0"/>
          <w:szCs w:val="24"/>
          <w:rtl/>
        </w:rPr>
        <w:t xml:space="preserve">' </w:t>
      </w:r>
      <w:r w:rsidRPr="001401FC">
        <w:rPr>
          <w:rFonts w:ascii="Century" w:hAnsi="Century" w:cs="Miriam" w:hint="eastAsia"/>
          <w:b/>
          <w:spacing w:val="0"/>
          <w:szCs w:val="24"/>
          <w:rtl/>
        </w:rPr>
        <w:t>מינץ</w:t>
      </w:r>
      <w:r w:rsidRPr="00A97C74">
        <w:rPr>
          <w:rFonts w:hint="cs"/>
          <w:rtl/>
        </w:rPr>
        <w:t xml:space="preserve">, פסקה י"ט (4.8.2014); </w:t>
      </w:r>
      <w:r w:rsidRPr="003112ED">
        <w:rPr>
          <w:rFonts w:ascii="Century" w:hAnsi="Century" w:cs="Miriam" w:hint="eastAsia"/>
          <w:b/>
          <w:spacing w:val="0"/>
          <w:szCs w:val="24"/>
          <w:rtl/>
        </w:rPr>
        <w:t>ויסמן</w:t>
      </w:r>
      <w:r w:rsidR="001401FC">
        <w:rPr>
          <w:rFonts w:hint="cs"/>
          <w:rtl/>
        </w:rPr>
        <w:t xml:space="preserve">, </w:t>
      </w:r>
      <w:r w:rsidRPr="00A97C74">
        <w:rPr>
          <w:rFonts w:hint="cs"/>
          <w:rtl/>
        </w:rPr>
        <w:t xml:space="preserve">320-319; </w:t>
      </w:r>
      <w:r w:rsidRPr="001401FC">
        <w:rPr>
          <w:rFonts w:ascii="Century" w:hAnsi="Century" w:cs="Miriam" w:hint="eastAsia"/>
          <w:b/>
          <w:spacing w:val="0"/>
          <w:szCs w:val="24"/>
          <w:rtl/>
        </w:rPr>
        <w:t>מיגל</w:t>
      </w:r>
      <w:r w:rsidRPr="001401FC">
        <w:rPr>
          <w:rFonts w:ascii="Century" w:hAnsi="Century" w:cs="Miriam"/>
          <w:b/>
          <w:spacing w:val="0"/>
          <w:szCs w:val="24"/>
          <w:rtl/>
        </w:rPr>
        <w:t xml:space="preserve"> </w:t>
      </w:r>
      <w:r w:rsidRPr="001401FC">
        <w:rPr>
          <w:rFonts w:ascii="Century" w:hAnsi="Century" w:cs="Miriam" w:hint="eastAsia"/>
          <w:b/>
          <w:spacing w:val="0"/>
          <w:szCs w:val="24"/>
          <w:rtl/>
        </w:rPr>
        <w:t>דויטש</w:t>
      </w:r>
      <w:r w:rsidRPr="001401FC">
        <w:rPr>
          <w:rFonts w:ascii="Century" w:hAnsi="Century" w:cs="Miriam"/>
          <w:b/>
          <w:spacing w:val="0"/>
          <w:szCs w:val="24"/>
          <w:rtl/>
        </w:rPr>
        <w:t xml:space="preserve"> </w:t>
      </w:r>
      <w:r w:rsidRPr="001401FC">
        <w:rPr>
          <w:rFonts w:ascii="Century" w:hAnsi="Century"/>
          <w:rtl/>
        </w:rPr>
        <w:t>–</w:t>
      </w:r>
      <w:r w:rsidRPr="001401FC">
        <w:rPr>
          <w:rFonts w:ascii="Century" w:hAnsi="Century" w:cs="Miriam"/>
          <w:b/>
          <w:spacing w:val="0"/>
          <w:szCs w:val="24"/>
          <w:rtl/>
        </w:rPr>
        <w:t xml:space="preserve"> </w:t>
      </w:r>
      <w:r w:rsidRPr="001401FC">
        <w:rPr>
          <w:rFonts w:ascii="Century" w:hAnsi="Century" w:cs="Miriam" w:hint="eastAsia"/>
          <w:b/>
          <w:spacing w:val="0"/>
          <w:szCs w:val="24"/>
          <w:rtl/>
        </w:rPr>
        <w:t>כרך</w:t>
      </w:r>
      <w:r w:rsidRPr="001401FC">
        <w:rPr>
          <w:rFonts w:ascii="Century" w:hAnsi="Century" w:cs="Miriam"/>
          <w:b/>
          <w:spacing w:val="0"/>
          <w:szCs w:val="24"/>
          <w:rtl/>
        </w:rPr>
        <w:t xml:space="preserve"> </w:t>
      </w:r>
      <w:r w:rsidRPr="001401FC">
        <w:rPr>
          <w:rFonts w:ascii="Century" w:hAnsi="Century" w:cs="Miriam" w:hint="eastAsia"/>
          <w:b/>
          <w:spacing w:val="0"/>
          <w:szCs w:val="24"/>
          <w:rtl/>
        </w:rPr>
        <w:t>ד</w:t>
      </w:r>
      <w:r w:rsidRPr="00A97C74">
        <w:rPr>
          <w:rFonts w:hint="cs"/>
          <w:rtl/>
        </w:rPr>
        <w:t>, 239-235</w:t>
      </w:r>
      <w:r>
        <w:rPr>
          <w:rFonts w:hint="cs"/>
          <w:rtl/>
        </w:rPr>
        <w:t xml:space="preserve"> (2007) (להלן: </w:t>
      </w:r>
      <w:r w:rsidRPr="001401FC">
        <w:rPr>
          <w:rFonts w:ascii="Century" w:hAnsi="Century" w:cs="Miriam" w:hint="eastAsia"/>
          <w:b/>
          <w:spacing w:val="0"/>
          <w:szCs w:val="24"/>
          <w:rtl/>
        </w:rPr>
        <w:t>דויטש</w:t>
      </w:r>
      <w:r w:rsidRPr="00A97C74">
        <w:rPr>
          <w:rFonts w:hint="cs"/>
          <w:rtl/>
        </w:rPr>
        <w:t>);</w:t>
      </w:r>
      <w:r>
        <w:rPr>
          <w:rFonts w:hint="cs"/>
          <w:rtl/>
        </w:rPr>
        <w:t xml:space="preserve"> אבי וינרוט</w:t>
      </w:r>
      <w:r w:rsidR="001401FC">
        <w:rPr>
          <w:rFonts w:hint="cs"/>
          <w:rtl/>
        </w:rPr>
        <w:t>,</w:t>
      </w:r>
      <w:r>
        <w:rPr>
          <w:rFonts w:hint="cs"/>
          <w:rtl/>
        </w:rPr>
        <w:t xml:space="preserve"> </w:t>
      </w:r>
      <w:r w:rsidRPr="001401FC">
        <w:rPr>
          <w:rFonts w:ascii="Century" w:hAnsi="Century" w:cs="Miriam" w:hint="eastAsia"/>
          <w:b/>
          <w:spacing w:val="0"/>
          <w:szCs w:val="24"/>
          <w:rtl/>
        </w:rPr>
        <w:t>דיני</w:t>
      </w:r>
      <w:r w:rsidRPr="001401FC">
        <w:rPr>
          <w:rFonts w:ascii="Century" w:hAnsi="Century" w:cs="Miriam"/>
          <w:b/>
          <w:spacing w:val="0"/>
          <w:szCs w:val="24"/>
          <w:rtl/>
        </w:rPr>
        <w:t xml:space="preserve"> </w:t>
      </w:r>
      <w:r w:rsidRPr="001401FC">
        <w:rPr>
          <w:rFonts w:ascii="Century" w:hAnsi="Century" w:cs="Miriam" w:hint="eastAsia"/>
          <w:b/>
          <w:spacing w:val="0"/>
          <w:szCs w:val="24"/>
          <w:rtl/>
        </w:rPr>
        <w:t>קניין</w:t>
      </w:r>
      <w:r w:rsidRPr="001401FC">
        <w:rPr>
          <w:rFonts w:ascii="Century" w:hAnsi="Century" w:cs="Miriam"/>
          <w:b/>
          <w:spacing w:val="0"/>
          <w:szCs w:val="24"/>
          <w:rtl/>
        </w:rPr>
        <w:t xml:space="preserve"> </w:t>
      </w:r>
      <w:r w:rsidRPr="001401FC">
        <w:rPr>
          <w:rFonts w:ascii="Century" w:hAnsi="Century"/>
          <w:rtl/>
        </w:rPr>
        <w:t>–</w:t>
      </w:r>
      <w:r w:rsidRPr="001401FC">
        <w:rPr>
          <w:rFonts w:ascii="Century" w:hAnsi="Century" w:cs="Miriam"/>
          <w:b/>
          <w:spacing w:val="0"/>
          <w:szCs w:val="24"/>
          <w:rtl/>
        </w:rPr>
        <w:t xml:space="preserve"> </w:t>
      </w:r>
      <w:r w:rsidRPr="001401FC">
        <w:rPr>
          <w:rFonts w:ascii="Century" w:hAnsi="Century" w:cs="Miriam" w:hint="eastAsia"/>
          <w:b/>
          <w:spacing w:val="0"/>
          <w:szCs w:val="24"/>
          <w:rtl/>
        </w:rPr>
        <w:t>פרקי</w:t>
      </w:r>
      <w:r w:rsidRPr="001401FC">
        <w:rPr>
          <w:rFonts w:ascii="Century" w:hAnsi="Century" w:cs="Miriam"/>
          <w:b/>
          <w:spacing w:val="0"/>
          <w:szCs w:val="24"/>
          <w:rtl/>
        </w:rPr>
        <w:t xml:space="preserve"> </w:t>
      </w:r>
      <w:r w:rsidRPr="001401FC">
        <w:rPr>
          <w:rFonts w:ascii="Century" w:hAnsi="Century" w:cs="Miriam" w:hint="eastAsia"/>
          <w:b/>
          <w:spacing w:val="0"/>
          <w:szCs w:val="24"/>
          <w:rtl/>
        </w:rPr>
        <w:t>יסוד</w:t>
      </w:r>
      <w:r>
        <w:rPr>
          <w:rFonts w:hint="cs"/>
          <w:rtl/>
        </w:rPr>
        <w:t xml:space="preserve">, 199 (2020) (להלן: </w:t>
      </w:r>
      <w:r w:rsidRPr="001401FC">
        <w:rPr>
          <w:rFonts w:ascii="Century" w:hAnsi="Century" w:cs="Miriam" w:hint="eastAsia"/>
          <w:b/>
          <w:spacing w:val="0"/>
          <w:szCs w:val="24"/>
          <w:rtl/>
        </w:rPr>
        <w:t>וינרוט</w:t>
      </w:r>
      <w:r>
        <w:rPr>
          <w:rFonts w:hint="cs"/>
          <w:rtl/>
        </w:rPr>
        <w:t xml:space="preserve">)). בנוסף, ישנן תקנות שוק, שעיקר תכליתן היא להגן על הסתמכות הפרט על עסקאות שבוצעו עם רשויות שלטוניות, על החלטות שניתנו על-ידי רשויות אלה, וכן על דברים שנקבעו בהחלטות שיפוטיות (סעיף 5 שבמוקד ענייננו; סעיף 34א לחוק המכר; סעיף 73 לחוק הירושה, התשכ"ה-1965; סעיף 17(א) לחוק נכסי נפקדים; סעיף 16 לחוק האפוטרופוס הכללי, התשל"ח-1978; סעיף 10 לחוק נכסי גרמנים, התש"י-1950; סעיף 70 לחוק נכסים של נספי שואה (השבה ליורשים והקדשה למטרות סיוע והנצחה), התשס"ו-2006; סעיף 10 לצו בדבר נכסים נטושים (רכוש הפרט) (יהודה ושומרון) (מס' 58), התשכ"ז-1967; וראו גם: </w:t>
      </w:r>
      <w:r w:rsidRPr="001401FC">
        <w:rPr>
          <w:rFonts w:ascii="Century" w:hAnsi="Century" w:cs="Miriam" w:hint="eastAsia"/>
          <w:b/>
          <w:spacing w:val="0"/>
          <w:szCs w:val="24"/>
          <w:rtl/>
        </w:rPr>
        <w:t>דויטש</w:t>
      </w:r>
      <w:r w:rsidRPr="001401FC">
        <w:rPr>
          <w:rFonts w:ascii="Century" w:hAnsi="Century" w:cs="Miriam"/>
          <w:b/>
          <w:spacing w:val="0"/>
          <w:szCs w:val="24"/>
          <w:rtl/>
        </w:rPr>
        <w:t xml:space="preserve"> </w:t>
      </w:r>
      <w:r w:rsidRPr="001401FC">
        <w:rPr>
          <w:rFonts w:ascii="Century" w:hAnsi="Century"/>
          <w:rtl/>
        </w:rPr>
        <w:t>–</w:t>
      </w:r>
      <w:r w:rsidRPr="001401FC">
        <w:rPr>
          <w:rFonts w:ascii="Century" w:hAnsi="Century" w:cs="Miriam"/>
          <w:b/>
          <w:spacing w:val="0"/>
          <w:szCs w:val="24"/>
          <w:rtl/>
        </w:rPr>
        <w:t xml:space="preserve"> </w:t>
      </w:r>
      <w:r w:rsidRPr="001401FC">
        <w:rPr>
          <w:rFonts w:ascii="Century" w:hAnsi="Century" w:cs="Miriam" w:hint="eastAsia"/>
          <w:b/>
          <w:spacing w:val="0"/>
          <w:szCs w:val="24"/>
          <w:rtl/>
        </w:rPr>
        <w:t>כרך</w:t>
      </w:r>
      <w:r w:rsidRPr="001401FC">
        <w:rPr>
          <w:rFonts w:ascii="Century" w:hAnsi="Century" w:cs="Miriam"/>
          <w:b/>
          <w:spacing w:val="0"/>
          <w:szCs w:val="24"/>
          <w:rtl/>
        </w:rPr>
        <w:t xml:space="preserve"> </w:t>
      </w:r>
      <w:r w:rsidRPr="001401FC">
        <w:rPr>
          <w:rFonts w:ascii="Century" w:hAnsi="Century" w:cs="Miriam" w:hint="eastAsia"/>
          <w:b/>
          <w:spacing w:val="0"/>
          <w:szCs w:val="24"/>
          <w:rtl/>
        </w:rPr>
        <w:t>ד</w:t>
      </w:r>
      <w:r>
        <w:rPr>
          <w:rFonts w:hint="cs"/>
          <w:rtl/>
        </w:rPr>
        <w:t xml:space="preserve">, 312-308).  </w:t>
      </w:r>
    </w:p>
    <w:p w:rsidR="00295623" w:rsidRPr="00BE200C" w:rsidRDefault="00295623" w:rsidP="00295623">
      <w:pPr>
        <w:pStyle w:val="Ruller41"/>
        <w:tabs>
          <w:tab w:val="left" w:pos="90"/>
        </w:tabs>
        <w:spacing w:line="240" w:lineRule="auto"/>
      </w:pPr>
    </w:p>
    <w:p w:rsidR="00295623" w:rsidRDefault="00295623" w:rsidP="00295623">
      <w:pPr>
        <w:pStyle w:val="Ruller41"/>
      </w:pPr>
      <w:r>
        <w:rPr>
          <w:rFonts w:hint="cs"/>
          <w:rtl/>
        </w:rPr>
        <w:t>18.</w:t>
      </w:r>
      <w:r>
        <w:rPr>
          <w:rFonts w:hint="cs"/>
          <w:rtl/>
        </w:rPr>
        <w:tab/>
        <w:t xml:space="preserve">הנה כי כן, קודקס החקיקה, מכיל בתוכו תקנות שוק שונות, תכליות שונות והסדרים שונים; הכול בהתאם לאיזון שקבע המחוקק הישראלי, ובאיו"ש </w:t>
      </w:r>
      <w:r>
        <w:rPr>
          <w:rtl/>
        </w:rPr>
        <w:t>–</w:t>
      </w:r>
      <w:r>
        <w:rPr>
          <w:rFonts w:hint="cs"/>
          <w:rtl/>
        </w:rPr>
        <w:t xml:space="preserve"> המחוקק הצבאי, בהתאם לצורך, ולפי נסיבות כל מקרה ומקרה. ואולם, חרף השוני האמור, כלל הסדרי תקנת השוק, מכל המינים ומכל הסוגים, לא נועדו אלא להתמודד עם מה שנהוג לכנותו 'תאונה משפטית'. דהיינו, מציאות שבה על בית המשפט להכריע בין שני בעלי דין, ששניהם אוחזים באינטרסים לגיטימיים, הראויים להגנה (</w:t>
      </w:r>
      <w:r w:rsidRPr="0037214A">
        <w:rPr>
          <w:rFonts w:ascii="Garamond" w:hAnsi="Garamond"/>
          <w:sz w:val="24"/>
          <w:szCs w:val="24"/>
        </w:rPr>
        <w:t xml:space="preserve">Menachem Mautner, "The Eternal Triangles of the Law": Toward a Theory of Priorities in Conflicts Involving Remote Parties, 90 </w:t>
      </w:r>
      <w:r w:rsidRPr="0037214A">
        <w:rPr>
          <w:rFonts w:ascii="Garamond" w:hAnsi="Garamond"/>
          <w:smallCaps/>
          <w:sz w:val="24"/>
          <w:szCs w:val="24"/>
        </w:rPr>
        <w:t>Mich. L. Rev</w:t>
      </w:r>
      <w:r w:rsidRPr="0037214A">
        <w:rPr>
          <w:rFonts w:ascii="Garamond" w:hAnsi="Garamond"/>
          <w:sz w:val="24"/>
          <w:szCs w:val="24"/>
        </w:rPr>
        <w:t>. 95 (1991)</w:t>
      </w:r>
      <w:r>
        <w:rPr>
          <w:rFonts w:hint="cs"/>
          <w:rtl/>
        </w:rPr>
        <w:t>). הסדרי תקנת שוק נועדו אפוא, להסדיר מצבים של 'תחרות זכויות' בין שני צדדים 'רחוקים', שאין ביניהם קשר משפטי, חוזי או אחר, ביחס לנכס הנתון במחלוקת:</w:t>
      </w:r>
    </w:p>
    <w:p w:rsidR="00295623" w:rsidRPr="003664B0" w:rsidRDefault="00295623" w:rsidP="00295623">
      <w:pPr>
        <w:pStyle w:val="Ruller4"/>
        <w:numPr>
          <w:ilvl w:val="0"/>
          <w:numId w:val="0"/>
        </w:numPr>
        <w:tabs>
          <w:tab w:val="left" w:pos="90"/>
        </w:tabs>
        <w:spacing w:line="240" w:lineRule="auto"/>
        <w:rPr>
          <w:rtl/>
        </w:rPr>
      </w:pPr>
    </w:p>
    <w:p w:rsidR="00295623" w:rsidRPr="00C24E5C" w:rsidRDefault="00295623" w:rsidP="00295623">
      <w:pPr>
        <w:pStyle w:val="Ruller5"/>
        <w:rPr>
          <w:rtl/>
        </w:rPr>
      </w:pPr>
      <w:r w:rsidRPr="00372969">
        <w:rPr>
          <w:rFonts w:ascii="Century" w:hAnsi="Century" w:cs="Miriam" w:hint="cs"/>
          <w:b/>
          <w:spacing w:val="0"/>
          <w:szCs w:val="24"/>
          <w:rtl/>
        </w:rPr>
        <w:t>"</w:t>
      </w:r>
      <w:r w:rsidRPr="00372969">
        <w:rPr>
          <w:rFonts w:ascii="Century" w:hAnsi="Century" w:cs="Miriam" w:hint="eastAsia"/>
          <w:b/>
          <w:spacing w:val="0"/>
          <w:szCs w:val="24"/>
          <w:rtl/>
        </w:rPr>
        <w:t>כידוע</w:t>
      </w:r>
      <w:r w:rsidRPr="00372969">
        <w:rPr>
          <w:rFonts w:ascii="Century" w:hAnsi="Century" w:cs="Miriam"/>
          <w:b/>
          <w:spacing w:val="0"/>
          <w:szCs w:val="24"/>
          <w:rtl/>
        </w:rPr>
        <w:t xml:space="preserve"> </w:t>
      </w:r>
      <w:r w:rsidRPr="00372969">
        <w:rPr>
          <w:rFonts w:ascii="Century" w:hAnsi="Century" w:cs="Miriam" w:hint="eastAsia"/>
          <w:b/>
          <w:spacing w:val="0"/>
          <w:szCs w:val="24"/>
          <w:rtl/>
        </w:rPr>
        <w:t>באות</w:t>
      </w:r>
      <w:r w:rsidRPr="00372969">
        <w:rPr>
          <w:rFonts w:ascii="Century" w:hAnsi="Century" w:cs="Miriam"/>
          <w:b/>
          <w:spacing w:val="0"/>
          <w:szCs w:val="24"/>
          <w:rtl/>
        </w:rPr>
        <w:t xml:space="preserve"> </w:t>
      </w:r>
      <w:r w:rsidRPr="00372969">
        <w:rPr>
          <w:rFonts w:ascii="Century" w:hAnsi="Century" w:cs="Miriam" w:hint="eastAsia"/>
          <w:b/>
          <w:spacing w:val="0"/>
          <w:szCs w:val="24"/>
          <w:rtl/>
        </w:rPr>
        <w:t>תקנות</w:t>
      </w:r>
      <w:r w:rsidRPr="00372969">
        <w:rPr>
          <w:rFonts w:ascii="Century" w:hAnsi="Century" w:cs="Miriam"/>
          <w:b/>
          <w:spacing w:val="0"/>
          <w:szCs w:val="24"/>
          <w:rtl/>
        </w:rPr>
        <w:t xml:space="preserve"> </w:t>
      </w:r>
      <w:r w:rsidRPr="00372969">
        <w:rPr>
          <w:rFonts w:ascii="Century" w:hAnsi="Century" w:cs="Miriam" w:hint="eastAsia"/>
          <w:b/>
          <w:spacing w:val="0"/>
          <w:szCs w:val="24"/>
          <w:rtl/>
        </w:rPr>
        <w:t>השוק</w:t>
      </w:r>
      <w:r w:rsidRPr="00372969">
        <w:rPr>
          <w:rFonts w:ascii="Century" w:hAnsi="Century" w:cs="Miriam"/>
          <w:b/>
          <w:spacing w:val="0"/>
          <w:szCs w:val="24"/>
          <w:rtl/>
        </w:rPr>
        <w:t xml:space="preserve"> </w:t>
      </w:r>
      <w:r w:rsidRPr="00372969">
        <w:rPr>
          <w:rFonts w:ascii="Century" w:hAnsi="Century" w:cs="Miriam" w:hint="eastAsia"/>
          <w:b/>
          <w:spacing w:val="0"/>
          <w:szCs w:val="24"/>
          <w:rtl/>
        </w:rPr>
        <w:t>לאזן</w:t>
      </w:r>
      <w:r w:rsidRPr="00372969">
        <w:rPr>
          <w:rFonts w:ascii="Century" w:hAnsi="Century" w:cs="Miriam"/>
          <w:b/>
          <w:spacing w:val="0"/>
          <w:szCs w:val="24"/>
          <w:rtl/>
        </w:rPr>
        <w:t xml:space="preserve"> </w:t>
      </w:r>
      <w:r w:rsidRPr="00372969">
        <w:rPr>
          <w:rFonts w:ascii="Century" w:hAnsi="Century" w:cs="Miriam" w:hint="eastAsia"/>
          <w:b/>
          <w:spacing w:val="0"/>
          <w:szCs w:val="24"/>
          <w:rtl/>
        </w:rPr>
        <w:t>בין</w:t>
      </w:r>
      <w:r w:rsidRPr="00372969">
        <w:rPr>
          <w:rFonts w:ascii="Century" w:hAnsi="Century" w:cs="Miriam"/>
          <w:b/>
          <w:spacing w:val="0"/>
          <w:szCs w:val="24"/>
          <w:rtl/>
        </w:rPr>
        <w:t xml:space="preserve"> </w:t>
      </w:r>
      <w:r w:rsidRPr="00372969">
        <w:rPr>
          <w:rFonts w:ascii="Century" w:hAnsi="Century" w:cs="Miriam" w:hint="eastAsia"/>
          <w:b/>
          <w:spacing w:val="0"/>
          <w:szCs w:val="24"/>
          <w:rtl/>
        </w:rPr>
        <w:t>טובתו</w:t>
      </w:r>
      <w:r w:rsidRPr="00372969">
        <w:rPr>
          <w:rFonts w:ascii="Century" w:hAnsi="Century" w:cs="Miriam"/>
          <w:b/>
          <w:spacing w:val="0"/>
          <w:szCs w:val="24"/>
          <w:rtl/>
        </w:rPr>
        <w:t xml:space="preserve"> </w:t>
      </w:r>
      <w:r w:rsidRPr="00372969">
        <w:rPr>
          <w:rFonts w:ascii="Century" w:hAnsi="Century" w:cs="Miriam" w:hint="eastAsia"/>
          <w:b/>
          <w:spacing w:val="0"/>
          <w:szCs w:val="24"/>
          <w:rtl/>
        </w:rPr>
        <w:t>של</w:t>
      </w:r>
      <w:r w:rsidRPr="00372969">
        <w:rPr>
          <w:rFonts w:ascii="Century" w:hAnsi="Century" w:cs="Miriam"/>
          <w:b/>
          <w:spacing w:val="0"/>
          <w:szCs w:val="24"/>
          <w:rtl/>
        </w:rPr>
        <w:t xml:space="preserve"> </w:t>
      </w:r>
      <w:r w:rsidRPr="00372969">
        <w:rPr>
          <w:rFonts w:ascii="Century" w:hAnsi="Century" w:cs="Miriam" w:hint="eastAsia"/>
          <w:b/>
          <w:spacing w:val="0"/>
          <w:szCs w:val="24"/>
          <w:rtl/>
        </w:rPr>
        <w:t>בעלים</w:t>
      </w:r>
      <w:r w:rsidRPr="00372969">
        <w:rPr>
          <w:rFonts w:ascii="Century" w:hAnsi="Century" w:cs="Miriam"/>
          <w:b/>
          <w:spacing w:val="0"/>
          <w:szCs w:val="24"/>
          <w:rtl/>
        </w:rPr>
        <w:t xml:space="preserve"> </w:t>
      </w:r>
      <w:r w:rsidRPr="00372969">
        <w:rPr>
          <w:rFonts w:ascii="Century" w:hAnsi="Century" w:cs="Miriam" w:hint="eastAsia"/>
          <w:b/>
          <w:spacing w:val="0"/>
          <w:szCs w:val="24"/>
          <w:rtl/>
        </w:rPr>
        <w:t>של</w:t>
      </w:r>
      <w:r w:rsidRPr="00372969">
        <w:rPr>
          <w:rFonts w:ascii="Century" w:hAnsi="Century" w:cs="Miriam"/>
          <w:b/>
          <w:spacing w:val="0"/>
          <w:szCs w:val="24"/>
          <w:rtl/>
        </w:rPr>
        <w:t xml:space="preserve"> </w:t>
      </w:r>
      <w:r w:rsidRPr="00372969">
        <w:rPr>
          <w:rFonts w:ascii="Century" w:hAnsi="Century" w:cs="Miriam" w:hint="eastAsia"/>
          <w:b/>
          <w:spacing w:val="0"/>
          <w:szCs w:val="24"/>
          <w:rtl/>
        </w:rPr>
        <w:t>נכס</w:t>
      </w:r>
      <w:r w:rsidRPr="00372969">
        <w:rPr>
          <w:rFonts w:ascii="Century" w:hAnsi="Century" w:cs="Miriam"/>
          <w:b/>
          <w:spacing w:val="0"/>
          <w:szCs w:val="24"/>
          <w:rtl/>
        </w:rPr>
        <w:t xml:space="preserve"> </w:t>
      </w:r>
      <w:r w:rsidRPr="00372969">
        <w:rPr>
          <w:rFonts w:ascii="Century" w:hAnsi="Century" w:cs="Miriam" w:hint="eastAsia"/>
          <w:b/>
          <w:spacing w:val="0"/>
          <w:szCs w:val="24"/>
          <w:rtl/>
        </w:rPr>
        <w:t>לבין</w:t>
      </w:r>
      <w:r w:rsidRPr="00372969">
        <w:rPr>
          <w:rFonts w:ascii="Century" w:hAnsi="Century" w:cs="Miriam"/>
          <w:b/>
          <w:spacing w:val="0"/>
          <w:szCs w:val="24"/>
          <w:rtl/>
        </w:rPr>
        <w:t xml:space="preserve"> </w:t>
      </w:r>
      <w:r w:rsidRPr="00372969">
        <w:rPr>
          <w:rFonts w:ascii="Century" w:hAnsi="Century" w:cs="Miriam" w:hint="eastAsia"/>
          <w:b/>
          <w:spacing w:val="0"/>
          <w:szCs w:val="24"/>
          <w:rtl/>
        </w:rPr>
        <w:t>טובתו</w:t>
      </w:r>
      <w:r w:rsidRPr="00372969">
        <w:rPr>
          <w:rFonts w:ascii="Century" w:hAnsi="Century" w:cs="Miriam"/>
          <w:b/>
          <w:spacing w:val="0"/>
          <w:szCs w:val="24"/>
          <w:rtl/>
        </w:rPr>
        <w:t xml:space="preserve"> </w:t>
      </w:r>
      <w:r w:rsidRPr="00372969">
        <w:rPr>
          <w:rFonts w:ascii="Century" w:hAnsi="Century" w:cs="Miriam" w:hint="eastAsia"/>
          <w:b/>
          <w:spacing w:val="0"/>
          <w:szCs w:val="24"/>
          <w:rtl/>
        </w:rPr>
        <w:t>של</w:t>
      </w:r>
      <w:r w:rsidRPr="00372969">
        <w:rPr>
          <w:rFonts w:ascii="Century" w:hAnsi="Century" w:cs="Miriam"/>
          <w:b/>
          <w:spacing w:val="0"/>
          <w:szCs w:val="24"/>
          <w:rtl/>
        </w:rPr>
        <w:t xml:space="preserve"> </w:t>
      </w:r>
      <w:r w:rsidRPr="00372969">
        <w:rPr>
          <w:rFonts w:ascii="Century" w:hAnsi="Century" w:cs="Miriam" w:hint="eastAsia"/>
          <w:b/>
          <w:spacing w:val="0"/>
          <w:szCs w:val="24"/>
          <w:rtl/>
        </w:rPr>
        <w:t>אחר</w:t>
      </w:r>
      <w:r w:rsidRPr="00372969">
        <w:rPr>
          <w:rFonts w:ascii="Century" w:hAnsi="Century" w:cs="Miriam"/>
          <w:b/>
          <w:spacing w:val="0"/>
          <w:szCs w:val="24"/>
          <w:rtl/>
        </w:rPr>
        <w:t xml:space="preserve"> </w:t>
      </w:r>
      <w:r w:rsidRPr="00372969">
        <w:rPr>
          <w:rFonts w:ascii="Century" w:hAnsi="Century" w:cs="Miriam" w:hint="eastAsia"/>
          <w:b/>
          <w:spacing w:val="0"/>
          <w:szCs w:val="24"/>
          <w:rtl/>
        </w:rPr>
        <w:t>הטוען</w:t>
      </w:r>
      <w:r w:rsidRPr="00372969">
        <w:rPr>
          <w:rFonts w:ascii="Century" w:hAnsi="Century" w:cs="Miriam"/>
          <w:b/>
          <w:spacing w:val="0"/>
          <w:szCs w:val="24"/>
          <w:rtl/>
        </w:rPr>
        <w:t xml:space="preserve"> </w:t>
      </w:r>
      <w:r w:rsidRPr="00372969">
        <w:rPr>
          <w:rFonts w:ascii="Century" w:hAnsi="Century" w:cs="Miriam" w:hint="eastAsia"/>
          <w:b/>
          <w:spacing w:val="0"/>
          <w:szCs w:val="24"/>
          <w:rtl/>
        </w:rPr>
        <w:t>אף</w:t>
      </w:r>
      <w:r w:rsidRPr="00372969">
        <w:rPr>
          <w:rFonts w:ascii="Century" w:hAnsi="Century" w:cs="Miriam"/>
          <w:b/>
          <w:spacing w:val="0"/>
          <w:szCs w:val="24"/>
          <w:rtl/>
        </w:rPr>
        <w:t xml:space="preserve"> </w:t>
      </w:r>
      <w:r w:rsidRPr="00372969">
        <w:rPr>
          <w:rFonts w:ascii="Century" w:hAnsi="Century" w:cs="Miriam" w:hint="eastAsia"/>
          <w:b/>
          <w:spacing w:val="0"/>
          <w:szCs w:val="24"/>
          <w:rtl/>
        </w:rPr>
        <w:t>הוא</w:t>
      </w:r>
      <w:r w:rsidRPr="00372969">
        <w:rPr>
          <w:rFonts w:ascii="Century" w:hAnsi="Century" w:cs="Miriam"/>
          <w:b/>
          <w:spacing w:val="0"/>
          <w:szCs w:val="24"/>
          <w:rtl/>
        </w:rPr>
        <w:t xml:space="preserve"> </w:t>
      </w:r>
      <w:r w:rsidRPr="00372969">
        <w:rPr>
          <w:rFonts w:ascii="Century" w:hAnsi="Century" w:cs="Miriam" w:hint="eastAsia"/>
          <w:b/>
          <w:spacing w:val="0"/>
          <w:szCs w:val="24"/>
          <w:rtl/>
        </w:rPr>
        <w:t>לזכות</w:t>
      </w:r>
      <w:r w:rsidRPr="00372969">
        <w:rPr>
          <w:rFonts w:ascii="Century" w:hAnsi="Century" w:cs="Miriam"/>
          <w:b/>
          <w:spacing w:val="0"/>
          <w:szCs w:val="24"/>
          <w:rtl/>
        </w:rPr>
        <w:t xml:space="preserve"> </w:t>
      </w:r>
      <w:r w:rsidRPr="00372969">
        <w:rPr>
          <w:rFonts w:ascii="Century" w:hAnsi="Century" w:cs="Miriam" w:hint="eastAsia"/>
          <w:b/>
          <w:spacing w:val="0"/>
          <w:szCs w:val="24"/>
          <w:rtl/>
        </w:rPr>
        <w:t>בנכס</w:t>
      </w:r>
      <w:r w:rsidRPr="00372969">
        <w:rPr>
          <w:rFonts w:ascii="Century" w:hAnsi="Century" w:cs="Miriam" w:hint="cs"/>
          <w:b/>
          <w:spacing w:val="0"/>
          <w:szCs w:val="24"/>
          <w:rtl/>
        </w:rPr>
        <w:t>"</w:t>
      </w:r>
      <w:r w:rsidRPr="00372969">
        <w:rPr>
          <w:rFonts w:hint="cs"/>
          <w:rtl/>
        </w:rPr>
        <w:t xml:space="preserve"> </w:t>
      </w:r>
      <w:r w:rsidRPr="00C24E5C">
        <w:rPr>
          <w:rFonts w:hint="cs"/>
          <w:rtl/>
        </w:rPr>
        <w:t xml:space="preserve">(ע"א 4609/99 </w:t>
      </w:r>
      <w:r w:rsidRPr="00372969">
        <w:rPr>
          <w:rFonts w:ascii="Century" w:hAnsi="Century" w:cs="Miriam" w:hint="cs"/>
          <w:b/>
          <w:spacing w:val="0"/>
          <w:szCs w:val="24"/>
          <w:rtl/>
        </w:rPr>
        <w:t>בעלי מקצוע נכסים (1997) בע"מ נ' סונדורס</w:t>
      </w:r>
      <w:r w:rsidRPr="00C24E5C">
        <w:rPr>
          <w:rFonts w:hint="cs"/>
          <w:rtl/>
        </w:rPr>
        <w:t>, פ"ד נו(6) 832, 847 (2002)).</w:t>
      </w:r>
    </w:p>
    <w:p w:rsidR="00295623" w:rsidRPr="00C24E5C" w:rsidRDefault="00295623" w:rsidP="00295623">
      <w:pPr>
        <w:pStyle w:val="Ruller41"/>
        <w:tabs>
          <w:tab w:val="left" w:pos="90"/>
        </w:tabs>
      </w:pPr>
    </w:p>
    <w:p w:rsidR="00295623" w:rsidRDefault="00295623" w:rsidP="00295623">
      <w:pPr>
        <w:pStyle w:val="Ruller4"/>
        <w:numPr>
          <w:ilvl w:val="0"/>
          <w:numId w:val="0"/>
        </w:numPr>
        <w:tabs>
          <w:tab w:val="left" w:pos="90"/>
        </w:tabs>
        <w:ind w:left="142"/>
      </w:pPr>
      <w:r>
        <w:rPr>
          <w:rFonts w:hint="cs"/>
          <w:rtl/>
        </w:rPr>
        <w:lastRenderedPageBreak/>
        <w:t>19.</w:t>
      </w:r>
      <w:r>
        <w:rPr>
          <w:rFonts w:hint="cs"/>
          <w:rtl/>
        </w:rPr>
        <w:tab/>
        <w:t xml:space="preserve">הפתרון המוצע בגדרי תקנות השוק השונות, מבחין בין כמה סוגי שיקולים: שיקולי </w:t>
      </w:r>
      <w:r w:rsidRPr="002B522B">
        <w:rPr>
          <w:szCs w:val="24"/>
        </w:rPr>
        <w:t>Ex-ante</w:t>
      </w:r>
      <w:r>
        <w:rPr>
          <w:rFonts w:hint="cs"/>
          <w:rtl/>
        </w:rPr>
        <w:t xml:space="preserve">, שיקולי </w:t>
      </w:r>
      <w:r w:rsidRPr="00797196">
        <w:rPr>
          <w:szCs w:val="24"/>
        </w:rPr>
        <w:t>Ex-post</w:t>
      </w:r>
      <w:r>
        <w:rPr>
          <w:rFonts w:hint="cs"/>
          <w:rtl/>
        </w:rPr>
        <w:t xml:space="preserve">, ושיקולים הנוגעים לטיב הזכות הרכושית העומדת להכרעה. במסגרת סט השיקולים הראשון, </w:t>
      </w:r>
      <w:r w:rsidRPr="00797196">
        <w:rPr>
          <w:szCs w:val="24"/>
        </w:rPr>
        <w:t>Ex-ante</w:t>
      </w:r>
      <w:r>
        <w:rPr>
          <w:rFonts w:hint="cs"/>
          <w:rtl/>
        </w:rPr>
        <w:t xml:space="preserve">, מובאים בחשבון שיקולים הנוגעים להתנהגות הצדדים המתחרים על הזכות, עובר לתאונה המשפטית. ההנחה שביסוד שיקולים אלה, דורשת התחשבות באשמתם היחסית של שני הצדדים, וביכולתם למנוע את התאונה המדוברת. שיקולי </w:t>
      </w:r>
      <w:r w:rsidRPr="00797196">
        <w:rPr>
          <w:szCs w:val="24"/>
        </w:rPr>
        <w:t>Ex-post</w:t>
      </w:r>
      <w:r w:rsidRPr="002B522B">
        <w:rPr>
          <w:sz w:val="28"/>
          <w:szCs w:val="32"/>
          <w:rtl/>
        </w:rPr>
        <w:t xml:space="preserve"> </w:t>
      </w:r>
      <w:r>
        <w:rPr>
          <w:rFonts w:hint="cs"/>
          <w:rtl/>
        </w:rPr>
        <w:t xml:space="preserve">לעומת זאת, נותנים דגש למצבם של הצדדים המתמודדים על הזכות, לאחר האירוע התאונתי. במסגרתם, על בית המשפט לבחון, למשל, את מידת ההסתמכות של הצדדים, הבאה לידי ביטוי, בין היתר, בשאלת התמורה שניתנה על-ידי כל אחד מהם. מערך שיקולים נוסף, קשור בטיב הזכות הרכושית הנטענת של כל אחד מן הצדדים המתחרים, ומהדבקת 'תווית' </w:t>
      </w:r>
      <w:r>
        <w:rPr>
          <w:rtl/>
        </w:rPr>
        <w:t>–</w:t>
      </w:r>
      <w:r>
        <w:rPr>
          <w:rFonts w:hint="cs"/>
          <w:rtl/>
        </w:rPr>
        <w:t xml:space="preserve"> קניינית או אובליגטורית </w:t>
      </w:r>
      <w:r>
        <w:rPr>
          <w:rtl/>
        </w:rPr>
        <w:t>–</w:t>
      </w:r>
      <w:r>
        <w:rPr>
          <w:rFonts w:hint="cs"/>
          <w:rtl/>
        </w:rPr>
        <w:t xml:space="preserve"> על זכות זו (להרחבה, ראו: מיגל דויטש "הקניין כ'תווית'? על תחרות זכויות ופורמליזם" </w:t>
      </w:r>
      <w:r w:rsidRPr="00A5028E">
        <w:rPr>
          <w:rFonts w:ascii="Century" w:hAnsi="Century" w:cs="Miriam" w:hint="cs"/>
          <w:b/>
          <w:spacing w:val="0"/>
          <w:sz w:val="22"/>
          <w:szCs w:val="24"/>
          <w:rtl/>
        </w:rPr>
        <w:t>הפרקליט</w:t>
      </w:r>
      <w:r w:rsidRPr="00E97D5F">
        <w:rPr>
          <w:rFonts w:ascii="Century" w:hAnsi="Century"/>
          <w:sz w:val="22"/>
          <w:rtl/>
        </w:rPr>
        <w:t xml:space="preserve"> </w:t>
      </w:r>
      <w:r w:rsidRPr="00E97D5F">
        <w:rPr>
          <w:rFonts w:ascii="Century" w:hAnsi="Century" w:hint="eastAsia"/>
          <w:sz w:val="22"/>
          <w:rtl/>
        </w:rPr>
        <w:t>מג</w:t>
      </w:r>
      <w:r>
        <w:rPr>
          <w:rFonts w:hint="cs"/>
          <w:rtl/>
        </w:rPr>
        <w:t xml:space="preserve"> 302, 303-302 (1996) (להלן: </w:t>
      </w:r>
      <w:r w:rsidRPr="006A1CE5">
        <w:rPr>
          <w:rFonts w:ascii="Century" w:hAnsi="Century" w:cs="Miriam" w:hint="cs"/>
          <w:b/>
          <w:spacing w:val="0"/>
          <w:sz w:val="22"/>
          <w:szCs w:val="24"/>
          <w:rtl/>
        </w:rPr>
        <w:t xml:space="preserve">דויטש </w:t>
      </w:r>
      <w:r w:rsidRPr="006A1CE5">
        <w:rPr>
          <w:rFonts w:ascii="Century" w:hAnsi="Century"/>
          <w:sz w:val="22"/>
          <w:rtl/>
        </w:rPr>
        <w:t>–</w:t>
      </w:r>
      <w:r w:rsidRPr="006A1CE5">
        <w:rPr>
          <w:rFonts w:ascii="Century" w:hAnsi="Century" w:cs="Miriam" w:hint="cs"/>
          <w:b/>
          <w:spacing w:val="0"/>
          <w:sz w:val="22"/>
          <w:szCs w:val="24"/>
          <w:rtl/>
        </w:rPr>
        <w:t xml:space="preserve"> קניין כתווית</w:t>
      </w:r>
      <w:r>
        <w:rPr>
          <w:rFonts w:hint="cs"/>
          <w:rtl/>
        </w:rPr>
        <w:t>)). אם נ</w:t>
      </w:r>
      <w:r w:rsidRPr="0026794B">
        <w:rPr>
          <w:rtl/>
        </w:rPr>
        <w:t>יישׂם</w:t>
      </w:r>
      <w:r>
        <w:rPr>
          <w:rFonts w:hint="cs"/>
          <w:rtl/>
        </w:rPr>
        <w:t xml:space="preserve"> זאת על ענייננו-אנו, נמצא כי בכל אחד משלושת סוגי השיקולים הללו, ידם של המחזיקים </w:t>
      </w:r>
      <w:r>
        <w:rPr>
          <w:rtl/>
        </w:rPr>
        <w:t>–</w:t>
      </w:r>
      <w:r>
        <w:rPr>
          <w:rFonts w:hint="cs"/>
          <w:rtl/>
        </w:rPr>
        <w:t xml:space="preserve"> על העליונה. </w:t>
      </w:r>
    </w:p>
    <w:p w:rsidR="00295623" w:rsidRDefault="00295623" w:rsidP="00295623">
      <w:pPr>
        <w:pStyle w:val="Ruller4"/>
        <w:numPr>
          <w:ilvl w:val="0"/>
          <w:numId w:val="0"/>
        </w:numPr>
        <w:tabs>
          <w:tab w:val="left" w:pos="90"/>
        </w:tabs>
        <w:spacing w:line="240" w:lineRule="auto"/>
        <w:rPr>
          <w:rtl/>
        </w:rPr>
      </w:pPr>
      <w:r>
        <w:rPr>
          <w:rFonts w:hint="cs"/>
          <w:rtl/>
        </w:rPr>
        <w:t xml:space="preserve"> </w:t>
      </w:r>
    </w:p>
    <w:p w:rsidR="00295623" w:rsidRDefault="00295623" w:rsidP="00295623">
      <w:pPr>
        <w:pStyle w:val="Ruller4"/>
        <w:numPr>
          <w:ilvl w:val="0"/>
          <w:numId w:val="0"/>
        </w:numPr>
        <w:tabs>
          <w:tab w:val="left" w:pos="90"/>
        </w:tabs>
        <w:ind w:left="142"/>
        <w:rPr>
          <w:rtl/>
        </w:rPr>
      </w:pPr>
      <w:r>
        <w:rPr>
          <w:rFonts w:hint="cs"/>
          <w:rtl/>
        </w:rPr>
        <w:t>20.</w:t>
      </w:r>
      <w:r>
        <w:rPr>
          <w:rFonts w:hint="cs"/>
          <w:rtl/>
        </w:rPr>
        <w:tab/>
        <w:t xml:space="preserve">אתחיל דווקא במערך השיקולים השלישי. המקרה דנן, אינו עוסק בתחרות זכויות בין </w:t>
      </w:r>
      <w:r w:rsidRPr="00C720E9">
        <w:rPr>
          <w:rFonts w:ascii="Century" w:hAnsi="Century" w:cs="Miriam" w:hint="cs"/>
          <w:b/>
          <w:spacing w:val="0"/>
          <w:sz w:val="22"/>
          <w:szCs w:val="24"/>
          <w:rtl/>
        </w:rPr>
        <w:t>הבעלים המקורי</w:t>
      </w:r>
      <w:r w:rsidRPr="00C720E9">
        <w:rPr>
          <w:rFonts w:hint="cs"/>
          <w:rtl/>
        </w:rPr>
        <w:t xml:space="preserve"> </w:t>
      </w:r>
      <w:r>
        <w:rPr>
          <w:rFonts w:hint="cs"/>
          <w:rtl/>
        </w:rPr>
        <w:t xml:space="preserve">לבין רוכש זכויות תם לב. אין לפנינו תחרות בין בעל זכויות </w:t>
      </w:r>
      <w:r w:rsidRPr="00E97D5F">
        <w:rPr>
          <w:rFonts w:ascii="Century" w:hAnsi="Century" w:cs="Miriam" w:hint="cs"/>
          <w:b/>
          <w:spacing w:val="0"/>
          <w:sz w:val="22"/>
          <w:szCs w:val="24"/>
          <w:rtl/>
        </w:rPr>
        <w:t>קנייניות</w:t>
      </w:r>
      <w:r w:rsidRPr="00E97D5F">
        <w:rPr>
          <w:rFonts w:hint="cs"/>
          <w:rtl/>
        </w:rPr>
        <w:t xml:space="preserve"> </w:t>
      </w:r>
      <w:r>
        <w:rPr>
          <w:rFonts w:hint="cs"/>
          <w:rtl/>
        </w:rPr>
        <w:t xml:space="preserve">לבין בעל זכויות אובליגטוריות. המשיבים אמנם טוענים, כי רכשו זכויות מאת הבעלים המקורי, אך לא נטען כי הזכויות השתכללו לכדי מעמד קנייני. מעבר לכך, ואולי זה עיקר </w:t>
      </w:r>
      <w:r>
        <w:rPr>
          <w:rtl/>
        </w:rPr>
        <w:t>–</w:t>
      </w:r>
      <w:r>
        <w:rPr>
          <w:rFonts w:hint="cs"/>
          <w:rtl/>
        </w:rPr>
        <w:t xml:space="preserve"> הטענה לרכישת זכויות לא הוּכחה כלל וכלל, והבעלים המקורי, ככל שישנו </w:t>
      </w:r>
      <w:r>
        <w:rPr>
          <w:rtl/>
        </w:rPr>
        <w:t>–</w:t>
      </w:r>
      <w:r>
        <w:rPr>
          <w:rFonts w:hint="cs"/>
          <w:rtl/>
        </w:rPr>
        <w:t xml:space="preserve"> </w:t>
      </w:r>
      <w:r w:rsidRPr="002A75B4">
        <w:rPr>
          <w:rFonts w:ascii="Century" w:hAnsi="Century" w:hint="cs"/>
          <w:sz w:val="22"/>
          <w:rtl/>
        </w:rPr>
        <w:t xml:space="preserve">אינו </w:t>
      </w:r>
      <w:r>
        <w:rPr>
          <w:rFonts w:ascii="Century" w:hAnsi="Century" w:hint="cs"/>
          <w:sz w:val="22"/>
          <w:rtl/>
        </w:rPr>
        <w:t xml:space="preserve">ניצב כאן </w:t>
      </w:r>
      <w:r w:rsidRPr="002A75B4">
        <w:rPr>
          <w:rFonts w:ascii="Century" w:hAnsi="Century" w:hint="cs"/>
          <w:sz w:val="22"/>
          <w:rtl/>
        </w:rPr>
        <w:t>לפנינו</w:t>
      </w:r>
      <w:r w:rsidRPr="005B2D45">
        <w:rPr>
          <w:rFonts w:ascii="Century" w:hAnsi="Century" w:hint="cs"/>
          <w:b/>
          <w:spacing w:val="0"/>
          <w:sz w:val="22"/>
          <w:rtl/>
        </w:rPr>
        <w:t xml:space="preserve">: </w:t>
      </w:r>
      <w:r w:rsidRPr="00797196">
        <w:rPr>
          <w:rFonts w:ascii="Century" w:hAnsi="Century" w:cs="Miriam" w:hint="cs"/>
          <w:b/>
          <w:spacing w:val="0"/>
          <w:sz w:val="22"/>
          <w:szCs w:val="24"/>
          <w:rtl/>
        </w:rPr>
        <w:t>"</w:t>
      </w:r>
      <w:r w:rsidRPr="00797196">
        <w:rPr>
          <w:rFonts w:ascii="Century" w:hAnsi="Century" w:cs="Miriam" w:hint="eastAsia"/>
          <w:b/>
          <w:spacing w:val="0"/>
          <w:sz w:val="22"/>
          <w:szCs w:val="24"/>
          <w:rtl/>
        </w:rPr>
        <w:t>על</w:t>
      </w:r>
      <w:r w:rsidRPr="00797196">
        <w:rPr>
          <w:rFonts w:ascii="Century" w:hAnsi="Century" w:cs="Miriam"/>
          <w:b/>
          <w:spacing w:val="0"/>
          <w:sz w:val="22"/>
          <w:szCs w:val="24"/>
          <w:rtl/>
        </w:rPr>
        <w:t xml:space="preserve"> </w:t>
      </w:r>
      <w:r w:rsidRPr="00797196">
        <w:rPr>
          <w:rFonts w:ascii="Century" w:hAnsi="Century" w:cs="Miriam" w:hint="eastAsia"/>
          <w:b/>
          <w:spacing w:val="0"/>
          <w:sz w:val="22"/>
          <w:szCs w:val="24"/>
          <w:rtl/>
        </w:rPr>
        <w:t>פני</w:t>
      </w:r>
      <w:r w:rsidRPr="00797196">
        <w:rPr>
          <w:rFonts w:ascii="Century" w:hAnsi="Century" w:cs="Miriam"/>
          <w:b/>
          <w:spacing w:val="0"/>
          <w:sz w:val="22"/>
          <w:szCs w:val="24"/>
          <w:rtl/>
        </w:rPr>
        <w:t xml:space="preserve"> </w:t>
      </w:r>
      <w:r w:rsidRPr="00797196">
        <w:rPr>
          <w:rFonts w:ascii="Century" w:hAnsi="Century" w:cs="Miriam" w:hint="eastAsia"/>
          <w:b/>
          <w:spacing w:val="0"/>
          <w:sz w:val="22"/>
          <w:szCs w:val="24"/>
          <w:rtl/>
        </w:rPr>
        <w:t>הדברים</w:t>
      </w:r>
      <w:r w:rsidRPr="00797196">
        <w:rPr>
          <w:rFonts w:ascii="Century" w:hAnsi="Century" w:cs="Miriam"/>
          <w:b/>
          <w:spacing w:val="0"/>
          <w:sz w:val="22"/>
          <w:szCs w:val="24"/>
          <w:rtl/>
        </w:rPr>
        <w:t xml:space="preserve"> </w:t>
      </w:r>
      <w:r w:rsidRPr="00797196">
        <w:rPr>
          <w:rFonts w:ascii="Century" w:hAnsi="Century" w:cs="Miriam" w:hint="eastAsia"/>
          <w:b/>
          <w:spacing w:val="0"/>
          <w:sz w:val="22"/>
          <w:szCs w:val="24"/>
          <w:rtl/>
        </w:rPr>
        <w:t>הראיות</w:t>
      </w:r>
      <w:r w:rsidRPr="00797196">
        <w:rPr>
          <w:rFonts w:ascii="Century" w:hAnsi="Century" w:cs="Miriam"/>
          <w:b/>
          <w:spacing w:val="0"/>
          <w:sz w:val="22"/>
          <w:szCs w:val="24"/>
          <w:rtl/>
        </w:rPr>
        <w:t xml:space="preserve"> </w:t>
      </w:r>
      <w:r w:rsidRPr="00797196">
        <w:rPr>
          <w:rFonts w:ascii="Century" w:hAnsi="Century" w:cs="Miriam" w:hint="eastAsia"/>
          <w:b/>
          <w:spacing w:val="0"/>
          <w:sz w:val="22"/>
          <w:szCs w:val="24"/>
          <w:rtl/>
        </w:rPr>
        <w:t>שהובאו</w:t>
      </w:r>
      <w:r w:rsidRPr="00797196">
        <w:rPr>
          <w:rFonts w:ascii="Century" w:hAnsi="Century" w:cs="Miriam"/>
          <w:b/>
          <w:spacing w:val="0"/>
          <w:sz w:val="22"/>
          <w:szCs w:val="24"/>
          <w:rtl/>
        </w:rPr>
        <w:t xml:space="preserve"> </w:t>
      </w:r>
      <w:r w:rsidRPr="00797196">
        <w:rPr>
          <w:rFonts w:ascii="Century" w:hAnsi="Century" w:cs="Miriam" w:hint="eastAsia"/>
          <w:b/>
          <w:spacing w:val="0"/>
          <w:sz w:val="22"/>
          <w:szCs w:val="24"/>
          <w:rtl/>
        </w:rPr>
        <w:t>רחוקות</w:t>
      </w:r>
      <w:r w:rsidRPr="00797196">
        <w:rPr>
          <w:rFonts w:ascii="Century" w:hAnsi="Century" w:cs="Miriam"/>
          <w:b/>
          <w:spacing w:val="0"/>
          <w:sz w:val="22"/>
          <w:szCs w:val="24"/>
          <w:rtl/>
        </w:rPr>
        <w:t xml:space="preserve"> </w:t>
      </w:r>
      <w:r w:rsidRPr="00797196">
        <w:rPr>
          <w:rFonts w:ascii="Century" w:hAnsi="Century" w:cs="Miriam" w:hint="eastAsia"/>
          <w:b/>
          <w:spacing w:val="0"/>
          <w:sz w:val="22"/>
          <w:szCs w:val="24"/>
          <w:rtl/>
        </w:rPr>
        <w:t>מלהספיק</w:t>
      </w:r>
      <w:r w:rsidRPr="00797196">
        <w:rPr>
          <w:rFonts w:ascii="Century" w:hAnsi="Century" w:cs="Miriam"/>
          <w:b/>
          <w:spacing w:val="0"/>
          <w:sz w:val="22"/>
          <w:szCs w:val="24"/>
          <w:rtl/>
        </w:rPr>
        <w:t xml:space="preserve"> </w:t>
      </w:r>
      <w:r w:rsidRPr="00797196">
        <w:rPr>
          <w:rFonts w:ascii="Century" w:hAnsi="Century" w:cs="Miriam" w:hint="eastAsia"/>
          <w:b/>
          <w:spacing w:val="0"/>
          <w:sz w:val="22"/>
          <w:szCs w:val="24"/>
          <w:rtl/>
        </w:rPr>
        <w:t>למטרה</w:t>
      </w:r>
      <w:r w:rsidRPr="00797196">
        <w:rPr>
          <w:rFonts w:ascii="Century" w:hAnsi="Century" w:cs="Miriam"/>
          <w:b/>
          <w:spacing w:val="0"/>
          <w:sz w:val="22"/>
          <w:szCs w:val="24"/>
          <w:rtl/>
        </w:rPr>
        <w:t xml:space="preserve"> </w:t>
      </w:r>
      <w:r w:rsidRPr="00797196">
        <w:rPr>
          <w:rFonts w:ascii="Century" w:hAnsi="Century" w:cs="Miriam" w:hint="eastAsia"/>
          <w:b/>
          <w:spacing w:val="0"/>
          <w:sz w:val="22"/>
          <w:szCs w:val="24"/>
          <w:rtl/>
        </w:rPr>
        <w:t>זו</w:t>
      </w:r>
      <w:r w:rsidRPr="00797196">
        <w:rPr>
          <w:rFonts w:ascii="Century" w:hAnsi="Century" w:cs="Miriam"/>
          <w:b/>
          <w:spacing w:val="0"/>
          <w:sz w:val="22"/>
          <w:szCs w:val="24"/>
          <w:rtl/>
        </w:rPr>
        <w:t xml:space="preserve">, </w:t>
      </w:r>
      <w:r w:rsidRPr="00797196">
        <w:rPr>
          <w:rFonts w:ascii="Century" w:hAnsi="Century" w:cs="Miriam" w:hint="eastAsia"/>
          <w:b/>
          <w:spacing w:val="0"/>
          <w:sz w:val="22"/>
          <w:szCs w:val="24"/>
          <w:rtl/>
        </w:rPr>
        <w:t>ומכל</w:t>
      </w:r>
      <w:r w:rsidRPr="00797196">
        <w:rPr>
          <w:rFonts w:ascii="Century" w:hAnsi="Century" w:cs="Miriam"/>
          <w:b/>
          <w:spacing w:val="0"/>
          <w:sz w:val="22"/>
          <w:szCs w:val="24"/>
          <w:rtl/>
        </w:rPr>
        <w:t xml:space="preserve"> </w:t>
      </w:r>
      <w:r w:rsidRPr="00797196">
        <w:rPr>
          <w:rFonts w:ascii="Century" w:hAnsi="Century" w:cs="Miriam" w:hint="eastAsia"/>
          <w:b/>
          <w:spacing w:val="0"/>
          <w:sz w:val="22"/>
          <w:szCs w:val="24"/>
          <w:rtl/>
        </w:rPr>
        <w:t>מקום</w:t>
      </w:r>
      <w:r w:rsidRPr="00797196">
        <w:rPr>
          <w:rFonts w:ascii="Century" w:hAnsi="Century" w:cs="Miriam"/>
          <w:b/>
          <w:spacing w:val="0"/>
          <w:sz w:val="22"/>
          <w:szCs w:val="24"/>
          <w:rtl/>
        </w:rPr>
        <w:t xml:space="preserve"> </w:t>
      </w:r>
      <w:r w:rsidRPr="00797196">
        <w:rPr>
          <w:rFonts w:ascii="Century" w:hAnsi="Century" w:cs="Miriam" w:hint="eastAsia"/>
          <w:b/>
          <w:spacing w:val="0"/>
          <w:sz w:val="22"/>
          <w:szCs w:val="24"/>
          <w:rtl/>
        </w:rPr>
        <w:t>אין</w:t>
      </w:r>
      <w:r w:rsidRPr="00797196">
        <w:rPr>
          <w:rFonts w:ascii="Century" w:hAnsi="Century" w:cs="Miriam"/>
          <w:b/>
          <w:spacing w:val="0"/>
          <w:sz w:val="22"/>
          <w:szCs w:val="24"/>
          <w:rtl/>
        </w:rPr>
        <w:t xml:space="preserve"> </w:t>
      </w:r>
      <w:r w:rsidRPr="00797196">
        <w:rPr>
          <w:rFonts w:ascii="Century" w:hAnsi="Century" w:cs="Miriam" w:hint="eastAsia"/>
          <w:b/>
          <w:spacing w:val="0"/>
          <w:sz w:val="22"/>
          <w:szCs w:val="24"/>
          <w:rtl/>
        </w:rPr>
        <w:t>חולק</w:t>
      </w:r>
      <w:r w:rsidRPr="00797196">
        <w:rPr>
          <w:rFonts w:ascii="Century" w:hAnsi="Century" w:cs="Miriam"/>
          <w:b/>
          <w:spacing w:val="0"/>
          <w:sz w:val="22"/>
          <w:szCs w:val="24"/>
          <w:rtl/>
        </w:rPr>
        <w:t xml:space="preserve"> </w:t>
      </w:r>
      <w:r w:rsidRPr="00797196">
        <w:rPr>
          <w:rFonts w:ascii="Century" w:hAnsi="Century" w:cs="Miriam" w:hint="eastAsia"/>
          <w:b/>
          <w:spacing w:val="0"/>
          <w:sz w:val="22"/>
          <w:szCs w:val="24"/>
          <w:rtl/>
        </w:rPr>
        <w:t>כי</w:t>
      </w:r>
      <w:r w:rsidRPr="00797196">
        <w:rPr>
          <w:rFonts w:ascii="Century" w:hAnsi="Century" w:cs="Miriam"/>
          <w:b/>
          <w:spacing w:val="0"/>
          <w:sz w:val="22"/>
          <w:szCs w:val="24"/>
          <w:rtl/>
        </w:rPr>
        <w:t xml:space="preserve"> </w:t>
      </w:r>
      <w:r w:rsidRPr="00797196">
        <w:rPr>
          <w:rFonts w:ascii="Century" w:hAnsi="Century" w:cs="Miriam" w:hint="eastAsia"/>
          <w:b/>
          <w:spacing w:val="0"/>
          <w:sz w:val="22"/>
          <w:szCs w:val="24"/>
          <w:rtl/>
        </w:rPr>
        <w:t>הנתבעים</w:t>
      </w:r>
      <w:r w:rsidRPr="00797196">
        <w:rPr>
          <w:rFonts w:ascii="Century" w:hAnsi="Century" w:cs="Miriam"/>
          <w:b/>
          <w:spacing w:val="0"/>
          <w:sz w:val="22"/>
          <w:szCs w:val="24"/>
          <w:rtl/>
        </w:rPr>
        <w:t xml:space="preserve"> </w:t>
      </w:r>
      <w:r w:rsidRPr="00797196">
        <w:rPr>
          <w:rFonts w:ascii="Century" w:hAnsi="Century" w:cs="Miriam" w:hint="eastAsia"/>
          <w:b/>
          <w:spacing w:val="0"/>
          <w:sz w:val="22"/>
          <w:szCs w:val="24"/>
          <w:rtl/>
        </w:rPr>
        <w:t>לא</w:t>
      </w:r>
      <w:r w:rsidRPr="00797196">
        <w:rPr>
          <w:rFonts w:ascii="Century" w:hAnsi="Century" w:cs="Miriam"/>
          <w:b/>
          <w:spacing w:val="0"/>
          <w:sz w:val="22"/>
          <w:szCs w:val="24"/>
          <w:rtl/>
        </w:rPr>
        <w:t xml:space="preserve"> </w:t>
      </w:r>
      <w:r w:rsidRPr="00797196">
        <w:rPr>
          <w:rFonts w:ascii="Century" w:hAnsi="Century" w:cs="Miriam" w:hint="eastAsia"/>
          <w:b/>
          <w:spacing w:val="0"/>
          <w:sz w:val="22"/>
          <w:szCs w:val="24"/>
          <w:rtl/>
        </w:rPr>
        <w:t>נרשמו</w:t>
      </w:r>
      <w:r w:rsidRPr="00797196">
        <w:rPr>
          <w:rFonts w:ascii="Century" w:hAnsi="Century" w:cs="Miriam"/>
          <w:b/>
          <w:spacing w:val="0"/>
          <w:sz w:val="22"/>
          <w:szCs w:val="24"/>
          <w:rtl/>
        </w:rPr>
        <w:t xml:space="preserve"> </w:t>
      </w:r>
      <w:r w:rsidRPr="00797196">
        <w:rPr>
          <w:rFonts w:ascii="Century" w:hAnsi="Century" w:cs="Miriam" w:hint="eastAsia"/>
          <w:b/>
          <w:spacing w:val="0"/>
          <w:sz w:val="22"/>
          <w:szCs w:val="24"/>
          <w:rtl/>
        </w:rPr>
        <w:t>כבעלים</w:t>
      </w:r>
      <w:r w:rsidRPr="00797196">
        <w:rPr>
          <w:rFonts w:ascii="Century" w:hAnsi="Century" w:cs="Miriam"/>
          <w:b/>
          <w:spacing w:val="0"/>
          <w:sz w:val="22"/>
          <w:szCs w:val="24"/>
          <w:rtl/>
        </w:rPr>
        <w:t xml:space="preserve"> </w:t>
      </w:r>
      <w:r w:rsidRPr="00797196">
        <w:rPr>
          <w:rFonts w:ascii="Century" w:hAnsi="Century" w:cs="Miriam" w:hint="eastAsia"/>
          <w:b/>
          <w:spacing w:val="0"/>
          <w:sz w:val="22"/>
          <w:szCs w:val="24"/>
          <w:rtl/>
        </w:rPr>
        <w:t>של</w:t>
      </w:r>
      <w:r w:rsidRPr="00797196">
        <w:rPr>
          <w:rFonts w:ascii="Century" w:hAnsi="Century" w:cs="Miriam"/>
          <w:b/>
          <w:spacing w:val="0"/>
          <w:sz w:val="22"/>
          <w:szCs w:val="24"/>
          <w:rtl/>
        </w:rPr>
        <w:t xml:space="preserve"> </w:t>
      </w:r>
      <w:r w:rsidRPr="00797196">
        <w:rPr>
          <w:rFonts w:ascii="Century" w:hAnsi="Century" w:cs="Miriam" w:hint="eastAsia"/>
          <w:b/>
          <w:spacing w:val="0"/>
          <w:sz w:val="22"/>
          <w:szCs w:val="24"/>
          <w:rtl/>
        </w:rPr>
        <w:t>החלקות</w:t>
      </w:r>
      <w:r w:rsidRPr="00797196">
        <w:rPr>
          <w:rFonts w:ascii="Century" w:hAnsi="Century" w:cs="Miriam"/>
          <w:b/>
          <w:spacing w:val="0"/>
          <w:sz w:val="22"/>
          <w:szCs w:val="24"/>
          <w:rtl/>
        </w:rPr>
        <w:t xml:space="preserve"> </w:t>
      </w:r>
      <w:r w:rsidRPr="00797196">
        <w:rPr>
          <w:rFonts w:ascii="Century" w:hAnsi="Century" w:cs="Miriam" w:hint="eastAsia"/>
          <w:b/>
          <w:spacing w:val="0"/>
          <w:sz w:val="22"/>
          <w:szCs w:val="24"/>
          <w:rtl/>
        </w:rPr>
        <w:t>במקרקעין</w:t>
      </w:r>
      <w:r w:rsidRPr="00797196">
        <w:rPr>
          <w:rFonts w:ascii="Century" w:hAnsi="Century" w:cs="Miriam" w:hint="cs"/>
          <w:b/>
          <w:spacing w:val="0"/>
          <w:sz w:val="22"/>
          <w:szCs w:val="24"/>
          <w:rtl/>
        </w:rPr>
        <w:t>"</w:t>
      </w:r>
      <w:r w:rsidRPr="005B2D45">
        <w:rPr>
          <w:rFonts w:hint="cs"/>
          <w:rtl/>
        </w:rPr>
        <w:t xml:space="preserve"> </w:t>
      </w:r>
      <w:r>
        <w:rPr>
          <w:rFonts w:hint="cs"/>
          <w:rtl/>
        </w:rPr>
        <w:t xml:space="preserve">(פסק הדין של בית המשפט המחוזי, פסקה 190). קביעה זו נותרה על מכונה, גם במסגרת פסק הדין בערעור. </w:t>
      </w:r>
    </w:p>
    <w:p w:rsidR="00295623" w:rsidRPr="005B2D45" w:rsidRDefault="00295623" w:rsidP="00295623">
      <w:pPr>
        <w:pStyle w:val="Ruller41"/>
        <w:tabs>
          <w:tab w:val="left" w:pos="90"/>
        </w:tabs>
        <w:spacing w:line="240" w:lineRule="auto"/>
      </w:pPr>
    </w:p>
    <w:p w:rsidR="00295623" w:rsidRDefault="00295623" w:rsidP="001401FC">
      <w:pPr>
        <w:pStyle w:val="Ruller4"/>
        <w:numPr>
          <w:ilvl w:val="0"/>
          <w:numId w:val="0"/>
        </w:numPr>
        <w:tabs>
          <w:tab w:val="left" w:pos="90"/>
        </w:tabs>
        <w:ind w:left="142"/>
        <w:rPr>
          <w:rtl/>
        </w:rPr>
      </w:pPr>
      <w:r>
        <w:rPr>
          <w:rFonts w:hint="cs"/>
          <w:rtl/>
        </w:rPr>
        <w:t>21.</w:t>
      </w:r>
      <w:r>
        <w:rPr>
          <w:rFonts w:hint="cs"/>
          <w:rtl/>
        </w:rPr>
        <w:tab/>
        <w:t xml:space="preserve">אשר להתנהגות הצדדים (שיקולי </w:t>
      </w:r>
      <w:r w:rsidRPr="00797196">
        <w:rPr>
          <w:szCs w:val="24"/>
        </w:rPr>
        <w:t>Ex-ante</w:t>
      </w:r>
      <w:r>
        <w:rPr>
          <w:rFonts w:hint="cs"/>
          <w:rtl/>
        </w:rPr>
        <w:t xml:space="preserve">) </w:t>
      </w:r>
      <w:r>
        <w:rPr>
          <w:rtl/>
        </w:rPr>
        <w:t>–</w:t>
      </w:r>
      <w:r>
        <w:rPr>
          <w:rFonts w:hint="cs"/>
          <w:rtl/>
        </w:rPr>
        <w:t xml:space="preserve"> המשיבים, גם לשיטתם-שלהם, רכשו את הזכויות במקרקעין רק בשנים 2001 ו-2010, לאחר שהישוב מצפה כרמים הכה שורשים בקרקע (בפרט המשיב 3 </w:t>
      </w:r>
      <w:r>
        <w:rPr>
          <w:rtl/>
        </w:rPr>
        <w:t>–</w:t>
      </w:r>
      <w:r>
        <w:rPr>
          <w:rFonts w:hint="cs"/>
          <w:rtl/>
        </w:rPr>
        <w:t xml:space="preserve"> אשר ביצע את עסקת הרכישה הנטענת בחלוף למעלה מעשור-שנים לאחר ישוב הקרקע), </w:t>
      </w:r>
      <w:r w:rsidRPr="005B45E4">
        <w:rPr>
          <w:rFonts w:hint="cs"/>
          <w:rtl/>
        </w:rPr>
        <w:t xml:space="preserve">ושנים </w:t>
      </w:r>
      <w:r>
        <w:rPr>
          <w:rFonts w:hint="cs"/>
          <w:rtl/>
        </w:rPr>
        <w:t xml:space="preserve">רבות </w:t>
      </w:r>
      <w:r w:rsidRPr="005B45E4">
        <w:rPr>
          <w:rFonts w:hint="cs"/>
          <w:rtl/>
        </w:rPr>
        <w:t>לאחר שאושרה תכנית 223, בשנת 1982, שבשטחה נכללו המקרקעין הנתונים במחלוקת (גם אם בשגגה)</w:t>
      </w:r>
      <w:r>
        <w:rPr>
          <w:rFonts w:hint="cs"/>
          <w:rtl/>
        </w:rPr>
        <w:t>. לפיכך, ההנחה המתבקשת היא, שהמשיבים-הרוכשים, היו מודעים היטב לקיומו של הישוב, במועד שבו התקשרו, ככל שהתקשרו, בעסקה לרכישת זכויות בקרקע.</w:t>
      </w:r>
      <w:r w:rsidRPr="0088593A">
        <w:rPr>
          <w:rFonts w:hint="cs"/>
          <w:rtl/>
        </w:rPr>
        <w:t xml:space="preserve"> </w:t>
      </w:r>
      <w:r>
        <w:rPr>
          <w:rFonts w:hint="cs"/>
          <w:rtl/>
        </w:rPr>
        <w:t xml:space="preserve">לא זו אף זו: המשיבים גם לא פעלו, למעשה עד עצם היום הזה (למצער לא הוכח אחרת), לרישום זכויותיהם הנטענות. לעובדות אלו, עשויה להיות משמעות, בעת שבוחנים אם ניתן היה </w:t>
      </w:r>
      <w:r>
        <w:rPr>
          <w:rFonts w:hint="cs"/>
          <w:rtl/>
        </w:rPr>
        <w:lastRenderedPageBreak/>
        <w:t>למנוע באופן אפקטיבי, כבר מלכתחילה, את 'התאונה המשפטית', במישור היחסים שביניהם לבין המחזיקים (ראו, על דרך ההיקש, את שנקבע ב</w:t>
      </w:r>
      <w:r w:rsidRPr="00090369">
        <w:rPr>
          <w:rFonts w:hint="eastAsia"/>
          <w:rtl/>
        </w:rPr>
        <w:t>ע</w:t>
      </w:r>
      <w:r w:rsidRPr="00090369">
        <w:rPr>
          <w:rtl/>
        </w:rPr>
        <w:t>"</w:t>
      </w:r>
      <w:r w:rsidRPr="00090369">
        <w:rPr>
          <w:rFonts w:hint="eastAsia"/>
          <w:rtl/>
        </w:rPr>
        <w:t>א</w:t>
      </w:r>
      <w:r w:rsidRPr="00090369">
        <w:rPr>
          <w:rtl/>
        </w:rPr>
        <w:t xml:space="preserve"> </w:t>
      </w:r>
      <w:r>
        <w:rPr>
          <w:rFonts w:hint="cs"/>
          <w:rtl/>
        </w:rPr>
        <w:t>2643/97</w:t>
      </w:r>
      <w:r w:rsidRPr="00090369">
        <w:rPr>
          <w:rtl/>
        </w:rPr>
        <w:t xml:space="preserve"> </w:t>
      </w:r>
      <w:r w:rsidRPr="00090369">
        <w:rPr>
          <w:rFonts w:ascii="Century" w:hAnsi="Century" w:cs="Miriam" w:hint="eastAsia"/>
          <w:b/>
          <w:spacing w:val="0"/>
          <w:sz w:val="22"/>
          <w:szCs w:val="24"/>
          <w:rtl/>
        </w:rPr>
        <w:t>גנז</w:t>
      </w:r>
      <w:r w:rsidRPr="00090369">
        <w:rPr>
          <w:rFonts w:ascii="Century" w:hAnsi="Century" w:cs="Miriam"/>
          <w:b/>
          <w:spacing w:val="0"/>
          <w:sz w:val="22"/>
          <w:szCs w:val="24"/>
          <w:rtl/>
        </w:rPr>
        <w:t xml:space="preserve"> </w:t>
      </w:r>
      <w:r w:rsidRPr="00090369">
        <w:rPr>
          <w:rFonts w:ascii="Century" w:hAnsi="Century" w:cs="Miriam" w:hint="eastAsia"/>
          <w:b/>
          <w:spacing w:val="0"/>
          <w:sz w:val="22"/>
          <w:szCs w:val="24"/>
          <w:rtl/>
        </w:rPr>
        <w:t>נ</w:t>
      </w:r>
      <w:r w:rsidRPr="00090369">
        <w:rPr>
          <w:rFonts w:ascii="Century" w:hAnsi="Century" w:cs="Miriam"/>
          <w:b/>
          <w:spacing w:val="0"/>
          <w:sz w:val="22"/>
          <w:szCs w:val="24"/>
          <w:rtl/>
        </w:rPr>
        <w:t xml:space="preserve">' </w:t>
      </w:r>
      <w:r w:rsidRPr="00090369">
        <w:rPr>
          <w:rFonts w:ascii="Century" w:hAnsi="Century" w:cs="Miriam" w:hint="eastAsia"/>
          <w:b/>
          <w:spacing w:val="0"/>
          <w:sz w:val="22"/>
          <w:szCs w:val="24"/>
          <w:rtl/>
        </w:rPr>
        <w:t>בריטיש</w:t>
      </w:r>
      <w:r w:rsidRPr="00090369">
        <w:rPr>
          <w:rFonts w:ascii="Century" w:hAnsi="Century" w:cs="Miriam"/>
          <w:b/>
          <w:spacing w:val="0"/>
          <w:sz w:val="22"/>
          <w:szCs w:val="24"/>
          <w:rtl/>
        </w:rPr>
        <w:t xml:space="preserve"> </w:t>
      </w:r>
      <w:r w:rsidRPr="00090369">
        <w:rPr>
          <w:rFonts w:ascii="Century" w:hAnsi="Century" w:cs="Miriam" w:hint="eastAsia"/>
          <w:b/>
          <w:spacing w:val="0"/>
          <w:sz w:val="22"/>
          <w:szCs w:val="24"/>
          <w:rtl/>
        </w:rPr>
        <w:t>וקולוניאל</w:t>
      </w:r>
      <w:r w:rsidRPr="00090369">
        <w:rPr>
          <w:rFonts w:ascii="Century" w:hAnsi="Century" w:cs="Miriam"/>
          <w:b/>
          <w:spacing w:val="0"/>
          <w:sz w:val="22"/>
          <w:szCs w:val="24"/>
          <w:rtl/>
        </w:rPr>
        <w:t xml:space="preserve"> </w:t>
      </w:r>
      <w:r w:rsidRPr="00090369">
        <w:rPr>
          <w:rFonts w:ascii="Century" w:hAnsi="Century" w:cs="Miriam" w:hint="eastAsia"/>
          <w:b/>
          <w:spacing w:val="0"/>
          <w:sz w:val="22"/>
          <w:szCs w:val="24"/>
          <w:rtl/>
        </w:rPr>
        <w:t>חברה</w:t>
      </w:r>
      <w:r w:rsidRPr="00090369">
        <w:rPr>
          <w:rFonts w:ascii="Century" w:hAnsi="Century" w:cs="Miriam"/>
          <w:b/>
          <w:spacing w:val="0"/>
          <w:sz w:val="22"/>
          <w:szCs w:val="24"/>
          <w:rtl/>
        </w:rPr>
        <w:t xml:space="preserve"> </w:t>
      </w:r>
      <w:r w:rsidRPr="00090369">
        <w:rPr>
          <w:rFonts w:ascii="Century" w:hAnsi="Century" w:cs="Miriam" w:hint="eastAsia"/>
          <w:b/>
          <w:spacing w:val="0"/>
          <w:sz w:val="22"/>
          <w:szCs w:val="24"/>
          <w:rtl/>
        </w:rPr>
        <w:t>בע</w:t>
      </w:r>
      <w:r w:rsidRPr="00090369">
        <w:rPr>
          <w:rFonts w:ascii="Century" w:hAnsi="Century" w:cs="Miriam"/>
          <w:b/>
          <w:spacing w:val="0"/>
          <w:sz w:val="22"/>
          <w:szCs w:val="24"/>
          <w:rtl/>
        </w:rPr>
        <w:t>"</w:t>
      </w:r>
      <w:r w:rsidRPr="00090369">
        <w:rPr>
          <w:rFonts w:ascii="Century" w:hAnsi="Century" w:cs="Miriam" w:hint="eastAsia"/>
          <w:b/>
          <w:spacing w:val="0"/>
          <w:sz w:val="22"/>
          <w:szCs w:val="24"/>
          <w:rtl/>
        </w:rPr>
        <w:t>מ</w:t>
      </w:r>
      <w:r w:rsidRPr="00090369">
        <w:rPr>
          <w:rtl/>
        </w:rPr>
        <w:t xml:space="preserve">, </w:t>
      </w:r>
      <w:r w:rsidRPr="00090369">
        <w:rPr>
          <w:rFonts w:hint="eastAsia"/>
          <w:rtl/>
        </w:rPr>
        <w:t>פ</w:t>
      </w:r>
      <w:r w:rsidRPr="00090369">
        <w:rPr>
          <w:rtl/>
        </w:rPr>
        <w:t>"</w:t>
      </w:r>
      <w:r w:rsidRPr="00090369">
        <w:rPr>
          <w:rFonts w:hint="eastAsia"/>
          <w:rtl/>
        </w:rPr>
        <w:t>ד</w:t>
      </w:r>
      <w:r w:rsidRPr="00090369">
        <w:rPr>
          <w:rtl/>
        </w:rPr>
        <w:t xml:space="preserve"> </w:t>
      </w:r>
      <w:r w:rsidRPr="00090369">
        <w:rPr>
          <w:rFonts w:hint="eastAsia"/>
          <w:rtl/>
        </w:rPr>
        <w:t>נז</w:t>
      </w:r>
      <w:r>
        <w:rPr>
          <w:rFonts w:hint="cs"/>
          <w:rtl/>
        </w:rPr>
        <w:t>(</w:t>
      </w:r>
      <w:r w:rsidRPr="00090369">
        <w:rPr>
          <w:rtl/>
        </w:rPr>
        <w:t>2</w:t>
      </w:r>
      <w:r>
        <w:rPr>
          <w:rFonts w:hint="cs"/>
          <w:rtl/>
        </w:rPr>
        <w:t xml:space="preserve">) </w:t>
      </w:r>
      <w:r w:rsidRPr="00090369">
        <w:rPr>
          <w:rtl/>
        </w:rPr>
        <w:t>385</w:t>
      </w:r>
      <w:r>
        <w:rPr>
          <w:rFonts w:hint="cs"/>
          <w:rtl/>
        </w:rPr>
        <w:t xml:space="preserve"> </w:t>
      </w:r>
      <w:r w:rsidRPr="00090369">
        <w:rPr>
          <w:rtl/>
        </w:rPr>
        <w:t>(2003</w:t>
      </w:r>
      <w:r>
        <w:rPr>
          <w:rFonts w:hint="cs"/>
          <w:rtl/>
        </w:rPr>
        <w:t xml:space="preserve">) (להלן: </w:t>
      </w:r>
      <w:r w:rsidRPr="00E97D5F">
        <w:rPr>
          <w:rFonts w:ascii="Century" w:hAnsi="Century" w:cs="Miriam" w:hint="eastAsia"/>
          <w:b/>
          <w:spacing w:val="0"/>
          <w:sz w:val="22"/>
          <w:szCs w:val="24"/>
          <w:rtl/>
        </w:rPr>
        <w:t>עניין</w:t>
      </w:r>
      <w:r w:rsidRPr="00E97D5F">
        <w:rPr>
          <w:rFonts w:ascii="Century" w:hAnsi="Century" w:cs="Miriam"/>
          <w:b/>
          <w:spacing w:val="0"/>
          <w:sz w:val="22"/>
          <w:szCs w:val="24"/>
          <w:rtl/>
        </w:rPr>
        <w:t xml:space="preserve"> </w:t>
      </w:r>
      <w:r w:rsidRPr="009B3EFC">
        <w:rPr>
          <w:rFonts w:ascii="Century" w:hAnsi="Century" w:cs="Miriam" w:hint="eastAsia"/>
          <w:b/>
          <w:spacing w:val="0"/>
          <w:sz w:val="22"/>
          <w:szCs w:val="24"/>
          <w:rtl/>
        </w:rPr>
        <w:t>גנז</w:t>
      </w:r>
      <w:r>
        <w:rPr>
          <w:rFonts w:hint="cs"/>
          <w:rtl/>
        </w:rPr>
        <w:t xml:space="preserve">)). בנוסף אציין, כי התחשבות במעשיו, וליתר דיוק במחדליו, של מי שטען כי רכש זכויות מבעל הזכות המקורי, הנפקד, נעשתה גם ביחס להסדר תקנת השוק, המעוגן בסעיף 17(א) לחוק נכסי נפקדים (ראו למשל: ע"א 6912/98 </w:t>
      </w:r>
      <w:r w:rsidRPr="000054FD">
        <w:rPr>
          <w:rFonts w:ascii="Century" w:hAnsi="Century" w:cs="Miriam" w:hint="cs"/>
          <w:b/>
          <w:spacing w:val="0"/>
          <w:sz w:val="22"/>
          <w:szCs w:val="24"/>
          <w:rtl/>
        </w:rPr>
        <w:t>רבאח נ' האפוטרופוס לנכסי נפקדים</w:t>
      </w:r>
      <w:r>
        <w:rPr>
          <w:rFonts w:hint="cs"/>
          <w:rtl/>
        </w:rPr>
        <w:t xml:space="preserve">, פ"ד נח(2) 870, 878-877 (2004) (להלן: </w:t>
      </w:r>
      <w:r w:rsidRPr="002A75B4">
        <w:rPr>
          <w:rFonts w:ascii="Century" w:hAnsi="Century" w:cs="Miriam" w:hint="cs"/>
          <w:b/>
          <w:spacing w:val="0"/>
          <w:sz w:val="22"/>
          <w:szCs w:val="24"/>
          <w:rtl/>
        </w:rPr>
        <w:t>עניין</w:t>
      </w:r>
      <w:r w:rsidRPr="002A75B4">
        <w:rPr>
          <w:rFonts w:hint="cs"/>
          <w:rtl/>
        </w:rPr>
        <w:t xml:space="preserve"> </w:t>
      </w:r>
      <w:r w:rsidRPr="002543B3">
        <w:rPr>
          <w:rFonts w:ascii="Century" w:hAnsi="Century" w:cs="Miriam" w:hint="cs"/>
          <w:b/>
          <w:spacing w:val="0"/>
          <w:sz w:val="22"/>
          <w:szCs w:val="24"/>
          <w:rtl/>
        </w:rPr>
        <w:t>רבאח</w:t>
      </w:r>
      <w:r>
        <w:rPr>
          <w:rFonts w:hint="cs"/>
          <w:rtl/>
        </w:rPr>
        <w:t xml:space="preserve">); </w:t>
      </w:r>
      <w:r w:rsidRPr="00BE1CBB">
        <w:rPr>
          <w:rFonts w:hint="eastAsia"/>
          <w:rtl/>
        </w:rPr>
        <w:t>ע</w:t>
      </w:r>
      <w:r>
        <w:rPr>
          <w:rFonts w:hint="cs"/>
          <w:rtl/>
        </w:rPr>
        <w:t>ניין</w:t>
      </w:r>
      <w:r w:rsidRPr="00BE1CBB">
        <w:rPr>
          <w:rFonts w:ascii="Century" w:hAnsi="Century" w:cs="Miriam"/>
          <w:b/>
          <w:spacing w:val="0"/>
          <w:sz w:val="22"/>
          <w:szCs w:val="24"/>
          <w:rtl/>
        </w:rPr>
        <w:t xml:space="preserve"> </w:t>
      </w:r>
      <w:r w:rsidRPr="00BE1CBB">
        <w:rPr>
          <w:rFonts w:ascii="Century" w:hAnsi="Century" w:cs="Miriam" w:hint="eastAsia"/>
          <w:b/>
          <w:spacing w:val="0"/>
          <w:sz w:val="22"/>
          <w:szCs w:val="24"/>
          <w:rtl/>
        </w:rPr>
        <w:t>מרעי</w:t>
      </w:r>
      <w:r>
        <w:rPr>
          <w:rFonts w:hint="cs"/>
          <w:rtl/>
        </w:rPr>
        <w:t xml:space="preserve">, פסקה 9; </w:t>
      </w:r>
      <w:r w:rsidRPr="00D53F56">
        <w:rPr>
          <w:rFonts w:hint="eastAsia"/>
          <w:rtl/>
        </w:rPr>
        <w:t>ת</w:t>
      </w:r>
      <w:r w:rsidRPr="00D53F56">
        <w:rPr>
          <w:rtl/>
        </w:rPr>
        <w:t>"</w:t>
      </w:r>
      <w:r w:rsidRPr="00D53F56">
        <w:rPr>
          <w:rFonts w:hint="eastAsia"/>
          <w:rtl/>
        </w:rPr>
        <w:t>א</w:t>
      </w:r>
      <w:r w:rsidRPr="00D53F56">
        <w:rPr>
          <w:rtl/>
        </w:rPr>
        <w:t xml:space="preserve"> (</w:t>
      </w:r>
      <w:r w:rsidRPr="00D53F56">
        <w:rPr>
          <w:rFonts w:hint="eastAsia"/>
          <w:rtl/>
        </w:rPr>
        <w:t>מרכז</w:t>
      </w:r>
      <w:r w:rsidRPr="00D53F56">
        <w:rPr>
          <w:rtl/>
        </w:rPr>
        <w:t>) 1794</w:t>
      </w:r>
      <w:r>
        <w:rPr>
          <w:rFonts w:hint="cs"/>
          <w:rtl/>
        </w:rPr>
        <w:t>-</w:t>
      </w:r>
      <w:r w:rsidRPr="00D53F56">
        <w:rPr>
          <w:rtl/>
        </w:rPr>
        <w:t xml:space="preserve">08-07 </w:t>
      </w:r>
      <w:r w:rsidRPr="00D53F56">
        <w:rPr>
          <w:rFonts w:ascii="Century" w:hAnsi="Century" w:cs="Miriam" w:hint="eastAsia"/>
          <w:b/>
          <w:spacing w:val="0"/>
          <w:sz w:val="22"/>
          <w:szCs w:val="24"/>
          <w:rtl/>
        </w:rPr>
        <w:t>אג</w:t>
      </w:r>
      <w:r w:rsidRPr="00D53F56">
        <w:rPr>
          <w:rFonts w:ascii="Century" w:hAnsi="Century" w:cs="Miriam"/>
          <w:b/>
          <w:spacing w:val="0"/>
          <w:sz w:val="22"/>
          <w:szCs w:val="24"/>
          <w:rtl/>
        </w:rPr>
        <w:t>'</w:t>
      </w:r>
      <w:r w:rsidRPr="00D53F56">
        <w:rPr>
          <w:rFonts w:ascii="Century" w:hAnsi="Century" w:cs="Miriam" w:hint="eastAsia"/>
          <w:b/>
          <w:spacing w:val="0"/>
          <w:sz w:val="22"/>
          <w:szCs w:val="24"/>
          <w:rtl/>
        </w:rPr>
        <w:t>מיל</w:t>
      </w:r>
      <w:r w:rsidRPr="00D53F56">
        <w:rPr>
          <w:rFonts w:ascii="Century" w:hAnsi="Century" w:cs="Miriam"/>
          <w:b/>
          <w:spacing w:val="0"/>
          <w:sz w:val="22"/>
          <w:szCs w:val="24"/>
          <w:rtl/>
        </w:rPr>
        <w:t xml:space="preserve"> </w:t>
      </w:r>
      <w:r w:rsidRPr="00D53F56">
        <w:rPr>
          <w:rFonts w:ascii="Century" w:hAnsi="Century" w:cs="Miriam" w:hint="eastAsia"/>
          <w:b/>
          <w:spacing w:val="0"/>
          <w:sz w:val="22"/>
          <w:szCs w:val="24"/>
          <w:rtl/>
        </w:rPr>
        <w:t>נ</w:t>
      </w:r>
      <w:r w:rsidRPr="00D53F56">
        <w:rPr>
          <w:rFonts w:ascii="Century" w:hAnsi="Century" w:cs="Miriam"/>
          <w:b/>
          <w:spacing w:val="0"/>
          <w:sz w:val="22"/>
          <w:szCs w:val="24"/>
          <w:rtl/>
        </w:rPr>
        <w:t xml:space="preserve">' </w:t>
      </w:r>
      <w:r w:rsidRPr="00D53F56">
        <w:rPr>
          <w:rFonts w:ascii="Century" w:hAnsi="Century" w:cs="Miriam" w:hint="eastAsia"/>
          <w:b/>
          <w:spacing w:val="0"/>
          <w:sz w:val="22"/>
          <w:szCs w:val="24"/>
          <w:rtl/>
        </w:rPr>
        <w:t>מ</w:t>
      </w:r>
      <w:r>
        <w:rPr>
          <w:rFonts w:ascii="Century" w:hAnsi="Century" w:cs="Miriam" w:hint="cs"/>
          <w:b/>
          <w:spacing w:val="0"/>
          <w:sz w:val="22"/>
          <w:szCs w:val="24"/>
          <w:rtl/>
        </w:rPr>
        <w:t>י</w:t>
      </w:r>
      <w:r w:rsidRPr="00D53F56">
        <w:rPr>
          <w:rFonts w:ascii="Century" w:hAnsi="Century" w:cs="Miriam" w:hint="eastAsia"/>
          <w:b/>
          <w:spacing w:val="0"/>
          <w:sz w:val="22"/>
          <w:szCs w:val="24"/>
          <w:rtl/>
        </w:rPr>
        <w:t>נהל</w:t>
      </w:r>
      <w:r w:rsidRPr="00D53F56">
        <w:rPr>
          <w:rFonts w:ascii="Century" w:hAnsi="Century" w:cs="Miriam"/>
          <w:b/>
          <w:spacing w:val="0"/>
          <w:sz w:val="22"/>
          <w:szCs w:val="24"/>
          <w:rtl/>
        </w:rPr>
        <w:t xml:space="preserve"> </w:t>
      </w:r>
      <w:r w:rsidRPr="00D53F56">
        <w:rPr>
          <w:rFonts w:ascii="Century" w:hAnsi="Century" w:cs="Miriam" w:hint="eastAsia"/>
          <w:b/>
          <w:spacing w:val="0"/>
          <w:sz w:val="22"/>
          <w:szCs w:val="24"/>
          <w:rtl/>
        </w:rPr>
        <w:t>מקרקעי</w:t>
      </w:r>
      <w:r w:rsidRPr="00D53F56">
        <w:rPr>
          <w:rFonts w:ascii="Century" w:hAnsi="Century" w:cs="Miriam"/>
          <w:b/>
          <w:spacing w:val="0"/>
          <w:sz w:val="22"/>
          <w:szCs w:val="24"/>
          <w:rtl/>
        </w:rPr>
        <w:t xml:space="preserve"> </w:t>
      </w:r>
      <w:r w:rsidRPr="00D53F56">
        <w:rPr>
          <w:rFonts w:ascii="Century" w:hAnsi="Century" w:cs="Miriam" w:hint="eastAsia"/>
          <w:b/>
          <w:spacing w:val="0"/>
          <w:sz w:val="22"/>
          <w:szCs w:val="24"/>
          <w:rtl/>
        </w:rPr>
        <w:t>ישראל</w:t>
      </w:r>
      <w:r>
        <w:rPr>
          <w:rFonts w:hint="cs"/>
          <w:rtl/>
        </w:rPr>
        <w:t xml:space="preserve">, פסקה 170 (12.4.2010) (ערעור שהוגש על פסק הדין נדחה בע"א 6355/11 </w:t>
      </w:r>
      <w:r w:rsidRPr="00D53F56">
        <w:rPr>
          <w:rFonts w:ascii="Century" w:hAnsi="Century" w:cs="Miriam" w:hint="cs"/>
          <w:b/>
          <w:spacing w:val="0"/>
          <w:sz w:val="22"/>
          <w:szCs w:val="24"/>
          <w:rtl/>
        </w:rPr>
        <w:t>אג'מיל נ' מינהל מקרקעי ישראל</w:t>
      </w:r>
      <w:r>
        <w:rPr>
          <w:rFonts w:hint="cs"/>
          <w:rtl/>
        </w:rPr>
        <w:t xml:space="preserve"> (4.2.2013))</w:t>
      </w:r>
      <w:r w:rsidRPr="00090369">
        <w:rPr>
          <w:rtl/>
        </w:rPr>
        <w:t>.</w:t>
      </w:r>
      <w:r>
        <w:rPr>
          <w:rFonts w:hint="cs"/>
          <w:rtl/>
        </w:rPr>
        <w:t xml:space="preserve"> לעומת זאת, בהתייחס למחזיקים, מחומר הראיות שנפרשׂ בבית המשפט המחוזי עולה, כי אלה עלו לקרקע בליווי ותמיכת גורמי ממשל שונים. הלכה למעשה, לא הועלתה לפנינו טענה של ממש, לקיומו של חוסר תום לב, בהקשר הקנייני, מצד המחזיקים. דבר זה נלמד, בין היתר, גם מתוצאת פסק הדין בערעור </w:t>
      </w:r>
      <w:r>
        <w:rPr>
          <w:rtl/>
        </w:rPr>
        <w:t>–</w:t>
      </w:r>
      <w:r>
        <w:rPr>
          <w:rFonts w:hint="cs"/>
          <w:rtl/>
        </w:rPr>
        <w:t xml:space="preserve"> המטילה על המדינה חובה למצוא פתרון למצב שאליו נקלעו המחזיקים. כפי שנקבע שם: </w:t>
      </w:r>
      <w:r w:rsidRPr="00FE65CF">
        <w:rPr>
          <w:rFonts w:ascii="Century" w:hAnsi="Century" w:cs="Miriam" w:hint="cs"/>
          <w:b/>
          <w:spacing w:val="0"/>
          <w:sz w:val="22"/>
          <w:szCs w:val="24"/>
          <w:rtl/>
        </w:rPr>
        <w:t>"מצב הדברים [...] רובץ לפתחה של המדינה ושל ההסתדרות הציונית"</w:t>
      </w:r>
      <w:r>
        <w:rPr>
          <w:rFonts w:hint="cs"/>
          <w:rtl/>
        </w:rPr>
        <w:t>; זאת, מבלי שנקבע דבר לגבי חוסר תום לב מצד המחזיקים, בכל הקשור לעלייתם לקרקע. מובן, כי אין בדברים אלה משום הקלת ראש בבנייה הבלתי-חוקית שנעשתה במקום, על-ידי מי מהמחזיקים,</w:t>
      </w:r>
      <w:r w:rsidRPr="002702FC">
        <w:rPr>
          <w:rFonts w:hint="cs"/>
          <w:rtl/>
        </w:rPr>
        <w:t xml:space="preserve"> </w:t>
      </w:r>
      <w:r>
        <w:rPr>
          <w:rFonts w:hint="cs"/>
          <w:rtl/>
        </w:rPr>
        <w:t xml:space="preserve">בניגוד לדיני התכנון והבניה. תופעה זו, של בניה שלא כחוק, יש לשרש בכל חלקי הארץ; הן בתוככי ה'קו הירוק', הן מחוצה לו. ואולם, בכל הקשור להיבטים הקנייניים של המקרקעין, ולמעמדם המשפטי, לא נפל כל דופי בתום ליבם של המחזיקים. ניתוח התנהגות הצדדים מלמדנו אפוא, כי הכף נוטה לטובת המחזיקים. </w:t>
      </w:r>
    </w:p>
    <w:p w:rsidR="00295623" w:rsidRPr="00DD41F7" w:rsidRDefault="00295623" w:rsidP="00295623">
      <w:pPr>
        <w:pStyle w:val="Ruller41"/>
        <w:tabs>
          <w:tab w:val="left" w:pos="90"/>
        </w:tabs>
        <w:spacing w:line="240" w:lineRule="auto"/>
      </w:pPr>
    </w:p>
    <w:p w:rsidR="00295623" w:rsidRDefault="00295623" w:rsidP="00295623">
      <w:pPr>
        <w:pStyle w:val="Ruller4"/>
        <w:numPr>
          <w:ilvl w:val="0"/>
          <w:numId w:val="0"/>
        </w:numPr>
        <w:tabs>
          <w:tab w:val="left" w:pos="90"/>
        </w:tabs>
        <w:ind w:left="142"/>
        <w:rPr>
          <w:rtl/>
        </w:rPr>
      </w:pPr>
      <w:r>
        <w:rPr>
          <w:rFonts w:hint="cs"/>
          <w:rtl/>
        </w:rPr>
        <w:t>22.</w:t>
      </w:r>
      <w:r>
        <w:rPr>
          <w:rFonts w:hint="cs"/>
          <w:rtl/>
        </w:rPr>
        <w:tab/>
        <w:t xml:space="preserve">לבסוף, גם בכל הנוגע לשיקולי ההסתמכות, והשפעת ההכרעה המשפטית על הצדדים (שיקולי </w:t>
      </w:r>
      <w:r>
        <w:t>Ex-post</w:t>
      </w:r>
      <w:r>
        <w:rPr>
          <w:rFonts w:hint="cs"/>
          <w:rtl/>
        </w:rPr>
        <w:t>), נדמה כי הכף נוטה בבירור לצד המחזיקים. כאמור, המחזיקים עלו לקרקע בעידוד ובתמיכת הרשויות. בחלוף השנים, חלקם אף כרתו הסכמי 'בר-רשות', ונרשמו במרשמי ההסתדרות הציונית כבעלי זכויות במקרקעין, כפי המקובל באיו"ש. חלקם בנו בתי-קבע, ונטלו לשם כך הלוואות.</w:t>
      </w:r>
      <w:r w:rsidRPr="00DD41F7">
        <w:rPr>
          <w:rFonts w:hint="cs"/>
          <w:rtl/>
        </w:rPr>
        <w:t xml:space="preserve"> </w:t>
      </w:r>
      <w:r>
        <w:rPr>
          <w:rFonts w:hint="cs"/>
          <w:rtl/>
        </w:rPr>
        <w:t xml:space="preserve">אכן, </w:t>
      </w:r>
      <w:r w:rsidRPr="00DD41F7">
        <w:rPr>
          <w:rFonts w:ascii="Century" w:hAnsi="Century" w:cs="Miriam" w:hint="cs"/>
          <w:b/>
          <w:spacing w:val="0"/>
          <w:sz w:val="22"/>
          <w:szCs w:val="24"/>
          <w:rtl/>
        </w:rPr>
        <w:t>"התושבים השתקעו במצפה כרמים והקימו בו בית, משפחה וקהילה"</w:t>
      </w:r>
      <w:r>
        <w:rPr>
          <w:rFonts w:hint="cs"/>
          <w:rtl/>
        </w:rPr>
        <w:t xml:space="preserve"> (דברי חברתי הנשיאה </w:t>
      </w:r>
      <w:r w:rsidRPr="00DD41F7">
        <w:rPr>
          <w:rFonts w:ascii="Century" w:hAnsi="Century" w:cs="Miriam" w:hint="cs"/>
          <w:b/>
          <w:spacing w:val="0"/>
          <w:sz w:val="22"/>
          <w:szCs w:val="24"/>
          <w:rtl/>
        </w:rPr>
        <w:t>א' חיות</w:t>
      </w:r>
      <w:r>
        <w:rPr>
          <w:rFonts w:hint="cs"/>
          <w:rtl/>
        </w:rPr>
        <w:t xml:space="preserve"> בפסק הדין בערעור, פסקה 71).</w:t>
      </w:r>
      <w:r w:rsidRPr="005B2D45">
        <w:rPr>
          <w:rFonts w:hint="cs"/>
          <w:rtl/>
        </w:rPr>
        <w:t xml:space="preserve"> </w:t>
      </w:r>
      <w:r>
        <w:rPr>
          <w:rFonts w:hint="cs"/>
          <w:rtl/>
        </w:rPr>
        <w:t xml:space="preserve">אין חולק אפוא, כי המחזיקים מוחזקים בקרקע מזה מספר שנים, חלקם למעלה משני עשורים, והיא משמשת עבורם בית מגורים, להם ולקהילתם (על ההגנה שמעניק המשפט לזכות החזקה, בין היתר בהתייחס למקרקעין באיו"ש, ראו: בג"ץ 10302/07 </w:t>
      </w:r>
      <w:r w:rsidRPr="00707ED1">
        <w:rPr>
          <w:rFonts w:ascii="Century" w:hAnsi="Century" w:cs="Miriam" w:hint="cs"/>
          <w:b/>
          <w:spacing w:val="0"/>
          <w:sz w:val="22"/>
          <w:szCs w:val="24"/>
          <w:rtl/>
        </w:rPr>
        <w:t>טל בניה והשקעות קרני שומרון נ' שר הביטחון</w:t>
      </w:r>
      <w:r>
        <w:rPr>
          <w:rFonts w:hint="cs"/>
          <w:rtl/>
        </w:rPr>
        <w:t xml:space="preserve">, פסקאות 27-23 (2008); לגבי ההגנה הנפרשׂת על זכויות המשמשות קורת גג, ראו: עניין </w:t>
      </w:r>
      <w:r w:rsidRPr="0088593A">
        <w:rPr>
          <w:rFonts w:ascii="Century" w:hAnsi="Century" w:cs="Miriam" w:hint="cs"/>
          <w:b/>
          <w:spacing w:val="0"/>
          <w:sz w:val="22"/>
          <w:szCs w:val="24"/>
          <w:rtl/>
        </w:rPr>
        <w:t>ג'אעוני</w:t>
      </w:r>
      <w:r>
        <w:rPr>
          <w:rFonts w:hint="cs"/>
          <w:rtl/>
        </w:rPr>
        <w:t xml:space="preserve">, פסקה 82 לחוות הדעת של חברתי השופטת </w:t>
      </w:r>
      <w:r w:rsidRPr="0088593A">
        <w:rPr>
          <w:rFonts w:ascii="Century" w:hAnsi="Century" w:cs="Miriam" w:hint="cs"/>
          <w:b/>
          <w:spacing w:val="0"/>
          <w:sz w:val="22"/>
          <w:szCs w:val="24"/>
          <w:rtl/>
        </w:rPr>
        <w:t>ד' ברק ארז</w:t>
      </w:r>
      <w:r>
        <w:rPr>
          <w:rFonts w:hint="cs"/>
          <w:rtl/>
        </w:rPr>
        <w:t>).</w:t>
      </w:r>
      <w:r w:rsidRPr="005B2D45">
        <w:rPr>
          <w:rFonts w:hint="cs"/>
          <w:rtl/>
        </w:rPr>
        <w:t xml:space="preserve"> </w:t>
      </w:r>
      <w:r>
        <w:rPr>
          <w:rFonts w:hint="cs"/>
          <w:rtl/>
        </w:rPr>
        <w:t xml:space="preserve">מנגד, טענת המשיבים, </w:t>
      </w:r>
      <w:r>
        <w:rPr>
          <w:rFonts w:hint="cs"/>
          <w:rtl/>
        </w:rPr>
        <w:lastRenderedPageBreak/>
        <w:t xml:space="preserve">אשר נקבע שהיתה רחוקה מהוֹכחה, היא לרכישת זכויות בקרקע חקלאית מאת הבעלים המקוריים, שזיקתם לקרקע נותקה לפני למעלה מ-40 שנה (נכון למועד הגשת העתירה). </w:t>
      </w:r>
    </w:p>
    <w:p w:rsidR="00295623" w:rsidRPr="00D02D1F" w:rsidRDefault="00295623" w:rsidP="00295623">
      <w:pPr>
        <w:pStyle w:val="Ruller41"/>
        <w:tabs>
          <w:tab w:val="left" w:pos="90"/>
        </w:tabs>
        <w:spacing w:line="240" w:lineRule="auto"/>
      </w:pPr>
    </w:p>
    <w:p w:rsidR="00295623" w:rsidRPr="00FE65CF" w:rsidRDefault="00295623" w:rsidP="00295623">
      <w:pPr>
        <w:pStyle w:val="Ruller4"/>
        <w:numPr>
          <w:ilvl w:val="0"/>
          <w:numId w:val="0"/>
        </w:numPr>
        <w:tabs>
          <w:tab w:val="left" w:pos="90"/>
        </w:tabs>
      </w:pPr>
      <w:r>
        <w:rPr>
          <w:rFonts w:hint="cs"/>
          <w:rtl/>
        </w:rPr>
        <w:t>23.</w:t>
      </w:r>
      <w:r>
        <w:rPr>
          <w:rtl/>
        </w:rPr>
        <w:tab/>
      </w:r>
      <w:r>
        <w:rPr>
          <w:rFonts w:hint="cs"/>
          <w:rtl/>
        </w:rPr>
        <w:t xml:space="preserve">סבורני אפוא, כי שיקולים אלה אינם נטולי משמעות לענייננו, בבואנו להכריע ב'תחרות הזכויות' שבין הצדדים, ובדרכנו לקבוע אם הסדר (מעין) תקנת השוק מתקיים בנסיבות העניין דנן (וראו גם: </w:t>
      </w:r>
      <w:r w:rsidRPr="00BA0521">
        <w:rPr>
          <w:rFonts w:hint="eastAsia"/>
          <w:rtl/>
        </w:rPr>
        <w:t>שחר</w:t>
      </w:r>
      <w:r w:rsidRPr="00BA0521">
        <w:rPr>
          <w:rtl/>
        </w:rPr>
        <w:t xml:space="preserve"> </w:t>
      </w:r>
      <w:r w:rsidRPr="00BA0521">
        <w:rPr>
          <w:rFonts w:hint="eastAsia"/>
          <w:rtl/>
        </w:rPr>
        <w:t>ליפשיץ</w:t>
      </w:r>
      <w:r w:rsidRPr="00BA0521">
        <w:rPr>
          <w:rtl/>
        </w:rPr>
        <w:t xml:space="preserve"> "</w:t>
      </w:r>
      <w:r w:rsidRPr="00BA0521">
        <w:rPr>
          <w:rFonts w:hint="eastAsia"/>
          <w:rtl/>
        </w:rPr>
        <w:t>שייח</w:t>
      </w:r>
      <w:r w:rsidRPr="00BA0521">
        <w:rPr>
          <w:rtl/>
        </w:rPr>
        <w:t xml:space="preserve">' </w:t>
      </w:r>
      <w:r w:rsidRPr="00BA0521">
        <w:rPr>
          <w:rFonts w:hint="eastAsia"/>
          <w:rtl/>
        </w:rPr>
        <w:t>ג</w:t>
      </w:r>
      <w:r w:rsidRPr="00BA0521">
        <w:rPr>
          <w:rtl/>
        </w:rPr>
        <w:t>'</w:t>
      </w:r>
      <w:r w:rsidRPr="00BA0521">
        <w:rPr>
          <w:rFonts w:hint="eastAsia"/>
          <w:rtl/>
        </w:rPr>
        <w:t>ראח</w:t>
      </w:r>
      <w:r w:rsidRPr="00BA0521">
        <w:rPr>
          <w:rtl/>
        </w:rPr>
        <w:t xml:space="preserve"> </w:t>
      </w:r>
      <w:r w:rsidRPr="00BA0521">
        <w:rPr>
          <w:rFonts w:hint="eastAsia"/>
          <w:rtl/>
        </w:rPr>
        <w:t>פינת</w:t>
      </w:r>
      <w:r w:rsidRPr="00BA0521">
        <w:rPr>
          <w:rtl/>
        </w:rPr>
        <w:t xml:space="preserve"> </w:t>
      </w:r>
      <w:r w:rsidRPr="00BA0521">
        <w:rPr>
          <w:rFonts w:hint="eastAsia"/>
          <w:rtl/>
        </w:rPr>
        <w:t>מצפה</w:t>
      </w:r>
      <w:r w:rsidRPr="00BA0521">
        <w:rPr>
          <w:rtl/>
        </w:rPr>
        <w:t xml:space="preserve"> </w:t>
      </w:r>
      <w:r w:rsidRPr="00BA0521">
        <w:rPr>
          <w:rFonts w:hint="eastAsia"/>
          <w:rtl/>
        </w:rPr>
        <w:t>כרמים</w:t>
      </w:r>
      <w:r w:rsidRPr="00BA0521">
        <w:rPr>
          <w:rtl/>
        </w:rPr>
        <w:t xml:space="preserve">" </w:t>
      </w:r>
      <w:r w:rsidRPr="00BA0521">
        <w:rPr>
          <w:rFonts w:ascii="Century" w:hAnsi="Century" w:cs="Miriam" w:hint="eastAsia"/>
          <w:b/>
          <w:spacing w:val="0"/>
          <w:sz w:val="22"/>
          <w:szCs w:val="24"/>
          <w:rtl/>
        </w:rPr>
        <w:t>פורום</w:t>
      </w:r>
      <w:r w:rsidRPr="00BA0521">
        <w:rPr>
          <w:rFonts w:ascii="Century" w:hAnsi="Century" w:cs="Miriam"/>
          <w:b/>
          <w:spacing w:val="0"/>
          <w:sz w:val="22"/>
          <w:szCs w:val="24"/>
          <w:rtl/>
        </w:rPr>
        <w:t xml:space="preserve"> </w:t>
      </w:r>
      <w:r w:rsidRPr="00BA0521">
        <w:rPr>
          <w:rFonts w:ascii="Century" w:hAnsi="Century" w:cs="Miriam" w:hint="eastAsia"/>
          <w:b/>
          <w:spacing w:val="0"/>
          <w:sz w:val="22"/>
          <w:szCs w:val="24"/>
          <w:rtl/>
        </w:rPr>
        <w:t>עיוני</w:t>
      </w:r>
      <w:r w:rsidRPr="00BA0521">
        <w:rPr>
          <w:rFonts w:ascii="Century" w:hAnsi="Century" w:cs="Miriam"/>
          <w:b/>
          <w:spacing w:val="0"/>
          <w:sz w:val="22"/>
          <w:szCs w:val="24"/>
          <w:rtl/>
        </w:rPr>
        <w:t xml:space="preserve"> </w:t>
      </w:r>
      <w:r w:rsidRPr="00BA0521">
        <w:rPr>
          <w:rFonts w:ascii="Century" w:hAnsi="Century" w:cs="Miriam" w:hint="eastAsia"/>
          <w:b/>
          <w:spacing w:val="0"/>
          <w:sz w:val="22"/>
          <w:szCs w:val="24"/>
          <w:rtl/>
        </w:rPr>
        <w:t>משפט</w:t>
      </w:r>
      <w:r w:rsidRPr="00BA0521">
        <w:rPr>
          <w:rFonts w:ascii="Century" w:hAnsi="Century" w:cs="Miriam"/>
          <w:b/>
          <w:spacing w:val="0"/>
          <w:sz w:val="22"/>
          <w:szCs w:val="24"/>
          <w:rtl/>
        </w:rPr>
        <w:t xml:space="preserve"> (</w:t>
      </w:r>
      <w:r w:rsidRPr="00BA0521">
        <w:rPr>
          <w:rFonts w:ascii="Century" w:hAnsi="Century" w:cs="Miriam" w:hint="eastAsia"/>
          <w:b/>
          <w:spacing w:val="0"/>
          <w:sz w:val="22"/>
          <w:szCs w:val="24"/>
          <w:rtl/>
        </w:rPr>
        <w:t>תגוביות</w:t>
      </w:r>
      <w:r w:rsidRPr="00BA0521">
        <w:rPr>
          <w:rFonts w:ascii="Century" w:hAnsi="Century" w:cs="Miriam"/>
          <w:b/>
          <w:spacing w:val="0"/>
          <w:sz w:val="22"/>
          <w:szCs w:val="24"/>
          <w:rtl/>
        </w:rPr>
        <w:t xml:space="preserve"> </w:t>
      </w:r>
      <w:r w:rsidRPr="00BA0521">
        <w:rPr>
          <w:rFonts w:ascii="Century" w:hAnsi="Century" w:cs="Miriam" w:hint="eastAsia"/>
          <w:b/>
          <w:spacing w:val="0"/>
          <w:sz w:val="22"/>
          <w:szCs w:val="24"/>
          <w:rtl/>
        </w:rPr>
        <w:t>משפט</w:t>
      </w:r>
      <w:r w:rsidRPr="00BA0521">
        <w:rPr>
          <w:rFonts w:ascii="Century" w:hAnsi="Century" w:cs="Miriam"/>
          <w:b/>
          <w:spacing w:val="0"/>
          <w:sz w:val="22"/>
          <w:szCs w:val="24"/>
          <w:rtl/>
        </w:rPr>
        <w:t>)</w:t>
      </w:r>
      <w:r w:rsidRPr="00066F35">
        <w:rPr>
          <w:rFonts w:ascii="Century" w:hAnsi="Century"/>
          <w:sz w:val="22"/>
          <w:rtl/>
        </w:rPr>
        <w:t xml:space="preserve"> </w:t>
      </w:r>
      <w:r w:rsidRPr="00066F35">
        <w:rPr>
          <w:rFonts w:ascii="Century" w:hAnsi="Century" w:hint="eastAsia"/>
          <w:sz w:val="22"/>
          <w:rtl/>
        </w:rPr>
        <w:t>מו</w:t>
      </w:r>
      <w:r w:rsidRPr="00066F35">
        <w:rPr>
          <w:rFonts w:ascii="Century" w:hAnsi="Century"/>
          <w:sz w:val="22"/>
          <w:rtl/>
        </w:rPr>
        <w:t>,</w:t>
      </w:r>
      <w:r w:rsidRPr="0076290E">
        <w:rPr>
          <w:rtl/>
        </w:rPr>
        <w:t xml:space="preserve"> </w:t>
      </w:r>
      <w:r>
        <w:rPr>
          <w:rFonts w:hint="cs"/>
          <w:rtl/>
        </w:rPr>
        <w:t xml:space="preserve">8 </w:t>
      </w:r>
      <w:r w:rsidRPr="00BA0521">
        <w:rPr>
          <w:rtl/>
        </w:rPr>
        <w:t>(16.4.2022)</w:t>
      </w:r>
      <w:r>
        <w:rPr>
          <w:rFonts w:hint="cs"/>
          <w:rtl/>
        </w:rPr>
        <w:t xml:space="preserve">; מנגד, ראו </w:t>
      </w:r>
      <w:r w:rsidRPr="00D76A11">
        <w:rPr>
          <w:rFonts w:hint="eastAsia"/>
          <w:rtl/>
        </w:rPr>
        <w:t>רונית</w:t>
      </w:r>
      <w:r w:rsidRPr="00D76A11">
        <w:rPr>
          <w:rtl/>
        </w:rPr>
        <w:t xml:space="preserve"> </w:t>
      </w:r>
      <w:r w:rsidRPr="00D76A11">
        <w:rPr>
          <w:rFonts w:hint="eastAsia"/>
          <w:rtl/>
        </w:rPr>
        <w:t>לוין</w:t>
      </w:r>
      <w:r w:rsidRPr="00D76A11">
        <w:rPr>
          <w:rtl/>
        </w:rPr>
        <w:t>-</w:t>
      </w:r>
      <w:r w:rsidRPr="00D76A11">
        <w:rPr>
          <w:rFonts w:hint="eastAsia"/>
          <w:rtl/>
        </w:rPr>
        <w:t>שנור</w:t>
      </w:r>
      <w:r w:rsidRPr="00D76A11">
        <w:rPr>
          <w:rtl/>
        </w:rPr>
        <w:t xml:space="preserve"> "</w:t>
      </w:r>
      <w:r w:rsidRPr="00D76A11">
        <w:rPr>
          <w:rFonts w:hint="eastAsia"/>
          <w:rtl/>
        </w:rPr>
        <w:t>על</w:t>
      </w:r>
      <w:r w:rsidRPr="00D76A11">
        <w:rPr>
          <w:rtl/>
        </w:rPr>
        <w:t xml:space="preserve"> </w:t>
      </w:r>
      <w:r w:rsidRPr="00D76A11">
        <w:rPr>
          <w:rFonts w:hint="eastAsia"/>
          <w:rtl/>
        </w:rPr>
        <w:t>מצפה</w:t>
      </w:r>
      <w:r w:rsidRPr="00D76A11">
        <w:rPr>
          <w:rtl/>
        </w:rPr>
        <w:t xml:space="preserve"> </w:t>
      </w:r>
      <w:r w:rsidRPr="00D76A11">
        <w:rPr>
          <w:rFonts w:hint="eastAsia"/>
          <w:rtl/>
        </w:rPr>
        <w:t>כרמים</w:t>
      </w:r>
      <w:r w:rsidRPr="00D76A11">
        <w:rPr>
          <w:rtl/>
        </w:rPr>
        <w:t xml:space="preserve"> </w:t>
      </w:r>
      <w:r w:rsidRPr="00D76A11">
        <w:rPr>
          <w:rFonts w:hint="eastAsia"/>
          <w:rtl/>
        </w:rPr>
        <w:t>ושייח׳</w:t>
      </w:r>
      <w:r w:rsidRPr="00D76A11">
        <w:rPr>
          <w:rtl/>
        </w:rPr>
        <w:t xml:space="preserve"> </w:t>
      </w:r>
      <w:r w:rsidRPr="00D76A11">
        <w:rPr>
          <w:rFonts w:hint="eastAsia"/>
          <w:rtl/>
        </w:rPr>
        <w:t>ג׳ראח</w:t>
      </w:r>
      <w:r w:rsidRPr="00D76A11">
        <w:rPr>
          <w:rtl/>
        </w:rPr>
        <w:t xml:space="preserve">: </w:t>
      </w:r>
      <w:r w:rsidRPr="00D76A11">
        <w:rPr>
          <w:rFonts w:hint="eastAsia"/>
          <w:rtl/>
        </w:rPr>
        <w:t>תשובה</w:t>
      </w:r>
      <w:r w:rsidRPr="00D76A11">
        <w:rPr>
          <w:rtl/>
        </w:rPr>
        <w:t xml:space="preserve"> </w:t>
      </w:r>
      <w:r w:rsidRPr="00D76A11">
        <w:rPr>
          <w:rFonts w:hint="eastAsia"/>
          <w:rtl/>
        </w:rPr>
        <w:t>לפרופ׳</w:t>
      </w:r>
      <w:r w:rsidRPr="00D76A11">
        <w:rPr>
          <w:rtl/>
        </w:rPr>
        <w:t xml:space="preserve"> </w:t>
      </w:r>
      <w:r w:rsidRPr="00D76A11">
        <w:rPr>
          <w:rFonts w:hint="eastAsia"/>
          <w:rtl/>
        </w:rPr>
        <w:t>שחר</w:t>
      </w:r>
      <w:r w:rsidRPr="00D76A11">
        <w:rPr>
          <w:rtl/>
        </w:rPr>
        <w:t xml:space="preserve"> </w:t>
      </w:r>
      <w:r w:rsidRPr="00D76A11">
        <w:rPr>
          <w:rFonts w:hint="eastAsia"/>
          <w:rtl/>
        </w:rPr>
        <w:t>ליפשיץ</w:t>
      </w:r>
      <w:r w:rsidRPr="00D76A11">
        <w:rPr>
          <w:rtl/>
        </w:rPr>
        <w:t xml:space="preserve">" </w:t>
      </w:r>
      <w:r w:rsidRPr="000D1F2D">
        <w:rPr>
          <w:rFonts w:ascii="Century" w:hAnsi="Century" w:cs="Miriam" w:hint="eastAsia"/>
          <w:b/>
          <w:spacing w:val="0"/>
          <w:sz w:val="22"/>
          <w:szCs w:val="24"/>
          <w:rtl/>
        </w:rPr>
        <w:t>פורום</w:t>
      </w:r>
      <w:r w:rsidRPr="000D1F2D">
        <w:rPr>
          <w:rFonts w:ascii="Century" w:hAnsi="Century" w:cs="Miriam"/>
          <w:b/>
          <w:spacing w:val="0"/>
          <w:sz w:val="22"/>
          <w:szCs w:val="24"/>
          <w:rtl/>
        </w:rPr>
        <w:t xml:space="preserve"> </w:t>
      </w:r>
      <w:r w:rsidRPr="000D1F2D">
        <w:rPr>
          <w:rFonts w:ascii="Century" w:hAnsi="Century" w:cs="Miriam" w:hint="eastAsia"/>
          <w:b/>
          <w:spacing w:val="0"/>
          <w:sz w:val="22"/>
          <w:szCs w:val="24"/>
          <w:rtl/>
        </w:rPr>
        <w:t>עיוני</w:t>
      </w:r>
      <w:r w:rsidRPr="000D1F2D">
        <w:rPr>
          <w:rFonts w:ascii="Century" w:hAnsi="Century" w:cs="Miriam"/>
          <w:b/>
          <w:spacing w:val="0"/>
          <w:sz w:val="22"/>
          <w:szCs w:val="24"/>
          <w:rtl/>
        </w:rPr>
        <w:t xml:space="preserve"> </w:t>
      </w:r>
      <w:r w:rsidRPr="000D1F2D">
        <w:rPr>
          <w:rFonts w:ascii="Century" w:hAnsi="Century" w:cs="Miriam" w:hint="eastAsia"/>
          <w:b/>
          <w:spacing w:val="0"/>
          <w:sz w:val="22"/>
          <w:szCs w:val="24"/>
          <w:rtl/>
        </w:rPr>
        <w:t>משפט</w:t>
      </w:r>
      <w:r w:rsidRPr="000D1F2D">
        <w:rPr>
          <w:rFonts w:ascii="Century" w:hAnsi="Century" w:cs="Miriam"/>
          <w:b/>
          <w:spacing w:val="0"/>
          <w:sz w:val="22"/>
          <w:szCs w:val="24"/>
          <w:rtl/>
        </w:rPr>
        <w:t xml:space="preserve"> (</w:t>
      </w:r>
      <w:r w:rsidRPr="000D1F2D">
        <w:rPr>
          <w:rFonts w:ascii="Century" w:hAnsi="Century" w:cs="Miriam" w:hint="eastAsia"/>
          <w:b/>
          <w:spacing w:val="0"/>
          <w:sz w:val="22"/>
          <w:szCs w:val="24"/>
          <w:rtl/>
        </w:rPr>
        <w:t>תגוביות</w:t>
      </w:r>
      <w:r w:rsidRPr="000D1F2D">
        <w:rPr>
          <w:rFonts w:ascii="Century" w:hAnsi="Century" w:cs="Miriam"/>
          <w:b/>
          <w:spacing w:val="0"/>
          <w:sz w:val="22"/>
          <w:szCs w:val="24"/>
          <w:rtl/>
        </w:rPr>
        <w:t xml:space="preserve"> </w:t>
      </w:r>
      <w:r w:rsidRPr="000D1F2D">
        <w:rPr>
          <w:rFonts w:ascii="Century" w:hAnsi="Century" w:cs="Miriam" w:hint="eastAsia"/>
          <w:b/>
          <w:spacing w:val="0"/>
          <w:sz w:val="22"/>
          <w:szCs w:val="24"/>
          <w:rtl/>
        </w:rPr>
        <w:t>משפט</w:t>
      </w:r>
      <w:r w:rsidRPr="000D1F2D">
        <w:rPr>
          <w:rFonts w:ascii="Century" w:hAnsi="Century" w:cs="Miriam"/>
          <w:b/>
          <w:spacing w:val="0"/>
          <w:sz w:val="22"/>
          <w:szCs w:val="24"/>
          <w:rtl/>
        </w:rPr>
        <w:t>)</w:t>
      </w:r>
      <w:r w:rsidRPr="000E5AAA">
        <w:rPr>
          <w:rtl/>
        </w:rPr>
        <w:t xml:space="preserve"> </w:t>
      </w:r>
      <w:r w:rsidRPr="00D76A11">
        <w:rPr>
          <w:rFonts w:hint="eastAsia"/>
          <w:rtl/>
        </w:rPr>
        <w:t>מו</w:t>
      </w:r>
      <w:r w:rsidRPr="00D76A11">
        <w:rPr>
          <w:rtl/>
        </w:rPr>
        <w:t xml:space="preserve"> (9.5.2022)</w:t>
      </w:r>
      <w:r>
        <w:rPr>
          <w:rFonts w:hint="cs"/>
          <w:rtl/>
        </w:rPr>
        <w:t xml:space="preserve">). </w:t>
      </w:r>
    </w:p>
    <w:p w:rsidR="00295623" w:rsidRPr="00C24E5C" w:rsidRDefault="00295623" w:rsidP="00295623">
      <w:pPr>
        <w:pStyle w:val="Ruller41"/>
        <w:tabs>
          <w:tab w:val="left" w:pos="90"/>
        </w:tabs>
        <w:spacing w:line="240" w:lineRule="auto"/>
      </w:pPr>
    </w:p>
    <w:p w:rsidR="00295623" w:rsidRDefault="00295623" w:rsidP="00295623">
      <w:pPr>
        <w:pStyle w:val="Ruller41"/>
        <w:rPr>
          <w:rtl/>
        </w:rPr>
      </w:pPr>
      <w:r>
        <w:rPr>
          <w:rFonts w:hint="cs"/>
          <w:rtl/>
        </w:rPr>
        <w:t>24.</w:t>
      </w:r>
      <w:r>
        <w:rPr>
          <w:rFonts w:hint="cs"/>
          <w:rtl/>
        </w:rPr>
        <w:tab/>
        <w:t xml:space="preserve">חברי המשנה לנשיאה, קובע בחוות דעתו, כי העובדה שהמשיבים לא הוכיחו את זכויותיהם בקרקע, אינה מובילה בהכרח למסקנה, כי בית המשפט פטור מלהפעיל את מנגנון תקנת השוק, בדרכו לקבל את תביעת המחזיקים (פסקה 28 לחוות דעתו). לקביעה זו אני מסכים. משביקשו המחזיקים סעד המבוסס על ההסדר שבסעיף 5, 'מעין תקנת שוק', שומה על בית המשפט לקבוע אם סעיף זה מתקיים בנסיבות העניין, ככל משפטו וחוקתו. ואולם, אין בכך כדי להשמיע, כי אין לייחס משמעות לטיב הזכויות של הצדדים, ולהתנהגותם הסובייקטיבית. מדובר בשאלה נפרדת, אשר נבחנת במנותק מן השאלה הקודמת. לגבי דידי, משעה שלפנינו סכסוך קנייני בין שני פרטים, שבמוקדוֹ טענה לזכויות מכוח תקנת השוק, איננו יכולים להתעלם מ'סלסלת' הזכויות, שכל אחד מן הצדדים לסכסוך נושא עמו. מסקנה זו מתחזקת, לטעמי, נוכח תכליתו של הסדר תקנת השוק המעוגן בסעיף 5 </w:t>
      </w:r>
      <w:r>
        <w:rPr>
          <w:rtl/>
        </w:rPr>
        <w:t>–</w:t>
      </w:r>
      <w:r>
        <w:rPr>
          <w:rFonts w:hint="cs"/>
          <w:rtl/>
        </w:rPr>
        <w:t xml:space="preserve"> הגנה על אינטרס ההסתמכות של מי שרכש זכויות בתום לב מאת הממונה. על מנת לפגוע בהסתמכות זו, נדרש להצביע על אינטרס ממשי, ועל פגיעה בזכות קיימת. סבורני אפוא, כי בגדרי 'מאזן הנוחות' שבין הצדדים, יש ממש בטענה כי הבעלים המקורי של הזכות 'ישן' על זכותו משך שנים; ובכל מקרה </w:t>
      </w:r>
      <w:r>
        <w:rPr>
          <w:rtl/>
        </w:rPr>
        <w:t>–</w:t>
      </w:r>
      <w:r>
        <w:rPr>
          <w:rFonts w:hint="cs"/>
          <w:rtl/>
        </w:rPr>
        <w:t xml:space="preserve"> הוא איננו לפנינו, ומי שמבקש לבוא בנעליו </w:t>
      </w:r>
      <w:r>
        <w:rPr>
          <w:rtl/>
        </w:rPr>
        <w:t>–</w:t>
      </w:r>
      <w:r>
        <w:rPr>
          <w:rFonts w:hint="cs"/>
          <w:rtl/>
        </w:rPr>
        <w:t xml:space="preserve"> הטוען לזכויות במקרקעין </w:t>
      </w:r>
      <w:r>
        <w:rPr>
          <w:rtl/>
        </w:rPr>
        <w:t>–</w:t>
      </w:r>
      <w:r>
        <w:rPr>
          <w:rFonts w:hint="cs"/>
          <w:rtl/>
        </w:rPr>
        <w:t xml:space="preserve"> לא הוכיח זכות שכזו.</w:t>
      </w:r>
    </w:p>
    <w:p w:rsidR="00295623" w:rsidRDefault="00295623" w:rsidP="00295623">
      <w:pPr>
        <w:pStyle w:val="Ruller4"/>
        <w:numPr>
          <w:ilvl w:val="0"/>
          <w:numId w:val="0"/>
        </w:numPr>
        <w:tabs>
          <w:tab w:val="left" w:pos="90"/>
        </w:tabs>
        <w:spacing w:line="240" w:lineRule="auto"/>
      </w:pPr>
    </w:p>
    <w:p w:rsidR="00295623" w:rsidRDefault="00295623" w:rsidP="00295623">
      <w:pPr>
        <w:pStyle w:val="Ruller41"/>
        <w:rPr>
          <w:rtl/>
        </w:rPr>
      </w:pPr>
      <w:r>
        <w:rPr>
          <w:rFonts w:hint="cs"/>
          <w:rtl/>
        </w:rPr>
        <w:t>25.</w:t>
      </w:r>
      <w:r>
        <w:rPr>
          <w:rFonts w:hint="cs"/>
          <w:rtl/>
        </w:rPr>
        <w:tab/>
        <w:t xml:space="preserve">לכך אוסיף, כי במובן מסוים, תוצאת פסק דינו של חברי המשנה לנשיאה </w:t>
      </w:r>
      <w:r>
        <w:rPr>
          <w:rtl/>
        </w:rPr>
        <w:t>–</w:t>
      </w:r>
      <w:r>
        <w:rPr>
          <w:rFonts w:hint="cs"/>
          <w:rtl/>
        </w:rPr>
        <w:t xml:space="preserve"> בהקשר הצר של הפקת תועלת מהמקרקעין שבמוקד המחלוקת </w:t>
      </w:r>
      <w:r>
        <w:rPr>
          <w:rtl/>
        </w:rPr>
        <w:t>–</w:t>
      </w:r>
      <w:r>
        <w:rPr>
          <w:rFonts w:hint="cs"/>
          <w:rtl/>
        </w:rPr>
        <w:t xml:space="preserve"> אינה מועילה, ואינה משרתת אף לא אחד מן הצדדים. המחזיקים מצדם יפונו, בתיהם יהרסו, בעוד שהמשיבים לא יוכלו, כך או כך, לממש את זכותם הנטענת, בהעדר הוכחת זיקה לקרקע. תוצאה זו תביא לפינוי מצפה כרמים מן המקום, ובכך יתקבל הסעד שהתבקש בעתירה, אך זאת מבלי שיהיה מאן-דהוא, אף לא המשיבים עצמם, שיהנה מפירות פסיקה שכזו; בבחינת </w:t>
      </w:r>
      <w:r w:rsidRPr="00F61CB9">
        <w:rPr>
          <w:rFonts w:ascii="Century" w:hAnsi="Century" w:cs="Miriam" w:hint="cs"/>
          <w:b/>
          <w:spacing w:val="0"/>
          <w:szCs w:val="24"/>
          <w:rtl/>
        </w:rPr>
        <w:t>"</w:t>
      </w:r>
      <w:r w:rsidRPr="00F61CB9">
        <w:rPr>
          <w:rFonts w:ascii="Century" w:hAnsi="Century" w:cs="Miriam" w:hint="eastAsia"/>
          <w:b/>
          <w:spacing w:val="0"/>
          <w:szCs w:val="24"/>
          <w:rtl/>
        </w:rPr>
        <w:t>גַּם</w:t>
      </w:r>
      <w:r w:rsidRPr="00F61CB9">
        <w:rPr>
          <w:rFonts w:ascii="Century" w:hAnsi="Century" w:cs="Miriam"/>
          <w:b/>
          <w:spacing w:val="0"/>
          <w:szCs w:val="24"/>
          <w:rtl/>
        </w:rPr>
        <w:t>-</w:t>
      </w:r>
      <w:r w:rsidRPr="00F61CB9">
        <w:rPr>
          <w:rFonts w:ascii="Century" w:hAnsi="Century" w:cs="Miriam" w:hint="eastAsia"/>
          <w:b/>
          <w:spacing w:val="0"/>
          <w:szCs w:val="24"/>
          <w:rtl/>
        </w:rPr>
        <w:t>לִי</w:t>
      </w:r>
      <w:r w:rsidRPr="00F61CB9">
        <w:rPr>
          <w:rFonts w:ascii="Century" w:hAnsi="Century" w:cs="Miriam"/>
          <w:b/>
          <w:spacing w:val="0"/>
          <w:szCs w:val="24"/>
          <w:rtl/>
        </w:rPr>
        <w:t xml:space="preserve"> </w:t>
      </w:r>
      <w:r w:rsidRPr="00F61CB9">
        <w:rPr>
          <w:rFonts w:ascii="Century" w:hAnsi="Century" w:cs="Miriam" w:hint="eastAsia"/>
          <w:b/>
          <w:spacing w:val="0"/>
          <w:szCs w:val="24"/>
          <w:rtl/>
        </w:rPr>
        <w:t>גַם</w:t>
      </w:r>
      <w:r w:rsidRPr="00F61CB9">
        <w:rPr>
          <w:rFonts w:ascii="Century" w:hAnsi="Century" w:cs="Miriam"/>
          <w:b/>
          <w:spacing w:val="0"/>
          <w:szCs w:val="24"/>
          <w:rtl/>
        </w:rPr>
        <w:t>-</w:t>
      </w:r>
      <w:r w:rsidRPr="00F61CB9">
        <w:rPr>
          <w:rFonts w:ascii="Century" w:hAnsi="Century" w:cs="Miriam" w:hint="eastAsia"/>
          <w:b/>
          <w:spacing w:val="0"/>
          <w:szCs w:val="24"/>
          <w:rtl/>
        </w:rPr>
        <w:t>לָךְ</w:t>
      </w:r>
      <w:r w:rsidRPr="00F61CB9">
        <w:rPr>
          <w:rFonts w:ascii="Century" w:hAnsi="Century" w:cs="Miriam"/>
          <w:b/>
          <w:spacing w:val="0"/>
          <w:szCs w:val="24"/>
          <w:rtl/>
        </w:rPr>
        <w:t xml:space="preserve"> </w:t>
      </w:r>
      <w:r w:rsidRPr="00F61CB9">
        <w:rPr>
          <w:rFonts w:ascii="Century" w:hAnsi="Century" w:cs="Miriam" w:hint="eastAsia"/>
          <w:b/>
          <w:spacing w:val="0"/>
          <w:szCs w:val="24"/>
          <w:rtl/>
        </w:rPr>
        <w:t>לֹא</w:t>
      </w:r>
      <w:r w:rsidRPr="00F61CB9">
        <w:rPr>
          <w:rFonts w:ascii="Century" w:hAnsi="Century" w:cs="Miriam"/>
          <w:b/>
          <w:spacing w:val="0"/>
          <w:szCs w:val="24"/>
          <w:rtl/>
        </w:rPr>
        <w:t xml:space="preserve"> </w:t>
      </w:r>
      <w:r w:rsidRPr="00F61CB9">
        <w:rPr>
          <w:rFonts w:ascii="Century" w:hAnsi="Century" w:cs="Miriam" w:hint="eastAsia"/>
          <w:b/>
          <w:spacing w:val="0"/>
          <w:szCs w:val="24"/>
          <w:rtl/>
        </w:rPr>
        <w:t>יִהְיֶה</w:t>
      </w:r>
      <w:r>
        <w:rPr>
          <w:rFonts w:ascii="Century" w:hAnsi="Century" w:cs="Miriam" w:hint="cs"/>
          <w:b/>
          <w:spacing w:val="0"/>
          <w:szCs w:val="24"/>
          <w:rtl/>
        </w:rPr>
        <w:t xml:space="preserve"> </w:t>
      </w:r>
      <w:r w:rsidRPr="00F61CB9">
        <w:rPr>
          <w:rFonts w:ascii="Century" w:hAnsi="Century"/>
          <w:rtl/>
        </w:rPr>
        <w:t>–</w:t>
      </w:r>
      <w:r>
        <w:rPr>
          <w:rFonts w:ascii="Century" w:hAnsi="Century" w:cs="Miriam" w:hint="cs"/>
          <w:b/>
          <w:spacing w:val="0"/>
          <w:szCs w:val="24"/>
          <w:rtl/>
        </w:rPr>
        <w:t xml:space="preserve"> </w:t>
      </w:r>
      <w:r w:rsidRPr="00F61CB9">
        <w:rPr>
          <w:rFonts w:ascii="Century" w:hAnsi="Century" w:cs="Miriam" w:hint="eastAsia"/>
          <w:b/>
          <w:spacing w:val="0"/>
          <w:szCs w:val="24"/>
          <w:rtl/>
        </w:rPr>
        <w:t>גְּזֹרוּ</w:t>
      </w:r>
      <w:r w:rsidRPr="00F61CB9">
        <w:rPr>
          <w:rFonts w:ascii="Century" w:hAnsi="Century" w:cs="Miriam" w:hint="cs"/>
          <w:b/>
          <w:spacing w:val="0"/>
          <w:szCs w:val="24"/>
          <w:rtl/>
        </w:rPr>
        <w:t>"</w:t>
      </w:r>
      <w:r>
        <w:rPr>
          <w:rFonts w:hint="cs"/>
          <w:rtl/>
        </w:rPr>
        <w:t xml:space="preserve"> (</w:t>
      </w:r>
      <w:r w:rsidRPr="00960FD0">
        <w:rPr>
          <w:rFonts w:ascii="Century" w:hAnsi="Century" w:hint="cs"/>
          <w:rtl/>
        </w:rPr>
        <w:t>מלכים</w:t>
      </w:r>
      <w:r>
        <w:rPr>
          <w:rFonts w:ascii="Century" w:hAnsi="Century" w:hint="cs"/>
          <w:rtl/>
        </w:rPr>
        <w:t xml:space="preserve"> </w:t>
      </w:r>
      <w:r>
        <w:rPr>
          <w:rtl/>
        </w:rPr>
        <w:t>–</w:t>
      </w:r>
      <w:r>
        <w:rPr>
          <w:rFonts w:hint="cs"/>
          <w:rtl/>
        </w:rPr>
        <w:t xml:space="preserve"> </w:t>
      </w:r>
      <w:r w:rsidRPr="00960FD0">
        <w:rPr>
          <w:rFonts w:ascii="Century" w:hAnsi="Century" w:hint="cs"/>
          <w:rtl/>
        </w:rPr>
        <w:t>א</w:t>
      </w:r>
      <w:r>
        <w:rPr>
          <w:rFonts w:hint="cs"/>
          <w:rtl/>
        </w:rPr>
        <w:t xml:space="preserve"> ג, כו). חיזוק למסקנה זו, מוצא אני בהסכמת המשיבים לקיום דיון נוסף בסוגיה. באופן מפתיע למדי, שלא לומר תקדימי, עמדת המשיבים </w:t>
      </w:r>
      <w:r>
        <w:rPr>
          <w:rtl/>
        </w:rPr>
        <w:t>–</w:t>
      </w:r>
      <w:r>
        <w:rPr>
          <w:rFonts w:hint="cs"/>
          <w:rtl/>
        </w:rPr>
        <w:t xml:space="preserve"> </w:t>
      </w:r>
      <w:r w:rsidRPr="00CE5D4A">
        <w:rPr>
          <w:rFonts w:ascii="Century" w:hAnsi="Century" w:cs="Miriam" w:hint="eastAsia"/>
          <w:b/>
          <w:spacing w:val="0"/>
          <w:szCs w:val="24"/>
          <w:rtl/>
        </w:rPr>
        <w:t>שזכו</w:t>
      </w:r>
      <w:r w:rsidRPr="00CE5D4A">
        <w:rPr>
          <w:rFonts w:ascii="Century" w:hAnsi="Century" w:cs="Miriam"/>
          <w:b/>
          <w:spacing w:val="0"/>
          <w:szCs w:val="24"/>
          <w:rtl/>
        </w:rPr>
        <w:t xml:space="preserve"> </w:t>
      </w:r>
      <w:r w:rsidRPr="00CE5D4A">
        <w:rPr>
          <w:rFonts w:ascii="Century" w:hAnsi="Century" w:cs="Miriam" w:hint="eastAsia"/>
          <w:b/>
          <w:spacing w:val="0"/>
          <w:szCs w:val="24"/>
          <w:rtl/>
        </w:rPr>
        <w:t>בדינם</w:t>
      </w:r>
      <w:r w:rsidRPr="00FE6281">
        <w:rPr>
          <w:rtl/>
        </w:rPr>
        <w:t xml:space="preserve"> </w:t>
      </w:r>
      <w:r>
        <w:rPr>
          <w:rFonts w:hint="cs"/>
          <w:rtl/>
        </w:rPr>
        <w:t xml:space="preserve">במסגרת פסק הדין בערעור </w:t>
      </w:r>
      <w:r>
        <w:rPr>
          <w:rtl/>
        </w:rPr>
        <w:t>–</w:t>
      </w:r>
      <w:r>
        <w:rPr>
          <w:rFonts w:hint="cs"/>
          <w:rtl/>
        </w:rPr>
        <w:t xml:space="preserve"> לא היתה לדחות את הבקשה לדיון </w:t>
      </w:r>
      <w:r>
        <w:rPr>
          <w:rFonts w:hint="cs"/>
          <w:rtl/>
        </w:rPr>
        <w:lastRenderedPageBreak/>
        <w:t xml:space="preserve">נוסף, כי אם לקיים דיון עקרוני במשמעותו של סעיף 5, תוך העמדת זכויותיהם הנטענות בסכנה, שמא בדיון הנוסף תתהפך התוצאה. אמנם, בית המשפט אינו צריך להתחקות אחר מניעיו של בעל דין, והוא אינו בוחן כליות ולב. משימתו אחת היא: הכרעה שיפוטית במחלוקת שלפניו. יחד עם זאת, במישור התוצאה, בית המשפט רשאי להתחשב בכך שהכרעתו מביאה למצב שבו קרקע המריבה הופכת שוממה, </w:t>
      </w:r>
      <w:r w:rsidRPr="00CE5D4A">
        <w:rPr>
          <w:rFonts w:ascii="Century" w:hAnsi="Century" w:cs="Miriam"/>
          <w:b/>
          <w:spacing w:val="0"/>
          <w:szCs w:val="24"/>
          <w:rtl/>
        </w:rPr>
        <w:t>"</w:t>
      </w:r>
      <w:r w:rsidRPr="00CE5D4A">
        <w:rPr>
          <w:rFonts w:ascii="Century" w:hAnsi="Century" w:cs="Miriam" w:hint="eastAsia"/>
          <w:b/>
          <w:spacing w:val="0"/>
          <w:szCs w:val="24"/>
          <w:rtl/>
        </w:rPr>
        <w:t>כמצודה</w:t>
      </w:r>
      <w:r w:rsidRPr="00CE5D4A">
        <w:rPr>
          <w:rFonts w:ascii="Century" w:hAnsi="Century" w:cs="Miriam"/>
          <w:b/>
          <w:spacing w:val="0"/>
          <w:szCs w:val="24"/>
          <w:rtl/>
        </w:rPr>
        <w:t xml:space="preserve"> </w:t>
      </w:r>
      <w:r w:rsidRPr="00CE5D4A">
        <w:rPr>
          <w:rFonts w:ascii="Century" w:hAnsi="Century" w:cs="Miriam" w:hint="eastAsia"/>
          <w:b/>
          <w:spacing w:val="0"/>
          <w:szCs w:val="24"/>
          <w:rtl/>
        </w:rPr>
        <w:t>שאין</w:t>
      </w:r>
      <w:r w:rsidRPr="00CE5D4A">
        <w:rPr>
          <w:rFonts w:ascii="Century" w:hAnsi="Century" w:cs="Miriam"/>
          <w:b/>
          <w:spacing w:val="0"/>
          <w:szCs w:val="24"/>
          <w:rtl/>
        </w:rPr>
        <w:t xml:space="preserve"> </w:t>
      </w:r>
      <w:r w:rsidRPr="00CE5D4A">
        <w:rPr>
          <w:rFonts w:ascii="Century" w:hAnsi="Century" w:cs="Miriam" w:hint="eastAsia"/>
          <w:b/>
          <w:spacing w:val="0"/>
          <w:szCs w:val="24"/>
          <w:rtl/>
        </w:rPr>
        <w:t>בה</w:t>
      </w:r>
      <w:r w:rsidRPr="00CE5D4A">
        <w:rPr>
          <w:rFonts w:ascii="Century" w:hAnsi="Century" w:cs="Miriam"/>
          <w:b/>
          <w:spacing w:val="0"/>
          <w:szCs w:val="24"/>
          <w:rtl/>
        </w:rPr>
        <w:t xml:space="preserve"> </w:t>
      </w:r>
      <w:r w:rsidRPr="00CE5D4A">
        <w:rPr>
          <w:rFonts w:ascii="Century" w:hAnsi="Century" w:cs="Miriam" w:hint="eastAsia"/>
          <w:b/>
          <w:spacing w:val="0"/>
          <w:szCs w:val="24"/>
          <w:rtl/>
        </w:rPr>
        <w:t>דגן</w:t>
      </w:r>
      <w:r>
        <w:rPr>
          <w:rFonts w:ascii="Century" w:hAnsi="Century" w:cs="Miriam" w:hint="cs"/>
          <w:b/>
          <w:spacing w:val="0"/>
          <w:szCs w:val="24"/>
          <w:rtl/>
        </w:rPr>
        <w:t>,</w:t>
      </w:r>
      <w:r w:rsidRPr="00CE5D4A">
        <w:rPr>
          <w:rFonts w:ascii="Century" w:hAnsi="Century" w:cs="Miriam"/>
          <w:b/>
          <w:spacing w:val="0"/>
          <w:szCs w:val="24"/>
          <w:rtl/>
        </w:rPr>
        <w:t xml:space="preserve"> [...] </w:t>
      </w:r>
      <w:r w:rsidRPr="00CE5D4A">
        <w:rPr>
          <w:rFonts w:ascii="Century" w:hAnsi="Century" w:cs="Miriam" w:hint="eastAsia"/>
          <w:b/>
          <w:spacing w:val="0"/>
          <w:szCs w:val="24"/>
          <w:rtl/>
        </w:rPr>
        <w:t>כמצולה</w:t>
      </w:r>
      <w:r w:rsidRPr="00CE5D4A">
        <w:rPr>
          <w:rFonts w:ascii="Century" w:hAnsi="Century" w:cs="Miriam"/>
          <w:b/>
          <w:spacing w:val="0"/>
          <w:szCs w:val="24"/>
          <w:rtl/>
        </w:rPr>
        <w:t xml:space="preserve"> </w:t>
      </w:r>
      <w:r w:rsidRPr="00CE5D4A">
        <w:rPr>
          <w:rFonts w:ascii="Century" w:hAnsi="Century" w:cs="Miriam" w:hint="eastAsia"/>
          <w:b/>
          <w:spacing w:val="0"/>
          <w:szCs w:val="24"/>
          <w:rtl/>
        </w:rPr>
        <w:t>שאין</w:t>
      </w:r>
      <w:r w:rsidRPr="00CE5D4A">
        <w:rPr>
          <w:rFonts w:ascii="Century" w:hAnsi="Century" w:cs="Miriam"/>
          <w:b/>
          <w:spacing w:val="0"/>
          <w:szCs w:val="24"/>
          <w:rtl/>
        </w:rPr>
        <w:t xml:space="preserve"> </w:t>
      </w:r>
      <w:r w:rsidRPr="00CE5D4A">
        <w:rPr>
          <w:rFonts w:ascii="Century" w:hAnsi="Century" w:cs="Miriam" w:hint="eastAsia"/>
          <w:b/>
          <w:spacing w:val="0"/>
          <w:szCs w:val="24"/>
          <w:rtl/>
        </w:rPr>
        <w:t>בה</w:t>
      </w:r>
      <w:r w:rsidRPr="00CE5D4A">
        <w:rPr>
          <w:rFonts w:ascii="Century" w:hAnsi="Century" w:cs="Miriam"/>
          <w:b/>
          <w:spacing w:val="0"/>
          <w:szCs w:val="24"/>
          <w:rtl/>
        </w:rPr>
        <w:t xml:space="preserve"> </w:t>
      </w:r>
      <w:r w:rsidRPr="00CE5D4A">
        <w:rPr>
          <w:rFonts w:ascii="Century" w:hAnsi="Century" w:cs="Miriam" w:hint="eastAsia"/>
          <w:b/>
          <w:spacing w:val="0"/>
          <w:szCs w:val="24"/>
          <w:rtl/>
        </w:rPr>
        <w:t>דגים</w:t>
      </w:r>
      <w:r w:rsidRPr="00CE5D4A">
        <w:rPr>
          <w:rFonts w:ascii="Century" w:hAnsi="Century" w:cs="Miriam"/>
          <w:b/>
          <w:spacing w:val="0"/>
          <w:szCs w:val="24"/>
          <w:rtl/>
        </w:rPr>
        <w:t>"</w:t>
      </w:r>
      <w:r>
        <w:rPr>
          <w:rFonts w:hint="cs"/>
          <w:rtl/>
        </w:rPr>
        <w:t xml:space="preserve"> (בבלי, ברכות ט, ע"ב) (והשוו לאמור בפסקה 54 לחוות דעתי, בעניין </w:t>
      </w:r>
      <w:r w:rsidRPr="00960FD0">
        <w:rPr>
          <w:rFonts w:ascii="Century" w:hAnsi="Century" w:cs="Miriam" w:hint="cs"/>
          <w:b/>
          <w:spacing w:val="0"/>
          <w:szCs w:val="24"/>
          <w:rtl/>
        </w:rPr>
        <w:t>חוק ההסדרה</w:t>
      </w:r>
      <w:r>
        <w:rPr>
          <w:rFonts w:hint="cs"/>
          <w:rtl/>
        </w:rPr>
        <w:t xml:space="preserve">). </w:t>
      </w:r>
    </w:p>
    <w:p w:rsidR="00295623" w:rsidRPr="005E5B40" w:rsidRDefault="00295623" w:rsidP="00295623">
      <w:pPr>
        <w:pStyle w:val="Ruller41"/>
        <w:tabs>
          <w:tab w:val="left" w:pos="90"/>
        </w:tabs>
        <w:spacing w:line="240" w:lineRule="auto"/>
      </w:pPr>
    </w:p>
    <w:p w:rsidR="00295623" w:rsidRPr="00247D56" w:rsidRDefault="00295623" w:rsidP="00295623">
      <w:pPr>
        <w:pStyle w:val="Ruller41"/>
        <w:rPr>
          <w:rtl/>
        </w:rPr>
      </w:pPr>
      <w:r>
        <w:rPr>
          <w:rFonts w:hint="cs"/>
          <w:rtl/>
        </w:rPr>
        <w:t>26.</w:t>
      </w:r>
      <w:r>
        <w:rPr>
          <w:rFonts w:hint="cs"/>
          <w:rtl/>
        </w:rPr>
        <w:tab/>
      </w:r>
      <w:r w:rsidRPr="00247D56">
        <w:rPr>
          <w:rFonts w:hint="cs"/>
          <w:rtl/>
        </w:rPr>
        <w:t>אמנם כן, הלכה פסוקה של בית משפט זה קובעת</w:t>
      </w:r>
      <w:r>
        <w:rPr>
          <w:rFonts w:hint="cs"/>
          <w:rtl/>
        </w:rPr>
        <w:t>,</w:t>
      </w:r>
      <w:r w:rsidRPr="00247D56">
        <w:rPr>
          <w:rFonts w:hint="cs"/>
          <w:rtl/>
        </w:rPr>
        <w:t xml:space="preserve"> כי </w:t>
      </w:r>
      <w:r w:rsidRPr="001401FC">
        <w:rPr>
          <w:rFonts w:ascii="Century" w:hAnsi="Century" w:cs="Miriam" w:hint="cs"/>
          <w:b/>
          <w:spacing w:val="0"/>
          <w:szCs w:val="24"/>
          <w:rtl/>
        </w:rPr>
        <w:t>"מקום שמדובר בבנייה בלתי חוקית שנעשתה על מקרקעין פרטיים, אין להתנות את האכיפה בקיומו של עותר קונקרטי בעל זכויות במקרקעין הנדונים"</w:t>
      </w:r>
      <w:r w:rsidRPr="00247D56">
        <w:rPr>
          <w:rFonts w:hint="cs"/>
          <w:rtl/>
        </w:rPr>
        <w:t xml:space="preserve"> (בג"ץ 5023/08 </w:t>
      </w:r>
      <w:r w:rsidRPr="001401FC">
        <w:rPr>
          <w:rFonts w:ascii="Century" w:hAnsi="Century" w:cs="Miriam" w:hint="cs"/>
          <w:b/>
          <w:spacing w:val="0"/>
          <w:szCs w:val="24"/>
          <w:rtl/>
        </w:rPr>
        <w:t>שחאדה נ' שר הביטחון</w:t>
      </w:r>
      <w:r w:rsidRPr="00247D56">
        <w:rPr>
          <w:rFonts w:hint="cs"/>
          <w:rtl/>
        </w:rPr>
        <w:t>, פסקה 12 (8.2.2015)). אחדד אפוא, כי בדברַי עד כה לא באתי לחלוק על הלכה זו, שנועדה למנוע פגיעה בשלטון החוק, ופגיעה בזכויות הקניין של הפרט. אלא מאי? עיקרו של ההליך שלפנינו איננו במישור המינהלי</w:t>
      </w:r>
      <w:r>
        <w:rPr>
          <w:rFonts w:hint="cs"/>
          <w:rtl/>
        </w:rPr>
        <w:t>,</w:t>
      </w:r>
      <w:r w:rsidRPr="00247D56">
        <w:rPr>
          <w:rFonts w:hint="cs"/>
          <w:rtl/>
        </w:rPr>
        <w:t xml:space="preserve"> באכיפת דיני התכנון והבניה. שאלה זו, אינה אלא שאלה משנית בנסיבות העניין, ואיננו עוסקים בה בשלב זה. ענייננו כאן בשאלה קניינית, לגבי 'תחרות הזכויות' המתקיימת כאן, לפי הדין החל באזור (ובכלל זה גם התחיקה הצבאית). הקרקע אמנם רשומה על</w:t>
      </w:r>
      <w:r>
        <w:rPr>
          <w:rFonts w:hint="cs"/>
          <w:rtl/>
        </w:rPr>
        <w:t>-</w:t>
      </w:r>
      <w:r w:rsidRPr="00247D56">
        <w:rPr>
          <w:rFonts w:hint="cs"/>
          <w:rtl/>
        </w:rPr>
        <w:t>שם בעלים פרטיים, אך אלו לא באו לפנינו. ממילא, 'התאונה המשפטית' במקרה זה, אינה מחייבת לכפות על המחזיקים לשלם את מחירה, כאן ועכשיו, ולצוות עליהם להתפנות מבתיהם בכל מחיר. אילו היו מתייצבים בעלי הקרקע, ומבקשים בעצמם סעד כאמור, יתכן שנקודת האיזון היתה שונה, אם אכן היה נמצא כי הדבר כרוך בפגיעה בקניין הפרטי (</w:t>
      </w:r>
      <w:r>
        <w:rPr>
          <w:rFonts w:hint="cs"/>
          <w:rtl/>
        </w:rPr>
        <w:t>א</w:t>
      </w:r>
      <w:r w:rsidRPr="00247D56">
        <w:rPr>
          <w:rFonts w:hint="cs"/>
          <w:rtl/>
        </w:rPr>
        <w:t>צ</w:t>
      </w:r>
      <w:r>
        <w:rPr>
          <w:rFonts w:hint="cs"/>
          <w:rtl/>
        </w:rPr>
        <w:t>י</w:t>
      </w:r>
      <w:r w:rsidRPr="00247D56">
        <w:rPr>
          <w:rFonts w:hint="cs"/>
          <w:rtl/>
        </w:rPr>
        <w:t>ין</w:t>
      </w:r>
      <w:r>
        <w:rPr>
          <w:rFonts w:hint="cs"/>
          <w:rtl/>
        </w:rPr>
        <w:t>,</w:t>
      </w:r>
      <w:r w:rsidRPr="00247D56">
        <w:rPr>
          <w:rFonts w:hint="cs"/>
          <w:rtl/>
        </w:rPr>
        <w:t xml:space="preserve"> כי גם במקרה כזה, לא מן הנמנע שהיה על המבקשים </w:t>
      </w:r>
      <w:r>
        <w:rPr>
          <w:rFonts w:hint="cs"/>
          <w:rtl/>
        </w:rPr>
        <w:t xml:space="preserve">הללו </w:t>
      </w:r>
      <w:r w:rsidRPr="00247D56">
        <w:rPr>
          <w:rFonts w:hint="cs"/>
          <w:rtl/>
        </w:rPr>
        <w:t>לעבור משוכה משמעותית, טרם קבלת הזכויות לידיהם, נוכח חלוף הזמן). כך או כך, לא זהו המקרה הנדון כאן. המקרה שלפנינו, הוא בעל מאפיינים מיוחדים, גם בהיבט הפגיעה בשלטון החוק, שכן מתיישבי מצפה כרמים הגיעו למקום באישור, לכל הפחות באישור בדיעבד, של גורמי ממשל שונים, ושל אנשי המינהל האזרחי, מבלי שהיו מודעים לקושי המשפטי-קנייני ביחס למקרקעין. גם אם המקרה שלפנינו הוא גבולי, 'כמעט' תקנת שוק, ולא תקנת שוק כהלכתה, הרי שעובדה זו משליכה, לדעתי, על מידת הפגיעה בשלטון החוק.</w:t>
      </w:r>
    </w:p>
    <w:p w:rsidR="00295623" w:rsidRPr="00417819" w:rsidRDefault="00295623" w:rsidP="00295623">
      <w:pPr>
        <w:pStyle w:val="Ruller41"/>
        <w:tabs>
          <w:tab w:val="left" w:pos="90"/>
        </w:tabs>
        <w:spacing w:line="240" w:lineRule="auto"/>
      </w:pPr>
    </w:p>
    <w:p w:rsidR="00295623" w:rsidRDefault="00295623" w:rsidP="00295623">
      <w:pPr>
        <w:pStyle w:val="Ruller41"/>
        <w:rPr>
          <w:rtl/>
        </w:rPr>
      </w:pPr>
      <w:r>
        <w:rPr>
          <w:rFonts w:hint="cs"/>
          <w:rtl/>
        </w:rPr>
        <w:t>27.</w:t>
      </w:r>
      <w:r>
        <w:rPr>
          <w:rtl/>
        </w:rPr>
        <w:tab/>
      </w:r>
      <w:r>
        <w:rPr>
          <w:rFonts w:hint="cs"/>
          <w:rtl/>
        </w:rPr>
        <w:t xml:space="preserve">אבהיר, כי הדברים שלעיל נכתבו ללא קשר לעמדתי העקרונית, לגבי פרשנותו הראויה של סעיף 5, שעל אודותיה אפרט מיד; אולם, לגישתי, לדברים האמורים משמעות רבה, בכל הנוגע למציאת פתרון ראוי וצודק, בנסיבות העניין, לסכסוך הקונקרטי שהובא להכרעתנו. </w:t>
      </w:r>
    </w:p>
    <w:p w:rsidR="00295623" w:rsidRPr="004D7BDE" w:rsidRDefault="00295623" w:rsidP="00295623">
      <w:pPr>
        <w:pStyle w:val="Ruller41"/>
        <w:tabs>
          <w:tab w:val="left" w:pos="90"/>
        </w:tabs>
        <w:rPr>
          <w:rtl/>
        </w:rPr>
      </w:pPr>
    </w:p>
    <w:p w:rsidR="00295623" w:rsidRPr="00C24980" w:rsidRDefault="00295623" w:rsidP="00295623">
      <w:pPr>
        <w:pStyle w:val="Ruller41"/>
        <w:tabs>
          <w:tab w:val="left" w:pos="90"/>
        </w:tabs>
        <w:spacing w:line="240" w:lineRule="auto"/>
        <w:rPr>
          <w:rFonts w:ascii="Century" w:hAnsi="Century" w:cs="Miriam"/>
          <w:b/>
          <w:spacing w:val="0"/>
          <w:szCs w:val="24"/>
        </w:rPr>
      </w:pPr>
      <w:r w:rsidRPr="00C24980">
        <w:rPr>
          <w:rFonts w:ascii="Century" w:hAnsi="Century" w:cs="Miriam" w:hint="cs"/>
          <w:b/>
          <w:spacing w:val="0"/>
          <w:szCs w:val="24"/>
          <w:rtl/>
        </w:rPr>
        <w:lastRenderedPageBreak/>
        <w:t>סעיף 5 לצו בדבר רכוש ממשלתי</w:t>
      </w:r>
      <w:r>
        <w:rPr>
          <w:rFonts w:ascii="Century" w:hAnsi="Century" w:cs="Miriam" w:hint="cs"/>
          <w:b/>
          <w:spacing w:val="0"/>
          <w:szCs w:val="24"/>
          <w:rtl/>
        </w:rPr>
        <w:t xml:space="preserve"> </w:t>
      </w:r>
    </w:p>
    <w:p w:rsidR="00295623" w:rsidRDefault="00295623" w:rsidP="00295623">
      <w:pPr>
        <w:pStyle w:val="Ruller4"/>
        <w:numPr>
          <w:ilvl w:val="0"/>
          <w:numId w:val="0"/>
        </w:numPr>
        <w:tabs>
          <w:tab w:val="left" w:pos="90"/>
        </w:tabs>
        <w:spacing w:line="240" w:lineRule="auto"/>
        <w:rPr>
          <w:rtl/>
        </w:rPr>
      </w:pPr>
    </w:p>
    <w:p w:rsidR="00295623" w:rsidRDefault="00295623" w:rsidP="00295623">
      <w:pPr>
        <w:pStyle w:val="Ruller41"/>
        <w:rPr>
          <w:rtl/>
        </w:rPr>
      </w:pPr>
      <w:r>
        <w:rPr>
          <w:rFonts w:hint="cs"/>
          <w:rtl/>
        </w:rPr>
        <w:t>28.</w:t>
      </w:r>
      <w:r>
        <w:rPr>
          <w:rFonts w:hint="cs"/>
          <w:rtl/>
        </w:rPr>
        <w:tab/>
        <w:t xml:space="preserve">כאמור, סעיף 5 קובע הסדר של 'מעין תקנת שוק'; זו לשונו: </w:t>
      </w:r>
    </w:p>
    <w:p w:rsidR="00295623" w:rsidRDefault="00295623" w:rsidP="00295623">
      <w:pPr>
        <w:pStyle w:val="Ruller5"/>
        <w:tabs>
          <w:tab w:val="left" w:pos="90"/>
        </w:tabs>
        <w:ind w:left="0"/>
        <w:rPr>
          <w:rFonts w:ascii="Century" w:hAnsi="Century" w:cs="Miriam"/>
          <w:b/>
          <w:spacing w:val="0"/>
          <w:szCs w:val="24"/>
          <w:rtl/>
        </w:rPr>
      </w:pPr>
    </w:p>
    <w:p w:rsidR="00295623" w:rsidRDefault="00295623" w:rsidP="00295623">
      <w:pPr>
        <w:pStyle w:val="Ruller5"/>
        <w:tabs>
          <w:tab w:val="left" w:pos="90"/>
          <w:tab w:val="left" w:pos="7030"/>
        </w:tabs>
        <w:ind w:left="1649"/>
        <w:rPr>
          <w:rFonts w:ascii="Century" w:hAnsi="Century" w:cs="Miriam"/>
          <w:b/>
          <w:spacing w:val="0"/>
          <w:szCs w:val="24"/>
          <w:rtl/>
        </w:rPr>
      </w:pPr>
      <w:r w:rsidRPr="00F05646">
        <w:rPr>
          <w:rFonts w:ascii="Century" w:hAnsi="Century" w:cs="Miriam" w:hint="cs"/>
          <w:b/>
          <w:spacing w:val="0"/>
          <w:szCs w:val="24"/>
          <w:rtl/>
        </w:rPr>
        <w:t>"</w:t>
      </w:r>
      <w:r w:rsidRPr="00F05646">
        <w:rPr>
          <w:rFonts w:ascii="Century" w:hAnsi="Century" w:cs="Miriam" w:hint="eastAsia"/>
          <w:b/>
          <w:spacing w:val="0"/>
          <w:szCs w:val="24"/>
          <w:rtl/>
        </w:rPr>
        <w:t>כל</w:t>
      </w:r>
      <w:r w:rsidRPr="00F05646">
        <w:rPr>
          <w:rFonts w:ascii="Century" w:hAnsi="Century" w:cs="Miriam"/>
          <w:b/>
          <w:spacing w:val="0"/>
          <w:szCs w:val="24"/>
          <w:rtl/>
        </w:rPr>
        <w:t xml:space="preserve"> </w:t>
      </w:r>
      <w:r w:rsidRPr="00F05646">
        <w:rPr>
          <w:rFonts w:ascii="Century" w:hAnsi="Century" w:cs="Miriam" w:hint="eastAsia"/>
          <w:b/>
          <w:spacing w:val="0"/>
          <w:szCs w:val="24"/>
          <w:rtl/>
        </w:rPr>
        <w:t>עיסקה</w:t>
      </w:r>
      <w:r w:rsidRPr="00F05646">
        <w:rPr>
          <w:rFonts w:ascii="Century" w:hAnsi="Century" w:cs="Miriam"/>
          <w:b/>
          <w:spacing w:val="0"/>
          <w:szCs w:val="24"/>
          <w:rtl/>
        </w:rPr>
        <w:t xml:space="preserve"> </w:t>
      </w:r>
      <w:r w:rsidRPr="00F05646">
        <w:rPr>
          <w:rFonts w:ascii="Century" w:hAnsi="Century" w:cs="Miriam" w:hint="eastAsia"/>
          <w:b/>
          <w:spacing w:val="0"/>
          <w:szCs w:val="24"/>
          <w:rtl/>
        </w:rPr>
        <w:t>שנעשתה</w:t>
      </w:r>
      <w:r w:rsidRPr="00F05646">
        <w:rPr>
          <w:rFonts w:ascii="Century" w:hAnsi="Century" w:cs="Miriam"/>
          <w:b/>
          <w:spacing w:val="0"/>
          <w:szCs w:val="24"/>
          <w:rtl/>
        </w:rPr>
        <w:t xml:space="preserve"> </w:t>
      </w:r>
      <w:r w:rsidRPr="00F05646">
        <w:rPr>
          <w:rFonts w:ascii="Century" w:hAnsi="Century" w:cs="Miriam" w:hint="eastAsia"/>
          <w:b/>
          <w:spacing w:val="0"/>
          <w:szCs w:val="24"/>
          <w:rtl/>
        </w:rPr>
        <w:t>בתום</w:t>
      </w:r>
      <w:r w:rsidRPr="00F05646">
        <w:rPr>
          <w:rFonts w:ascii="Century" w:hAnsi="Century" w:cs="Miriam"/>
          <w:b/>
          <w:spacing w:val="0"/>
          <w:szCs w:val="24"/>
          <w:rtl/>
        </w:rPr>
        <w:t xml:space="preserve"> </w:t>
      </w:r>
      <w:r w:rsidRPr="00F05646">
        <w:rPr>
          <w:rFonts w:ascii="Century" w:hAnsi="Century" w:cs="Miriam" w:hint="eastAsia"/>
          <w:b/>
          <w:spacing w:val="0"/>
          <w:szCs w:val="24"/>
          <w:rtl/>
        </w:rPr>
        <w:t>לב</w:t>
      </w:r>
      <w:r w:rsidRPr="00F05646">
        <w:rPr>
          <w:rFonts w:ascii="Century" w:hAnsi="Century" w:cs="Miriam"/>
          <w:b/>
          <w:spacing w:val="0"/>
          <w:szCs w:val="24"/>
          <w:rtl/>
        </w:rPr>
        <w:t xml:space="preserve"> </w:t>
      </w:r>
      <w:r w:rsidRPr="00F05646">
        <w:rPr>
          <w:rFonts w:ascii="Century" w:hAnsi="Century" w:cs="Miriam" w:hint="eastAsia"/>
          <w:b/>
          <w:spacing w:val="0"/>
          <w:szCs w:val="24"/>
          <w:rtl/>
        </w:rPr>
        <w:t>בין</w:t>
      </w:r>
      <w:r w:rsidRPr="00F05646">
        <w:rPr>
          <w:rFonts w:ascii="Century" w:hAnsi="Century" w:cs="Miriam"/>
          <w:b/>
          <w:spacing w:val="0"/>
          <w:szCs w:val="24"/>
          <w:rtl/>
        </w:rPr>
        <w:t xml:space="preserve"> </w:t>
      </w:r>
      <w:r w:rsidRPr="00F05646">
        <w:rPr>
          <w:rFonts w:ascii="Century" w:hAnsi="Century" w:cs="Miriam" w:hint="eastAsia"/>
          <w:b/>
          <w:spacing w:val="0"/>
          <w:szCs w:val="24"/>
          <w:rtl/>
        </w:rPr>
        <w:t>הממונה</w:t>
      </w:r>
      <w:r w:rsidRPr="00F05646">
        <w:rPr>
          <w:rFonts w:ascii="Century" w:hAnsi="Century" w:cs="Miriam"/>
          <w:b/>
          <w:spacing w:val="0"/>
          <w:szCs w:val="24"/>
          <w:rtl/>
        </w:rPr>
        <w:t xml:space="preserve"> </w:t>
      </w:r>
      <w:r w:rsidRPr="00F05646">
        <w:rPr>
          <w:rFonts w:ascii="Century" w:hAnsi="Century" w:cs="Miriam" w:hint="eastAsia"/>
          <w:b/>
          <w:spacing w:val="0"/>
          <w:szCs w:val="24"/>
          <w:rtl/>
        </w:rPr>
        <w:t>ובין</w:t>
      </w:r>
      <w:r w:rsidRPr="00F05646">
        <w:rPr>
          <w:rFonts w:ascii="Century" w:hAnsi="Century" w:cs="Miriam"/>
          <w:b/>
          <w:spacing w:val="0"/>
          <w:szCs w:val="24"/>
          <w:rtl/>
        </w:rPr>
        <w:t xml:space="preserve"> </w:t>
      </w:r>
      <w:r w:rsidRPr="00F05646">
        <w:rPr>
          <w:rFonts w:ascii="Century" w:hAnsi="Century" w:cs="Miriam" w:hint="eastAsia"/>
          <w:b/>
          <w:spacing w:val="0"/>
          <w:szCs w:val="24"/>
          <w:rtl/>
        </w:rPr>
        <w:t>אדם</w:t>
      </w:r>
      <w:r w:rsidRPr="00F05646">
        <w:rPr>
          <w:rFonts w:ascii="Century" w:hAnsi="Century" w:cs="Miriam"/>
          <w:b/>
          <w:spacing w:val="0"/>
          <w:szCs w:val="24"/>
          <w:rtl/>
        </w:rPr>
        <w:t xml:space="preserve"> </w:t>
      </w:r>
      <w:r w:rsidRPr="00F05646">
        <w:rPr>
          <w:rFonts w:ascii="Century" w:hAnsi="Century" w:cs="Miriam" w:hint="eastAsia"/>
          <w:b/>
          <w:spacing w:val="0"/>
          <w:szCs w:val="24"/>
          <w:rtl/>
        </w:rPr>
        <w:t>אחר</w:t>
      </w:r>
      <w:r w:rsidRPr="00F05646">
        <w:rPr>
          <w:rFonts w:ascii="Century" w:hAnsi="Century" w:cs="Miriam"/>
          <w:b/>
          <w:spacing w:val="0"/>
          <w:szCs w:val="24"/>
          <w:rtl/>
        </w:rPr>
        <w:t xml:space="preserve"> </w:t>
      </w:r>
      <w:r w:rsidRPr="00F05646">
        <w:rPr>
          <w:rFonts w:ascii="Century" w:hAnsi="Century" w:cs="Miriam" w:hint="eastAsia"/>
          <w:b/>
          <w:spacing w:val="0"/>
          <w:szCs w:val="24"/>
          <w:rtl/>
        </w:rPr>
        <w:t>בכל</w:t>
      </w:r>
      <w:r w:rsidRPr="00F05646">
        <w:rPr>
          <w:rFonts w:ascii="Century" w:hAnsi="Century" w:cs="Miriam"/>
          <w:b/>
          <w:spacing w:val="0"/>
          <w:szCs w:val="24"/>
          <w:rtl/>
        </w:rPr>
        <w:t xml:space="preserve"> </w:t>
      </w:r>
      <w:r w:rsidRPr="00F05646">
        <w:rPr>
          <w:rFonts w:ascii="Century" w:hAnsi="Century" w:cs="Miriam" w:hint="eastAsia"/>
          <w:b/>
          <w:spacing w:val="0"/>
          <w:szCs w:val="24"/>
          <w:rtl/>
        </w:rPr>
        <w:t>נכס</w:t>
      </w:r>
      <w:r w:rsidRPr="00F05646">
        <w:rPr>
          <w:rFonts w:ascii="Century" w:hAnsi="Century" w:cs="Miriam"/>
          <w:b/>
          <w:spacing w:val="0"/>
          <w:szCs w:val="24"/>
          <w:rtl/>
        </w:rPr>
        <w:t xml:space="preserve"> </w:t>
      </w:r>
      <w:r w:rsidRPr="00F05646">
        <w:rPr>
          <w:rFonts w:ascii="Century" w:hAnsi="Century" w:cs="Miriam" w:hint="eastAsia"/>
          <w:b/>
          <w:spacing w:val="0"/>
          <w:szCs w:val="24"/>
          <w:rtl/>
        </w:rPr>
        <w:t>שהממונה</w:t>
      </w:r>
      <w:r w:rsidRPr="00F05646">
        <w:rPr>
          <w:rFonts w:ascii="Century" w:hAnsi="Century" w:cs="Miriam"/>
          <w:b/>
          <w:spacing w:val="0"/>
          <w:szCs w:val="24"/>
          <w:rtl/>
        </w:rPr>
        <w:t xml:space="preserve"> </w:t>
      </w:r>
      <w:r w:rsidRPr="00F05646">
        <w:rPr>
          <w:rFonts w:ascii="Century" w:hAnsi="Century" w:cs="Miriam" w:hint="eastAsia"/>
          <w:b/>
          <w:spacing w:val="0"/>
          <w:szCs w:val="24"/>
          <w:rtl/>
        </w:rPr>
        <w:t>חשבו</w:t>
      </w:r>
      <w:r w:rsidRPr="00F05646">
        <w:rPr>
          <w:rFonts w:ascii="Century" w:hAnsi="Century" w:cs="Miriam"/>
          <w:b/>
          <w:spacing w:val="0"/>
          <w:szCs w:val="24"/>
          <w:rtl/>
        </w:rPr>
        <w:t xml:space="preserve"> </w:t>
      </w:r>
      <w:r w:rsidRPr="00F05646">
        <w:rPr>
          <w:rFonts w:ascii="Century" w:hAnsi="Century" w:cs="Miriam" w:hint="eastAsia"/>
          <w:b/>
          <w:spacing w:val="0"/>
          <w:szCs w:val="24"/>
          <w:rtl/>
        </w:rPr>
        <w:t>בשעת</w:t>
      </w:r>
      <w:r w:rsidRPr="00F05646">
        <w:rPr>
          <w:rFonts w:ascii="Century" w:hAnsi="Century" w:cs="Miriam"/>
          <w:b/>
          <w:spacing w:val="0"/>
          <w:szCs w:val="24"/>
          <w:rtl/>
        </w:rPr>
        <w:t xml:space="preserve"> </w:t>
      </w:r>
      <w:r w:rsidRPr="00F05646">
        <w:rPr>
          <w:rFonts w:ascii="Century" w:hAnsi="Century" w:cs="Miriam" w:hint="eastAsia"/>
          <w:b/>
          <w:spacing w:val="0"/>
          <w:szCs w:val="24"/>
          <w:rtl/>
        </w:rPr>
        <w:t>העיסקה</w:t>
      </w:r>
      <w:r w:rsidRPr="00F05646">
        <w:rPr>
          <w:rFonts w:ascii="Century" w:hAnsi="Century" w:cs="Miriam"/>
          <w:b/>
          <w:spacing w:val="0"/>
          <w:szCs w:val="24"/>
          <w:rtl/>
        </w:rPr>
        <w:t xml:space="preserve"> </w:t>
      </w:r>
      <w:r w:rsidRPr="00F05646">
        <w:rPr>
          <w:rFonts w:ascii="Century" w:hAnsi="Century" w:cs="Miriam" w:hint="eastAsia"/>
          <w:b/>
          <w:spacing w:val="0"/>
          <w:szCs w:val="24"/>
          <w:rtl/>
        </w:rPr>
        <w:t>לרכוש</w:t>
      </w:r>
      <w:r w:rsidRPr="00F05646">
        <w:rPr>
          <w:rFonts w:ascii="Century" w:hAnsi="Century" w:cs="Miriam"/>
          <w:b/>
          <w:spacing w:val="0"/>
          <w:szCs w:val="24"/>
          <w:rtl/>
        </w:rPr>
        <w:t xml:space="preserve"> </w:t>
      </w:r>
      <w:r w:rsidRPr="00F05646">
        <w:rPr>
          <w:rFonts w:ascii="Century" w:hAnsi="Century" w:cs="Miriam" w:hint="eastAsia"/>
          <w:b/>
          <w:spacing w:val="0"/>
          <w:szCs w:val="24"/>
          <w:rtl/>
        </w:rPr>
        <w:t>ממשלתי</w:t>
      </w:r>
      <w:r w:rsidRPr="00F05646">
        <w:rPr>
          <w:rFonts w:ascii="Century" w:hAnsi="Century" w:cs="Miriam"/>
          <w:b/>
          <w:spacing w:val="0"/>
          <w:szCs w:val="24"/>
          <w:rtl/>
        </w:rPr>
        <w:t xml:space="preserve">, </w:t>
      </w:r>
      <w:r w:rsidRPr="00F05646">
        <w:rPr>
          <w:rFonts w:ascii="Century" w:hAnsi="Century" w:cs="Miriam" w:hint="eastAsia"/>
          <w:b/>
          <w:spacing w:val="0"/>
          <w:szCs w:val="24"/>
          <w:rtl/>
        </w:rPr>
        <w:t>לא</w:t>
      </w:r>
      <w:r w:rsidRPr="00F05646">
        <w:rPr>
          <w:rFonts w:ascii="Century" w:hAnsi="Century" w:cs="Miriam"/>
          <w:b/>
          <w:spacing w:val="0"/>
          <w:szCs w:val="24"/>
          <w:rtl/>
        </w:rPr>
        <w:t xml:space="preserve"> </w:t>
      </w:r>
      <w:r w:rsidRPr="00F05646">
        <w:rPr>
          <w:rFonts w:ascii="Century" w:hAnsi="Century" w:cs="Miriam" w:hint="eastAsia"/>
          <w:b/>
          <w:spacing w:val="0"/>
          <w:szCs w:val="24"/>
          <w:rtl/>
        </w:rPr>
        <w:t>תיפסל</w:t>
      </w:r>
      <w:r w:rsidRPr="00F05646">
        <w:rPr>
          <w:rFonts w:ascii="Century" w:hAnsi="Century" w:cs="Miriam"/>
          <w:b/>
          <w:spacing w:val="0"/>
          <w:szCs w:val="24"/>
          <w:rtl/>
        </w:rPr>
        <w:t xml:space="preserve"> </w:t>
      </w:r>
      <w:r w:rsidRPr="00F05646">
        <w:rPr>
          <w:rFonts w:ascii="Century" w:hAnsi="Century" w:cs="Miriam" w:hint="eastAsia"/>
          <w:b/>
          <w:spacing w:val="0"/>
          <w:szCs w:val="24"/>
          <w:rtl/>
        </w:rPr>
        <w:t>ותעמוד</w:t>
      </w:r>
      <w:r w:rsidRPr="00F05646">
        <w:rPr>
          <w:rFonts w:ascii="Century" w:hAnsi="Century" w:cs="Miriam"/>
          <w:b/>
          <w:spacing w:val="0"/>
          <w:szCs w:val="24"/>
          <w:rtl/>
        </w:rPr>
        <w:t xml:space="preserve"> </w:t>
      </w:r>
      <w:r w:rsidRPr="00F05646">
        <w:rPr>
          <w:rFonts w:ascii="Century" w:hAnsi="Century" w:cs="Miriam" w:hint="eastAsia"/>
          <w:b/>
          <w:spacing w:val="0"/>
          <w:szCs w:val="24"/>
          <w:rtl/>
        </w:rPr>
        <w:t>בת</w:t>
      </w:r>
      <w:r>
        <w:rPr>
          <w:rFonts w:ascii="Century" w:hAnsi="Century" w:cs="Miriam" w:hint="cs"/>
          <w:b/>
          <w:spacing w:val="0"/>
          <w:szCs w:val="24"/>
          <w:rtl/>
        </w:rPr>
        <w:t>ו</w:t>
      </w:r>
      <w:r w:rsidRPr="00F05646">
        <w:rPr>
          <w:rFonts w:ascii="Century" w:hAnsi="Century" w:cs="Miriam" w:hint="eastAsia"/>
          <w:b/>
          <w:spacing w:val="0"/>
          <w:szCs w:val="24"/>
          <w:rtl/>
        </w:rPr>
        <w:t>קפה</w:t>
      </w:r>
      <w:r w:rsidRPr="00F05646">
        <w:rPr>
          <w:rFonts w:ascii="Century" w:hAnsi="Century" w:cs="Miriam"/>
          <w:b/>
          <w:spacing w:val="0"/>
          <w:szCs w:val="24"/>
          <w:rtl/>
        </w:rPr>
        <w:t xml:space="preserve"> </w:t>
      </w:r>
      <w:r w:rsidRPr="00F05646">
        <w:rPr>
          <w:rFonts w:ascii="Century" w:hAnsi="Century" w:cs="Miriam" w:hint="eastAsia"/>
          <w:b/>
          <w:spacing w:val="0"/>
          <w:szCs w:val="24"/>
          <w:rtl/>
        </w:rPr>
        <w:t>גם</w:t>
      </w:r>
      <w:r w:rsidRPr="00F05646">
        <w:rPr>
          <w:rFonts w:ascii="Century" w:hAnsi="Century" w:cs="Miriam"/>
          <w:b/>
          <w:spacing w:val="0"/>
          <w:szCs w:val="24"/>
          <w:rtl/>
        </w:rPr>
        <w:t xml:space="preserve"> </w:t>
      </w:r>
      <w:r w:rsidRPr="00F05646">
        <w:rPr>
          <w:rFonts w:ascii="Century" w:hAnsi="Century" w:cs="Miriam" w:hint="eastAsia"/>
          <w:b/>
          <w:spacing w:val="0"/>
          <w:szCs w:val="24"/>
          <w:rtl/>
        </w:rPr>
        <w:t>אם</w:t>
      </w:r>
      <w:r w:rsidRPr="00F05646">
        <w:rPr>
          <w:rFonts w:ascii="Century" w:hAnsi="Century" w:cs="Miriam"/>
          <w:b/>
          <w:spacing w:val="0"/>
          <w:szCs w:val="24"/>
          <w:rtl/>
        </w:rPr>
        <w:t xml:space="preserve"> </w:t>
      </w:r>
      <w:r w:rsidRPr="00F05646">
        <w:rPr>
          <w:rFonts w:ascii="Century" w:hAnsi="Century" w:cs="Miriam" w:hint="eastAsia"/>
          <w:b/>
          <w:spacing w:val="0"/>
          <w:szCs w:val="24"/>
          <w:rtl/>
        </w:rPr>
        <w:t>יוכח</w:t>
      </w:r>
      <w:r w:rsidRPr="00F05646">
        <w:rPr>
          <w:rFonts w:ascii="Century" w:hAnsi="Century" w:cs="Miriam"/>
          <w:b/>
          <w:spacing w:val="0"/>
          <w:szCs w:val="24"/>
          <w:rtl/>
        </w:rPr>
        <w:t xml:space="preserve"> </w:t>
      </w:r>
      <w:r w:rsidRPr="00F05646">
        <w:rPr>
          <w:rFonts w:ascii="Century" w:hAnsi="Century" w:cs="Miriam" w:hint="eastAsia"/>
          <w:b/>
          <w:spacing w:val="0"/>
          <w:szCs w:val="24"/>
          <w:rtl/>
        </w:rPr>
        <w:t>שהנכס</w:t>
      </w:r>
      <w:r w:rsidRPr="00F05646">
        <w:rPr>
          <w:rFonts w:ascii="Century" w:hAnsi="Century" w:cs="Miriam"/>
          <w:b/>
          <w:spacing w:val="0"/>
          <w:szCs w:val="24"/>
          <w:rtl/>
        </w:rPr>
        <w:t xml:space="preserve"> </w:t>
      </w:r>
      <w:r w:rsidRPr="00F05646">
        <w:rPr>
          <w:rFonts w:ascii="Century" w:hAnsi="Century" w:cs="Miriam" w:hint="eastAsia"/>
          <w:b/>
          <w:spacing w:val="0"/>
          <w:szCs w:val="24"/>
          <w:rtl/>
        </w:rPr>
        <w:t>לא</w:t>
      </w:r>
      <w:r w:rsidRPr="00F05646">
        <w:rPr>
          <w:rFonts w:ascii="Century" w:hAnsi="Century" w:cs="Miriam"/>
          <w:b/>
          <w:spacing w:val="0"/>
          <w:szCs w:val="24"/>
          <w:rtl/>
        </w:rPr>
        <w:t xml:space="preserve"> </w:t>
      </w:r>
      <w:r w:rsidRPr="00F05646">
        <w:rPr>
          <w:rFonts w:ascii="Century" w:hAnsi="Century" w:cs="Miriam" w:hint="eastAsia"/>
          <w:b/>
          <w:spacing w:val="0"/>
          <w:szCs w:val="24"/>
          <w:rtl/>
        </w:rPr>
        <w:t>היה</w:t>
      </w:r>
      <w:r w:rsidRPr="00F05646">
        <w:rPr>
          <w:rFonts w:ascii="Century" w:hAnsi="Century" w:cs="Miriam"/>
          <w:b/>
          <w:spacing w:val="0"/>
          <w:szCs w:val="24"/>
          <w:rtl/>
        </w:rPr>
        <w:t xml:space="preserve"> </w:t>
      </w:r>
      <w:r w:rsidRPr="00F05646">
        <w:rPr>
          <w:rFonts w:ascii="Century" w:hAnsi="Century" w:cs="Miriam" w:hint="eastAsia"/>
          <w:b/>
          <w:spacing w:val="0"/>
          <w:szCs w:val="24"/>
          <w:rtl/>
        </w:rPr>
        <w:t>אותה</w:t>
      </w:r>
      <w:r w:rsidRPr="00F05646">
        <w:rPr>
          <w:rFonts w:ascii="Century" w:hAnsi="Century" w:cs="Miriam"/>
          <w:b/>
          <w:spacing w:val="0"/>
          <w:szCs w:val="24"/>
          <w:rtl/>
        </w:rPr>
        <w:t xml:space="preserve"> </w:t>
      </w:r>
      <w:r w:rsidRPr="00F05646">
        <w:rPr>
          <w:rFonts w:ascii="Century" w:hAnsi="Century" w:cs="Miriam" w:hint="eastAsia"/>
          <w:b/>
          <w:spacing w:val="0"/>
          <w:szCs w:val="24"/>
          <w:rtl/>
        </w:rPr>
        <w:t>שעה</w:t>
      </w:r>
      <w:r w:rsidRPr="00F05646">
        <w:rPr>
          <w:rFonts w:ascii="Century" w:hAnsi="Century" w:cs="Miriam"/>
          <w:b/>
          <w:spacing w:val="0"/>
          <w:szCs w:val="24"/>
          <w:rtl/>
        </w:rPr>
        <w:t xml:space="preserve"> </w:t>
      </w:r>
      <w:r w:rsidRPr="00F05646">
        <w:rPr>
          <w:rFonts w:ascii="Century" w:hAnsi="Century" w:cs="Miriam" w:hint="eastAsia"/>
          <w:b/>
          <w:spacing w:val="0"/>
          <w:szCs w:val="24"/>
          <w:rtl/>
        </w:rPr>
        <w:t>רכוש</w:t>
      </w:r>
      <w:r w:rsidRPr="00F05646">
        <w:rPr>
          <w:rFonts w:ascii="Century" w:hAnsi="Century" w:cs="Miriam"/>
          <w:b/>
          <w:spacing w:val="0"/>
          <w:szCs w:val="24"/>
          <w:rtl/>
        </w:rPr>
        <w:t xml:space="preserve"> </w:t>
      </w:r>
      <w:r w:rsidRPr="00F05646">
        <w:rPr>
          <w:rFonts w:ascii="Century" w:hAnsi="Century" w:cs="Miriam" w:hint="eastAsia"/>
          <w:b/>
          <w:spacing w:val="0"/>
          <w:szCs w:val="24"/>
          <w:rtl/>
        </w:rPr>
        <w:t>ממשלתי</w:t>
      </w:r>
      <w:r w:rsidRPr="00F05646">
        <w:rPr>
          <w:rFonts w:ascii="Century" w:hAnsi="Century" w:cs="Miriam" w:hint="cs"/>
          <w:b/>
          <w:spacing w:val="0"/>
          <w:szCs w:val="24"/>
          <w:rtl/>
        </w:rPr>
        <w:t>"</w:t>
      </w:r>
      <w:r w:rsidRPr="00037D45">
        <w:rPr>
          <w:rFonts w:ascii="Century" w:hAnsi="Century"/>
          <w:rtl/>
        </w:rPr>
        <w:t>.</w:t>
      </w:r>
    </w:p>
    <w:p w:rsidR="00295623" w:rsidRPr="00F05646" w:rsidRDefault="00295623" w:rsidP="00295623">
      <w:pPr>
        <w:pStyle w:val="Ruller5"/>
        <w:tabs>
          <w:tab w:val="left" w:pos="90"/>
        </w:tabs>
        <w:spacing w:line="480" w:lineRule="auto"/>
        <w:ind w:left="0"/>
        <w:rPr>
          <w:rFonts w:ascii="Century" w:hAnsi="Century" w:cs="Miriam"/>
          <w:b/>
          <w:spacing w:val="0"/>
          <w:szCs w:val="24"/>
        </w:rPr>
      </w:pPr>
    </w:p>
    <w:p w:rsidR="00295623" w:rsidRDefault="00295623" w:rsidP="00295623">
      <w:pPr>
        <w:pStyle w:val="Ruller4"/>
        <w:numPr>
          <w:ilvl w:val="0"/>
          <w:numId w:val="0"/>
        </w:numPr>
        <w:tabs>
          <w:tab w:val="left" w:pos="90"/>
        </w:tabs>
        <w:ind w:firstLine="90"/>
      </w:pPr>
      <w:r>
        <w:rPr>
          <w:rtl/>
        </w:rPr>
        <w:tab/>
      </w:r>
      <w:r w:rsidRPr="00710939">
        <w:rPr>
          <w:rFonts w:hint="cs"/>
          <w:rtl/>
        </w:rPr>
        <w:t xml:space="preserve">סעיף זה מציב לצורך תחולתו </w:t>
      </w:r>
      <w:r>
        <w:rPr>
          <w:rFonts w:hint="cs"/>
          <w:rtl/>
        </w:rPr>
        <w:t xml:space="preserve">3 </w:t>
      </w:r>
      <w:r w:rsidRPr="00710939">
        <w:rPr>
          <w:rFonts w:hint="cs"/>
          <w:rtl/>
        </w:rPr>
        <w:t xml:space="preserve">תנאים מצטברים: </w:t>
      </w:r>
      <w:r>
        <w:rPr>
          <w:rFonts w:hint="cs"/>
          <w:rtl/>
        </w:rPr>
        <w:t xml:space="preserve">(1) נדרש שתתקיים </w:t>
      </w:r>
      <w:r w:rsidRPr="00A115B6">
        <w:rPr>
          <w:rFonts w:ascii="Century" w:hAnsi="Century" w:cs="Miriam" w:hint="cs"/>
          <w:b/>
          <w:spacing w:val="0"/>
          <w:sz w:val="22"/>
          <w:szCs w:val="24"/>
          <w:rtl/>
        </w:rPr>
        <w:t>"עסקה"</w:t>
      </w:r>
      <w:r w:rsidRPr="00710939">
        <w:rPr>
          <w:rFonts w:hint="cs"/>
          <w:rtl/>
        </w:rPr>
        <w:t xml:space="preserve"> בין הממונה לבין </w:t>
      </w:r>
      <w:r w:rsidRPr="00A115B6">
        <w:rPr>
          <w:rFonts w:ascii="Century" w:hAnsi="Century" w:cs="Miriam" w:hint="cs"/>
          <w:b/>
          <w:spacing w:val="0"/>
          <w:sz w:val="22"/>
          <w:szCs w:val="24"/>
          <w:rtl/>
        </w:rPr>
        <w:t>"אדם אחר"</w:t>
      </w:r>
      <w:r w:rsidRPr="00710939">
        <w:rPr>
          <w:rFonts w:hint="cs"/>
          <w:rtl/>
        </w:rPr>
        <w:t xml:space="preserve">; </w:t>
      </w:r>
      <w:r>
        <w:rPr>
          <w:rFonts w:hint="cs"/>
          <w:rtl/>
        </w:rPr>
        <w:t xml:space="preserve">(2) נדרש </w:t>
      </w:r>
      <w:r w:rsidRPr="00710939">
        <w:rPr>
          <w:rFonts w:hint="cs"/>
          <w:rtl/>
        </w:rPr>
        <w:t xml:space="preserve">שהעסקה </w:t>
      </w:r>
      <w:r>
        <w:rPr>
          <w:rFonts w:hint="cs"/>
          <w:rtl/>
        </w:rPr>
        <w:t xml:space="preserve">תערך </w:t>
      </w:r>
      <w:r w:rsidRPr="00A115B6">
        <w:rPr>
          <w:rFonts w:ascii="Century" w:hAnsi="Century" w:cs="Miriam" w:hint="cs"/>
          <w:b/>
          <w:spacing w:val="0"/>
          <w:sz w:val="22"/>
          <w:szCs w:val="24"/>
          <w:rtl/>
        </w:rPr>
        <w:t>"בתום לב"</w:t>
      </w:r>
      <w:r w:rsidRPr="00710939">
        <w:rPr>
          <w:rFonts w:hint="cs"/>
          <w:rtl/>
        </w:rPr>
        <w:t xml:space="preserve">; </w:t>
      </w:r>
      <w:r>
        <w:rPr>
          <w:rFonts w:hint="cs"/>
          <w:rtl/>
        </w:rPr>
        <w:t>(3) נדרש ש</w:t>
      </w:r>
      <w:r w:rsidRPr="00710939">
        <w:rPr>
          <w:rFonts w:hint="cs"/>
          <w:rtl/>
        </w:rPr>
        <w:t>העסקה</w:t>
      </w:r>
      <w:r>
        <w:rPr>
          <w:rFonts w:hint="cs"/>
          <w:rtl/>
        </w:rPr>
        <w:t xml:space="preserve"> תֵעשה </w:t>
      </w:r>
      <w:r w:rsidRPr="00710939">
        <w:rPr>
          <w:rFonts w:hint="cs"/>
          <w:rtl/>
        </w:rPr>
        <w:t>ביחס לנכס ש</w:t>
      </w:r>
      <w:r w:rsidRPr="00A115B6">
        <w:rPr>
          <w:rFonts w:ascii="Century" w:hAnsi="Century" w:cs="Miriam" w:hint="cs"/>
          <w:b/>
          <w:spacing w:val="0"/>
          <w:sz w:val="22"/>
          <w:szCs w:val="24"/>
          <w:rtl/>
        </w:rPr>
        <w:t>"הממונה חשבו בשעת העסקה לרכוש ממשלתי"</w:t>
      </w:r>
      <w:r w:rsidRPr="00710939">
        <w:rPr>
          <w:rFonts w:hint="cs"/>
          <w:rtl/>
        </w:rPr>
        <w:t xml:space="preserve">. </w:t>
      </w:r>
      <w:r>
        <w:rPr>
          <w:rFonts w:hint="cs"/>
          <w:rtl/>
        </w:rPr>
        <w:t>חברי המשנה לנשיאה</w:t>
      </w:r>
      <w:r w:rsidRPr="00A115B6">
        <w:rPr>
          <w:rFonts w:ascii="Century" w:hAnsi="Century" w:cs="Miriam" w:hint="cs"/>
          <w:b/>
          <w:spacing w:val="0"/>
          <w:sz w:val="22"/>
          <w:szCs w:val="24"/>
          <w:rtl/>
        </w:rPr>
        <w:t>,</w:t>
      </w:r>
      <w:r w:rsidRPr="00C22BB9">
        <w:rPr>
          <w:rFonts w:hint="cs"/>
          <w:rtl/>
        </w:rPr>
        <w:t xml:space="preserve"> </w:t>
      </w:r>
      <w:r>
        <w:rPr>
          <w:rFonts w:hint="cs"/>
          <w:rtl/>
        </w:rPr>
        <w:t xml:space="preserve">מיקד את חוות דעתו בתנאי תום הלב, ובתוך כך, פרשׂ יריעה רחבה ומקיפה באשר לאמת המידה המשפטית לבחינת רכיב זה </w:t>
      </w:r>
      <w:r>
        <w:rPr>
          <w:rtl/>
        </w:rPr>
        <w:t>–</w:t>
      </w:r>
      <w:r>
        <w:rPr>
          <w:rFonts w:hint="cs"/>
          <w:rtl/>
        </w:rPr>
        <w:t xml:space="preserve"> הן לגבי הממונה, הן לגבי המתקשר עמו בעסקה. אשר ליתר תנאֵי הסעיף, קבע חברי, נוכח מסקנתו כי רכיב תום הלב אינו מתקיים בענייננו, כי אין לטעת מסמרות בסוגיות נוספות המתעוררות ביחס לתנאים אלה. משעה שלגישתי רכיב תום הלב מתקיים בנסיבות ענייננו </w:t>
      </w:r>
      <w:r>
        <w:rPr>
          <w:rtl/>
        </w:rPr>
        <w:t>–</w:t>
      </w:r>
      <w:r>
        <w:rPr>
          <w:rFonts w:hint="cs"/>
          <w:rtl/>
        </w:rPr>
        <w:t xml:space="preserve"> כפי שסבר חברי השופט (כתוארו אז) </w:t>
      </w:r>
      <w:r>
        <w:rPr>
          <w:rFonts w:ascii="Century" w:hAnsi="Century" w:cs="Miriam" w:hint="cs"/>
          <w:b/>
          <w:spacing w:val="0"/>
          <w:sz w:val="22"/>
          <w:szCs w:val="24"/>
          <w:rtl/>
        </w:rPr>
        <w:t xml:space="preserve">נ' </w:t>
      </w:r>
      <w:r w:rsidRPr="00EE6E57">
        <w:rPr>
          <w:rFonts w:ascii="Century" w:hAnsi="Century" w:cs="Miriam" w:hint="cs"/>
          <w:b/>
          <w:spacing w:val="0"/>
          <w:sz w:val="22"/>
          <w:szCs w:val="24"/>
          <w:rtl/>
        </w:rPr>
        <w:t>הנדל</w:t>
      </w:r>
      <w:r w:rsidRPr="00EE6E57">
        <w:rPr>
          <w:rFonts w:hint="cs"/>
          <w:rtl/>
        </w:rPr>
        <w:t xml:space="preserve"> </w:t>
      </w:r>
      <w:r>
        <w:rPr>
          <w:rFonts w:hint="cs"/>
          <w:rtl/>
        </w:rPr>
        <w:t xml:space="preserve">בפסק הדין בערעור, וכפי שקבע גם בית המשפט המחוזי </w:t>
      </w:r>
      <w:r>
        <w:rPr>
          <w:rtl/>
        </w:rPr>
        <w:t>–</w:t>
      </w:r>
      <w:r>
        <w:rPr>
          <w:rFonts w:hint="cs"/>
          <w:rtl/>
        </w:rPr>
        <w:t xml:space="preserve"> אינני בן-חורין להיבטל מדיון בהתקיימות יתר תנאי סעיף 5, ובשאלות המתעוררות לגביהם. על כן, טרם דיון בשאלת תום הלב, אציג את עמדתי ביחס לשאר תנאֵי הסעיף, תוך ישׂוּמם על נסיבות המקרה שלפנינו. </w:t>
      </w:r>
    </w:p>
    <w:p w:rsidR="00295623" w:rsidRPr="00A3036A" w:rsidRDefault="00295623" w:rsidP="00295623">
      <w:pPr>
        <w:pStyle w:val="Ruller4"/>
        <w:numPr>
          <w:ilvl w:val="0"/>
          <w:numId w:val="0"/>
        </w:numPr>
        <w:tabs>
          <w:tab w:val="left" w:pos="90"/>
        </w:tabs>
        <w:rPr>
          <w:rtl/>
        </w:rPr>
      </w:pPr>
    </w:p>
    <w:p w:rsidR="00295623" w:rsidRDefault="00295623" w:rsidP="00295623">
      <w:pPr>
        <w:pStyle w:val="Ruller4"/>
        <w:numPr>
          <w:ilvl w:val="0"/>
          <w:numId w:val="0"/>
        </w:numPr>
        <w:tabs>
          <w:tab w:val="left" w:pos="90"/>
        </w:tabs>
        <w:rPr>
          <w:rFonts w:ascii="Century" w:hAnsi="Century" w:cs="Miriam"/>
          <w:b/>
          <w:spacing w:val="0"/>
          <w:sz w:val="22"/>
          <w:szCs w:val="24"/>
          <w:rtl/>
        </w:rPr>
      </w:pPr>
      <w:r>
        <w:rPr>
          <w:rFonts w:ascii="Century" w:hAnsi="Century" w:cs="Miriam" w:hint="cs"/>
          <w:b/>
          <w:spacing w:val="0"/>
          <w:sz w:val="22"/>
          <w:szCs w:val="24"/>
          <w:rtl/>
        </w:rPr>
        <w:t xml:space="preserve">קיומה של </w:t>
      </w:r>
      <w:r w:rsidRPr="00343CCF">
        <w:rPr>
          <w:rFonts w:ascii="Century" w:hAnsi="Century" w:cs="Miriam" w:hint="cs"/>
          <w:b/>
          <w:spacing w:val="0"/>
          <w:sz w:val="22"/>
          <w:szCs w:val="24"/>
          <w:rtl/>
        </w:rPr>
        <w:t xml:space="preserve">'עסקה' </w:t>
      </w:r>
    </w:p>
    <w:p w:rsidR="00295623" w:rsidRDefault="00295623" w:rsidP="00295623">
      <w:pPr>
        <w:pStyle w:val="Ruller41"/>
        <w:rPr>
          <w:rtl/>
        </w:rPr>
      </w:pPr>
      <w:r>
        <w:rPr>
          <w:rFonts w:hint="cs"/>
          <w:rtl/>
        </w:rPr>
        <w:t>29.</w:t>
      </w:r>
      <w:r>
        <w:rPr>
          <w:rFonts w:hint="cs"/>
          <w:rtl/>
        </w:rPr>
        <w:tab/>
        <w:t xml:space="preserve">תחת כותרת זו, אבקש להתייחס ל-4 שאלות; 3 מהן </w:t>
      </w:r>
      <w:r>
        <w:rPr>
          <w:rtl/>
        </w:rPr>
        <w:t>–</w:t>
      </w:r>
      <w:r>
        <w:rPr>
          <w:rFonts w:hint="cs"/>
          <w:rtl/>
        </w:rPr>
        <w:t xml:space="preserve"> שאלות משפטיות-עקרוניות, ואחת נוספת </w:t>
      </w:r>
      <w:r>
        <w:rPr>
          <w:rtl/>
        </w:rPr>
        <w:t>–</w:t>
      </w:r>
      <w:r>
        <w:rPr>
          <w:rFonts w:hint="cs"/>
          <w:rtl/>
        </w:rPr>
        <w:t xml:space="preserve"> שאלה ספציפית, המתעוררת על רקע נסיבות המקרה דנן. </w:t>
      </w:r>
      <w:r w:rsidRPr="009755EE">
        <w:rPr>
          <w:rFonts w:ascii="Century" w:hAnsi="Century" w:cs="Miriam" w:hint="cs"/>
          <w:b/>
          <w:spacing w:val="0"/>
          <w:szCs w:val="24"/>
          <w:rtl/>
        </w:rPr>
        <w:t>ראשית</w:t>
      </w:r>
      <w:r>
        <w:rPr>
          <w:rFonts w:hint="cs"/>
          <w:rtl/>
        </w:rPr>
        <w:t>, יש להידרש לשאלה אם לצורך התקיימות סעיף 5, על העסקה המאוחרת להשתכלל לכדי זכות קניינית, ו</w:t>
      </w:r>
      <w:r>
        <w:rPr>
          <w:rFonts w:ascii="Century" w:hAnsi="Century" w:cs="Miriam" w:hint="cs"/>
          <w:b/>
          <w:spacing w:val="0"/>
          <w:szCs w:val="24"/>
          <w:rtl/>
        </w:rPr>
        <w:t xml:space="preserve">להסתיים </w:t>
      </w:r>
      <w:r w:rsidRPr="00F93552">
        <w:rPr>
          <w:rFonts w:ascii="Century" w:hAnsi="Century" w:cs="Miriam" w:hint="cs"/>
          <w:b/>
          <w:spacing w:val="0"/>
          <w:szCs w:val="24"/>
          <w:rtl/>
        </w:rPr>
        <w:t>ברישום</w:t>
      </w:r>
      <w:r w:rsidRPr="00F93552">
        <w:rPr>
          <w:rFonts w:hint="cs"/>
          <w:rtl/>
        </w:rPr>
        <w:t xml:space="preserve"> </w:t>
      </w:r>
      <w:r>
        <w:rPr>
          <w:rFonts w:hint="cs"/>
          <w:rtl/>
        </w:rPr>
        <w:t xml:space="preserve">כלשהו, אם בפנקסי המקרקעין, אם במרשם ההרשאות, כמפורט להלן; </w:t>
      </w:r>
      <w:r w:rsidRPr="009755EE">
        <w:rPr>
          <w:rFonts w:ascii="Century" w:hAnsi="Century" w:cs="Miriam" w:hint="cs"/>
          <w:b/>
          <w:spacing w:val="0"/>
          <w:szCs w:val="24"/>
          <w:rtl/>
        </w:rPr>
        <w:t>שנית</w:t>
      </w:r>
      <w:r>
        <w:rPr>
          <w:rFonts w:hint="cs"/>
          <w:rtl/>
        </w:rPr>
        <w:t xml:space="preserve">, יש להידרש לשאלה אם עסקה שביצע הממונה עם </w:t>
      </w:r>
      <w:r w:rsidRPr="00D10397">
        <w:rPr>
          <w:rFonts w:ascii="Century" w:hAnsi="Century" w:cs="Miriam" w:hint="cs"/>
          <w:b/>
          <w:spacing w:val="0"/>
          <w:szCs w:val="24"/>
          <w:rtl/>
        </w:rPr>
        <w:t>"אדם אחר"</w:t>
      </w:r>
      <w:r>
        <w:rPr>
          <w:rFonts w:hint="cs"/>
          <w:rtl/>
        </w:rPr>
        <w:t xml:space="preserve">, כוללת גם עסקאות שנערכו בין הממונה לבין </w:t>
      </w:r>
      <w:r w:rsidRPr="00F93552">
        <w:rPr>
          <w:rFonts w:ascii="Century" w:hAnsi="Century" w:cs="Miriam" w:hint="cs"/>
          <w:b/>
          <w:spacing w:val="0"/>
          <w:szCs w:val="24"/>
          <w:rtl/>
        </w:rPr>
        <w:t>גורמים מיישבים</w:t>
      </w:r>
      <w:r>
        <w:rPr>
          <w:rFonts w:hint="cs"/>
          <w:rtl/>
        </w:rPr>
        <w:t xml:space="preserve">, דוגמת ההסתדרות הציונית ודומותיה, או שמא יש להחריג עסקאות מסוג זה מתחולת הסעיף, משום שהוא נועד לחול רק בעסקאות בין הממונה לאדם פרטי, ולא בעסקאות בין הממונה לבין גורמים ביצועיים של הרשויות; </w:t>
      </w:r>
      <w:r>
        <w:rPr>
          <w:rFonts w:ascii="Century" w:hAnsi="Century" w:cs="Miriam" w:hint="cs"/>
          <w:b/>
          <w:spacing w:val="0"/>
          <w:szCs w:val="24"/>
          <w:rtl/>
        </w:rPr>
        <w:t>שלישית</w:t>
      </w:r>
      <w:r>
        <w:rPr>
          <w:rFonts w:ascii="Century" w:hAnsi="Century" w:hint="cs"/>
          <w:rtl/>
        </w:rPr>
        <w:t xml:space="preserve">, יש לבחון גם את שאלת </w:t>
      </w:r>
      <w:r w:rsidRPr="00F93552">
        <w:rPr>
          <w:rFonts w:ascii="Century" w:hAnsi="Century" w:cs="Miriam" w:hint="cs"/>
          <w:b/>
          <w:spacing w:val="0"/>
          <w:szCs w:val="24"/>
          <w:rtl/>
        </w:rPr>
        <w:t>התמורה</w:t>
      </w:r>
      <w:r>
        <w:rPr>
          <w:rFonts w:ascii="Century" w:hAnsi="Century" w:hint="cs"/>
          <w:rtl/>
        </w:rPr>
        <w:t xml:space="preserve">, קרי: האם 'העסקה' שבה מדבר סעיף 5, כוללת בתוכה גם דרישה לתמורה, ואם כן </w:t>
      </w:r>
      <w:r>
        <w:rPr>
          <w:rFonts w:ascii="Century" w:hAnsi="Century"/>
          <w:rtl/>
        </w:rPr>
        <w:t>–</w:t>
      </w:r>
      <w:r>
        <w:rPr>
          <w:rFonts w:ascii="Century" w:hAnsi="Century" w:hint="cs"/>
          <w:rtl/>
        </w:rPr>
        <w:t xml:space="preserve"> האם תמורה זו צריכה להיות כספית, או שמא ניתן להכיר בקידום תכניות על-ידי הגורם המתקשר עם הממונה כתמורה, כפי המקובל בשטחי איו"ש; </w:t>
      </w:r>
      <w:r w:rsidRPr="00457BE9">
        <w:rPr>
          <w:rFonts w:ascii="Century" w:hAnsi="Century" w:cs="Miriam" w:hint="cs"/>
          <w:b/>
          <w:spacing w:val="0"/>
          <w:szCs w:val="24"/>
          <w:rtl/>
        </w:rPr>
        <w:t>שאלה רביעית</w:t>
      </w:r>
      <w:r>
        <w:rPr>
          <w:rFonts w:hint="cs"/>
          <w:rtl/>
        </w:rPr>
        <w:t xml:space="preserve"> שאליה יש להתייחס, נובעת מן הנסיבות הקונקרטיות של ההליך דנן, והיא: אם הסכמי ההרשאה </w:t>
      </w:r>
      <w:r>
        <w:rPr>
          <w:rFonts w:hint="cs"/>
          <w:rtl/>
        </w:rPr>
        <w:lastRenderedPageBreak/>
        <w:t xml:space="preserve">שנכרתו בין הממונה לבין ההסתדרות הציונית, ביחס למקרקעי כוכב השחר, התייחסו גם למקרקעין שעליהם הוקם מצפה כרמים, שאז, בהנחה שיתר תנאֵי סעיף 5 מתקיימים, ניתן לקבוע כי חלה תקנת השוק. האפשרות השניה היא, שהמקרקעין לא נכללו בהסכמי ההרשאה, וממילא </w:t>
      </w:r>
      <w:r>
        <w:rPr>
          <w:rtl/>
        </w:rPr>
        <w:t>–</w:t>
      </w:r>
      <w:r>
        <w:rPr>
          <w:rFonts w:hint="cs"/>
          <w:rtl/>
        </w:rPr>
        <w:t xml:space="preserve"> אין תחולה לסעיף 5, כך שלא ניתן לקבוע כי הסכמי ההרשאה מירקו את המקרקעין מזכויותיהם של בעלי הקרקע המקוריים. </w:t>
      </w:r>
    </w:p>
    <w:p w:rsidR="00295623" w:rsidRPr="00D10397" w:rsidRDefault="00295623" w:rsidP="00295623">
      <w:pPr>
        <w:pStyle w:val="Ruller41"/>
        <w:tabs>
          <w:tab w:val="left" w:pos="90"/>
        </w:tabs>
        <w:spacing w:line="240" w:lineRule="auto"/>
      </w:pPr>
    </w:p>
    <w:p w:rsidR="00295623" w:rsidRDefault="00295623" w:rsidP="00295623">
      <w:pPr>
        <w:pStyle w:val="Ruller41"/>
        <w:rPr>
          <w:rtl/>
        </w:rPr>
      </w:pPr>
      <w:r>
        <w:rPr>
          <w:rFonts w:hint="cs"/>
          <w:rtl/>
        </w:rPr>
        <w:t>30.</w:t>
      </w:r>
      <w:r>
        <w:rPr>
          <w:rFonts w:hint="cs"/>
          <w:rtl/>
        </w:rPr>
        <w:tab/>
        <w:t xml:space="preserve">בפסק הדין בערעור קבעה חברתי הנשיאה </w:t>
      </w:r>
      <w:r w:rsidRPr="004C7A5B">
        <w:rPr>
          <w:rFonts w:ascii="Century" w:hAnsi="Century" w:cs="Miriam" w:hint="cs"/>
          <w:b/>
          <w:spacing w:val="0"/>
          <w:szCs w:val="24"/>
          <w:rtl/>
        </w:rPr>
        <w:t>חיות</w:t>
      </w:r>
      <w:r>
        <w:rPr>
          <w:rFonts w:hint="cs"/>
          <w:rtl/>
        </w:rPr>
        <w:t xml:space="preserve">, כי השאלות שהוצגו לעיל אינן טעונות הכרעה. זאת, שכן לשיטתה, ממילא תנאי תום הלב איננו מתקיים בענייננו. לצד זאת, הוסיפה חברתי הנשיאה וציינה, כי מתעורר קושי לא מבוטל בכל הנוגע לקביעת בית המשפט המחוזי, כי השטח שלגביו ניתנה ההרשאה, כָּלַל גם את תא השטח שעליו הוקם מצפה כרמים, נוכח העובדה כי המפה שצורפה להסכמי ההרשאה, לא כללה שטח זה; לעמדת חברתי הנשיאה, קיים קושי לאמץ את הקביעה, כי הסכמי ההרשאה הושלמו באמצעות מערכות ההנחיות, שלימים אושרו לגבי המקרקעין </w:t>
      </w:r>
      <w:r>
        <w:rPr>
          <w:rtl/>
        </w:rPr>
        <w:t>–</w:t>
      </w:r>
      <w:r>
        <w:rPr>
          <w:rFonts w:hint="cs"/>
          <w:rtl/>
        </w:rPr>
        <w:t xml:space="preserve"> תכניות 223 ו-223/1 (ראו: פסקאות 42-40 לחוות דעתה). חברי המשנה לנשיאה, בחר אף הוא להותיר לעת מצוא את השאלות העקרוניות המתעוררות ביחס לסעיף 5, אך בכל הנוגע לשאלה הרביעית, הוא נחרץ בדעתו, אף יותר מחברתי הנשיאה. לדעתו, כלל לא נרקמה 'עסקה' בין הממונה להסתדרות הציונית, ביחס לשטח שעליו הוקם מצפה כרמים. </w:t>
      </w:r>
    </w:p>
    <w:p w:rsidR="00295623" w:rsidRPr="00261356" w:rsidRDefault="00295623" w:rsidP="00295623">
      <w:pPr>
        <w:pStyle w:val="Ruller41"/>
        <w:tabs>
          <w:tab w:val="left" w:pos="90"/>
        </w:tabs>
        <w:spacing w:line="240" w:lineRule="auto"/>
      </w:pPr>
    </w:p>
    <w:p w:rsidR="00295623" w:rsidRDefault="00295623" w:rsidP="00295623">
      <w:pPr>
        <w:pStyle w:val="Ruller41"/>
      </w:pPr>
      <w:r>
        <w:rPr>
          <w:rFonts w:hint="cs"/>
          <w:rtl/>
        </w:rPr>
        <w:t>31.</w:t>
      </w:r>
      <w:r>
        <w:rPr>
          <w:rFonts w:hint="cs"/>
          <w:rtl/>
        </w:rPr>
        <w:tab/>
        <w:t xml:space="preserve">מנגד, חברי השופט (כתוארו אז) </w:t>
      </w:r>
      <w:r>
        <w:rPr>
          <w:rFonts w:ascii="Century" w:hAnsi="Century" w:cs="Miriam" w:hint="cs"/>
          <w:b/>
          <w:spacing w:val="0"/>
          <w:szCs w:val="24"/>
          <w:rtl/>
        </w:rPr>
        <w:t xml:space="preserve">נ' </w:t>
      </w:r>
      <w:r w:rsidRPr="00427D92">
        <w:rPr>
          <w:rFonts w:ascii="Century" w:hAnsi="Century" w:cs="Miriam" w:hint="cs"/>
          <w:b/>
          <w:spacing w:val="0"/>
          <w:szCs w:val="24"/>
          <w:rtl/>
        </w:rPr>
        <w:t>הנדל</w:t>
      </w:r>
      <w:r>
        <w:rPr>
          <w:rFonts w:hint="cs"/>
          <w:rtl/>
        </w:rPr>
        <w:t xml:space="preserve">, ראה את הדברים אחרת, למצער ביחס לחלק מן השאלות שהוצגו לעיל. תחילה ציין השופט </w:t>
      </w:r>
      <w:r w:rsidRPr="009D7CD7">
        <w:rPr>
          <w:rFonts w:ascii="Century" w:hAnsi="Century" w:cs="Miriam" w:hint="eastAsia"/>
          <w:b/>
          <w:spacing w:val="0"/>
          <w:szCs w:val="24"/>
          <w:rtl/>
        </w:rPr>
        <w:t>הנדל</w:t>
      </w:r>
      <w:r>
        <w:rPr>
          <w:rFonts w:hint="cs"/>
          <w:rtl/>
        </w:rPr>
        <w:t>, כי הסכם ההרשאה שנחתם בין הממונה להסתדרות הציונית, כלל גם את השטח שעליו הוקם מצפה כרמים. בהקשר זה קבע,</w:t>
      </w:r>
      <w:r w:rsidRPr="00373465">
        <w:rPr>
          <w:rFonts w:hint="cs"/>
          <w:rtl/>
        </w:rPr>
        <w:t xml:space="preserve"> </w:t>
      </w:r>
      <w:r>
        <w:rPr>
          <w:rFonts w:hint="cs"/>
          <w:rtl/>
        </w:rPr>
        <w:t xml:space="preserve">כי ההסכם הרלבנטי לבחינת קיומה של 'עסקה', לעניין סעיף 5, הוא ההסכם האחרון שנכרת בין הצדדים, במהלך שנת 1997, התקף למעשה גם כיום (פסקאות 7-2 לחוות דעתו). בהמשך, בהתייחס לשאלה העקרונית הראשונה </w:t>
      </w:r>
      <w:r>
        <w:rPr>
          <w:rtl/>
        </w:rPr>
        <w:t>–</w:t>
      </w:r>
      <w:r>
        <w:rPr>
          <w:rFonts w:hint="cs"/>
          <w:rtl/>
        </w:rPr>
        <w:t xml:space="preserve"> בדבר הצורך ברישום העסקה במרשם ההרשאות, לשם תחולת סעיף 5 </w:t>
      </w:r>
      <w:r>
        <w:rPr>
          <w:rtl/>
        </w:rPr>
        <w:t>–</w:t>
      </w:r>
      <w:r>
        <w:rPr>
          <w:rFonts w:hint="cs"/>
          <w:rtl/>
        </w:rPr>
        <w:t xml:space="preserve"> סבר השופט </w:t>
      </w:r>
      <w:r w:rsidRPr="004D4121">
        <w:rPr>
          <w:rFonts w:ascii="Century" w:hAnsi="Century" w:cs="Miriam" w:hint="cs"/>
          <w:b/>
          <w:spacing w:val="0"/>
          <w:szCs w:val="24"/>
          <w:rtl/>
        </w:rPr>
        <w:t>הנדל</w:t>
      </w:r>
      <w:r>
        <w:rPr>
          <w:rFonts w:hint="cs"/>
          <w:rtl/>
        </w:rPr>
        <w:t xml:space="preserve"> כי יש לקבל את עמדת המדינה, שלפיה במקרה שבו הממונה הוא שערך את העסקה, אין צורך שהעסקה תסתיים ברישום במרשם ההרשאות (שם, פסקה 10 לחוות דעתו). את שתי השאלות העקרוניות הנוספות, לעומת זאת, הותיר השופט </w:t>
      </w:r>
      <w:r w:rsidRPr="006269C0">
        <w:rPr>
          <w:rFonts w:ascii="Century" w:hAnsi="Century" w:cs="Miriam" w:hint="cs"/>
          <w:b/>
          <w:spacing w:val="0"/>
          <w:szCs w:val="24"/>
          <w:rtl/>
        </w:rPr>
        <w:t>הנדל</w:t>
      </w:r>
      <w:r w:rsidRPr="006269C0">
        <w:rPr>
          <w:rFonts w:hint="cs"/>
          <w:rtl/>
        </w:rPr>
        <w:t xml:space="preserve"> </w:t>
      </w:r>
      <w:r>
        <w:rPr>
          <w:rFonts w:hint="cs"/>
          <w:rtl/>
        </w:rPr>
        <w:t xml:space="preserve">בצריך עיון, משמצא כי אף מבלי להכריע בהן, ניתן לקבוע כי סעיף 5 חל בנסיבות ענייננו. כך, ביחס לשאלה אם הפרשנות הנכונה לתיבות </w:t>
      </w:r>
      <w:r w:rsidRPr="0099585F">
        <w:rPr>
          <w:rFonts w:ascii="Century" w:hAnsi="Century" w:cs="Miriam" w:hint="cs"/>
          <w:b/>
          <w:spacing w:val="0"/>
          <w:szCs w:val="24"/>
          <w:rtl/>
        </w:rPr>
        <w:t>"אדם אחר"</w:t>
      </w:r>
      <w:r>
        <w:rPr>
          <w:rFonts w:hint="cs"/>
          <w:rtl/>
        </w:rPr>
        <w:t xml:space="preserve">, כוללת גם גורמים מיישבים כמו ההסתדרות הציונית, בהיותם גוף ביצועי מטעם המדינה </w:t>
      </w:r>
      <w:r>
        <w:rPr>
          <w:rtl/>
        </w:rPr>
        <w:t>–</w:t>
      </w:r>
      <w:r>
        <w:rPr>
          <w:rFonts w:hint="cs"/>
          <w:rtl/>
        </w:rPr>
        <w:t xml:space="preserve"> קבע השופט </w:t>
      </w:r>
      <w:r w:rsidRPr="00261356">
        <w:rPr>
          <w:rFonts w:ascii="Century" w:hAnsi="Century" w:cs="Miriam" w:hint="cs"/>
          <w:b/>
          <w:spacing w:val="0"/>
          <w:szCs w:val="24"/>
          <w:rtl/>
        </w:rPr>
        <w:t>הנדל</w:t>
      </w:r>
      <w:r>
        <w:rPr>
          <w:rFonts w:hint="cs"/>
          <w:rtl/>
        </w:rPr>
        <w:t xml:space="preserve">, כי שאלה זו אמנם עשויה להתעורר כאשר בוצעה עסקה בין הממונה לבין גוף מיישב, מבלי שצדדים שלישיים רכשו זכויות בהסתמך על אותה עסקה. ואולם, לשיטתו, שאלה זו אינה טעונה הכרעה בענייננו, משאין חולק כי במקרה דנן הסתמכו המחזיקים, שהם צדדים שלישיים, על הסכמי ההרשאה, </w:t>
      </w:r>
      <w:r>
        <w:rPr>
          <w:rFonts w:hint="cs"/>
          <w:rtl/>
        </w:rPr>
        <w:lastRenderedPageBreak/>
        <w:t xml:space="preserve">וכתוצאה מכך העתיקו את מגוריהם למקום, כאשר חלקם אף התקשרו עם ההסתדרות הציונית בהסכמי בר-רשות (שם, פסקה 9 לחוות דעתו). אשר לשאלה אם נדרשת תמורה כתנאי להחלת ההסדר שבסעיף 5, סבר השופט </w:t>
      </w:r>
      <w:r w:rsidRPr="004E384C">
        <w:rPr>
          <w:rFonts w:ascii="Century" w:hAnsi="Century" w:cs="Miriam" w:hint="cs"/>
          <w:b/>
          <w:spacing w:val="0"/>
          <w:szCs w:val="24"/>
          <w:rtl/>
        </w:rPr>
        <w:t>הנדל</w:t>
      </w:r>
      <w:r w:rsidRPr="000B453F">
        <w:rPr>
          <w:rFonts w:hint="cs"/>
          <w:rtl/>
        </w:rPr>
        <w:t xml:space="preserve"> </w:t>
      </w:r>
      <w:r>
        <w:rPr>
          <w:rFonts w:hint="cs"/>
          <w:rtl/>
        </w:rPr>
        <w:t xml:space="preserve">כי גם אותה ניתן להותיר לעת מצוא, שכן </w:t>
      </w:r>
      <w:r w:rsidRPr="004E384C">
        <w:rPr>
          <w:rFonts w:ascii="Century" w:hAnsi="Century" w:cs="Miriam" w:hint="cs"/>
          <w:b/>
          <w:spacing w:val="0"/>
          <w:szCs w:val="24"/>
          <w:rtl/>
        </w:rPr>
        <w:t>"אצלנו נבנו מבנים בהתבסס על ההסכם בין הממונה להסתדרות הציונית, מכוחו, ודי בנתון זה כדי לענות על יסוד ההסתמכות או התמורה"</w:t>
      </w:r>
      <w:r>
        <w:rPr>
          <w:rFonts w:hint="cs"/>
          <w:rtl/>
        </w:rPr>
        <w:t xml:space="preserve"> (שם, פסקה 26).  </w:t>
      </w:r>
    </w:p>
    <w:p w:rsidR="00295623" w:rsidRDefault="00295623" w:rsidP="00295623">
      <w:pPr>
        <w:pStyle w:val="Ruller4"/>
        <w:numPr>
          <w:ilvl w:val="0"/>
          <w:numId w:val="0"/>
        </w:numPr>
        <w:tabs>
          <w:tab w:val="left" w:pos="90"/>
        </w:tabs>
        <w:spacing w:line="240" w:lineRule="auto"/>
      </w:pPr>
    </w:p>
    <w:p w:rsidR="00295623" w:rsidRDefault="00295623" w:rsidP="00295623">
      <w:pPr>
        <w:pStyle w:val="Ruller41"/>
      </w:pPr>
      <w:r>
        <w:rPr>
          <w:rFonts w:hint="cs"/>
          <w:rtl/>
        </w:rPr>
        <w:t>32.</w:t>
      </w:r>
      <w:r>
        <w:rPr>
          <w:rFonts w:hint="cs"/>
          <w:rtl/>
        </w:rPr>
        <w:tab/>
        <w:t>עד כאן, בתמצית, העמדות השונות שהובעו ביחס לשאלת התקיימות רכיב ה'עסקה במקרקעין'. אעבור עתה להציג את גישתי ביחס לשאלות אלה, כסדרן.</w:t>
      </w:r>
    </w:p>
    <w:p w:rsidR="00295623" w:rsidRPr="006269C0" w:rsidRDefault="00295623" w:rsidP="00295623">
      <w:pPr>
        <w:pStyle w:val="Ruller4"/>
        <w:numPr>
          <w:ilvl w:val="0"/>
          <w:numId w:val="0"/>
        </w:numPr>
        <w:tabs>
          <w:tab w:val="left" w:pos="90"/>
        </w:tabs>
        <w:spacing w:line="480" w:lineRule="auto"/>
        <w:rPr>
          <w:rtl/>
        </w:rPr>
      </w:pPr>
    </w:p>
    <w:p w:rsidR="00295623" w:rsidRPr="00343CCF" w:rsidRDefault="00295623" w:rsidP="00295623">
      <w:pPr>
        <w:pStyle w:val="Ruller4"/>
        <w:numPr>
          <w:ilvl w:val="0"/>
          <w:numId w:val="0"/>
        </w:numPr>
        <w:tabs>
          <w:tab w:val="left" w:pos="90"/>
        </w:tabs>
        <w:spacing w:line="480" w:lineRule="auto"/>
        <w:rPr>
          <w:rFonts w:ascii="Century" w:hAnsi="Century" w:cs="Miriam"/>
          <w:b/>
          <w:spacing w:val="0"/>
          <w:sz w:val="22"/>
          <w:szCs w:val="24"/>
        </w:rPr>
      </w:pPr>
      <w:r>
        <w:rPr>
          <w:rFonts w:ascii="Century" w:hAnsi="Century" w:cs="Miriam" w:hint="cs"/>
          <w:b/>
          <w:spacing w:val="0"/>
          <w:sz w:val="22"/>
          <w:szCs w:val="24"/>
          <w:rtl/>
        </w:rPr>
        <w:t xml:space="preserve">שאלה ראשונה: האם נדרש שה'עסקה' לפי סעיף 5 לצו תסתיים </w:t>
      </w:r>
      <w:r w:rsidRPr="00343CCF">
        <w:rPr>
          <w:rFonts w:ascii="Century" w:hAnsi="Century" w:cs="Miriam" w:hint="cs"/>
          <w:b/>
          <w:spacing w:val="0"/>
          <w:sz w:val="22"/>
          <w:szCs w:val="24"/>
          <w:rtl/>
        </w:rPr>
        <w:t>ברישום</w:t>
      </w:r>
      <w:r>
        <w:rPr>
          <w:rFonts w:ascii="Century" w:hAnsi="Century" w:cs="Miriam" w:hint="cs"/>
          <w:b/>
          <w:spacing w:val="0"/>
          <w:sz w:val="22"/>
          <w:szCs w:val="24"/>
          <w:rtl/>
        </w:rPr>
        <w:t>?</w:t>
      </w:r>
    </w:p>
    <w:p w:rsidR="00295623" w:rsidRDefault="00295623" w:rsidP="00295623">
      <w:pPr>
        <w:pStyle w:val="Ruller41"/>
      </w:pPr>
      <w:r>
        <w:rPr>
          <w:rFonts w:hint="cs"/>
          <w:rtl/>
        </w:rPr>
        <w:t>33.</w:t>
      </w:r>
      <w:r>
        <w:rPr>
          <w:rFonts w:hint="cs"/>
          <w:rtl/>
        </w:rPr>
        <w:tab/>
        <w:t xml:space="preserve">כאמור, הצדדים נחלקו בשאלה, אם לצורך התקיימות סעיף 5, יש צורך שהעסקה תשתכלל ברישום. המשיבים השליכו יהבם, בעיקרו של דבר, על תחיקת הביטחון, כפי שבאה לידי ביטוי בצו בדבר רישום עסקות במקרקעין מסוימים (מס' 569), התשל"ה-1974 (להלן: </w:t>
      </w:r>
      <w:r w:rsidRPr="00EC3096">
        <w:rPr>
          <w:rFonts w:ascii="Century" w:hAnsi="Century" w:cs="Miriam" w:hint="cs"/>
          <w:b/>
          <w:spacing w:val="0"/>
          <w:szCs w:val="24"/>
          <w:rtl/>
        </w:rPr>
        <w:t xml:space="preserve">צו </w:t>
      </w:r>
      <w:r>
        <w:rPr>
          <w:rFonts w:ascii="Century" w:hAnsi="Century" w:cs="Miriam" w:hint="cs"/>
          <w:b/>
          <w:spacing w:val="0"/>
          <w:szCs w:val="24"/>
          <w:rtl/>
        </w:rPr>
        <w:t>ה</w:t>
      </w:r>
      <w:r w:rsidRPr="00EC3096">
        <w:rPr>
          <w:rFonts w:ascii="Century" w:hAnsi="Century" w:cs="Miriam" w:hint="cs"/>
          <w:b/>
          <w:spacing w:val="0"/>
          <w:szCs w:val="24"/>
          <w:rtl/>
        </w:rPr>
        <w:t>רישום</w:t>
      </w:r>
      <w:r>
        <w:rPr>
          <w:rFonts w:hint="cs"/>
          <w:rtl/>
        </w:rPr>
        <w:t xml:space="preserve">). סעיף 3 לצו זה, מכונן את 'מרשם העסקאות', שהוא פנקס לרישום עסקאות נדל"ן המבוצעות באיו"ש. סעיף 4(ב) לצו הרישום קובע, כי עסקה שלא נגמרה ברישום, אינה אלא </w:t>
      </w:r>
      <w:r w:rsidRPr="00BE0120">
        <w:rPr>
          <w:rFonts w:ascii="Century" w:hAnsi="Century" w:cs="Miriam" w:hint="cs"/>
          <w:b/>
          <w:spacing w:val="0"/>
          <w:szCs w:val="24"/>
          <w:rtl/>
        </w:rPr>
        <w:t>"התחייבות לעשות עסקה"</w:t>
      </w:r>
      <w:r>
        <w:rPr>
          <w:rFonts w:hint="cs"/>
          <w:rtl/>
        </w:rPr>
        <w:t xml:space="preserve">. משכך, טענו המשיבים, כי הסכמי ההרשאה בין הממונה לבין ההסתדרות הציונית אינם באים בגדר 'עסקה' לצורך תקנת השוק שבסעיף 5, שהרי הסכמים אלה לא נרשמו במרשם ההרשאות, בהתאם לצו הרישום. עוד טענו המשיבים, כי אף בהתעלם מצו הרישום, יש לדרוש את רישום העסקה במרשם המקרקעין ('טאבו'), לצורך החלת סעיף 5 לצו. זאת, בהתאם לחקיקה הירדנית המקומית </w:t>
      </w:r>
      <w:r>
        <w:rPr>
          <w:rtl/>
        </w:rPr>
        <w:t>–</w:t>
      </w:r>
      <w:r>
        <w:rPr>
          <w:rFonts w:hint="cs"/>
          <w:rtl/>
        </w:rPr>
        <w:t xml:space="preserve"> חוק הסדר הקרקעות והמים (חוק מס' 40 לשנת 1952) (להלן: </w:t>
      </w:r>
      <w:r w:rsidRPr="006766CC">
        <w:rPr>
          <w:rFonts w:ascii="Century" w:hAnsi="Century" w:cs="Miriam" w:hint="cs"/>
          <w:b/>
          <w:spacing w:val="0"/>
          <w:szCs w:val="24"/>
          <w:rtl/>
        </w:rPr>
        <w:t>חוק הסדר הקרקעות והמים</w:t>
      </w:r>
      <w:r>
        <w:rPr>
          <w:rFonts w:hint="cs"/>
          <w:rtl/>
        </w:rPr>
        <w:t xml:space="preserve">) </w:t>
      </w:r>
      <w:r>
        <w:rPr>
          <w:rtl/>
        </w:rPr>
        <w:t>–</w:t>
      </w:r>
      <w:r>
        <w:rPr>
          <w:rFonts w:hint="cs"/>
          <w:rtl/>
        </w:rPr>
        <w:t xml:space="preserve"> שלפיה עסקה במקרקעין נגמרת ברישום. המדינה סבורה</w:t>
      </w:r>
      <w:r w:rsidRPr="00457F09">
        <w:rPr>
          <w:rFonts w:hint="cs"/>
          <w:rtl/>
        </w:rPr>
        <w:t xml:space="preserve"> </w:t>
      </w:r>
      <w:r>
        <w:rPr>
          <w:rFonts w:hint="cs"/>
          <w:rtl/>
        </w:rPr>
        <w:t>מנגד, כי לצורך תחולת סעיף 5, אין צורך כי העסקה תיגמר ברישום.</w:t>
      </w:r>
    </w:p>
    <w:p w:rsidR="00295623" w:rsidRDefault="00295623" w:rsidP="00295623">
      <w:pPr>
        <w:pStyle w:val="Ruller4"/>
        <w:numPr>
          <w:ilvl w:val="0"/>
          <w:numId w:val="0"/>
        </w:numPr>
        <w:tabs>
          <w:tab w:val="left" w:pos="90"/>
        </w:tabs>
        <w:spacing w:line="240" w:lineRule="auto"/>
      </w:pPr>
    </w:p>
    <w:p w:rsidR="00295623" w:rsidRDefault="00295623" w:rsidP="00295623">
      <w:pPr>
        <w:pStyle w:val="Ruller41"/>
        <w:rPr>
          <w:rtl/>
        </w:rPr>
      </w:pPr>
      <w:r>
        <w:rPr>
          <w:rFonts w:hint="cs"/>
          <w:rtl/>
        </w:rPr>
        <w:t>34.</w:t>
      </w:r>
      <w:r>
        <w:rPr>
          <w:rFonts w:hint="cs"/>
          <w:rtl/>
        </w:rPr>
        <w:tab/>
        <w:t xml:space="preserve">עמדתי-שלי היא, כי אין צורך שהעסקה תיגמר ברישום לצורך התקיימות רכיב ה'עסקה' שבסעיף 5 לצו; לא במרשם ההרשאות ולא במרשם המקרקעין. תחילה אתייחס למרשם ההרשאות, אשר הונהג על-פי תחיקת הביטחון שחוקק המפקד הצבאי באיו"ש, שהוא כאמור עומד במוקד טענות המשיבים. סעיף 4 לצו הרישום קובע כך:  </w:t>
      </w:r>
    </w:p>
    <w:p w:rsidR="00295623" w:rsidRDefault="00295623" w:rsidP="00295623">
      <w:pPr>
        <w:pStyle w:val="Ruller5"/>
        <w:rPr>
          <w:rtl/>
        </w:rPr>
      </w:pPr>
    </w:p>
    <w:p w:rsidR="00295623" w:rsidRDefault="00295623" w:rsidP="00295623">
      <w:pPr>
        <w:pStyle w:val="Ruller5"/>
        <w:rPr>
          <w:rFonts w:ascii="Century" w:hAnsi="Century" w:cs="Miriam"/>
          <w:b/>
          <w:spacing w:val="0"/>
          <w:szCs w:val="24"/>
          <w:rtl/>
        </w:rPr>
      </w:pPr>
      <w:r w:rsidRPr="00E3097F">
        <w:rPr>
          <w:rFonts w:ascii="Century" w:hAnsi="Century" w:cs="Miriam" w:hint="cs"/>
          <w:b/>
          <w:spacing w:val="0"/>
          <w:szCs w:val="24"/>
          <w:rtl/>
        </w:rPr>
        <w:t xml:space="preserve">"(א). </w:t>
      </w:r>
      <w:r w:rsidRPr="00E3097F">
        <w:rPr>
          <w:rFonts w:ascii="Century" w:hAnsi="Century" w:cs="Miriam"/>
          <w:b/>
          <w:spacing w:val="0"/>
          <w:szCs w:val="24"/>
          <w:rtl/>
        </w:rPr>
        <w:t>כל עסקה במקרקעין שהוראות סעיף 2 חלות עליהם טעונה רישום במרשם ההרשאות</w:t>
      </w:r>
      <w:r w:rsidRPr="00E3097F">
        <w:rPr>
          <w:rFonts w:ascii="Century" w:hAnsi="Century" w:cs="Miriam" w:hint="cs"/>
          <w:b/>
          <w:spacing w:val="0"/>
          <w:szCs w:val="24"/>
          <w:rtl/>
        </w:rPr>
        <w:t xml:space="preserve">; </w:t>
      </w:r>
    </w:p>
    <w:p w:rsidR="00295623" w:rsidRPr="00E3097F" w:rsidRDefault="00295623" w:rsidP="00295623">
      <w:pPr>
        <w:pStyle w:val="Ruller5"/>
        <w:rPr>
          <w:rFonts w:ascii="Century" w:hAnsi="Century" w:cs="Miriam"/>
          <w:b/>
          <w:spacing w:val="0"/>
          <w:szCs w:val="24"/>
          <w:rtl/>
        </w:rPr>
      </w:pPr>
    </w:p>
    <w:p w:rsidR="00295623" w:rsidRPr="00060B18" w:rsidRDefault="00295623" w:rsidP="00295623">
      <w:pPr>
        <w:pStyle w:val="Ruller5"/>
        <w:rPr>
          <w:rtl/>
        </w:rPr>
      </w:pPr>
      <w:r w:rsidRPr="00E3097F">
        <w:rPr>
          <w:rFonts w:ascii="Century" w:hAnsi="Century" w:cs="Miriam" w:hint="cs"/>
          <w:b/>
          <w:spacing w:val="0"/>
          <w:szCs w:val="24"/>
          <w:rtl/>
        </w:rPr>
        <w:t>(ב). ע</w:t>
      </w:r>
      <w:r w:rsidRPr="00E3097F">
        <w:rPr>
          <w:rFonts w:ascii="Century" w:hAnsi="Century" w:cs="Miriam"/>
          <w:b/>
          <w:spacing w:val="0"/>
          <w:szCs w:val="24"/>
          <w:rtl/>
        </w:rPr>
        <w:t>סקה שלא נגמרה ברישום, רואים אותה כהתחייבות לעשות עסקה ואולם לא יהיה לה כל תוקף לגבי הממונה</w:t>
      </w:r>
      <w:r w:rsidRPr="00E3097F">
        <w:rPr>
          <w:rFonts w:ascii="Century" w:hAnsi="Century" w:cs="Miriam" w:hint="cs"/>
          <w:b/>
          <w:spacing w:val="0"/>
          <w:szCs w:val="24"/>
          <w:rtl/>
        </w:rPr>
        <w:t>"</w:t>
      </w:r>
      <w:r w:rsidRPr="00D1711F">
        <w:rPr>
          <w:rFonts w:ascii="Century" w:hAnsi="Century"/>
          <w:rtl/>
        </w:rPr>
        <w:t>.</w:t>
      </w:r>
    </w:p>
    <w:p w:rsidR="00295623" w:rsidRDefault="00295623" w:rsidP="00295623">
      <w:pPr>
        <w:pStyle w:val="Ruller41"/>
        <w:tabs>
          <w:tab w:val="left" w:pos="90"/>
        </w:tabs>
        <w:spacing w:line="480" w:lineRule="auto"/>
        <w:rPr>
          <w:rtl/>
        </w:rPr>
      </w:pPr>
    </w:p>
    <w:p w:rsidR="00295623" w:rsidRDefault="00295623" w:rsidP="00295623">
      <w:pPr>
        <w:pStyle w:val="Ruller41"/>
      </w:pPr>
      <w:r>
        <w:rPr>
          <w:rFonts w:hint="cs"/>
          <w:rtl/>
        </w:rPr>
        <w:lastRenderedPageBreak/>
        <w:t>35.</w:t>
      </w:r>
      <w:r>
        <w:rPr>
          <w:rFonts w:hint="cs"/>
          <w:rtl/>
        </w:rPr>
        <w:tab/>
        <w:t xml:space="preserve">סעיף 2 לצו הרישום קובע, כי </w:t>
      </w:r>
      <w:r w:rsidRPr="001401FC">
        <w:rPr>
          <w:rFonts w:ascii="Century" w:hAnsi="Century" w:cs="Miriam" w:hint="cs"/>
          <w:b/>
          <w:spacing w:val="0"/>
          <w:szCs w:val="24"/>
          <w:rtl/>
        </w:rPr>
        <w:t>"</w:t>
      </w:r>
      <w:r w:rsidRPr="001401FC">
        <w:rPr>
          <w:rFonts w:ascii="Century" w:hAnsi="Century" w:cs="Miriam"/>
          <w:b/>
          <w:spacing w:val="0"/>
          <w:szCs w:val="24"/>
          <w:rtl/>
        </w:rPr>
        <w:t xml:space="preserve">הוראות צו זה יחולו רק על אותם מקרקעין עליהם חל הצו בדבר רכוש ממשלתי ומקרקעין שנתפסו לצרכים צבאיים או שנרכשו לצרכי ציבור </w:t>
      </w:r>
      <w:r w:rsidRPr="001401FC">
        <w:rPr>
          <w:rFonts w:ascii="Century" w:hAnsi="Century" w:cs="Miriam"/>
          <w:b/>
          <w:spacing w:val="0"/>
          <w:szCs w:val="24"/>
          <w:u w:val="single"/>
          <w:rtl/>
        </w:rPr>
        <w:t>שיוגדרו בצו על ידי מפקד האז</w:t>
      </w:r>
      <w:r w:rsidRPr="001401FC">
        <w:rPr>
          <w:rFonts w:ascii="Century" w:hAnsi="Century" w:cs="Miriam" w:hint="cs"/>
          <w:b/>
          <w:spacing w:val="0"/>
          <w:szCs w:val="24"/>
          <w:u w:val="single"/>
          <w:rtl/>
        </w:rPr>
        <w:t>ור</w:t>
      </w:r>
      <w:r w:rsidRPr="001401FC">
        <w:rPr>
          <w:rFonts w:ascii="Century" w:hAnsi="Century" w:cs="Miriam" w:hint="cs"/>
          <w:b/>
          <w:spacing w:val="0"/>
          <w:szCs w:val="24"/>
          <w:rtl/>
        </w:rPr>
        <w:t>"</w:t>
      </w:r>
      <w:r>
        <w:rPr>
          <w:rFonts w:hint="cs"/>
          <w:rtl/>
        </w:rPr>
        <w:t xml:space="preserve"> (ההדגשה הוּספה </w:t>
      </w:r>
      <w:r>
        <w:rPr>
          <w:rtl/>
        </w:rPr>
        <w:t>–</w:t>
      </w:r>
      <w:r>
        <w:rPr>
          <w:rFonts w:hint="cs"/>
          <w:rtl/>
        </w:rPr>
        <w:t xml:space="preserve"> נ' ס'). המדינה והמשיבים נחלקו בשאלה האם המקרקעין דנן, הוגדרו על-ידי המפקד הצבאי ככאלה שצו הרישום חל עליהם, אך לגבי דידי </w:t>
      </w:r>
      <w:r>
        <w:rPr>
          <w:rtl/>
        </w:rPr>
        <w:t>–</w:t>
      </w:r>
      <w:r>
        <w:rPr>
          <w:rFonts w:hint="cs"/>
          <w:rtl/>
        </w:rPr>
        <w:t xml:space="preserve"> לא בכך העיקר. אפרט מדוע.</w:t>
      </w:r>
    </w:p>
    <w:p w:rsidR="00295623" w:rsidRPr="000E5AC9" w:rsidRDefault="00295623" w:rsidP="00295623">
      <w:pPr>
        <w:pStyle w:val="Ruller4"/>
        <w:numPr>
          <w:ilvl w:val="0"/>
          <w:numId w:val="0"/>
        </w:numPr>
        <w:tabs>
          <w:tab w:val="left" w:pos="90"/>
        </w:tabs>
        <w:spacing w:line="240" w:lineRule="auto"/>
      </w:pPr>
    </w:p>
    <w:p w:rsidR="00295623" w:rsidRDefault="00295623" w:rsidP="00295623">
      <w:pPr>
        <w:pStyle w:val="Ruller4"/>
        <w:numPr>
          <w:ilvl w:val="0"/>
          <w:numId w:val="0"/>
        </w:numPr>
        <w:tabs>
          <w:tab w:val="left" w:pos="90"/>
        </w:tabs>
        <w:rPr>
          <w:rtl/>
        </w:rPr>
      </w:pPr>
      <w:r w:rsidRPr="00AD38AC">
        <w:rPr>
          <w:rFonts w:ascii="Century" w:hAnsi="Century" w:hint="cs"/>
          <w:sz w:val="22"/>
          <w:rtl/>
        </w:rPr>
        <w:t>3</w:t>
      </w:r>
      <w:r>
        <w:rPr>
          <w:rFonts w:ascii="Century" w:hAnsi="Century" w:hint="cs"/>
          <w:sz w:val="22"/>
          <w:rtl/>
        </w:rPr>
        <w:t>6</w:t>
      </w:r>
      <w:r>
        <w:rPr>
          <w:rFonts w:ascii="Century" w:hAnsi="Century" w:cs="Miriam" w:hint="cs"/>
          <w:b/>
          <w:spacing w:val="0"/>
          <w:sz w:val="22"/>
          <w:szCs w:val="24"/>
          <w:rtl/>
        </w:rPr>
        <w:t>.</w:t>
      </w:r>
      <w:r>
        <w:rPr>
          <w:rFonts w:ascii="Century" w:hAnsi="Century" w:cs="Miriam" w:hint="cs"/>
          <w:b/>
          <w:spacing w:val="0"/>
          <w:sz w:val="22"/>
          <w:szCs w:val="24"/>
          <w:rtl/>
        </w:rPr>
        <w:tab/>
      </w:r>
      <w:r w:rsidRPr="00A5307E">
        <w:rPr>
          <w:rFonts w:ascii="Century" w:hAnsi="Century" w:cs="Miriam" w:hint="cs"/>
          <w:b/>
          <w:spacing w:val="0"/>
          <w:sz w:val="22"/>
          <w:szCs w:val="24"/>
          <w:rtl/>
        </w:rPr>
        <w:t>ראשית</w:t>
      </w:r>
      <w:r>
        <w:rPr>
          <w:rFonts w:hint="cs"/>
          <w:rtl/>
        </w:rPr>
        <w:t xml:space="preserve">, כטענת המדינה, וכפי שקבע השופט </w:t>
      </w:r>
      <w:r w:rsidRPr="00A5307E">
        <w:rPr>
          <w:rFonts w:ascii="Century" w:hAnsi="Century" w:cs="Miriam" w:hint="cs"/>
          <w:b/>
          <w:spacing w:val="0"/>
          <w:sz w:val="22"/>
          <w:szCs w:val="24"/>
          <w:rtl/>
        </w:rPr>
        <w:t>הנדל</w:t>
      </w:r>
      <w:r w:rsidRPr="00866B27">
        <w:rPr>
          <w:rFonts w:hint="cs"/>
          <w:rtl/>
        </w:rPr>
        <w:t xml:space="preserve"> </w:t>
      </w:r>
      <w:r>
        <w:rPr>
          <w:rFonts w:hint="cs"/>
          <w:rtl/>
        </w:rPr>
        <w:t xml:space="preserve">בפסק הדין בערעור (שם, פסקה 9), אף אני סבור כי פרשנותו הנכונה של סעיף 4(ב) לצו הרישום, מביאה למסקנה כי הוא עוסק בעסקאות הנעשות בין שני גורמים פרטיים, ולא בעסקאות שהממונה צד להן. מסקנה זו נגזרת, בראש ובראשונה, מנוסחו הפנימי של הסעיף, הקובע בסופו, כי לעסקה שלא נגמרה ברישום </w:t>
      </w:r>
      <w:r>
        <w:rPr>
          <w:rtl/>
        </w:rPr>
        <w:t>–</w:t>
      </w:r>
      <w:r>
        <w:rPr>
          <w:rFonts w:hint="cs"/>
          <w:rtl/>
        </w:rPr>
        <w:t xml:space="preserve"> </w:t>
      </w:r>
      <w:r w:rsidRPr="00A5307E">
        <w:rPr>
          <w:rFonts w:ascii="Century" w:hAnsi="Century" w:cs="Miriam" w:hint="cs"/>
          <w:b/>
          <w:spacing w:val="0"/>
          <w:sz w:val="22"/>
          <w:szCs w:val="24"/>
          <w:rtl/>
        </w:rPr>
        <w:t>"לא יהיה תוקף כלפי הממונה"</w:t>
      </w:r>
      <w:r>
        <w:rPr>
          <w:rFonts w:hint="cs"/>
          <w:rtl/>
        </w:rPr>
        <w:t xml:space="preserve">. לשון זו מורה, כי הסעיף מתייחס לעסקאות שנערכו בין גורמים פרטיים, דהיינו, כאשר פרט א' ממחה את זכותו לפרט ב'. בעסקאות מעין אלו, קובע סעיף 4(ב) לצו הרישום, כי עד שתושלם העסקה, בדרך של רישום במרשם ההרשאות, מעמדה הוא כשל 'התחייבות' בלבד. ברם, התחייבות זו, כוחה אינו עומד לה ביחס לממונה, שלא היה צד לעסקה. אילו מדובר היה בעסקה שהממונה צד לה, קשה להלום את לשון הסעיף, השולל כל תוקף לעסקה כלפי הממונה. לא יעלה על הדעת, כי הממונה יחתום על עסקה מחייבת במקרקעין, ומיד לאחריה יהא רשאי להשתחרר מתוקפה המחייב, רק מחמת העובדה שזו לא נגמרה ברישום במרשם ההרשאות. לזאת אוסיף, כי לשון הסעיף, השוללת </w:t>
      </w:r>
      <w:r w:rsidRPr="000E5AC9">
        <w:rPr>
          <w:rFonts w:ascii="Century" w:hAnsi="Century" w:cs="Miriam"/>
          <w:b/>
          <w:spacing w:val="0"/>
          <w:sz w:val="22"/>
          <w:szCs w:val="24"/>
          <w:rtl/>
        </w:rPr>
        <w:t>"</w:t>
      </w:r>
      <w:r w:rsidRPr="000E5AC9">
        <w:rPr>
          <w:rFonts w:ascii="Century" w:hAnsi="Century" w:cs="Miriam" w:hint="eastAsia"/>
          <w:b/>
          <w:spacing w:val="0"/>
          <w:sz w:val="22"/>
          <w:szCs w:val="24"/>
          <w:rtl/>
        </w:rPr>
        <w:t>כל</w:t>
      </w:r>
      <w:r w:rsidRPr="000E5AC9">
        <w:rPr>
          <w:rFonts w:ascii="Century" w:hAnsi="Century" w:cs="Miriam"/>
          <w:b/>
          <w:spacing w:val="0"/>
          <w:sz w:val="22"/>
          <w:szCs w:val="24"/>
          <w:rtl/>
        </w:rPr>
        <w:t xml:space="preserve"> </w:t>
      </w:r>
      <w:r w:rsidRPr="000E5AC9">
        <w:rPr>
          <w:rFonts w:ascii="Century" w:hAnsi="Century" w:cs="Miriam" w:hint="eastAsia"/>
          <w:b/>
          <w:spacing w:val="0"/>
          <w:sz w:val="22"/>
          <w:szCs w:val="24"/>
          <w:rtl/>
        </w:rPr>
        <w:t>תוקף</w:t>
      </w:r>
      <w:r w:rsidRPr="000E5AC9">
        <w:rPr>
          <w:rFonts w:ascii="Century" w:hAnsi="Century" w:cs="Miriam"/>
          <w:b/>
          <w:spacing w:val="0"/>
          <w:sz w:val="22"/>
          <w:szCs w:val="24"/>
          <w:rtl/>
        </w:rPr>
        <w:t>"</w:t>
      </w:r>
      <w:r>
        <w:rPr>
          <w:rFonts w:hint="cs"/>
          <w:rtl/>
        </w:rPr>
        <w:t xml:space="preserve"> מהעסקה כלפי הממונה, אף אינה מתיישבת עם הרישא של סעיף 4(ב) לצו הרישום, שלפיו, עסקה שלא נגמרה ברישום </w:t>
      </w:r>
      <w:r>
        <w:rPr>
          <w:rtl/>
        </w:rPr>
        <w:t>–</w:t>
      </w:r>
      <w:r>
        <w:rPr>
          <w:rFonts w:hint="cs"/>
          <w:rtl/>
        </w:rPr>
        <w:t xml:space="preserve"> תזכה לכל הפחות לתוקף של </w:t>
      </w:r>
      <w:r w:rsidRPr="000E5AC9">
        <w:rPr>
          <w:rFonts w:ascii="Century" w:hAnsi="Century" w:cs="Miriam"/>
          <w:b/>
          <w:spacing w:val="0"/>
          <w:sz w:val="22"/>
          <w:szCs w:val="24"/>
          <w:rtl/>
        </w:rPr>
        <w:t>"</w:t>
      </w:r>
      <w:r w:rsidRPr="000E5AC9">
        <w:rPr>
          <w:rFonts w:ascii="Century" w:hAnsi="Century" w:cs="Miriam" w:hint="eastAsia"/>
          <w:b/>
          <w:spacing w:val="0"/>
          <w:sz w:val="22"/>
          <w:szCs w:val="24"/>
          <w:rtl/>
        </w:rPr>
        <w:t>התחייבות</w:t>
      </w:r>
      <w:r w:rsidRPr="000E5AC9">
        <w:rPr>
          <w:rFonts w:ascii="Century" w:hAnsi="Century" w:cs="Miriam"/>
          <w:b/>
          <w:spacing w:val="0"/>
          <w:sz w:val="22"/>
          <w:szCs w:val="24"/>
          <w:rtl/>
        </w:rPr>
        <w:t>"</w:t>
      </w:r>
      <w:r>
        <w:rPr>
          <w:rFonts w:hint="cs"/>
          <w:rtl/>
        </w:rPr>
        <w:t xml:space="preserve">. פרשנות המשיבים, מובילה אפוא לסתירה פנימית בלשון סעיף 4(ב) לצו הרישום, והיא אינה יכולה לעמוד. </w:t>
      </w:r>
    </w:p>
    <w:p w:rsidR="00295623" w:rsidRPr="00542868" w:rsidRDefault="00295623" w:rsidP="00295623">
      <w:pPr>
        <w:pStyle w:val="Ruller41"/>
        <w:tabs>
          <w:tab w:val="left" w:pos="90"/>
        </w:tabs>
        <w:spacing w:line="240" w:lineRule="auto"/>
      </w:pPr>
    </w:p>
    <w:p w:rsidR="00295623" w:rsidRDefault="00295623" w:rsidP="00295623">
      <w:pPr>
        <w:pStyle w:val="Ruller41"/>
        <w:rPr>
          <w:rtl/>
        </w:rPr>
      </w:pPr>
      <w:r w:rsidRPr="00AD38AC">
        <w:rPr>
          <w:rFonts w:ascii="Century" w:hAnsi="Century" w:hint="cs"/>
          <w:rtl/>
        </w:rPr>
        <w:t>3</w:t>
      </w:r>
      <w:r>
        <w:rPr>
          <w:rFonts w:ascii="Century" w:hAnsi="Century" w:hint="cs"/>
          <w:rtl/>
        </w:rPr>
        <w:t>7</w:t>
      </w:r>
      <w:r>
        <w:rPr>
          <w:rFonts w:ascii="Century" w:hAnsi="Century" w:cs="Miriam" w:hint="cs"/>
          <w:b/>
          <w:spacing w:val="0"/>
          <w:szCs w:val="24"/>
          <w:rtl/>
        </w:rPr>
        <w:t>.</w:t>
      </w:r>
      <w:r>
        <w:rPr>
          <w:rFonts w:ascii="Century" w:hAnsi="Century" w:cs="Miriam" w:hint="cs"/>
          <w:b/>
          <w:spacing w:val="0"/>
          <w:szCs w:val="24"/>
          <w:rtl/>
        </w:rPr>
        <w:tab/>
      </w:r>
      <w:r w:rsidRPr="00EF0FBB">
        <w:rPr>
          <w:rFonts w:ascii="Century" w:hAnsi="Century" w:cs="Miriam" w:hint="cs"/>
          <w:b/>
          <w:spacing w:val="0"/>
          <w:szCs w:val="24"/>
          <w:rtl/>
        </w:rPr>
        <w:t>שנית</w:t>
      </w:r>
      <w:r>
        <w:rPr>
          <w:rFonts w:hint="cs"/>
          <w:rtl/>
        </w:rPr>
        <w:t xml:space="preserve">, פרשנות המדינה נכונה גם מתוך עיון בתכלית צו הרישום </w:t>
      </w:r>
      <w:r>
        <w:rPr>
          <w:rtl/>
        </w:rPr>
        <w:t>–</w:t>
      </w:r>
      <w:r>
        <w:rPr>
          <w:rFonts w:hint="cs"/>
          <w:rtl/>
        </w:rPr>
        <w:t xml:space="preserve"> תכלית הנלמדת גם מיתר הוראות צו זה. לעניין זה אציין, כי על פני הדברים, תכלית צו הרישום היא לכונן מרשם הרשאות, שבו יערוך הממונה פיקוח ובקרה על שרשרת העסקאות המבוצעות בין </w:t>
      </w:r>
      <w:r w:rsidRPr="00D1711F">
        <w:rPr>
          <w:rFonts w:ascii="Century" w:hAnsi="Century" w:cs="Miriam" w:hint="eastAsia"/>
          <w:b/>
          <w:spacing w:val="0"/>
          <w:szCs w:val="24"/>
          <w:rtl/>
        </w:rPr>
        <w:t>גורמים</w:t>
      </w:r>
      <w:r w:rsidRPr="00D1711F">
        <w:rPr>
          <w:rFonts w:ascii="Century" w:hAnsi="Century" w:cs="Miriam"/>
          <w:b/>
          <w:spacing w:val="0"/>
          <w:szCs w:val="24"/>
          <w:rtl/>
        </w:rPr>
        <w:t xml:space="preserve"> </w:t>
      </w:r>
      <w:r w:rsidRPr="00D1711F">
        <w:rPr>
          <w:rFonts w:ascii="Century" w:hAnsi="Century" w:cs="Miriam" w:hint="eastAsia"/>
          <w:b/>
          <w:spacing w:val="0"/>
          <w:szCs w:val="24"/>
          <w:rtl/>
        </w:rPr>
        <w:t>פרטיים</w:t>
      </w:r>
      <w:r>
        <w:rPr>
          <w:rFonts w:hint="cs"/>
          <w:rtl/>
        </w:rPr>
        <w:t xml:space="preserve">, במקרקעין שהוקצו על-ידו. במסגרת זו, ניתנו לממונה סמכויות שונות, לרבות סירוב לרשום עסקה שנערכה בין גורמים פרטיים במרשם ההרשאות. כך למשל, סעיף 11(ב) לצו הרישום קובע, כי </w:t>
      </w:r>
      <w:r w:rsidRPr="00EF0FBB">
        <w:rPr>
          <w:rFonts w:ascii="Century" w:hAnsi="Century" w:cs="Miriam" w:hint="cs"/>
          <w:b/>
          <w:spacing w:val="0"/>
          <w:szCs w:val="24"/>
          <w:rtl/>
        </w:rPr>
        <w:t>"</w:t>
      </w:r>
      <w:r w:rsidRPr="00EF0FBB">
        <w:rPr>
          <w:rFonts w:ascii="Century" w:hAnsi="Century" w:cs="Miriam"/>
          <w:b/>
          <w:spacing w:val="0"/>
          <w:szCs w:val="24"/>
          <w:rtl/>
        </w:rPr>
        <w:t>לא תירשם עסקה במקרקעין שהוראות סעי</w:t>
      </w:r>
      <w:r w:rsidRPr="00EF0FBB">
        <w:rPr>
          <w:rFonts w:ascii="Century" w:hAnsi="Century" w:cs="Miriam" w:hint="cs"/>
          <w:b/>
          <w:spacing w:val="0"/>
          <w:szCs w:val="24"/>
          <w:rtl/>
        </w:rPr>
        <w:t xml:space="preserve">ף 2 </w:t>
      </w:r>
      <w:r w:rsidRPr="00EF0FBB">
        <w:rPr>
          <w:rFonts w:ascii="Century" w:hAnsi="Century" w:cs="Miriam"/>
          <w:b/>
          <w:spacing w:val="0"/>
          <w:szCs w:val="24"/>
          <w:rtl/>
        </w:rPr>
        <w:t>חלות עליהם במירשם המתנהל על פי הדי</w:t>
      </w:r>
      <w:r w:rsidRPr="00EF0FBB">
        <w:rPr>
          <w:rFonts w:ascii="Century" w:hAnsi="Century" w:cs="Miriam" w:hint="cs"/>
          <w:b/>
          <w:spacing w:val="0"/>
          <w:szCs w:val="24"/>
          <w:rtl/>
        </w:rPr>
        <w:t xml:space="preserve">ן, </w:t>
      </w:r>
      <w:r w:rsidRPr="009F409D">
        <w:rPr>
          <w:rFonts w:ascii="Century" w:hAnsi="Century" w:cs="Miriam" w:hint="cs"/>
          <w:b/>
          <w:spacing w:val="0"/>
          <w:szCs w:val="24"/>
          <w:rtl/>
        </w:rPr>
        <w:t>א</w:t>
      </w:r>
      <w:r w:rsidRPr="009F409D">
        <w:rPr>
          <w:rFonts w:ascii="Century" w:hAnsi="Century" w:cs="Miriam"/>
          <w:b/>
          <w:spacing w:val="0"/>
          <w:szCs w:val="24"/>
          <w:rtl/>
        </w:rPr>
        <w:t>לא בהסכמת הממונ</w:t>
      </w:r>
      <w:r w:rsidRPr="009F409D">
        <w:rPr>
          <w:rFonts w:ascii="Century" w:hAnsi="Century" w:cs="Miriam" w:hint="cs"/>
          <w:b/>
          <w:spacing w:val="0"/>
          <w:szCs w:val="24"/>
          <w:rtl/>
        </w:rPr>
        <w:t>ה</w:t>
      </w:r>
      <w:r w:rsidRPr="00EF0FBB">
        <w:rPr>
          <w:rFonts w:ascii="Century" w:hAnsi="Century" w:cs="Miriam" w:hint="cs"/>
          <w:b/>
          <w:spacing w:val="0"/>
          <w:szCs w:val="24"/>
          <w:rtl/>
        </w:rPr>
        <w:t>"</w:t>
      </w:r>
      <w:r>
        <w:rPr>
          <w:rFonts w:hint="cs"/>
          <w:rtl/>
        </w:rPr>
        <w:t xml:space="preserve">. בנוסף, סעיף 6 לצו הרישום מאפשר לממונה </w:t>
      </w:r>
      <w:r w:rsidRPr="00EF0FBB">
        <w:rPr>
          <w:rFonts w:ascii="Century" w:hAnsi="Century" w:cs="Miriam" w:hint="cs"/>
          <w:b/>
          <w:spacing w:val="0"/>
          <w:szCs w:val="24"/>
          <w:rtl/>
        </w:rPr>
        <w:t>"</w:t>
      </w:r>
      <w:r w:rsidRPr="00EF0FBB">
        <w:rPr>
          <w:rFonts w:ascii="Century" w:hAnsi="Century" w:cs="Miriam"/>
          <w:b/>
          <w:spacing w:val="0"/>
          <w:szCs w:val="24"/>
          <w:rtl/>
        </w:rPr>
        <w:t>להתנות את הרישום במרשם ההרשאות בהוכחת כשרות העסקה וזכויות הצדדים לעסקה</w:t>
      </w:r>
      <w:r w:rsidRPr="00EF0FBB">
        <w:rPr>
          <w:rFonts w:ascii="Century" w:hAnsi="Century" w:cs="Miriam" w:hint="cs"/>
          <w:b/>
          <w:spacing w:val="0"/>
          <w:szCs w:val="24"/>
          <w:rtl/>
        </w:rPr>
        <w:t>"</w:t>
      </w:r>
      <w:r>
        <w:rPr>
          <w:rFonts w:hint="cs"/>
          <w:rtl/>
        </w:rPr>
        <w:t xml:space="preserve">. הוראות אלו מלמדות על תכלית צו הרישום </w:t>
      </w:r>
      <w:r>
        <w:rPr>
          <w:rtl/>
        </w:rPr>
        <w:t>–</w:t>
      </w:r>
      <w:r>
        <w:rPr>
          <w:rFonts w:hint="cs"/>
          <w:rtl/>
        </w:rPr>
        <w:t xml:space="preserve"> מתן אפשרות של פיקוח ובקרה על עסקאות </w:t>
      </w:r>
      <w:r w:rsidRPr="00CD3A18">
        <w:rPr>
          <w:rFonts w:ascii="Century" w:hAnsi="Century" w:cs="Miriam" w:hint="cs"/>
          <w:b/>
          <w:spacing w:val="0"/>
          <w:szCs w:val="24"/>
          <w:rtl/>
        </w:rPr>
        <w:t xml:space="preserve">בין </w:t>
      </w:r>
      <w:r>
        <w:rPr>
          <w:rFonts w:ascii="Century" w:hAnsi="Century" w:cs="Miriam" w:hint="cs"/>
          <w:b/>
          <w:spacing w:val="0"/>
          <w:szCs w:val="24"/>
          <w:rtl/>
        </w:rPr>
        <w:t xml:space="preserve">גורמים </w:t>
      </w:r>
      <w:r w:rsidRPr="00CD3A18">
        <w:rPr>
          <w:rFonts w:ascii="Century" w:hAnsi="Century" w:cs="Miriam" w:hint="cs"/>
          <w:b/>
          <w:spacing w:val="0"/>
          <w:szCs w:val="24"/>
          <w:rtl/>
        </w:rPr>
        <w:t>פרטיים</w:t>
      </w:r>
      <w:r>
        <w:rPr>
          <w:rFonts w:hint="cs"/>
          <w:rtl/>
        </w:rPr>
        <w:t xml:space="preserve">, במקרקעין שהוקצו לראשונה על-ידי הממונה. תכלית זו, מחזקת את המסקנה כי הוראות צו הרישום </w:t>
      </w:r>
      <w:r>
        <w:rPr>
          <w:rFonts w:hint="cs"/>
          <w:rtl/>
        </w:rPr>
        <w:lastRenderedPageBreak/>
        <w:t xml:space="preserve">לא נועדו לחול על עסקאות שערך הממונה בעצמו (זאת גם אם בפועל נרשמות במרשם זה, ביחס למקרקעין המסוימים שלגביהם חל צו הרישום, גם עסקאות שערך הממונה עצמו). </w:t>
      </w:r>
    </w:p>
    <w:p w:rsidR="00295623" w:rsidRPr="00EF0FBB" w:rsidRDefault="00295623" w:rsidP="00295623">
      <w:pPr>
        <w:pStyle w:val="Ruller41"/>
        <w:tabs>
          <w:tab w:val="left" w:pos="90"/>
        </w:tabs>
        <w:spacing w:line="240" w:lineRule="auto"/>
      </w:pPr>
    </w:p>
    <w:p w:rsidR="00295623" w:rsidRDefault="00295623" w:rsidP="00295623">
      <w:pPr>
        <w:pStyle w:val="Ruller41"/>
        <w:rPr>
          <w:rtl/>
        </w:rPr>
      </w:pPr>
      <w:r w:rsidRPr="00AD38AC">
        <w:rPr>
          <w:rFonts w:hint="cs"/>
          <w:rtl/>
        </w:rPr>
        <w:t>3</w:t>
      </w:r>
      <w:r>
        <w:rPr>
          <w:rFonts w:hint="cs"/>
          <w:rtl/>
        </w:rPr>
        <w:t>8</w:t>
      </w:r>
      <w:r>
        <w:rPr>
          <w:rFonts w:ascii="Century" w:hAnsi="Century" w:cs="Miriam" w:hint="cs"/>
          <w:b/>
          <w:spacing w:val="0"/>
          <w:szCs w:val="24"/>
          <w:rtl/>
        </w:rPr>
        <w:t>.</w:t>
      </w:r>
      <w:r>
        <w:rPr>
          <w:rFonts w:ascii="Century" w:hAnsi="Century" w:cs="Miriam" w:hint="cs"/>
          <w:b/>
          <w:spacing w:val="0"/>
          <w:szCs w:val="24"/>
          <w:rtl/>
        </w:rPr>
        <w:tab/>
      </w:r>
      <w:r w:rsidRPr="00460766">
        <w:rPr>
          <w:rFonts w:ascii="Century" w:hAnsi="Century" w:cs="Miriam" w:hint="cs"/>
          <w:b/>
          <w:spacing w:val="0"/>
          <w:szCs w:val="24"/>
          <w:rtl/>
        </w:rPr>
        <w:t>שלישית</w:t>
      </w:r>
      <w:r>
        <w:rPr>
          <w:rFonts w:hint="cs"/>
          <w:rtl/>
        </w:rPr>
        <w:t xml:space="preserve">, במרבית המקרקעין שבניהול הממונה, לא מופעל מרשם הרשאות. דברים אלו באו לידי ביטוי </w:t>
      </w:r>
      <w:r>
        <w:rPr>
          <w:rFonts w:ascii="Century" w:hAnsi="Century" w:cs="Miriam" w:hint="cs"/>
          <w:b/>
          <w:spacing w:val="0"/>
          <w:szCs w:val="24"/>
          <w:rtl/>
        </w:rPr>
        <w:t>ב</w:t>
      </w:r>
      <w:r w:rsidRPr="00460766">
        <w:rPr>
          <w:rFonts w:ascii="Century" w:hAnsi="Century" w:cs="Miriam" w:hint="cs"/>
          <w:b/>
          <w:spacing w:val="0"/>
          <w:szCs w:val="24"/>
          <w:rtl/>
        </w:rPr>
        <w:t>דו"ח ועדת זנדברג</w:t>
      </w:r>
      <w:r>
        <w:rPr>
          <w:rFonts w:hint="cs"/>
          <w:rtl/>
        </w:rPr>
        <w:t xml:space="preserve">, שבו נכתב: </w:t>
      </w:r>
      <w:r w:rsidRPr="00460766">
        <w:rPr>
          <w:rFonts w:ascii="Century" w:hAnsi="Century" w:cs="Miriam" w:hint="cs"/>
          <w:b/>
          <w:spacing w:val="0"/>
          <w:szCs w:val="24"/>
          <w:rtl/>
        </w:rPr>
        <w:t>"הרישום בפנקס ההרשאות הוא חריג, ונכון למועד כתיבת שורות אלו כמעט ולא נעשה ב</w:t>
      </w:r>
      <w:r w:rsidRPr="009E5984">
        <w:rPr>
          <w:rFonts w:ascii="Century" w:hAnsi="Century" w:cs="Miriam" w:hint="cs"/>
          <w:b/>
          <w:spacing w:val="0"/>
          <w:szCs w:val="24"/>
          <w:rtl/>
        </w:rPr>
        <w:t>ו שימוש"</w:t>
      </w:r>
      <w:r w:rsidRPr="009E5984">
        <w:rPr>
          <w:rFonts w:hint="cs"/>
          <w:rtl/>
        </w:rPr>
        <w:t xml:space="preserve"> (שם, עמ' 27; וראו גם: </w:t>
      </w:r>
      <w:r w:rsidRPr="009E5984">
        <w:rPr>
          <w:rFonts w:hint="eastAsia"/>
          <w:rtl/>
        </w:rPr>
        <w:t>חגי</w:t>
      </w:r>
      <w:r w:rsidRPr="009E5984">
        <w:rPr>
          <w:rtl/>
        </w:rPr>
        <w:t xml:space="preserve"> </w:t>
      </w:r>
      <w:r w:rsidRPr="009E5984">
        <w:rPr>
          <w:rFonts w:hint="eastAsia"/>
          <w:rtl/>
        </w:rPr>
        <w:t>ויניצקי</w:t>
      </w:r>
      <w:r w:rsidRPr="009E5984">
        <w:rPr>
          <w:rtl/>
        </w:rPr>
        <w:t xml:space="preserve"> </w:t>
      </w:r>
      <w:r w:rsidRPr="009E5984">
        <w:rPr>
          <w:rFonts w:hint="eastAsia"/>
          <w:rtl/>
        </w:rPr>
        <w:t>ודניאל</w:t>
      </w:r>
      <w:r w:rsidRPr="009E5984">
        <w:rPr>
          <w:rtl/>
        </w:rPr>
        <w:t xml:space="preserve"> </w:t>
      </w:r>
      <w:r w:rsidRPr="009E5984">
        <w:rPr>
          <w:rFonts w:hint="eastAsia"/>
          <w:rtl/>
        </w:rPr>
        <w:t>קרמר</w:t>
      </w:r>
      <w:r w:rsidRPr="009E5984">
        <w:rPr>
          <w:rtl/>
        </w:rPr>
        <w:t xml:space="preserve"> "</w:t>
      </w:r>
      <w:r w:rsidRPr="009E5984">
        <w:rPr>
          <w:rFonts w:hint="eastAsia"/>
          <w:rtl/>
        </w:rPr>
        <w:t>מרשמי</w:t>
      </w:r>
      <w:r w:rsidRPr="009E5984">
        <w:rPr>
          <w:rtl/>
        </w:rPr>
        <w:t xml:space="preserve"> </w:t>
      </w:r>
      <w:r w:rsidRPr="009E5984">
        <w:rPr>
          <w:rFonts w:hint="eastAsia"/>
          <w:rtl/>
        </w:rPr>
        <w:t>המקרקעין</w:t>
      </w:r>
      <w:r w:rsidRPr="009E5984">
        <w:rPr>
          <w:rtl/>
        </w:rPr>
        <w:t xml:space="preserve"> </w:t>
      </w:r>
      <w:r w:rsidRPr="009E5984">
        <w:rPr>
          <w:rFonts w:hint="eastAsia"/>
          <w:rtl/>
        </w:rPr>
        <w:t>ביהודה</w:t>
      </w:r>
      <w:r w:rsidRPr="009E5984">
        <w:rPr>
          <w:rtl/>
        </w:rPr>
        <w:t xml:space="preserve"> </w:t>
      </w:r>
      <w:r w:rsidRPr="009E5984">
        <w:rPr>
          <w:rFonts w:hint="eastAsia"/>
          <w:rtl/>
        </w:rPr>
        <w:t>ושומרון</w:t>
      </w:r>
      <w:r w:rsidRPr="009E5984">
        <w:rPr>
          <w:rtl/>
        </w:rPr>
        <w:t xml:space="preserve">" </w:t>
      </w:r>
      <w:r w:rsidRPr="009E5984">
        <w:rPr>
          <w:rFonts w:ascii="Century" w:hAnsi="Century" w:cs="Miriam" w:hint="eastAsia"/>
          <w:b/>
          <w:spacing w:val="0"/>
          <w:szCs w:val="24"/>
          <w:rtl/>
        </w:rPr>
        <w:t>דיני</w:t>
      </w:r>
      <w:r w:rsidRPr="009E5984">
        <w:rPr>
          <w:rFonts w:ascii="Century" w:hAnsi="Century" w:cs="Miriam"/>
          <w:b/>
          <w:spacing w:val="0"/>
          <w:szCs w:val="24"/>
          <w:rtl/>
        </w:rPr>
        <w:t xml:space="preserve"> </w:t>
      </w:r>
      <w:r w:rsidRPr="009E5984">
        <w:rPr>
          <w:rFonts w:ascii="Century" w:hAnsi="Century" w:cs="Miriam" w:hint="eastAsia"/>
          <w:b/>
          <w:spacing w:val="0"/>
          <w:szCs w:val="24"/>
          <w:rtl/>
        </w:rPr>
        <w:t>מקרקעין</w:t>
      </w:r>
      <w:r w:rsidRPr="009E5984">
        <w:rPr>
          <w:rFonts w:ascii="Century" w:hAnsi="Century" w:cs="Miriam"/>
          <w:b/>
          <w:spacing w:val="0"/>
          <w:szCs w:val="24"/>
          <w:rtl/>
        </w:rPr>
        <w:t xml:space="preserve"> </w:t>
      </w:r>
      <w:r w:rsidRPr="009E5984">
        <w:rPr>
          <w:rFonts w:ascii="Century" w:hAnsi="Century" w:cs="Miriam" w:hint="eastAsia"/>
          <w:b/>
          <w:spacing w:val="0"/>
          <w:szCs w:val="24"/>
          <w:rtl/>
        </w:rPr>
        <w:t>והמשפט</w:t>
      </w:r>
      <w:r w:rsidRPr="009E5984">
        <w:rPr>
          <w:rFonts w:ascii="Century" w:hAnsi="Century" w:cs="Miriam"/>
          <w:b/>
          <w:spacing w:val="0"/>
          <w:szCs w:val="24"/>
          <w:rtl/>
        </w:rPr>
        <w:t xml:space="preserve"> </w:t>
      </w:r>
      <w:r w:rsidRPr="009E5984">
        <w:rPr>
          <w:rFonts w:ascii="Century" w:hAnsi="Century" w:cs="Miriam" w:hint="eastAsia"/>
          <w:b/>
          <w:spacing w:val="0"/>
          <w:szCs w:val="24"/>
          <w:rtl/>
        </w:rPr>
        <w:t>הבינלאומי</w:t>
      </w:r>
      <w:r w:rsidRPr="009E5984">
        <w:rPr>
          <w:rFonts w:ascii="Century" w:hAnsi="Century" w:cs="Miriam"/>
          <w:b/>
          <w:spacing w:val="0"/>
          <w:szCs w:val="24"/>
          <w:rtl/>
        </w:rPr>
        <w:t xml:space="preserve"> </w:t>
      </w:r>
      <w:r w:rsidRPr="009E5984">
        <w:rPr>
          <w:rFonts w:ascii="Century" w:hAnsi="Century" w:cs="Miriam" w:hint="eastAsia"/>
          <w:b/>
          <w:spacing w:val="0"/>
          <w:szCs w:val="24"/>
          <w:rtl/>
        </w:rPr>
        <w:t>ביהודה</w:t>
      </w:r>
      <w:r w:rsidRPr="009E5984">
        <w:rPr>
          <w:rFonts w:ascii="Century" w:hAnsi="Century" w:cs="Miriam"/>
          <w:b/>
          <w:spacing w:val="0"/>
          <w:szCs w:val="24"/>
          <w:rtl/>
        </w:rPr>
        <w:t xml:space="preserve"> </w:t>
      </w:r>
      <w:r w:rsidRPr="009E5984">
        <w:rPr>
          <w:rFonts w:ascii="Century" w:hAnsi="Century" w:cs="Miriam" w:hint="eastAsia"/>
          <w:b/>
          <w:spacing w:val="0"/>
          <w:szCs w:val="24"/>
          <w:rtl/>
        </w:rPr>
        <w:t>ושומרון</w:t>
      </w:r>
      <w:r w:rsidRPr="009E5984">
        <w:rPr>
          <w:rtl/>
        </w:rPr>
        <w:t xml:space="preserve"> 113, </w:t>
      </w:r>
      <w:r w:rsidRPr="009E5984">
        <w:rPr>
          <w:rFonts w:hint="cs"/>
          <w:rtl/>
        </w:rPr>
        <w:t xml:space="preserve">185-181 </w:t>
      </w:r>
      <w:r w:rsidRPr="009E5984">
        <w:rPr>
          <w:rtl/>
        </w:rPr>
        <w:t>(2013)</w:t>
      </w:r>
      <w:r>
        <w:rPr>
          <w:rFonts w:hint="cs"/>
          <w:rtl/>
        </w:rPr>
        <w:t>). נכון להיום, כעולה מעמדת המדינה, מנוהל מרשם הרשאות רק בקרית-ארבע ובאורנית. לפיכך, פרשנות המשיבים, שלפיה ה'עסקה' שבסעיף 5 מחייבת רישום במרשם ההרשאות, תצמצם את תחולתו של הסעיף, כלפי 'נתח' קטן ביותר של שטחי קרקע, וזאת אך מחמת מחדלו של הממונה, לפרו</w:t>
      </w:r>
      <w:r w:rsidRPr="002A0C93">
        <w:rPr>
          <w:rtl/>
        </w:rPr>
        <w:t xml:space="preserve">שׂ </w:t>
      </w:r>
      <w:r>
        <w:rPr>
          <w:rFonts w:hint="cs"/>
          <w:rtl/>
        </w:rPr>
        <w:t xml:space="preserve">את כנפי מרשם ההרשאות על כלל ההתיישבות הישראלית באיו"ש. תוצאה זו, אינה מתיישבת עם תכליתו של סעיף 5, שהיא להגן על הסתמכותם של מתקשרים עם הממונה, בשל מעמדו השלטוני, ללא קשר לשאלה אם הפעיל הממונה מרשם הרשאות ביחס למקרקעין אלה, אם לאו. בנדון דנן </w:t>
      </w:r>
      <w:r>
        <w:rPr>
          <w:rtl/>
        </w:rPr>
        <w:t>–</w:t>
      </w:r>
      <w:r>
        <w:rPr>
          <w:rFonts w:hint="cs"/>
          <w:rtl/>
        </w:rPr>
        <w:t xml:space="preserve"> אם נאמץ את פרשנות המשיבים, יהפוך ההסדר שבסעיף 5 כמעט ל'אות מתה'. תוצאה זו, אין לקבל (השוו: עניין </w:t>
      </w:r>
      <w:r w:rsidRPr="009F409D">
        <w:rPr>
          <w:rFonts w:ascii="Century" w:hAnsi="Century" w:cs="Miriam" w:hint="cs"/>
          <w:b/>
          <w:spacing w:val="0"/>
          <w:szCs w:val="24"/>
          <w:rtl/>
        </w:rPr>
        <w:t>עקל</w:t>
      </w:r>
      <w:r>
        <w:rPr>
          <w:rFonts w:hint="cs"/>
          <w:rtl/>
        </w:rPr>
        <w:t xml:space="preserve">, פסקה 12). </w:t>
      </w:r>
    </w:p>
    <w:p w:rsidR="00295623" w:rsidRPr="00CD3A18" w:rsidRDefault="00295623" w:rsidP="00295623">
      <w:pPr>
        <w:pStyle w:val="Ruller41"/>
        <w:tabs>
          <w:tab w:val="left" w:pos="90"/>
        </w:tabs>
        <w:spacing w:line="240" w:lineRule="auto"/>
      </w:pPr>
    </w:p>
    <w:p w:rsidR="00295623" w:rsidRPr="00F32756" w:rsidRDefault="00295623" w:rsidP="00295623">
      <w:pPr>
        <w:pStyle w:val="Ruller41"/>
      </w:pPr>
      <w:r>
        <w:rPr>
          <w:rFonts w:hint="cs"/>
          <w:rtl/>
        </w:rPr>
        <w:t>39.</w:t>
      </w:r>
      <w:r>
        <w:rPr>
          <w:rFonts w:hint="cs"/>
          <w:rtl/>
        </w:rPr>
        <w:tab/>
        <w:t xml:space="preserve">נפנה עתה לטענת המשיבים, כי 'עסקה' לפי סעיף 5 צריכה להסתיים ברישום במרשם המקרקעין. טענתם זו נשענת, הלכה למעשה, על העיקרון שנקבע בפסיקת בית משפט זה, ביחס לתקנת השוק במקרקעין, שלפיו </w:t>
      </w:r>
      <w:r w:rsidRPr="005D5439">
        <w:rPr>
          <w:rFonts w:ascii="Century" w:hAnsi="Century" w:cs="Miriam" w:hint="cs"/>
          <w:b/>
          <w:spacing w:val="0"/>
          <w:szCs w:val="24"/>
          <w:rtl/>
        </w:rPr>
        <w:t>"רק קנין יכה קנין, ואילו זכות חיובים אין בכוחה להכות זכות קניין"</w:t>
      </w:r>
      <w:r>
        <w:rPr>
          <w:rFonts w:hint="cs"/>
          <w:rtl/>
        </w:rPr>
        <w:t xml:space="preserve"> (עניין</w:t>
      </w:r>
      <w:r w:rsidRPr="00F0573D">
        <w:rPr>
          <w:rtl/>
        </w:rPr>
        <w:t xml:space="preserve"> </w:t>
      </w:r>
      <w:r w:rsidRPr="005D5439">
        <w:rPr>
          <w:rFonts w:ascii="Century" w:hAnsi="Century" w:cs="Miriam" w:hint="cs"/>
          <w:b/>
          <w:spacing w:val="0"/>
          <w:szCs w:val="24"/>
          <w:rtl/>
        </w:rPr>
        <w:t>הרטפלד</w:t>
      </w:r>
      <w:r>
        <w:rPr>
          <w:rFonts w:hint="cs"/>
          <w:rtl/>
        </w:rPr>
        <w:t xml:space="preserve">, עמ' 869). משמעותו של עיקרון זה היא, כי תנאי מוקדם להיווצרותה של תקנת שוק במקרקעין (ולעיתים </w:t>
      </w:r>
      <w:r>
        <w:rPr>
          <w:rtl/>
        </w:rPr>
        <w:t>–</w:t>
      </w:r>
      <w:r>
        <w:rPr>
          <w:rFonts w:hint="cs"/>
          <w:rtl/>
        </w:rPr>
        <w:t xml:space="preserve"> גם תקנות שוק אחרות), הוא שכלול קנייני של הטוען לזכות כלפי הבעלים המקורי. במקרקעין, כידוע, שכלול הזכות הקניינית נעשה בדרך של רישום בפנקסי המקרקעין</w:t>
      </w:r>
      <w:r w:rsidRPr="005D5439">
        <w:rPr>
          <w:rFonts w:ascii="Century" w:hAnsi="Century" w:hint="cs"/>
          <w:rtl/>
        </w:rPr>
        <w:t xml:space="preserve">. כך </w:t>
      </w:r>
      <w:r>
        <w:rPr>
          <w:rFonts w:ascii="Century" w:hAnsi="Century" w:hint="cs"/>
          <w:rtl/>
        </w:rPr>
        <w:t>למשל, סעיף 7 לחוק המקרקעין קובע, כי</w:t>
      </w:r>
      <w:r w:rsidRPr="005D5439">
        <w:rPr>
          <w:rFonts w:ascii="Century" w:hAnsi="Century" w:hint="cs"/>
          <w:rtl/>
        </w:rPr>
        <w:t xml:space="preserve"> </w:t>
      </w:r>
      <w:r w:rsidRPr="005D5439">
        <w:rPr>
          <w:rFonts w:ascii="Century" w:hAnsi="Century" w:cs="Miriam" w:hint="cs"/>
          <w:b/>
          <w:spacing w:val="0"/>
          <w:szCs w:val="24"/>
          <w:rtl/>
        </w:rPr>
        <w:t>"עסקה נגמרת ברישום"</w:t>
      </w:r>
      <w:r w:rsidRPr="005D5439">
        <w:rPr>
          <w:rFonts w:ascii="Century" w:hAnsi="Century" w:hint="cs"/>
          <w:rtl/>
        </w:rPr>
        <w:t xml:space="preserve">. </w:t>
      </w:r>
      <w:r>
        <w:rPr>
          <w:rFonts w:ascii="Century" w:hAnsi="Century" w:hint="cs"/>
          <w:rtl/>
        </w:rPr>
        <w:t>לטענת המשיבים</w:t>
      </w:r>
      <w:r w:rsidRPr="005D5439">
        <w:rPr>
          <w:rFonts w:ascii="Century" w:hAnsi="Century" w:hint="cs"/>
          <w:rtl/>
        </w:rPr>
        <w:t xml:space="preserve">, </w:t>
      </w:r>
      <w:r>
        <w:rPr>
          <w:rFonts w:ascii="Century" w:hAnsi="Century" w:hint="cs"/>
          <w:rtl/>
        </w:rPr>
        <w:t xml:space="preserve">כך קובע גם </w:t>
      </w:r>
      <w:r w:rsidRPr="005D5439">
        <w:rPr>
          <w:rFonts w:ascii="Century" w:hAnsi="Century" w:hint="cs"/>
          <w:rtl/>
        </w:rPr>
        <w:t>סעיף 16(3) לחוק הסדר הקרקעות והמים</w:t>
      </w:r>
      <w:r>
        <w:rPr>
          <w:rFonts w:ascii="Century" w:hAnsi="Century" w:hint="cs"/>
          <w:rtl/>
        </w:rPr>
        <w:t xml:space="preserve"> </w:t>
      </w:r>
      <w:r>
        <w:rPr>
          <w:rFonts w:ascii="Century" w:hAnsi="Century"/>
          <w:rtl/>
        </w:rPr>
        <w:t>–</w:t>
      </w:r>
      <w:r>
        <w:rPr>
          <w:rFonts w:ascii="Century" w:hAnsi="Century" w:hint="cs"/>
          <w:rtl/>
        </w:rPr>
        <w:t xml:space="preserve"> החל באיו"ש </w:t>
      </w:r>
      <w:r>
        <w:rPr>
          <w:rFonts w:ascii="Century" w:hAnsi="Century"/>
          <w:rtl/>
        </w:rPr>
        <w:t>–</w:t>
      </w:r>
      <w:r w:rsidRPr="005D5439">
        <w:rPr>
          <w:rFonts w:ascii="Century" w:hAnsi="Century" w:hint="cs"/>
          <w:rtl/>
        </w:rPr>
        <w:t xml:space="preserve"> </w:t>
      </w:r>
      <w:r>
        <w:rPr>
          <w:rFonts w:ascii="Century" w:hAnsi="Century" w:hint="cs"/>
          <w:rtl/>
        </w:rPr>
        <w:t>לגבי</w:t>
      </w:r>
      <w:r w:rsidRPr="005D5439">
        <w:rPr>
          <w:rFonts w:ascii="Century" w:hAnsi="Century" w:hint="cs"/>
          <w:rtl/>
        </w:rPr>
        <w:t xml:space="preserve"> עסקאות מכר של מקרקעין מוסדרים. עיקרון זה</w:t>
      </w:r>
      <w:r>
        <w:rPr>
          <w:rFonts w:ascii="Century" w:hAnsi="Century" w:hint="cs"/>
          <w:rtl/>
        </w:rPr>
        <w:t>, אף שספג ביקורת מצד מלומדים (</w:t>
      </w:r>
      <w:r w:rsidRPr="003C73A4">
        <w:rPr>
          <w:rFonts w:ascii="Century" w:hAnsi="Century" w:cs="Miriam" w:hint="eastAsia"/>
          <w:b/>
          <w:spacing w:val="0"/>
          <w:szCs w:val="24"/>
          <w:rtl/>
        </w:rPr>
        <w:t>דויטש</w:t>
      </w:r>
      <w:r w:rsidRPr="003C73A4">
        <w:rPr>
          <w:rFonts w:ascii="Century" w:hAnsi="Century" w:cs="Miriam"/>
          <w:b/>
          <w:spacing w:val="0"/>
          <w:szCs w:val="24"/>
          <w:rtl/>
        </w:rPr>
        <w:t xml:space="preserve"> </w:t>
      </w:r>
      <w:r w:rsidRPr="003C73A4">
        <w:rPr>
          <w:rFonts w:ascii="Century" w:hAnsi="Century"/>
          <w:rtl/>
        </w:rPr>
        <w:t>–</w:t>
      </w:r>
      <w:r w:rsidRPr="003C73A4">
        <w:rPr>
          <w:rFonts w:ascii="Century" w:hAnsi="Century" w:cs="Miriam"/>
          <w:b/>
          <w:spacing w:val="0"/>
          <w:szCs w:val="24"/>
          <w:rtl/>
        </w:rPr>
        <w:t xml:space="preserve"> </w:t>
      </w:r>
      <w:r w:rsidRPr="003C73A4">
        <w:rPr>
          <w:rFonts w:ascii="Century" w:hAnsi="Century" w:cs="Miriam" w:hint="eastAsia"/>
          <w:b/>
          <w:spacing w:val="0"/>
          <w:szCs w:val="24"/>
          <w:rtl/>
        </w:rPr>
        <w:t>כרך</w:t>
      </w:r>
      <w:r w:rsidRPr="003C73A4">
        <w:rPr>
          <w:rFonts w:ascii="Century" w:hAnsi="Century" w:cs="Miriam"/>
          <w:b/>
          <w:spacing w:val="0"/>
          <w:szCs w:val="24"/>
          <w:rtl/>
        </w:rPr>
        <w:t xml:space="preserve"> </w:t>
      </w:r>
      <w:r w:rsidRPr="003C73A4">
        <w:rPr>
          <w:rFonts w:ascii="Century" w:hAnsi="Century" w:cs="Miriam" w:hint="eastAsia"/>
          <w:b/>
          <w:spacing w:val="0"/>
          <w:szCs w:val="24"/>
          <w:rtl/>
        </w:rPr>
        <w:t>ג</w:t>
      </w:r>
      <w:r w:rsidRPr="00F32309">
        <w:rPr>
          <w:rFonts w:ascii="Century" w:hAnsi="Century"/>
          <w:rtl/>
        </w:rPr>
        <w:t xml:space="preserve">, </w:t>
      </w:r>
      <w:r w:rsidRPr="00F32309">
        <w:rPr>
          <w:rFonts w:ascii="Century" w:hAnsi="Century" w:hint="eastAsia"/>
          <w:rtl/>
        </w:rPr>
        <w:t>עמ</w:t>
      </w:r>
      <w:r w:rsidRPr="00F32309">
        <w:rPr>
          <w:rFonts w:ascii="Century" w:hAnsi="Century"/>
          <w:rtl/>
        </w:rPr>
        <w:t xml:space="preserve">' </w:t>
      </w:r>
      <w:r>
        <w:rPr>
          <w:rFonts w:ascii="Century" w:hAnsi="Century" w:hint="cs"/>
          <w:rtl/>
        </w:rPr>
        <w:t xml:space="preserve">205-186), הלך והשתרש בפסיקה; כך הוא </w:t>
      </w:r>
      <w:r w:rsidRPr="005D5439">
        <w:rPr>
          <w:rFonts w:ascii="Century" w:hAnsi="Century" w:hint="cs"/>
          <w:rtl/>
        </w:rPr>
        <w:t xml:space="preserve">תואר על-ידי השופט (כתוארו אז) </w:t>
      </w:r>
      <w:r w:rsidRPr="005D5439">
        <w:rPr>
          <w:rFonts w:ascii="Century" w:hAnsi="Century" w:cs="Miriam" w:hint="cs"/>
          <w:b/>
          <w:spacing w:val="0"/>
          <w:szCs w:val="24"/>
          <w:rtl/>
        </w:rPr>
        <w:t>מ' חשין</w:t>
      </w:r>
      <w:r w:rsidRPr="005D5439">
        <w:rPr>
          <w:rFonts w:ascii="Century" w:hAnsi="Century" w:hint="cs"/>
          <w:rtl/>
        </w:rPr>
        <w:t xml:space="preserve">, בעניין </w:t>
      </w:r>
      <w:r w:rsidRPr="005D5439">
        <w:rPr>
          <w:rFonts w:ascii="Century" w:hAnsi="Century" w:cs="Miriam" w:hint="cs"/>
          <w:b/>
          <w:spacing w:val="0"/>
          <w:szCs w:val="24"/>
          <w:rtl/>
        </w:rPr>
        <w:t>הרטפלד</w:t>
      </w:r>
      <w:r w:rsidRPr="005D5439">
        <w:rPr>
          <w:rFonts w:ascii="Century" w:hAnsi="Century" w:hint="cs"/>
          <w:rtl/>
        </w:rPr>
        <w:t xml:space="preserve">: </w:t>
      </w:r>
    </w:p>
    <w:p w:rsidR="00295623" w:rsidRPr="005D5439" w:rsidRDefault="00295623" w:rsidP="00295623">
      <w:pPr>
        <w:pStyle w:val="Ruller4"/>
        <w:numPr>
          <w:ilvl w:val="0"/>
          <w:numId w:val="0"/>
        </w:numPr>
        <w:tabs>
          <w:tab w:val="left" w:pos="90"/>
        </w:tabs>
        <w:spacing w:line="240" w:lineRule="auto"/>
        <w:rPr>
          <w:rtl/>
        </w:rPr>
      </w:pPr>
    </w:p>
    <w:p w:rsidR="00295623" w:rsidRPr="00F32756" w:rsidRDefault="00295623" w:rsidP="00295623">
      <w:pPr>
        <w:pStyle w:val="Ruller5"/>
        <w:tabs>
          <w:tab w:val="left" w:pos="90"/>
        </w:tabs>
        <w:ind w:left="1649"/>
        <w:rPr>
          <w:rFonts w:ascii="Century" w:hAnsi="Century" w:cs="Miriam"/>
          <w:b/>
          <w:spacing w:val="0"/>
          <w:szCs w:val="24"/>
          <w:rtl/>
        </w:rPr>
      </w:pPr>
      <w:r>
        <w:rPr>
          <w:rFonts w:ascii="Century" w:hAnsi="Century" w:cs="Miriam" w:hint="cs"/>
          <w:b/>
          <w:spacing w:val="0"/>
          <w:szCs w:val="24"/>
          <w:rtl/>
        </w:rPr>
        <w:t>"</w:t>
      </w:r>
      <w:r w:rsidRPr="00F32756">
        <w:rPr>
          <w:rFonts w:ascii="Century" w:hAnsi="Century" w:cs="Miriam" w:hint="eastAsia"/>
          <w:b/>
          <w:spacing w:val="0"/>
          <w:szCs w:val="24"/>
          <w:rtl/>
        </w:rPr>
        <w:t>אשר</w:t>
      </w:r>
      <w:r w:rsidRPr="00F32756">
        <w:rPr>
          <w:rFonts w:ascii="Century" w:hAnsi="Century" w:cs="Miriam"/>
          <w:b/>
          <w:spacing w:val="0"/>
          <w:szCs w:val="24"/>
          <w:rtl/>
        </w:rPr>
        <w:t xml:space="preserve"> </w:t>
      </w:r>
      <w:r w:rsidRPr="00F32756">
        <w:rPr>
          <w:rFonts w:ascii="Century" w:hAnsi="Century" w:cs="Miriam" w:hint="eastAsia"/>
          <w:b/>
          <w:spacing w:val="0"/>
          <w:szCs w:val="24"/>
          <w:rtl/>
        </w:rPr>
        <w:t>למקרקעין</w:t>
      </w:r>
      <w:r w:rsidRPr="00F32756">
        <w:rPr>
          <w:rFonts w:ascii="Century" w:hAnsi="Century" w:cs="Miriam"/>
          <w:b/>
          <w:spacing w:val="0"/>
          <w:szCs w:val="24"/>
          <w:rtl/>
        </w:rPr>
        <w:t xml:space="preserve">: </w:t>
      </w:r>
      <w:r w:rsidRPr="00F32756">
        <w:rPr>
          <w:rFonts w:ascii="Century" w:hAnsi="Century" w:cs="Miriam" w:hint="eastAsia"/>
          <w:b/>
          <w:spacing w:val="0"/>
          <w:szCs w:val="24"/>
          <w:rtl/>
        </w:rPr>
        <w:t>בפירושה</w:t>
      </w:r>
      <w:r w:rsidRPr="00F32756">
        <w:rPr>
          <w:rFonts w:ascii="Century" w:hAnsi="Century" w:cs="Miriam"/>
          <w:b/>
          <w:spacing w:val="0"/>
          <w:szCs w:val="24"/>
          <w:rtl/>
        </w:rPr>
        <w:t xml:space="preserve"> </w:t>
      </w:r>
      <w:r w:rsidRPr="00F32756">
        <w:rPr>
          <w:rFonts w:ascii="Century" w:hAnsi="Century" w:cs="Miriam" w:hint="eastAsia"/>
          <w:b/>
          <w:spacing w:val="0"/>
          <w:szCs w:val="24"/>
          <w:rtl/>
        </w:rPr>
        <w:t>של</w:t>
      </w:r>
      <w:r w:rsidRPr="00F32756">
        <w:rPr>
          <w:rFonts w:ascii="Century" w:hAnsi="Century" w:cs="Miriam"/>
          <w:b/>
          <w:spacing w:val="0"/>
          <w:szCs w:val="24"/>
          <w:rtl/>
        </w:rPr>
        <w:t xml:space="preserve"> </w:t>
      </w:r>
      <w:r w:rsidRPr="00F32756">
        <w:rPr>
          <w:rFonts w:ascii="Century" w:hAnsi="Century" w:cs="Miriam" w:hint="eastAsia"/>
          <w:b/>
          <w:spacing w:val="0"/>
          <w:szCs w:val="24"/>
          <w:rtl/>
        </w:rPr>
        <w:t>הוראת</w:t>
      </w:r>
      <w:r w:rsidRPr="00F32756">
        <w:rPr>
          <w:rFonts w:ascii="Century" w:hAnsi="Century" w:cs="Miriam"/>
          <w:b/>
          <w:spacing w:val="0"/>
          <w:szCs w:val="24"/>
          <w:rtl/>
        </w:rPr>
        <w:t xml:space="preserve"> </w:t>
      </w:r>
      <w:r w:rsidRPr="00F32756">
        <w:rPr>
          <w:rFonts w:ascii="Century" w:hAnsi="Century" w:cs="Miriam" w:hint="eastAsia"/>
          <w:b/>
          <w:spacing w:val="0"/>
          <w:szCs w:val="24"/>
          <w:rtl/>
        </w:rPr>
        <w:t>סעיף</w:t>
      </w:r>
      <w:r w:rsidRPr="00F32756">
        <w:rPr>
          <w:rFonts w:ascii="Century" w:hAnsi="Century" w:cs="Miriam"/>
          <w:b/>
          <w:spacing w:val="0"/>
          <w:szCs w:val="24"/>
          <w:rtl/>
        </w:rPr>
        <w:t xml:space="preserve"> 10 </w:t>
      </w:r>
      <w:r w:rsidRPr="00F32756">
        <w:rPr>
          <w:rFonts w:ascii="Century" w:hAnsi="Century" w:cs="Miriam" w:hint="eastAsia"/>
          <w:b/>
          <w:spacing w:val="0"/>
          <w:szCs w:val="24"/>
          <w:rtl/>
        </w:rPr>
        <w:t>לחוק</w:t>
      </w:r>
      <w:r w:rsidRPr="00F32756">
        <w:rPr>
          <w:rFonts w:ascii="Century" w:hAnsi="Century" w:cs="Miriam"/>
          <w:b/>
          <w:spacing w:val="0"/>
          <w:szCs w:val="24"/>
          <w:rtl/>
        </w:rPr>
        <w:t xml:space="preserve"> </w:t>
      </w:r>
      <w:r w:rsidRPr="00F32756">
        <w:rPr>
          <w:rFonts w:ascii="Century" w:hAnsi="Century" w:cs="Miriam" w:hint="eastAsia"/>
          <w:b/>
          <w:spacing w:val="0"/>
          <w:szCs w:val="24"/>
          <w:rtl/>
        </w:rPr>
        <w:t>המקרקעין</w:t>
      </w:r>
      <w:r w:rsidRPr="00F32756">
        <w:rPr>
          <w:rFonts w:ascii="Century" w:hAnsi="Century" w:cs="Miriam"/>
          <w:b/>
          <w:spacing w:val="0"/>
          <w:szCs w:val="24"/>
          <w:rtl/>
        </w:rPr>
        <w:t xml:space="preserve"> </w:t>
      </w:r>
      <w:r w:rsidRPr="00F32756">
        <w:rPr>
          <w:rFonts w:ascii="Century" w:hAnsi="Century" w:cs="Miriam" w:hint="eastAsia"/>
          <w:b/>
          <w:spacing w:val="0"/>
          <w:szCs w:val="24"/>
          <w:rtl/>
        </w:rPr>
        <w:t>נמצא</w:t>
      </w:r>
      <w:r w:rsidRPr="00F32756">
        <w:rPr>
          <w:rFonts w:ascii="Century" w:hAnsi="Century" w:cs="Miriam"/>
          <w:b/>
          <w:spacing w:val="0"/>
          <w:szCs w:val="24"/>
          <w:rtl/>
        </w:rPr>
        <w:t xml:space="preserve"> </w:t>
      </w:r>
      <w:r w:rsidRPr="00F32756">
        <w:rPr>
          <w:rFonts w:ascii="Century" w:hAnsi="Century" w:cs="Miriam" w:hint="eastAsia"/>
          <w:b/>
          <w:spacing w:val="0"/>
          <w:szCs w:val="24"/>
          <w:rtl/>
        </w:rPr>
        <w:t>לנו</w:t>
      </w:r>
      <w:r w:rsidRPr="00F32756">
        <w:rPr>
          <w:rFonts w:ascii="Century" w:hAnsi="Century" w:cs="Miriam"/>
          <w:b/>
          <w:spacing w:val="0"/>
          <w:szCs w:val="24"/>
          <w:rtl/>
        </w:rPr>
        <w:t xml:space="preserve">, </w:t>
      </w:r>
      <w:r w:rsidRPr="00F32756">
        <w:rPr>
          <w:rFonts w:ascii="Century" w:hAnsi="Century" w:cs="Miriam" w:hint="eastAsia"/>
          <w:b/>
          <w:spacing w:val="0"/>
          <w:szCs w:val="24"/>
          <w:rtl/>
        </w:rPr>
        <w:t>כי</w:t>
      </w:r>
      <w:r w:rsidRPr="00F32756">
        <w:rPr>
          <w:rFonts w:ascii="Century" w:hAnsi="Century" w:cs="Miriam"/>
          <w:b/>
          <w:spacing w:val="0"/>
          <w:szCs w:val="24"/>
          <w:rtl/>
        </w:rPr>
        <w:t xml:space="preserve"> </w:t>
      </w:r>
      <w:r w:rsidRPr="00F32756">
        <w:rPr>
          <w:rFonts w:ascii="Century" w:hAnsi="Century" w:cs="Miriam" w:hint="eastAsia"/>
          <w:b/>
          <w:spacing w:val="0"/>
          <w:szCs w:val="24"/>
          <w:rtl/>
        </w:rPr>
        <w:t>רק</w:t>
      </w:r>
      <w:r w:rsidRPr="00F32756">
        <w:rPr>
          <w:rFonts w:ascii="Century" w:hAnsi="Century" w:cs="Miriam"/>
          <w:b/>
          <w:spacing w:val="0"/>
          <w:szCs w:val="24"/>
          <w:rtl/>
        </w:rPr>
        <w:t xml:space="preserve"> </w:t>
      </w:r>
      <w:r w:rsidRPr="00F32756">
        <w:rPr>
          <w:rFonts w:ascii="Century" w:hAnsi="Century" w:cs="Miriam" w:hint="eastAsia"/>
          <w:b/>
          <w:spacing w:val="0"/>
          <w:szCs w:val="24"/>
          <w:rtl/>
        </w:rPr>
        <w:t>עם</w:t>
      </w:r>
      <w:r w:rsidRPr="00F32756">
        <w:rPr>
          <w:rFonts w:ascii="Century" w:hAnsi="Century" w:cs="Miriam"/>
          <w:b/>
          <w:spacing w:val="0"/>
          <w:szCs w:val="24"/>
          <w:rtl/>
        </w:rPr>
        <w:t xml:space="preserve"> </w:t>
      </w:r>
      <w:r w:rsidRPr="00F32756">
        <w:rPr>
          <w:rFonts w:ascii="Century" w:hAnsi="Century" w:cs="Miriam" w:hint="eastAsia"/>
          <w:b/>
          <w:spacing w:val="0"/>
          <w:szCs w:val="24"/>
          <w:rtl/>
        </w:rPr>
        <w:t>רישומו</w:t>
      </w:r>
      <w:r w:rsidRPr="00F32756">
        <w:rPr>
          <w:rFonts w:ascii="Century" w:hAnsi="Century" w:cs="Miriam"/>
          <w:b/>
          <w:spacing w:val="0"/>
          <w:szCs w:val="24"/>
          <w:rtl/>
        </w:rPr>
        <w:t xml:space="preserve"> </w:t>
      </w:r>
      <w:r w:rsidRPr="00F32756">
        <w:rPr>
          <w:rFonts w:ascii="Century" w:hAnsi="Century" w:cs="Miriam" w:hint="eastAsia"/>
          <w:b/>
          <w:spacing w:val="0"/>
          <w:szCs w:val="24"/>
          <w:rtl/>
        </w:rPr>
        <w:t>של</w:t>
      </w:r>
      <w:r w:rsidRPr="00F32756">
        <w:rPr>
          <w:rFonts w:ascii="Century" w:hAnsi="Century" w:cs="Miriam"/>
          <w:b/>
          <w:spacing w:val="0"/>
          <w:szCs w:val="24"/>
          <w:rtl/>
        </w:rPr>
        <w:t xml:space="preserve"> </w:t>
      </w:r>
      <w:r w:rsidRPr="00F32756">
        <w:rPr>
          <w:rFonts w:ascii="Century" w:hAnsi="Century" w:cs="Miriam" w:hint="eastAsia"/>
          <w:b/>
          <w:spacing w:val="0"/>
          <w:szCs w:val="24"/>
          <w:rtl/>
        </w:rPr>
        <w:t>הרוכש</w:t>
      </w:r>
      <w:r w:rsidRPr="00F32756">
        <w:rPr>
          <w:rFonts w:ascii="Century" w:hAnsi="Century" w:cs="Miriam"/>
          <w:b/>
          <w:spacing w:val="0"/>
          <w:szCs w:val="24"/>
          <w:rtl/>
        </w:rPr>
        <w:t xml:space="preserve"> </w:t>
      </w:r>
      <w:r w:rsidRPr="00F32756">
        <w:rPr>
          <w:rFonts w:ascii="Century" w:hAnsi="Century" w:cs="Miriam" w:hint="eastAsia"/>
          <w:b/>
          <w:spacing w:val="0"/>
          <w:szCs w:val="24"/>
          <w:rtl/>
        </w:rPr>
        <w:t>במרשם</w:t>
      </w:r>
      <w:r w:rsidRPr="00F32756">
        <w:rPr>
          <w:rFonts w:ascii="Century" w:hAnsi="Century" w:cs="Miriam"/>
          <w:b/>
          <w:spacing w:val="0"/>
          <w:szCs w:val="24"/>
          <w:rtl/>
        </w:rPr>
        <w:t xml:space="preserve"> </w:t>
      </w:r>
      <w:r w:rsidRPr="00F32756">
        <w:rPr>
          <w:rFonts w:ascii="Century" w:hAnsi="Century" w:cs="Miriam" w:hint="eastAsia"/>
          <w:b/>
          <w:spacing w:val="0"/>
          <w:szCs w:val="24"/>
          <w:rtl/>
        </w:rPr>
        <w:t>עשוי</w:t>
      </w:r>
      <w:r w:rsidRPr="00F32756">
        <w:rPr>
          <w:rFonts w:ascii="Century" w:hAnsi="Century" w:cs="Miriam"/>
          <w:b/>
          <w:spacing w:val="0"/>
          <w:szCs w:val="24"/>
          <w:rtl/>
        </w:rPr>
        <w:t xml:space="preserve"> </w:t>
      </w:r>
      <w:r w:rsidRPr="00F32756">
        <w:rPr>
          <w:rFonts w:ascii="Century" w:hAnsi="Century" w:cs="Miriam" w:hint="eastAsia"/>
          <w:b/>
          <w:spacing w:val="0"/>
          <w:szCs w:val="24"/>
          <w:rtl/>
        </w:rPr>
        <w:t>הוא</w:t>
      </w:r>
      <w:r w:rsidRPr="00F32756">
        <w:rPr>
          <w:rFonts w:ascii="Century" w:hAnsi="Century" w:cs="Miriam"/>
          <w:b/>
          <w:spacing w:val="0"/>
          <w:szCs w:val="24"/>
          <w:rtl/>
        </w:rPr>
        <w:t xml:space="preserve"> </w:t>
      </w:r>
      <w:r w:rsidRPr="00F32756">
        <w:rPr>
          <w:rFonts w:ascii="Century" w:hAnsi="Century" w:cs="Miriam" w:hint="eastAsia"/>
          <w:b/>
          <w:spacing w:val="0"/>
          <w:szCs w:val="24"/>
          <w:rtl/>
        </w:rPr>
        <w:t>לזכות</w:t>
      </w:r>
      <w:r w:rsidRPr="00F32756">
        <w:rPr>
          <w:rFonts w:ascii="Century" w:hAnsi="Century" w:cs="Miriam"/>
          <w:b/>
          <w:spacing w:val="0"/>
          <w:szCs w:val="24"/>
          <w:rtl/>
        </w:rPr>
        <w:t xml:space="preserve"> </w:t>
      </w:r>
      <w:r w:rsidRPr="00F32756">
        <w:rPr>
          <w:rFonts w:ascii="Century" w:hAnsi="Century" w:cs="Miriam" w:hint="eastAsia"/>
          <w:b/>
          <w:spacing w:val="0"/>
          <w:szCs w:val="24"/>
          <w:rtl/>
        </w:rPr>
        <w:t>בזכות</w:t>
      </w:r>
      <w:r w:rsidRPr="00F32756">
        <w:rPr>
          <w:rFonts w:ascii="Century" w:hAnsi="Century" w:cs="Miriam"/>
          <w:b/>
          <w:spacing w:val="0"/>
          <w:szCs w:val="24"/>
          <w:rtl/>
        </w:rPr>
        <w:t xml:space="preserve"> </w:t>
      </w:r>
      <w:r w:rsidRPr="00F32756">
        <w:rPr>
          <w:rFonts w:ascii="Century" w:hAnsi="Century" w:cs="Miriam" w:hint="eastAsia"/>
          <w:b/>
          <w:spacing w:val="0"/>
          <w:szCs w:val="24"/>
          <w:rtl/>
        </w:rPr>
        <w:t>שלא</w:t>
      </w:r>
      <w:r w:rsidRPr="00F32756">
        <w:rPr>
          <w:rFonts w:ascii="Century" w:hAnsi="Century" w:cs="Miriam"/>
          <w:b/>
          <w:spacing w:val="0"/>
          <w:szCs w:val="24"/>
          <w:rtl/>
        </w:rPr>
        <w:t xml:space="preserve"> </w:t>
      </w:r>
      <w:r w:rsidRPr="00F32756">
        <w:rPr>
          <w:rFonts w:ascii="Century" w:hAnsi="Century" w:cs="Miriam" w:hint="eastAsia"/>
          <w:b/>
          <w:spacing w:val="0"/>
          <w:szCs w:val="24"/>
          <w:rtl/>
        </w:rPr>
        <w:t>הייתה</w:t>
      </w:r>
      <w:r w:rsidRPr="00F32756">
        <w:rPr>
          <w:rFonts w:ascii="Century" w:hAnsi="Century" w:cs="Miriam"/>
          <w:b/>
          <w:spacing w:val="0"/>
          <w:szCs w:val="24"/>
          <w:rtl/>
        </w:rPr>
        <w:t xml:space="preserve"> </w:t>
      </w:r>
      <w:r w:rsidRPr="00F32756">
        <w:rPr>
          <w:rFonts w:ascii="Century" w:hAnsi="Century" w:cs="Miriam" w:hint="eastAsia"/>
          <w:b/>
          <w:spacing w:val="0"/>
          <w:szCs w:val="24"/>
          <w:rtl/>
        </w:rPr>
        <w:t>בידי</w:t>
      </w:r>
      <w:r w:rsidRPr="00F32756">
        <w:rPr>
          <w:rFonts w:ascii="Century" w:hAnsi="Century" w:cs="Miriam"/>
          <w:b/>
          <w:spacing w:val="0"/>
          <w:szCs w:val="24"/>
          <w:rtl/>
        </w:rPr>
        <w:t xml:space="preserve"> </w:t>
      </w:r>
      <w:r w:rsidRPr="00F32756">
        <w:rPr>
          <w:rFonts w:ascii="Century" w:hAnsi="Century" w:cs="Miriam" w:hint="eastAsia"/>
          <w:b/>
          <w:spacing w:val="0"/>
          <w:szCs w:val="24"/>
          <w:rtl/>
        </w:rPr>
        <w:t>מי</w:t>
      </w:r>
      <w:r w:rsidRPr="00F32756">
        <w:rPr>
          <w:rFonts w:ascii="Century" w:hAnsi="Century" w:cs="Miriam"/>
          <w:b/>
          <w:spacing w:val="0"/>
          <w:szCs w:val="24"/>
          <w:rtl/>
        </w:rPr>
        <w:t xml:space="preserve"> </w:t>
      </w:r>
      <w:r w:rsidRPr="00F32756">
        <w:rPr>
          <w:rFonts w:ascii="Century" w:hAnsi="Century" w:cs="Miriam" w:hint="eastAsia"/>
          <w:b/>
          <w:spacing w:val="0"/>
          <w:szCs w:val="24"/>
          <w:rtl/>
        </w:rPr>
        <w:t>שהיה</w:t>
      </w:r>
      <w:r w:rsidRPr="00F32756">
        <w:rPr>
          <w:rFonts w:ascii="Century" w:hAnsi="Century" w:cs="Miriam"/>
          <w:b/>
          <w:spacing w:val="0"/>
          <w:szCs w:val="24"/>
          <w:rtl/>
        </w:rPr>
        <w:t xml:space="preserve"> </w:t>
      </w:r>
      <w:r w:rsidRPr="00F32756">
        <w:rPr>
          <w:rFonts w:ascii="Century" w:hAnsi="Century" w:cs="Miriam" w:hint="eastAsia"/>
          <w:b/>
          <w:spacing w:val="0"/>
          <w:szCs w:val="24"/>
          <w:rtl/>
        </w:rPr>
        <w:t>רשום</w:t>
      </w:r>
      <w:r w:rsidRPr="00F32756">
        <w:rPr>
          <w:rFonts w:ascii="Century" w:hAnsi="Century" w:cs="Miriam"/>
          <w:b/>
          <w:spacing w:val="0"/>
          <w:szCs w:val="24"/>
          <w:rtl/>
        </w:rPr>
        <w:t xml:space="preserve"> </w:t>
      </w:r>
      <w:r w:rsidRPr="00F32756">
        <w:rPr>
          <w:rFonts w:ascii="Century" w:hAnsi="Century" w:cs="Miriam" w:hint="eastAsia"/>
          <w:b/>
          <w:spacing w:val="0"/>
          <w:szCs w:val="24"/>
          <w:rtl/>
        </w:rPr>
        <w:t>כבעל</w:t>
      </w:r>
      <w:r w:rsidRPr="00F32756">
        <w:rPr>
          <w:rFonts w:ascii="Century" w:hAnsi="Century" w:cs="Miriam"/>
          <w:b/>
          <w:spacing w:val="0"/>
          <w:szCs w:val="24"/>
          <w:rtl/>
        </w:rPr>
        <w:t xml:space="preserve"> </w:t>
      </w:r>
      <w:r w:rsidRPr="00F32756">
        <w:rPr>
          <w:rFonts w:ascii="Century" w:hAnsi="Century" w:cs="Miriam" w:hint="eastAsia"/>
          <w:b/>
          <w:spacing w:val="0"/>
          <w:szCs w:val="24"/>
          <w:rtl/>
        </w:rPr>
        <w:t>הזכות</w:t>
      </w:r>
      <w:r w:rsidRPr="00F32756">
        <w:rPr>
          <w:rFonts w:ascii="Century" w:hAnsi="Century" w:cs="Miriam"/>
          <w:b/>
          <w:spacing w:val="0"/>
          <w:szCs w:val="24"/>
          <w:rtl/>
        </w:rPr>
        <w:t xml:space="preserve">. </w:t>
      </w:r>
      <w:r w:rsidRPr="00F32756">
        <w:rPr>
          <w:rFonts w:ascii="Century" w:hAnsi="Century" w:cs="Miriam" w:hint="eastAsia"/>
          <w:b/>
          <w:spacing w:val="0"/>
          <w:szCs w:val="24"/>
          <w:rtl/>
        </w:rPr>
        <w:t>האדם</w:t>
      </w:r>
      <w:r w:rsidRPr="00F32756">
        <w:rPr>
          <w:rFonts w:ascii="Century" w:hAnsi="Century" w:cs="Miriam"/>
          <w:b/>
          <w:spacing w:val="0"/>
          <w:szCs w:val="24"/>
          <w:rtl/>
        </w:rPr>
        <w:t xml:space="preserve"> </w:t>
      </w:r>
      <w:r w:rsidRPr="00F32756">
        <w:rPr>
          <w:rFonts w:ascii="Century" w:hAnsi="Century" w:cs="Miriam" w:hint="eastAsia"/>
          <w:b/>
          <w:spacing w:val="0"/>
          <w:szCs w:val="24"/>
          <w:rtl/>
        </w:rPr>
        <w:t>הרשום</w:t>
      </w:r>
      <w:r w:rsidRPr="00F32756">
        <w:rPr>
          <w:rFonts w:ascii="Century" w:hAnsi="Century" w:cs="Miriam"/>
          <w:b/>
          <w:spacing w:val="0"/>
          <w:szCs w:val="24"/>
          <w:rtl/>
        </w:rPr>
        <w:t xml:space="preserve"> </w:t>
      </w:r>
      <w:r w:rsidRPr="00F32756">
        <w:rPr>
          <w:rFonts w:ascii="Century" w:hAnsi="Century" w:cs="Miriam" w:hint="eastAsia"/>
          <w:b/>
          <w:spacing w:val="0"/>
          <w:szCs w:val="24"/>
          <w:rtl/>
        </w:rPr>
        <w:t>כבעל</w:t>
      </w:r>
      <w:r w:rsidRPr="00F32756">
        <w:rPr>
          <w:rFonts w:ascii="Century" w:hAnsi="Century" w:cs="Miriam"/>
          <w:b/>
          <w:spacing w:val="0"/>
          <w:szCs w:val="24"/>
          <w:rtl/>
        </w:rPr>
        <w:t xml:space="preserve"> </w:t>
      </w:r>
      <w:r w:rsidRPr="00F32756">
        <w:rPr>
          <w:rFonts w:ascii="Century" w:hAnsi="Century" w:cs="Miriam" w:hint="eastAsia"/>
          <w:b/>
          <w:spacing w:val="0"/>
          <w:szCs w:val="24"/>
          <w:rtl/>
        </w:rPr>
        <w:t>זכות</w:t>
      </w:r>
      <w:r w:rsidRPr="00F32756">
        <w:rPr>
          <w:rFonts w:ascii="Century" w:hAnsi="Century" w:cs="Miriam"/>
          <w:b/>
          <w:spacing w:val="0"/>
          <w:szCs w:val="24"/>
          <w:rtl/>
        </w:rPr>
        <w:t xml:space="preserve"> </w:t>
      </w:r>
      <w:r w:rsidRPr="00F32756">
        <w:rPr>
          <w:rFonts w:ascii="Century" w:hAnsi="Century" w:cs="Miriam" w:hint="eastAsia"/>
          <w:b/>
          <w:spacing w:val="0"/>
          <w:szCs w:val="24"/>
          <w:rtl/>
        </w:rPr>
        <w:t>במרשם</w:t>
      </w:r>
      <w:r w:rsidRPr="00F32756">
        <w:rPr>
          <w:rFonts w:ascii="Century" w:hAnsi="Century" w:cs="Miriam"/>
          <w:b/>
          <w:spacing w:val="0"/>
          <w:szCs w:val="24"/>
          <w:rtl/>
        </w:rPr>
        <w:t xml:space="preserve"> </w:t>
      </w:r>
      <w:r w:rsidRPr="00F32756">
        <w:rPr>
          <w:rFonts w:ascii="Century" w:hAnsi="Century" w:cs="Miriam" w:hint="eastAsia"/>
          <w:b/>
          <w:spacing w:val="0"/>
          <w:szCs w:val="24"/>
          <w:rtl/>
        </w:rPr>
        <w:t>המקרקעין</w:t>
      </w:r>
      <w:r w:rsidRPr="00F32756">
        <w:rPr>
          <w:rFonts w:ascii="Century" w:hAnsi="Century" w:cs="Miriam"/>
          <w:b/>
          <w:spacing w:val="0"/>
          <w:szCs w:val="24"/>
          <w:rtl/>
        </w:rPr>
        <w:t xml:space="preserve"> </w:t>
      </w:r>
      <w:r w:rsidRPr="00F32756">
        <w:rPr>
          <w:rFonts w:ascii="Century" w:hAnsi="Century" w:cs="Miriam" w:hint="eastAsia"/>
          <w:b/>
          <w:spacing w:val="0"/>
          <w:szCs w:val="24"/>
          <w:rtl/>
        </w:rPr>
        <w:lastRenderedPageBreak/>
        <w:t>יכול</w:t>
      </w:r>
      <w:r w:rsidRPr="00F32756">
        <w:rPr>
          <w:rFonts w:ascii="Century" w:hAnsi="Century" w:cs="Miriam"/>
          <w:b/>
          <w:spacing w:val="0"/>
          <w:szCs w:val="24"/>
          <w:rtl/>
        </w:rPr>
        <w:t xml:space="preserve"> </w:t>
      </w:r>
      <w:r w:rsidRPr="00F32756">
        <w:rPr>
          <w:rFonts w:ascii="Century" w:hAnsi="Century" w:cs="Miriam" w:hint="eastAsia"/>
          <w:b/>
          <w:spacing w:val="0"/>
          <w:szCs w:val="24"/>
          <w:rtl/>
        </w:rPr>
        <w:t>שיעביר</w:t>
      </w:r>
      <w:r w:rsidRPr="00F32756">
        <w:rPr>
          <w:rFonts w:ascii="Century" w:hAnsi="Century" w:cs="Miriam"/>
          <w:b/>
          <w:spacing w:val="0"/>
          <w:szCs w:val="24"/>
          <w:rtl/>
        </w:rPr>
        <w:t xml:space="preserve"> </w:t>
      </w:r>
      <w:r w:rsidRPr="00F32756">
        <w:rPr>
          <w:rFonts w:ascii="Century" w:hAnsi="Century" w:cs="Miriam" w:hint="eastAsia"/>
          <w:b/>
          <w:spacing w:val="0"/>
          <w:szCs w:val="24"/>
          <w:rtl/>
        </w:rPr>
        <w:t>לרוכש</w:t>
      </w:r>
      <w:r w:rsidRPr="00F32756">
        <w:rPr>
          <w:rFonts w:ascii="Century" w:hAnsi="Century" w:cs="Miriam"/>
          <w:b/>
          <w:spacing w:val="0"/>
          <w:szCs w:val="24"/>
          <w:rtl/>
        </w:rPr>
        <w:t>-</w:t>
      </w:r>
      <w:r w:rsidRPr="00F32756">
        <w:rPr>
          <w:rFonts w:ascii="Century" w:hAnsi="Century" w:cs="Miriam" w:hint="eastAsia"/>
          <w:b/>
          <w:spacing w:val="0"/>
          <w:szCs w:val="24"/>
          <w:rtl/>
        </w:rPr>
        <w:t>ממנו</w:t>
      </w:r>
      <w:r w:rsidRPr="00F32756">
        <w:rPr>
          <w:rFonts w:ascii="Century" w:hAnsi="Century" w:cs="Miriam"/>
          <w:b/>
          <w:spacing w:val="0"/>
          <w:szCs w:val="24"/>
          <w:rtl/>
        </w:rPr>
        <w:t xml:space="preserve"> </w:t>
      </w:r>
      <w:r w:rsidRPr="00F32756">
        <w:rPr>
          <w:rFonts w:ascii="Century" w:hAnsi="Century" w:cs="Miriam" w:hint="eastAsia"/>
          <w:b/>
          <w:spacing w:val="0"/>
          <w:szCs w:val="24"/>
          <w:rtl/>
        </w:rPr>
        <w:t>זכות</w:t>
      </w:r>
      <w:r w:rsidRPr="00F32756">
        <w:rPr>
          <w:rFonts w:ascii="Century" w:hAnsi="Century" w:cs="Miriam"/>
          <w:b/>
          <w:spacing w:val="0"/>
          <w:szCs w:val="24"/>
          <w:rtl/>
        </w:rPr>
        <w:t xml:space="preserve"> </w:t>
      </w:r>
      <w:r w:rsidRPr="00F32756">
        <w:rPr>
          <w:rFonts w:ascii="Century" w:hAnsi="Century" w:cs="Miriam" w:hint="eastAsia"/>
          <w:b/>
          <w:spacing w:val="0"/>
          <w:szCs w:val="24"/>
          <w:rtl/>
        </w:rPr>
        <w:t>שלא</w:t>
      </w:r>
      <w:r w:rsidRPr="00F32756">
        <w:rPr>
          <w:rFonts w:ascii="Century" w:hAnsi="Century" w:cs="Miriam"/>
          <w:b/>
          <w:spacing w:val="0"/>
          <w:szCs w:val="24"/>
          <w:rtl/>
        </w:rPr>
        <w:t xml:space="preserve"> </w:t>
      </w:r>
      <w:r w:rsidRPr="00F32756">
        <w:rPr>
          <w:rFonts w:ascii="Century" w:hAnsi="Century" w:cs="Miriam" w:hint="eastAsia"/>
          <w:b/>
          <w:spacing w:val="0"/>
          <w:szCs w:val="24"/>
          <w:rtl/>
        </w:rPr>
        <w:t>הייתה</w:t>
      </w:r>
      <w:r w:rsidRPr="00F32756">
        <w:rPr>
          <w:rFonts w:ascii="Century" w:hAnsi="Century" w:cs="Miriam"/>
          <w:b/>
          <w:spacing w:val="0"/>
          <w:szCs w:val="24"/>
          <w:rtl/>
        </w:rPr>
        <w:t xml:space="preserve"> </w:t>
      </w:r>
      <w:r w:rsidRPr="00F32756">
        <w:rPr>
          <w:rFonts w:ascii="Century" w:hAnsi="Century" w:cs="Miriam" w:hint="eastAsia"/>
          <w:b/>
          <w:spacing w:val="0"/>
          <w:szCs w:val="24"/>
          <w:rtl/>
        </w:rPr>
        <w:t>לו</w:t>
      </w:r>
      <w:r w:rsidRPr="00F32756">
        <w:rPr>
          <w:rFonts w:ascii="Century" w:hAnsi="Century" w:cs="Miriam"/>
          <w:b/>
          <w:spacing w:val="0"/>
          <w:szCs w:val="24"/>
          <w:rtl/>
        </w:rPr>
        <w:t xml:space="preserve"> </w:t>
      </w:r>
      <w:r w:rsidRPr="00F32756">
        <w:rPr>
          <w:rFonts w:ascii="Century" w:hAnsi="Century" w:cs="Miriam" w:hint="eastAsia"/>
          <w:b/>
          <w:spacing w:val="0"/>
          <w:szCs w:val="24"/>
          <w:rtl/>
        </w:rPr>
        <w:t>כלל</w:t>
      </w:r>
      <w:r w:rsidRPr="00F32756">
        <w:rPr>
          <w:rFonts w:ascii="Century" w:hAnsi="Century" w:cs="Miriam"/>
          <w:b/>
          <w:spacing w:val="0"/>
          <w:szCs w:val="24"/>
          <w:rtl/>
        </w:rPr>
        <w:t xml:space="preserve"> </w:t>
      </w:r>
      <w:r w:rsidRPr="00F32756">
        <w:rPr>
          <w:rFonts w:ascii="Century" w:hAnsi="Century"/>
          <w:rtl/>
        </w:rPr>
        <w:t>–</w:t>
      </w:r>
      <w:r>
        <w:rPr>
          <w:rFonts w:ascii="Century" w:hAnsi="Century" w:cs="Miriam" w:hint="cs"/>
          <w:b/>
          <w:spacing w:val="0"/>
          <w:szCs w:val="24"/>
          <w:rtl/>
        </w:rPr>
        <w:t xml:space="preserve"> </w:t>
      </w:r>
      <w:r w:rsidRPr="00F32756">
        <w:rPr>
          <w:rFonts w:ascii="Century" w:hAnsi="Century" w:cs="Miriam"/>
          <w:b/>
          <w:spacing w:val="0"/>
          <w:szCs w:val="24"/>
          <w:rtl/>
        </w:rPr>
        <w:t xml:space="preserve"> </w:t>
      </w:r>
      <w:r w:rsidRPr="00372482">
        <w:rPr>
          <w:rFonts w:ascii="Century" w:hAnsi="Century" w:cs="Miriam"/>
          <w:bCs/>
          <w:spacing w:val="0"/>
          <w:szCs w:val="24"/>
        </w:rPr>
        <w:t>dat</w:t>
      </w:r>
      <w:r w:rsidRPr="00F32756">
        <w:rPr>
          <w:rFonts w:ascii="Century" w:hAnsi="Century" w:cs="Miriam"/>
          <w:b/>
          <w:spacing w:val="0"/>
          <w:szCs w:val="24"/>
        </w:rPr>
        <w:t xml:space="preserve"> </w:t>
      </w:r>
      <w:r w:rsidRPr="00372482">
        <w:rPr>
          <w:rFonts w:ascii="Century" w:hAnsi="Century" w:cs="Miriam"/>
          <w:bCs/>
          <w:spacing w:val="0"/>
          <w:szCs w:val="24"/>
        </w:rPr>
        <w:t>quod non habet</w:t>
      </w:r>
      <w:r>
        <w:rPr>
          <w:rFonts w:ascii="Century" w:hAnsi="Century" w:cs="Miriam" w:hint="cs"/>
          <w:b/>
          <w:spacing w:val="0"/>
          <w:szCs w:val="24"/>
          <w:rtl/>
        </w:rPr>
        <w:t xml:space="preserve"> </w:t>
      </w:r>
      <w:r w:rsidRPr="00F32756">
        <w:rPr>
          <w:rFonts w:ascii="Century" w:hAnsi="Century"/>
          <w:rtl/>
        </w:rPr>
        <w:t>–</w:t>
      </w:r>
      <w:r>
        <w:rPr>
          <w:rFonts w:ascii="Century" w:hAnsi="Century" w:cs="Miriam" w:hint="cs"/>
          <w:b/>
          <w:spacing w:val="0"/>
          <w:szCs w:val="24"/>
          <w:rtl/>
        </w:rPr>
        <w:t xml:space="preserve"> </w:t>
      </w:r>
      <w:r w:rsidRPr="00F32756">
        <w:rPr>
          <w:rFonts w:ascii="Century" w:hAnsi="Century" w:cs="Miriam" w:hint="eastAsia"/>
          <w:b/>
          <w:spacing w:val="0"/>
          <w:szCs w:val="24"/>
          <w:rtl/>
        </w:rPr>
        <w:t>אך</w:t>
      </w:r>
      <w:r w:rsidRPr="00F32756">
        <w:rPr>
          <w:rFonts w:ascii="Century" w:hAnsi="Century" w:cs="Miriam"/>
          <w:b/>
          <w:spacing w:val="0"/>
          <w:szCs w:val="24"/>
          <w:rtl/>
        </w:rPr>
        <w:t xml:space="preserve"> </w:t>
      </w:r>
      <w:r w:rsidRPr="00F32756">
        <w:rPr>
          <w:rFonts w:ascii="Century" w:hAnsi="Century" w:cs="Miriam" w:hint="eastAsia"/>
          <w:b/>
          <w:spacing w:val="0"/>
          <w:szCs w:val="24"/>
          <w:rtl/>
        </w:rPr>
        <w:t>תנאי</w:t>
      </w:r>
      <w:r w:rsidRPr="00F32756">
        <w:rPr>
          <w:rFonts w:ascii="Century" w:hAnsi="Century" w:cs="Miriam"/>
          <w:b/>
          <w:spacing w:val="0"/>
          <w:szCs w:val="24"/>
          <w:rtl/>
        </w:rPr>
        <w:t xml:space="preserve"> </w:t>
      </w:r>
      <w:r w:rsidRPr="00F32756">
        <w:rPr>
          <w:rFonts w:ascii="Century" w:hAnsi="Century" w:cs="Miriam" w:hint="eastAsia"/>
          <w:b/>
          <w:spacing w:val="0"/>
          <w:szCs w:val="24"/>
          <w:rtl/>
        </w:rPr>
        <w:t>מוקדם</w:t>
      </w:r>
      <w:r w:rsidRPr="00F32756">
        <w:rPr>
          <w:rFonts w:ascii="Century" w:hAnsi="Century" w:cs="Miriam"/>
          <w:b/>
          <w:spacing w:val="0"/>
          <w:szCs w:val="24"/>
          <w:rtl/>
        </w:rPr>
        <w:t xml:space="preserve"> </w:t>
      </w:r>
      <w:r w:rsidRPr="00F32756">
        <w:rPr>
          <w:rFonts w:ascii="Century" w:hAnsi="Century" w:cs="Miriam" w:hint="eastAsia"/>
          <w:b/>
          <w:spacing w:val="0"/>
          <w:szCs w:val="24"/>
          <w:rtl/>
        </w:rPr>
        <w:t>לכך</w:t>
      </w:r>
      <w:r w:rsidRPr="00F32756">
        <w:rPr>
          <w:rFonts w:ascii="Century" w:hAnsi="Century" w:cs="Miriam"/>
          <w:b/>
          <w:spacing w:val="0"/>
          <w:szCs w:val="24"/>
          <w:rtl/>
        </w:rPr>
        <w:t xml:space="preserve"> </w:t>
      </w:r>
      <w:r w:rsidRPr="00F32756">
        <w:rPr>
          <w:rFonts w:ascii="Century" w:hAnsi="Century" w:cs="Miriam" w:hint="eastAsia"/>
          <w:b/>
          <w:spacing w:val="0"/>
          <w:szCs w:val="24"/>
          <w:rtl/>
        </w:rPr>
        <w:t>הוא</w:t>
      </w:r>
      <w:r w:rsidRPr="00F32756">
        <w:rPr>
          <w:rFonts w:ascii="Century" w:hAnsi="Century" w:cs="Miriam"/>
          <w:b/>
          <w:spacing w:val="0"/>
          <w:szCs w:val="24"/>
          <w:rtl/>
        </w:rPr>
        <w:t xml:space="preserve"> </w:t>
      </w:r>
      <w:r w:rsidRPr="00F32756">
        <w:rPr>
          <w:rFonts w:ascii="Century" w:hAnsi="Century" w:cs="Miriam" w:hint="eastAsia"/>
          <w:b/>
          <w:spacing w:val="0"/>
          <w:szCs w:val="24"/>
          <w:rtl/>
        </w:rPr>
        <w:t>שהזכות</w:t>
      </w:r>
      <w:r w:rsidRPr="00F32756">
        <w:rPr>
          <w:rFonts w:ascii="Century" w:hAnsi="Century" w:cs="Miriam"/>
          <w:b/>
          <w:spacing w:val="0"/>
          <w:szCs w:val="24"/>
          <w:rtl/>
        </w:rPr>
        <w:t xml:space="preserve"> </w:t>
      </w:r>
      <w:r w:rsidRPr="00F32756">
        <w:rPr>
          <w:rFonts w:ascii="Century" w:hAnsi="Century" w:cs="Miriam" w:hint="eastAsia"/>
          <w:b/>
          <w:spacing w:val="0"/>
          <w:szCs w:val="24"/>
          <w:rtl/>
        </w:rPr>
        <w:t>נרשמה</w:t>
      </w:r>
      <w:r w:rsidRPr="00F32756">
        <w:rPr>
          <w:rFonts w:ascii="Century" w:hAnsi="Century" w:cs="Miriam"/>
          <w:b/>
          <w:spacing w:val="0"/>
          <w:szCs w:val="24"/>
          <w:rtl/>
        </w:rPr>
        <w:t xml:space="preserve"> </w:t>
      </w:r>
      <w:r w:rsidRPr="00F32756">
        <w:rPr>
          <w:rFonts w:ascii="Century" w:hAnsi="Century" w:cs="Miriam" w:hint="eastAsia"/>
          <w:b/>
          <w:spacing w:val="0"/>
          <w:szCs w:val="24"/>
          <w:rtl/>
        </w:rPr>
        <w:t>במרשם</w:t>
      </w:r>
      <w:r w:rsidRPr="00F32756">
        <w:rPr>
          <w:rFonts w:ascii="Century" w:hAnsi="Century" w:cs="Miriam"/>
          <w:b/>
          <w:spacing w:val="0"/>
          <w:szCs w:val="24"/>
          <w:rtl/>
        </w:rPr>
        <w:t xml:space="preserve"> </w:t>
      </w:r>
      <w:r w:rsidRPr="00F32756">
        <w:rPr>
          <w:rFonts w:ascii="Century" w:hAnsi="Century" w:cs="Miriam" w:hint="eastAsia"/>
          <w:b/>
          <w:spacing w:val="0"/>
          <w:szCs w:val="24"/>
          <w:rtl/>
        </w:rPr>
        <w:t>על</w:t>
      </w:r>
      <w:r w:rsidRPr="00F32756">
        <w:rPr>
          <w:rFonts w:ascii="Century" w:hAnsi="Century" w:cs="Miriam"/>
          <w:b/>
          <w:spacing w:val="0"/>
          <w:szCs w:val="24"/>
          <w:rtl/>
        </w:rPr>
        <w:t xml:space="preserve"> </w:t>
      </w:r>
      <w:r w:rsidRPr="00F32756">
        <w:rPr>
          <w:rFonts w:ascii="Century" w:hAnsi="Century" w:cs="Miriam" w:hint="eastAsia"/>
          <w:b/>
          <w:spacing w:val="0"/>
          <w:szCs w:val="24"/>
          <w:rtl/>
        </w:rPr>
        <w:t>שם</w:t>
      </w:r>
      <w:r w:rsidRPr="00F32756">
        <w:rPr>
          <w:rFonts w:ascii="Century" w:hAnsi="Century" w:cs="Miriam"/>
          <w:b/>
          <w:spacing w:val="0"/>
          <w:szCs w:val="24"/>
          <w:rtl/>
        </w:rPr>
        <w:t xml:space="preserve"> </w:t>
      </w:r>
      <w:r w:rsidRPr="00F32756">
        <w:rPr>
          <w:rFonts w:ascii="Century" w:hAnsi="Century" w:cs="Miriam" w:hint="eastAsia"/>
          <w:b/>
          <w:spacing w:val="0"/>
          <w:szCs w:val="24"/>
          <w:rtl/>
        </w:rPr>
        <w:t>הרוכש</w:t>
      </w:r>
      <w:r w:rsidRPr="00F32756">
        <w:rPr>
          <w:rFonts w:ascii="Century" w:hAnsi="Century" w:cs="Miriam"/>
          <w:b/>
          <w:spacing w:val="0"/>
          <w:szCs w:val="24"/>
          <w:rtl/>
        </w:rPr>
        <w:t xml:space="preserve">. </w:t>
      </w:r>
      <w:r w:rsidRPr="00F32756">
        <w:rPr>
          <w:rFonts w:ascii="Century" w:hAnsi="Century" w:cs="Miriam" w:hint="eastAsia"/>
          <w:b/>
          <w:spacing w:val="0"/>
          <w:szCs w:val="24"/>
          <w:rtl/>
        </w:rPr>
        <w:t>הרישום</w:t>
      </w:r>
      <w:r w:rsidRPr="00F32756">
        <w:rPr>
          <w:rFonts w:ascii="Century" w:hAnsi="Century" w:cs="Miriam"/>
          <w:b/>
          <w:spacing w:val="0"/>
          <w:szCs w:val="24"/>
          <w:rtl/>
        </w:rPr>
        <w:t xml:space="preserve"> </w:t>
      </w:r>
      <w:r w:rsidRPr="00F32756">
        <w:rPr>
          <w:rFonts w:ascii="Century" w:hAnsi="Century" w:cs="Miriam" w:hint="eastAsia"/>
          <w:b/>
          <w:spacing w:val="0"/>
          <w:szCs w:val="24"/>
          <w:rtl/>
        </w:rPr>
        <w:t>במרשם</w:t>
      </w:r>
      <w:r w:rsidRPr="00F32756">
        <w:rPr>
          <w:rFonts w:ascii="Century" w:hAnsi="Century" w:cs="Miriam"/>
          <w:b/>
          <w:spacing w:val="0"/>
          <w:szCs w:val="24"/>
          <w:rtl/>
        </w:rPr>
        <w:t xml:space="preserve"> </w:t>
      </w:r>
      <w:r w:rsidRPr="00F32756">
        <w:rPr>
          <w:rFonts w:ascii="Century" w:hAnsi="Century" w:cs="Miriam" w:hint="eastAsia"/>
          <w:b/>
          <w:spacing w:val="0"/>
          <w:szCs w:val="24"/>
          <w:rtl/>
        </w:rPr>
        <w:t>המקרקעין</w:t>
      </w:r>
      <w:r w:rsidRPr="00F32756">
        <w:rPr>
          <w:rFonts w:ascii="Century" w:hAnsi="Century" w:cs="Miriam"/>
          <w:b/>
          <w:spacing w:val="0"/>
          <w:szCs w:val="24"/>
          <w:rtl/>
        </w:rPr>
        <w:t xml:space="preserve"> </w:t>
      </w:r>
      <w:r w:rsidRPr="00F32756">
        <w:rPr>
          <w:rFonts w:ascii="Century" w:hAnsi="Century" w:cs="Miriam" w:hint="eastAsia"/>
          <w:b/>
          <w:spacing w:val="0"/>
          <w:szCs w:val="24"/>
          <w:rtl/>
        </w:rPr>
        <w:t>הוא</w:t>
      </w:r>
      <w:r w:rsidRPr="00F32756">
        <w:rPr>
          <w:rFonts w:ascii="Century" w:hAnsi="Century" w:cs="Miriam"/>
          <w:b/>
          <w:spacing w:val="0"/>
          <w:szCs w:val="24"/>
          <w:rtl/>
        </w:rPr>
        <w:t xml:space="preserve"> </w:t>
      </w:r>
      <w:r w:rsidRPr="00F32756">
        <w:rPr>
          <w:rFonts w:ascii="Century" w:hAnsi="Century" w:cs="Miriam" w:hint="eastAsia"/>
          <w:b/>
          <w:spacing w:val="0"/>
          <w:szCs w:val="24"/>
          <w:rtl/>
        </w:rPr>
        <w:t>הוא</w:t>
      </w:r>
      <w:r w:rsidRPr="00F32756">
        <w:rPr>
          <w:rFonts w:ascii="Century" w:hAnsi="Century" w:cs="Miriam"/>
          <w:b/>
          <w:spacing w:val="0"/>
          <w:szCs w:val="24"/>
          <w:rtl/>
        </w:rPr>
        <w:t xml:space="preserve"> </w:t>
      </w:r>
      <w:r w:rsidRPr="00F32756">
        <w:rPr>
          <w:rFonts w:ascii="Century" w:hAnsi="Century" w:cs="Miriam" w:hint="eastAsia"/>
          <w:b/>
          <w:spacing w:val="0"/>
          <w:szCs w:val="24"/>
          <w:rtl/>
        </w:rPr>
        <w:t>מעשה</w:t>
      </w:r>
      <w:r w:rsidRPr="00F32756">
        <w:rPr>
          <w:rFonts w:ascii="Century" w:hAnsi="Century" w:cs="Miriam"/>
          <w:b/>
          <w:spacing w:val="0"/>
          <w:szCs w:val="24"/>
          <w:rtl/>
        </w:rPr>
        <w:t xml:space="preserve"> </w:t>
      </w:r>
      <w:r w:rsidRPr="00F32756">
        <w:rPr>
          <w:rFonts w:ascii="Century" w:hAnsi="Century" w:cs="Miriam" w:hint="eastAsia"/>
          <w:b/>
          <w:spacing w:val="0"/>
          <w:szCs w:val="24"/>
          <w:rtl/>
        </w:rPr>
        <w:t>הקניין</w:t>
      </w:r>
      <w:r w:rsidRPr="00F32756">
        <w:rPr>
          <w:rFonts w:ascii="Century" w:hAnsi="Century" w:cs="Miriam"/>
          <w:b/>
          <w:spacing w:val="0"/>
          <w:szCs w:val="24"/>
          <w:rtl/>
        </w:rPr>
        <w:t xml:space="preserve">, </w:t>
      </w:r>
      <w:r w:rsidRPr="00F32756">
        <w:rPr>
          <w:rFonts w:ascii="Century" w:hAnsi="Century" w:cs="Miriam" w:hint="eastAsia"/>
          <w:b/>
          <w:spacing w:val="0"/>
          <w:szCs w:val="24"/>
          <w:rtl/>
        </w:rPr>
        <w:t>ורק</w:t>
      </w:r>
      <w:r w:rsidRPr="00F32756">
        <w:rPr>
          <w:rFonts w:ascii="Century" w:hAnsi="Century" w:cs="Miriam"/>
          <w:b/>
          <w:spacing w:val="0"/>
          <w:szCs w:val="24"/>
          <w:rtl/>
        </w:rPr>
        <w:t xml:space="preserve"> </w:t>
      </w:r>
      <w:r w:rsidRPr="00F32756">
        <w:rPr>
          <w:rFonts w:ascii="Century" w:hAnsi="Century" w:cs="Miriam" w:hint="eastAsia"/>
          <w:b/>
          <w:spacing w:val="0"/>
          <w:szCs w:val="24"/>
          <w:rtl/>
        </w:rPr>
        <w:t>עם</w:t>
      </w:r>
      <w:r w:rsidRPr="00F32756">
        <w:rPr>
          <w:rFonts w:ascii="Century" w:hAnsi="Century" w:cs="Miriam"/>
          <w:b/>
          <w:spacing w:val="0"/>
          <w:szCs w:val="24"/>
          <w:rtl/>
        </w:rPr>
        <w:t xml:space="preserve"> </w:t>
      </w:r>
      <w:r w:rsidRPr="00F32756">
        <w:rPr>
          <w:rFonts w:ascii="Century" w:hAnsi="Century" w:cs="Miriam" w:hint="eastAsia"/>
          <w:b/>
          <w:spacing w:val="0"/>
          <w:szCs w:val="24"/>
          <w:rtl/>
        </w:rPr>
        <w:t>מעשה</w:t>
      </w:r>
      <w:r w:rsidRPr="00F32756">
        <w:rPr>
          <w:rFonts w:ascii="Century" w:hAnsi="Century" w:cs="Miriam"/>
          <w:b/>
          <w:spacing w:val="0"/>
          <w:szCs w:val="24"/>
          <w:rtl/>
        </w:rPr>
        <w:t xml:space="preserve"> </w:t>
      </w:r>
      <w:r w:rsidRPr="00F32756">
        <w:rPr>
          <w:rFonts w:ascii="Century" w:hAnsi="Century" w:cs="Miriam" w:hint="eastAsia"/>
          <w:b/>
          <w:spacing w:val="0"/>
          <w:szCs w:val="24"/>
          <w:rtl/>
        </w:rPr>
        <w:t>הקניין</w:t>
      </w:r>
      <w:r w:rsidRPr="00F32756">
        <w:rPr>
          <w:rFonts w:ascii="Century" w:hAnsi="Century" w:cs="Miriam"/>
          <w:b/>
          <w:spacing w:val="0"/>
          <w:szCs w:val="24"/>
          <w:rtl/>
        </w:rPr>
        <w:t xml:space="preserve"> </w:t>
      </w:r>
      <w:r w:rsidRPr="00F32756">
        <w:rPr>
          <w:rFonts w:ascii="Century" w:hAnsi="Century" w:cs="Miriam" w:hint="eastAsia"/>
          <w:b/>
          <w:spacing w:val="0"/>
          <w:szCs w:val="24"/>
          <w:rtl/>
        </w:rPr>
        <w:t>נרכשת</w:t>
      </w:r>
      <w:r w:rsidRPr="00F32756">
        <w:rPr>
          <w:rFonts w:ascii="Century" w:hAnsi="Century" w:cs="Miriam"/>
          <w:b/>
          <w:spacing w:val="0"/>
          <w:szCs w:val="24"/>
          <w:rtl/>
        </w:rPr>
        <w:t xml:space="preserve"> </w:t>
      </w:r>
      <w:r w:rsidRPr="00F32756">
        <w:rPr>
          <w:rFonts w:ascii="Century" w:hAnsi="Century" w:cs="Miriam" w:hint="eastAsia"/>
          <w:b/>
          <w:spacing w:val="0"/>
          <w:szCs w:val="24"/>
          <w:rtl/>
        </w:rPr>
        <w:t>הזכות</w:t>
      </w:r>
      <w:r>
        <w:rPr>
          <w:rFonts w:ascii="Century" w:hAnsi="Century" w:cs="Miriam" w:hint="cs"/>
          <w:b/>
          <w:spacing w:val="0"/>
          <w:szCs w:val="24"/>
          <w:rtl/>
        </w:rPr>
        <w:t>"</w:t>
      </w:r>
      <w:r w:rsidRPr="00F0573D">
        <w:rPr>
          <w:rFonts w:ascii="Century" w:hAnsi="Century" w:cs="Miriam"/>
          <w:b/>
          <w:spacing w:val="0"/>
          <w:szCs w:val="24"/>
          <w:rtl/>
        </w:rPr>
        <w:t xml:space="preserve"> </w:t>
      </w:r>
      <w:r w:rsidRPr="00F32756">
        <w:rPr>
          <w:rFonts w:ascii="Century" w:hAnsi="Century" w:hint="cs"/>
          <w:rtl/>
        </w:rPr>
        <w:t>(</w:t>
      </w:r>
      <w:r>
        <w:rPr>
          <w:rFonts w:ascii="Century" w:hAnsi="Century" w:hint="cs"/>
          <w:rtl/>
        </w:rPr>
        <w:t>שם</w:t>
      </w:r>
      <w:r w:rsidRPr="00F32756">
        <w:rPr>
          <w:rFonts w:ascii="Century" w:hAnsi="Century" w:hint="cs"/>
          <w:rtl/>
        </w:rPr>
        <w:t>,</w:t>
      </w:r>
      <w:r>
        <w:rPr>
          <w:rFonts w:ascii="Century" w:hAnsi="Century" w:hint="cs"/>
          <w:rtl/>
        </w:rPr>
        <w:t xml:space="preserve"> עמ'</w:t>
      </w:r>
      <w:r w:rsidRPr="00F32756">
        <w:rPr>
          <w:rFonts w:ascii="Century" w:hAnsi="Century" w:hint="cs"/>
          <w:rtl/>
        </w:rPr>
        <w:t xml:space="preserve"> 87</w:t>
      </w:r>
      <w:r>
        <w:rPr>
          <w:rFonts w:ascii="Century" w:hAnsi="Century" w:hint="cs"/>
          <w:rtl/>
        </w:rPr>
        <w:t>2</w:t>
      </w:r>
      <w:r w:rsidRPr="00F32756">
        <w:rPr>
          <w:rFonts w:ascii="Century" w:hAnsi="Century" w:hint="cs"/>
          <w:rtl/>
        </w:rPr>
        <w:t>)</w:t>
      </w:r>
      <w:r>
        <w:rPr>
          <w:rFonts w:ascii="Century" w:hAnsi="Century" w:hint="cs"/>
          <w:rtl/>
        </w:rPr>
        <w:t xml:space="preserve">. </w:t>
      </w:r>
    </w:p>
    <w:p w:rsidR="00295623" w:rsidRPr="00F32756" w:rsidRDefault="00295623" w:rsidP="00295623">
      <w:pPr>
        <w:pStyle w:val="Ruller41"/>
        <w:tabs>
          <w:tab w:val="left" w:pos="90"/>
        </w:tabs>
      </w:pPr>
      <w:r>
        <w:rPr>
          <w:rtl/>
        </w:rPr>
        <w:tab/>
      </w:r>
    </w:p>
    <w:p w:rsidR="00295623" w:rsidRDefault="00295623" w:rsidP="00295623">
      <w:pPr>
        <w:pStyle w:val="Ruller41"/>
      </w:pPr>
      <w:r>
        <w:rPr>
          <w:rFonts w:hint="cs"/>
          <w:rtl/>
        </w:rPr>
        <w:t>40.</w:t>
      </w:r>
      <w:r>
        <w:rPr>
          <w:rFonts w:hint="cs"/>
          <w:rtl/>
        </w:rPr>
        <w:tab/>
        <w:t xml:space="preserve">האם יש להחיל עיקרון זה על ההסדר המעוגן בסעיף 5? לדעתי, התשובה לכך היא בשלילה. עיון מעמיק בסעיף 5 הביאני לכלל מסקנה, כי אין מקום לקרוא לתוכו תנאי שכזה, כי העסקה תשתכלל רק באמצעות רישום במרשם המקרקעין. כמה טעמים בדבר. תחילה, ברובד </w:t>
      </w:r>
      <w:r w:rsidRPr="009702DE">
        <w:rPr>
          <w:rFonts w:ascii="Century" w:hAnsi="Century" w:cs="Miriam" w:hint="cs"/>
          <w:b/>
          <w:spacing w:val="0"/>
          <w:szCs w:val="24"/>
          <w:rtl/>
        </w:rPr>
        <w:t>הלשוני</w:t>
      </w:r>
      <w:r>
        <w:rPr>
          <w:rFonts w:hint="cs"/>
          <w:rtl/>
        </w:rPr>
        <w:t xml:space="preserve">, אין הכרח לקבוע כי סעיף 5 כולל דרישה שכזו. הפרשנות שאומצה בעניין </w:t>
      </w:r>
      <w:r w:rsidRPr="00A33400">
        <w:rPr>
          <w:rFonts w:ascii="Century" w:hAnsi="Century" w:cs="Miriam" w:hint="cs"/>
          <w:b/>
          <w:spacing w:val="0"/>
          <w:szCs w:val="24"/>
          <w:rtl/>
        </w:rPr>
        <w:t>הרטפלד</w:t>
      </w:r>
      <w:r>
        <w:rPr>
          <w:rFonts w:hint="cs"/>
          <w:rtl/>
        </w:rPr>
        <w:t xml:space="preserve">, בדעת רוב, נסמכה על התיבות </w:t>
      </w:r>
      <w:r w:rsidRPr="00A33400">
        <w:rPr>
          <w:rFonts w:ascii="Century" w:hAnsi="Century" w:cs="Miriam" w:hint="cs"/>
          <w:b/>
          <w:spacing w:val="0"/>
          <w:szCs w:val="24"/>
          <w:rtl/>
        </w:rPr>
        <w:t>"מי שרכש זכות</w:t>
      </w:r>
      <w:r>
        <w:rPr>
          <w:rFonts w:ascii="Century" w:hAnsi="Century" w:cs="Miriam" w:hint="cs"/>
          <w:b/>
          <w:spacing w:val="0"/>
          <w:szCs w:val="24"/>
          <w:rtl/>
        </w:rPr>
        <w:t xml:space="preserve"> במקרקעין</w:t>
      </w:r>
      <w:r w:rsidRPr="00A33400">
        <w:rPr>
          <w:rFonts w:ascii="Century" w:hAnsi="Century" w:cs="Miriam" w:hint="cs"/>
          <w:b/>
          <w:spacing w:val="0"/>
          <w:szCs w:val="24"/>
          <w:rtl/>
        </w:rPr>
        <w:t>"</w:t>
      </w:r>
      <w:r>
        <w:rPr>
          <w:rFonts w:hint="cs"/>
          <w:rtl/>
        </w:rPr>
        <w:t>, המופיעות בסעיף 10 לחוק המקרקעין. זאת, בהתאם לפרשנות המקובלת בפסיקה, ביחס לביטוי 'זכות במקרקעין', המבטא זכות 'חפצית' דווקא (</w:t>
      </w:r>
      <w:r w:rsidRPr="0037214A">
        <w:rPr>
          <w:rFonts w:ascii="Garamond" w:hAnsi="Garamond"/>
          <w:sz w:val="24"/>
          <w:szCs w:val="24"/>
        </w:rPr>
        <w:t>in rem</w:t>
      </w:r>
      <w:r>
        <w:rPr>
          <w:rFonts w:hint="cs"/>
          <w:rtl/>
        </w:rPr>
        <w:t>), להבדיל מזכות אובליגטורית (</w:t>
      </w:r>
      <w:r w:rsidRPr="0037214A">
        <w:rPr>
          <w:rFonts w:ascii="Garamond" w:hAnsi="Garamond"/>
          <w:sz w:val="24"/>
          <w:szCs w:val="24"/>
        </w:rPr>
        <w:t>in personam</w:t>
      </w:r>
      <w:r>
        <w:rPr>
          <w:rFonts w:hint="cs"/>
          <w:rtl/>
        </w:rPr>
        <w:t xml:space="preserve">) (ראו: עניין </w:t>
      </w:r>
      <w:r w:rsidRPr="00D831BE">
        <w:rPr>
          <w:rFonts w:ascii="Century" w:hAnsi="Century" w:cs="Miriam" w:hint="cs"/>
          <w:b/>
          <w:spacing w:val="0"/>
          <w:szCs w:val="24"/>
          <w:rtl/>
        </w:rPr>
        <w:t>הרטפלד</w:t>
      </w:r>
      <w:r>
        <w:rPr>
          <w:rFonts w:hint="cs"/>
          <w:rtl/>
        </w:rPr>
        <w:t xml:space="preserve">, עמ' 863; כן ראו: ע"א 513/82 </w:t>
      </w:r>
      <w:r w:rsidRPr="00D831BE">
        <w:rPr>
          <w:rFonts w:ascii="Century" w:hAnsi="Century" w:cs="Miriam" w:hint="cs"/>
          <w:b/>
          <w:spacing w:val="0"/>
          <w:szCs w:val="24"/>
          <w:rtl/>
        </w:rPr>
        <w:t>רייזמן נ' וושצ'ין</w:t>
      </w:r>
      <w:r>
        <w:rPr>
          <w:rFonts w:hint="cs"/>
          <w:rtl/>
        </w:rPr>
        <w:t xml:space="preserve">, 813, 824 (1983); אעיר, כי בעניין </w:t>
      </w:r>
      <w:r w:rsidRPr="00D831BE">
        <w:rPr>
          <w:rFonts w:ascii="Century" w:hAnsi="Century" w:cs="Miriam" w:hint="cs"/>
          <w:b/>
          <w:spacing w:val="0"/>
          <w:szCs w:val="24"/>
          <w:rtl/>
        </w:rPr>
        <w:t>הרטפלד</w:t>
      </w:r>
      <w:r>
        <w:rPr>
          <w:rFonts w:hint="cs"/>
          <w:rtl/>
        </w:rPr>
        <w:t xml:space="preserve"> אימץ בית המשפט את הפרשנות האמורה, גם ביחס לסעיף 73 לחוק הירושה, הנוקט אף הוא לשון דומה: </w:t>
      </w:r>
      <w:r w:rsidRPr="00D831BE">
        <w:rPr>
          <w:rFonts w:ascii="Century" w:hAnsi="Century" w:cs="Miriam" w:hint="cs"/>
          <w:b/>
          <w:spacing w:val="0"/>
          <w:szCs w:val="24"/>
          <w:rtl/>
        </w:rPr>
        <w:t>"מי שרכש זכות"</w:t>
      </w:r>
      <w:r>
        <w:rPr>
          <w:rFonts w:hint="cs"/>
          <w:rtl/>
        </w:rPr>
        <w:t xml:space="preserve">; שם, עמ' 865-864). מכל מקום, תיבות אלה אינן קיימות בסעיף 5, המתייחס ל'עסקה' בלבד. לא מן הנמנע, כי המונח 'עסקה' אינו כולל בהכרח יסוד קנייני, ותחת כנפיו יחסו גם התחייבויות אובליגטוריות להקניית זכות במקרקעין (לעניין זה, ראו הגדרת המונח 'עסקה' בסעיף 1 לצו בדבר עסקאות במקרקעין (יהודה ושומרון) (מס' 25), התשכ"ז-1967, הכוללת מגוון רחב של עסקאות, לרבות עסקאות בעלות אופי אובליגטורי: </w:t>
      </w:r>
      <w:r w:rsidRPr="00A33400">
        <w:rPr>
          <w:rFonts w:ascii="Century" w:hAnsi="Century" w:cs="Miriam" w:hint="cs"/>
          <w:b/>
          <w:spacing w:val="0"/>
          <w:szCs w:val="24"/>
          <w:rtl/>
        </w:rPr>
        <w:t xml:space="preserve">"פעולה כלכלית, או אחרת, במזומנים או בכל דרך אחרת, בתמורה או שלא בתמורה, </w:t>
      </w:r>
      <w:r w:rsidRPr="00A33400">
        <w:rPr>
          <w:rFonts w:ascii="Century" w:hAnsi="Century" w:cs="Miriam" w:hint="cs"/>
          <w:b/>
          <w:spacing w:val="0"/>
          <w:szCs w:val="24"/>
          <w:u w:val="single"/>
          <w:rtl/>
        </w:rPr>
        <w:t>לרבות הסכם בדבר עשיית עסקה</w:t>
      </w:r>
      <w:r w:rsidRPr="00A33400">
        <w:rPr>
          <w:rFonts w:ascii="Century" w:hAnsi="Century" w:cs="Miriam" w:hint="cs"/>
          <w:b/>
          <w:spacing w:val="0"/>
          <w:szCs w:val="24"/>
          <w:rtl/>
        </w:rPr>
        <w:t xml:space="preserve"> ועסקת שכירות בבתי עסק ובבתי מגורים בתחום העיריות או המועצות המקומיות"</w:t>
      </w:r>
      <w:r>
        <w:rPr>
          <w:rFonts w:hint="cs"/>
          <w:rtl/>
        </w:rPr>
        <w:t xml:space="preserve"> (ההדגשה הוּספה </w:t>
      </w:r>
      <w:r>
        <w:rPr>
          <w:rtl/>
        </w:rPr>
        <w:t>–</w:t>
      </w:r>
      <w:r>
        <w:rPr>
          <w:rFonts w:hint="cs"/>
          <w:rtl/>
        </w:rPr>
        <w:t xml:space="preserve"> נ' ס'); וראו והשוו: </w:t>
      </w:r>
      <w:r w:rsidRPr="006A1CE5">
        <w:rPr>
          <w:rFonts w:ascii="Century" w:hAnsi="Century" w:cs="Miriam" w:hint="cs"/>
          <w:b/>
          <w:spacing w:val="0"/>
          <w:szCs w:val="24"/>
          <w:rtl/>
        </w:rPr>
        <w:t xml:space="preserve">דויטש </w:t>
      </w:r>
      <w:r w:rsidRPr="006A1CE5">
        <w:rPr>
          <w:rFonts w:ascii="Century" w:hAnsi="Century"/>
          <w:rtl/>
        </w:rPr>
        <w:t>–</w:t>
      </w:r>
      <w:r w:rsidRPr="006A1CE5">
        <w:rPr>
          <w:rFonts w:ascii="Century" w:hAnsi="Century" w:cs="Miriam" w:hint="cs"/>
          <w:b/>
          <w:spacing w:val="0"/>
          <w:szCs w:val="24"/>
          <w:rtl/>
        </w:rPr>
        <w:t xml:space="preserve"> קניין כתווית</w:t>
      </w:r>
      <w:r>
        <w:rPr>
          <w:rFonts w:hint="cs"/>
          <w:rtl/>
        </w:rPr>
        <w:t xml:space="preserve">, עמ' 307; </w:t>
      </w:r>
      <w:r w:rsidRPr="00F32309">
        <w:rPr>
          <w:rFonts w:ascii="Century" w:hAnsi="Century" w:cs="Miriam" w:hint="eastAsia"/>
          <w:b/>
          <w:spacing w:val="0"/>
          <w:szCs w:val="24"/>
          <w:rtl/>
        </w:rPr>
        <w:t>דויטש</w:t>
      </w:r>
      <w:r w:rsidRPr="00F32309">
        <w:rPr>
          <w:rFonts w:ascii="Century" w:hAnsi="Century" w:cs="Miriam"/>
          <w:b/>
          <w:spacing w:val="0"/>
          <w:szCs w:val="24"/>
          <w:rtl/>
        </w:rPr>
        <w:t xml:space="preserve"> </w:t>
      </w:r>
      <w:r w:rsidRPr="00F32309">
        <w:rPr>
          <w:rFonts w:ascii="Century" w:hAnsi="Century"/>
          <w:rtl/>
        </w:rPr>
        <w:t>–</w:t>
      </w:r>
      <w:r w:rsidRPr="00F32309">
        <w:rPr>
          <w:rFonts w:ascii="Century" w:hAnsi="Century" w:cs="Miriam"/>
          <w:b/>
          <w:spacing w:val="0"/>
          <w:szCs w:val="24"/>
          <w:rtl/>
        </w:rPr>
        <w:t xml:space="preserve"> </w:t>
      </w:r>
      <w:r w:rsidRPr="00F32309">
        <w:rPr>
          <w:rFonts w:ascii="Century" w:hAnsi="Century" w:cs="Miriam" w:hint="eastAsia"/>
          <w:b/>
          <w:spacing w:val="0"/>
          <w:szCs w:val="24"/>
          <w:rtl/>
        </w:rPr>
        <w:t>כרך</w:t>
      </w:r>
      <w:r w:rsidRPr="00F32309">
        <w:rPr>
          <w:rFonts w:ascii="Century" w:hAnsi="Century" w:cs="Miriam"/>
          <w:b/>
          <w:spacing w:val="0"/>
          <w:szCs w:val="24"/>
          <w:rtl/>
        </w:rPr>
        <w:t xml:space="preserve"> </w:t>
      </w:r>
      <w:r w:rsidRPr="00F32309">
        <w:rPr>
          <w:rFonts w:ascii="Century" w:hAnsi="Century" w:cs="Miriam" w:hint="eastAsia"/>
          <w:b/>
          <w:spacing w:val="0"/>
          <w:szCs w:val="24"/>
          <w:rtl/>
        </w:rPr>
        <w:t>א</w:t>
      </w:r>
      <w:r>
        <w:rPr>
          <w:rFonts w:hint="cs"/>
          <w:rtl/>
        </w:rPr>
        <w:t xml:space="preserve">, בעמ' 505). </w:t>
      </w:r>
    </w:p>
    <w:p w:rsidR="00295623" w:rsidRDefault="00295623" w:rsidP="00295623">
      <w:pPr>
        <w:pStyle w:val="Ruller4"/>
        <w:numPr>
          <w:ilvl w:val="0"/>
          <w:numId w:val="0"/>
        </w:numPr>
        <w:tabs>
          <w:tab w:val="left" w:pos="90"/>
        </w:tabs>
        <w:spacing w:line="240" w:lineRule="auto"/>
      </w:pPr>
    </w:p>
    <w:p w:rsidR="00295623" w:rsidRDefault="00295623" w:rsidP="00295623">
      <w:pPr>
        <w:pStyle w:val="Ruller41"/>
        <w:rPr>
          <w:rtl/>
        </w:rPr>
      </w:pPr>
      <w:r>
        <w:rPr>
          <w:rFonts w:hint="cs"/>
          <w:rtl/>
        </w:rPr>
        <w:t>41.</w:t>
      </w:r>
      <w:r>
        <w:rPr>
          <w:rFonts w:hint="cs"/>
          <w:rtl/>
        </w:rPr>
        <w:tab/>
        <w:t xml:space="preserve">מעבר לכך </w:t>
      </w:r>
      <w:r>
        <w:rPr>
          <w:rtl/>
        </w:rPr>
        <w:t>–</w:t>
      </w:r>
      <w:r>
        <w:rPr>
          <w:rFonts w:hint="cs"/>
          <w:rtl/>
        </w:rPr>
        <w:t xml:space="preserve"> וזה עיקר, מסקנתי האמורה נגזרת מן התכלית שבגינה הותקנה תקנת השוק שבסעיף 5, תכלית שונה מזו העומדת ביסוד תקנת השוק שבסעיף 10 לחוק המקרקעין. על תכליות שונות אלה עמדתי לעיל. כאמור, תכליתו של סעיף 10 לחוק המקרקעין היא ביצור מעמדו של המרשם, והגנה על המסתמכים עליו. בהינתן תכלית זו, מובן מדוע </w:t>
      </w:r>
      <w:r w:rsidRPr="001613E0">
        <w:rPr>
          <w:rFonts w:ascii="Century" w:hAnsi="Century" w:cs="Miriam" w:hint="cs"/>
          <w:b/>
          <w:spacing w:val="0"/>
          <w:szCs w:val="24"/>
          <w:rtl/>
        </w:rPr>
        <w:t>"מגמה זו לחיזוק המרשם ולביצור מעמדם של פנקסי המקרקעין, העומדת ביסוד סעיף 10, מחייבת כי יריעתו תתפרס רק על זכויות שנרשמו. פריסת ההגנה שבסעיף זה גם על זכויות אובליגטוריות שאינן רשומות במרשם, חותרת תחת מהימנות המרשם"</w:t>
      </w:r>
      <w:r>
        <w:rPr>
          <w:rFonts w:hint="cs"/>
          <w:rtl/>
        </w:rPr>
        <w:t xml:space="preserve"> (עניין </w:t>
      </w:r>
      <w:r w:rsidRPr="00243E90">
        <w:rPr>
          <w:rFonts w:ascii="Century" w:hAnsi="Century" w:cs="Miriam" w:hint="cs"/>
          <w:b/>
          <w:spacing w:val="0"/>
          <w:szCs w:val="24"/>
          <w:rtl/>
        </w:rPr>
        <w:t>הרטפלד</w:t>
      </w:r>
      <w:r>
        <w:rPr>
          <w:rFonts w:hint="cs"/>
          <w:rtl/>
        </w:rPr>
        <w:t xml:space="preserve">, עמ' 863). לעומת זאת, תכליתו של סעיף 5 איננה להגן על  אמינות המרשם באיו"ש, שממילא אינו חשוף לעין הציבור. ההיפך הוא הנכון: </w:t>
      </w:r>
      <w:r w:rsidRPr="00243E90">
        <w:rPr>
          <w:rFonts w:ascii="Century" w:hAnsi="Century" w:cs="Miriam" w:hint="cs"/>
          <w:b/>
          <w:spacing w:val="0"/>
          <w:szCs w:val="24"/>
          <w:rtl/>
        </w:rPr>
        <w:t xml:space="preserve">"דווקא באזור בו ענייני רישום מקרקעין כל כך מורכבים ולוקים בחסר, יש צורך לאפשר ודאות כאשר צד ג' רוכש קרקע </w:t>
      </w:r>
      <w:r w:rsidRPr="00243E90">
        <w:rPr>
          <w:rFonts w:ascii="Century" w:hAnsi="Century" w:cs="Miriam" w:hint="cs"/>
          <w:b/>
          <w:spacing w:val="0"/>
          <w:szCs w:val="24"/>
          <w:rtl/>
        </w:rPr>
        <w:lastRenderedPageBreak/>
        <w:t>מהריבון"</w:t>
      </w:r>
      <w:r>
        <w:rPr>
          <w:rFonts w:hint="cs"/>
          <w:rtl/>
        </w:rPr>
        <w:t xml:space="preserve"> (ערר (איו"ש) 121/15 </w:t>
      </w:r>
      <w:r w:rsidRPr="00243E90">
        <w:rPr>
          <w:rFonts w:ascii="Century" w:hAnsi="Century" w:cs="Miriam" w:hint="cs"/>
          <w:b/>
          <w:spacing w:val="0"/>
          <w:szCs w:val="24"/>
          <w:rtl/>
        </w:rPr>
        <w:t>צלאח נ' הממונה על הרכוש הממשלתי והנטוש באיו"ש</w:t>
      </w:r>
      <w:r>
        <w:rPr>
          <w:rFonts w:hint="cs"/>
          <w:rtl/>
        </w:rPr>
        <w:t xml:space="preserve">, פסקה 19 (28.2.2017) (להלן: </w:t>
      </w:r>
      <w:r w:rsidRPr="001F0163">
        <w:rPr>
          <w:rFonts w:ascii="Century" w:hAnsi="Century" w:cs="Miriam" w:hint="cs"/>
          <w:b/>
          <w:spacing w:val="0"/>
          <w:szCs w:val="24"/>
          <w:rtl/>
        </w:rPr>
        <w:t>עניין צלאח</w:t>
      </w:r>
      <w:r>
        <w:rPr>
          <w:rFonts w:hint="cs"/>
          <w:rtl/>
        </w:rPr>
        <w:t xml:space="preserve">); </w:t>
      </w:r>
      <w:r w:rsidRPr="00243E90">
        <w:rPr>
          <w:rFonts w:ascii="Century" w:hAnsi="Century" w:cs="Miriam" w:hint="cs"/>
          <w:b/>
          <w:spacing w:val="0"/>
          <w:szCs w:val="24"/>
          <w:rtl/>
        </w:rPr>
        <w:t>וינרוט</w:t>
      </w:r>
      <w:r>
        <w:rPr>
          <w:rFonts w:hint="cs"/>
          <w:rtl/>
        </w:rPr>
        <w:t>, עמ' 211). דומני, על רקע מאפייניו ה</w:t>
      </w:r>
      <w:r w:rsidRPr="004F4C3B">
        <w:rPr>
          <w:rFonts w:ascii="Century" w:hAnsi="Century" w:cs="Miriam" w:hint="cs"/>
          <w:b/>
          <w:spacing w:val="0"/>
          <w:szCs w:val="24"/>
          <w:rtl/>
        </w:rPr>
        <w:t>"לוקים בחסר"</w:t>
      </w:r>
      <w:r>
        <w:rPr>
          <w:rFonts w:hint="cs"/>
          <w:rtl/>
        </w:rPr>
        <w:t xml:space="preserve"> של מרשם המקרקעין באיו"ש, כי הכפפת סעיף 5 לרישום העסקה במרשם המקרקעין, תחטיא את מטרתו העיקרית. מסקנה זו, זוכה למשנה תוקף, משידענו כי רק כשליש מהמקרקעין באיו"ש עברו הליכי הסדר מקרקעין עד שנת 1967, ומִני אז הותלו הליכים אלה, על-פי תחיקת הביטחון החלה במקום (ראו: צו בדבר הסדר קרקעות ומים (יהודה ושומרון) (מס' 291), התשכ"ט-1968; </w:t>
      </w:r>
      <w:r w:rsidRPr="00243E90">
        <w:rPr>
          <w:rFonts w:ascii="Century" w:hAnsi="Century" w:cs="Miriam" w:hint="cs"/>
          <w:b/>
          <w:spacing w:val="0"/>
          <w:szCs w:val="24"/>
          <w:rtl/>
        </w:rPr>
        <w:t>דו"ח ועדת זנדברג</w:t>
      </w:r>
      <w:r>
        <w:rPr>
          <w:rFonts w:hint="cs"/>
          <w:rtl/>
        </w:rPr>
        <w:t xml:space="preserve">, עמ' 15). לשם ההשוואה: בשטחי ישראל, יותר מ-95% מהקרקעות עברו עד כה הליכי הסדר. </w:t>
      </w:r>
    </w:p>
    <w:p w:rsidR="00295623" w:rsidRPr="004F4C3B" w:rsidRDefault="00295623" w:rsidP="00295623">
      <w:pPr>
        <w:pStyle w:val="Ruller41"/>
        <w:tabs>
          <w:tab w:val="left" w:pos="90"/>
        </w:tabs>
        <w:spacing w:line="240" w:lineRule="auto"/>
      </w:pPr>
    </w:p>
    <w:p w:rsidR="00295623" w:rsidRDefault="00295623" w:rsidP="00295623">
      <w:pPr>
        <w:pStyle w:val="Ruller41"/>
        <w:rPr>
          <w:rtl/>
        </w:rPr>
      </w:pPr>
      <w:r>
        <w:rPr>
          <w:rFonts w:hint="cs"/>
          <w:rtl/>
        </w:rPr>
        <w:t>42.</w:t>
      </w:r>
      <w:r>
        <w:rPr>
          <w:rFonts w:hint="cs"/>
          <w:rtl/>
        </w:rPr>
        <w:tab/>
        <w:t xml:space="preserve">מסקנה זו יציבה ונכונה, גם כאשר מדובר במקרקעין רשומים ומוסדרים באיו"ש. כאמור, גם ביחס למקרקעין אלה המרשם באיו"ש אינו פומבי, כך שהאפשרות להסתמך עליו אינה אלא חלקית בלבד, אם בכלל. לפיכך, התכלית שנועדה להגן על הסתמכות רוכש הזכות, על פעולות הממונה ויתר גורמי המדינה </w:t>
      </w:r>
      <w:r>
        <w:rPr>
          <w:rtl/>
        </w:rPr>
        <w:t>–</w:t>
      </w:r>
      <w:r>
        <w:rPr>
          <w:rFonts w:hint="cs"/>
          <w:rtl/>
        </w:rPr>
        <w:t xml:space="preserve"> נותרה עומדת על מכונה, גם כאשר מדובר במקרקעין רשומים ומוסדרים. הדברים מקבלים משנה תוקף, מקום שבו הממונה הִקצה קרקע שסבר כי נתפסה </w:t>
      </w:r>
      <w:r w:rsidRPr="00FC7F6A">
        <w:rPr>
          <w:rFonts w:ascii="Century" w:hAnsi="Century" w:cs="Miriam"/>
          <w:b/>
          <w:spacing w:val="0"/>
          <w:szCs w:val="24"/>
          <w:rtl/>
        </w:rPr>
        <w:t>בתפיסה צבאית</w:t>
      </w:r>
      <w:r>
        <w:rPr>
          <w:rFonts w:hint="cs"/>
          <w:rtl/>
        </w:rPr>
        <w:t xml:space="preserve">, אך לאחר מעשה התברר, כי יתכן שההקצאה נעשתה בטעות </w:t>
      </w:r>
      <w:r>
        <w:rPr>
          <w:rtl/>
        </w:rPr>
        <w:t>–</w:t>
      </w:r>
      <w:r>
        <w:rPr>
          <w:rFonts w:hint="cs"/>
          <w:rtl/>
        </w:rPr>
        <w:t xml:space="preserve"> כפי שלכאורה אירע בעניין שלפנינו. במצב דברים זה, ברי כי המתקשר עם הממונה לא בירר, ואף לא היה עליו לערוך בירור, לגבי אמיתות הרישום. ודוק, תפיסת הקרקע בתפיסה צבאית, כנהוג בעבר, נעשתה ללא בדיקת בעלויות, היא מעולם לא הוכתבה על-פי זכויות הקניין הרשומות, ושיקול הדעת היה מסור למ</w:t>
      </w:r>
      <w:r w:rsidRPr="005E3EDD">
        <w:rPr>
          <w:rFonts w:hint="cs"/>
          <w:rtl/>
        </w:rPr>
        <w:t>פקד הצבאי</w:t>
      </w:r>
      <w:r>
        <w:rPr>
          <w:rFonts w:hint="cs"/>
          <w:rtl/>
        </w:rPr>
        <w:t xml:space="preserve"> בלבד, בהתאם לצורך ה</w:t>
      </w:r>
      <w:r w:rsidRPr="005E3EDD">
        <w:rPr>
          <w:rFonts w:hint="cs"/>
          <w:rtl/>
        </w:rPr>
        <w:t>צבאי</w:t>
      </w:r>
      <w:r>
        <w:rPr>
          <w:rFonts w:hint="cs"/>
          <w:rtl/>
        </w:rPr>
        <w:t xml:space="preserve"> הדרוש, לפי ראייתו</w:t>
      </w:r>
      <w:r w:rsidRPr="005E3EDD">
        <w:rPr>
          <w:rFonts w:hint="cs"/>
          <w:rtl/>
        </w:rPr>
        <w:t xml:space="preserve"> (</w:t>
      </w:r>
      <w:r w:rsidRPr="005E3EDD">
        <w:rPr>
          <w:rFonts w:hint="eastAsia"/>
          <w:rtl/>
        </w:rPr>
        <w:t>בג</w:t>
      </w:r>
      <w:r w:rsidRPr="005E3EDD">
        <w:rPr>
          <w:rtl/>
        </w:rPr>
        <w:t>"</w:t>
      </w:r>
      <w:r w:rsidRPr="005E3EDD">
        <w:rPr>
          <w:rFonts w:hint="eastAsia"/>
          <w:rtl/>
        </w:rPr>
        <w:t>ץ</w:t>
      </w:r>
      <w:r w:rsidRPr="005E3EDD">
        <w:rPr>
          <w:rtl/>
        </w:rPr>
        <w:t xml:space="preserve"> 606/78 </w:t>
      </w:r>
      <w:r w:rsidRPr="005E3EDD">
        <w:rPr>
          <w:rFonts w:ascii="Century" w:hAnsi="Century" w:cs="Miriam" w:hint="eastAsia"/>
          <w:b/>
          <w:spacing w:val="0"/>
          <w:szCs w:val="24"/>
          <w:rtl/>
        </w:rPr>
        <w:t>איוב</w:t>
      </w:r>
      <w:r w:rsidRPr="005E3EDD">
        <w:rPr>
          <w:rFonts w:ascii="Century" w:hAnsi="Century" w:cs="Miriam"/>
          <w:b/>
          <w:spacing w:val="0"/>
          <w:szCs w:val="24"/>
          <w:rtl/>
        </w:rPr>
        <w:t xml:space="preserve"> </w:t>
      </w:r>
      <w:r w:rsidRPr="005E3EDD">
        <w:rPr>
          <w:rFonts w:ascii="Century" w:hAnsi="Century" w:cs="Miriam" w:hint="eastAsia"/>
          <w:b/>
          <w:spacing w:val="0"/>
          <w:szCs w:val="24"/>
          <w:rtl/>
        </w:rPr>
        <w:t>נ</w:t>
      </w:r>
      <w:r w:rsidRPr="005E3EDD">
        <w:rPr>
          <w:rFonts w:ascii="Century" w:hAnsi="Century" w:cs="Miriam"/>
          <w:b/>
          <w:spacing w:val="0"/>
          <w:szCs w:val="24"/>
          <w:rtl/>
        </w:rPr>
        <w:t xml:space="preserve">' </w:t>
      </w:r>
      <w:r w:rsidRPr="005E3EDD">
        <w:rPr>
          <w:rFonts w:ascii="Century" w:hAnsi="Century" w:cs="Miriam" w:hint="eastAsia"/>
          <w:b/>
          <w:spacing w:val="0"/>
          <w:szCs w:val="24"/>
          <w:rtl/>
        </w:rPr>
        <w:t>שר</w:t>
      </w:r>
      <w:r w:rsidRPr="005E3EDD">
        <w:rPr>
          <w:rFonts w:ascii="Century" w:hAnsi="Century" w:cs="Miriam"/>
          <w:b/>
          <w:spacing w:val="0"/>
          <w:szCs w:val="24"/>
          <w:rtl/>
        </w:rPr>
        <w:t xml:space="preserve"> </w:t>
      </w:r>
      <w:r w:rsidRPr="005E3EDD">
        <w:rPr>
          <w:rFonts w:ascii="Century" w:hAnsi="Century" w:cs="Miriam" w:hint="eastAsia"/>
          <w:b/>
          <w:spacing w:val="0"/>
          <w:szCs w:val="24"/>
          <w:rtl/>
        </w:rPr>
        <w:t>הביטחון</w:t>
      </w:r>
      <w:r w:rsidRPr="005E3EDD">
        <w:rPr>
          <w:rtl/>
        </w:rPr>
        <w:t xml:space="preserve">, </w:t>
      </w:r>
      <w:r w:rsidRPr="005E3EDD">
        <w:rPr>
          <w:rFonts w:hint="eastAsia"/>
          <w:rtl/>
        </w:rPr>
        <w:t>פ</w:t>
      </w:r>
      <w:r w:rsidRPr="005E3EDD">
        <w:rPr>
          <w:rtl/>
        </w:rPr>
        <w:t>"</w:t>
      </w:r>
      <w:r w:rsidRPr="005E3EDD">
        <w:rPr>
          <w:rFonts w:hint="eastAsia"/>
          <w:rtl/>
        </w:rPr>
        <w:t>ד</w:t>
      </w:r>
      <w:r w:rsidRPr="005E3EDD">
        <w:rPr>
          <w:rtl/>
        </w:rPr>
        <w:t xml:space="preserve"> </w:t>
      </w:r>
      <w:r w:rsidRPr="005E3EDD">
        <w:rPr>
          <w:rFonts w:hint="eastAsia"/>
          <w:rtl/>
        </w:rPr>
        <w:t>לג</w:t>
      </w:r>
      <w:r w:rsidRPr="005E3EDD">
        <w:rPr>
          <w:rtl/>
        </w:rPr>
        <w:t>(2) 113 (1979)</w:t>
      </w:r>
      <w:r>
        <w:rPr>
          <w:rFonts w:hint="cs"/>
          <w:rtl/>
        </w:rPr>
        <w:t xml:space="preserve"> (להלן: </w:t>
      </w:r>
      <w:r w:rsidRPr="00AD4860">
        <w:rPr>
          <w:rFonts w:ascii="Century" w:hAnsi="Century" w:cs="Miriam" w:hint="cs"/>
          <w:b/>
          <w:spacing w:val="0"/>
          <w:szCs w:val="24"/>
          <w:rtl/>
        </w:rPr>
        <w:t>עניין איוב</w:t>
      </w:r>
      <w:r>
        <w:rPr>
          <w:rFonts w:hint="cs"/>
          <w:rtl/>
        </w:rPr>
        <w:t>)</w:t>
      </w:r>
      <w:r w:rsidRPr="005E3EDD">
        <w:rPr>
          <w:rFonts w:hint="cs"/>
          <w:rtl/>
        </w:rPr>
        <w:t xml:space="preserve">; בג"ץ 258/79 </w:t>
      </w:r>
      <w:r w:rsidRPr="005E3EDD">
        <w:rPr>
          <w:rFonts w:ascii="Century" w:hAnsi="Century" w:cs="Miriam" w:hint="cs"/>
          <w:b/>
          <w:spacing w:val="0"/>
          <w:szCs w:val="24"/>
          <w:rtl/>
        </w:rPr>
        <w:t>עמירה נ' שר הביטחון</w:t>
      </w:r>
      <w:r w:rsidRPr="005E3EDD">
        <w:rPr>
          <w:rFonts w:hint="cs"/>
          <w:rtl/>
        </w:rPr>
        <w:t xml:space="preserve">, פ"ד לד(1) 90 (1979)). </w:t>
      </w:r>
      <w:r>
        <w:rPr>
          <w:rFonts w:hint="cs"/>
          <w:rtl/>
        </w:rPr>
        <w:t>לפיכך,</w:t>
      </w:r>
      <w:r w:rsidRPr="005E3EDD">
        <w:rPr>
          <w:rFonts w:hint="cs"/>
          <w:rtl/>
        </w:rPr>
        <w:t xml:space="preserve"> </w:t>
      </w:r>
      <w:r>
        <w:rPr>
          <w:rFonts w:hint="cs"/>
          <w:rtl/>
        </w:rPr>
        <w:t>כאשר בקרקע שנתפסה בתפיסה צבאית</w:t>
      </w:r>
      <w:r w:rsidRPr="00457F09">
        <w:rPr>
          <w:rFonts w:hint="cs"/>
          <w:rtl/>
        </w:rPr>
        <w:t xml:space="preserve"> </w:t>
      </w:r>
      <w:r>
        <w:rPr>
          <w:rFonts w:hint="cs"/>
          <w:rtl/>
        </w:rPr>
        <w:t xml:space="preserve">עסקינן, אין מקום לייחס חשיבות רבה לעיון במרשם טרם רכישת הזכות. על אחת כמה וכמה, שאין לקרוא לתוך סעיף 5 לצו, תנאי שלפיו רישום הזכות יהיה תנאי מקדים לתחולתו </w:t>
      </w:r>
      <w:r>
        <w:rPr>
          <w:rtl/>
        </w:rPr>
        <w:t>–</w:t>
      </w:r>
      <w:r>
        <w:rPr>
          <w:rFonts w:hint="cs"/>
          <w:rtl/>
        </w:rPr>
        <w:t xml:space="preserve"> שכן בקרקע הנתונה לתפיסה צבאית, זכות הבעלות כלל לא הועברה למפקד הצבאי, והבעלים המקורי נותר רשום במרשם המקרקעין. </w:t>
      </w:r>
    </w:p>
    <w:p w:rsidR="00295623" w:rsidRPr="00742010" w:rsidRDefault="00295623" w:rsidP="00295623">
      <w:pPr>
        <w:pStyle w:val="Ruller41"/>
        <w:tabs>
          <w:tab w:val="left" w:pos="90"/>
        </w:tabs>
        <w:spacing w:line="240" w:lineRule="auto"/>
      </w:pPr>
    </w:p>
    <w:p w:rsidR="00295623" w:rsidRDefault="00295623" w:rsidP="00295623">
      <w:pPr>
        <w:pStyle w:val="Ruller41"/>
        <w:rPr>
          <w:rtl/>
        </w:rPr>
      </w:pPr>
      <w:r>
        <w:rPr>
          <w:rFonts w:hint="cs"/>
          <w:rtl/>
        </w:rPr>
        <w:t>43.</w:t>
      </w:r>
      <w:r>
        <w:rPr>
          <w:rFonts w:hint="cs"/>
          <w:rtl/>
        </w:rPr>
        <w:tab/>
        <w:t xml:space="preserve">בהקשר זה יש להוסיף, כי נראה שגם סעיף 17(א) לחוק נכסי נפקדים אינו דורש את רישום העסקה, כתנאי לתחולתו. בפסיקתו הענפה של בית משפט זה, לגבי ישום סעיף 17 הנ"ל, כלל לא נדרש, ואף לא נבחן, אם מתקיים תנאי שכזה, בדבר סיום העסקה ברישום (ראו עמדתו של דויטש בעניין: </w:t>
      </w:r>
      <w:r w:rsidRPr="00F32309">
        <w:rPr>
          <w:rFonts w:ascii="Century" w:hAnsi="Century" w:cs="Miriam" w:hint="eastAsia"/>
          <w:b/>
          <w:spacing w:val="0"/>
          <w:szCs w:val="24"/>
          <w:rtl/>
        </w:rPr>
        <w:t>דויטש</w:t>
      </w:r>
      <w:r w:rsidRPr="00F32309">
        <w:rPr>
          <w:rFonts w:ascii="Century" w:hAnsi="Century" w:cs="Miriam"/>
          <w:b/>
          <w:spacing w:val="0"/>
          <w:szCs w:val="24"/>
          <w:rtl/>
        </w:rPr>
        <w:t xml:space="preserve"> </w:t>
      </w:r>
      <w:r w:rsidRPr="00F32309">
        <w:rPr>
          <w:rFonts w:ascii="Century" w:hAnsi="Century"/>
          <w:rtl/>
        </w:rPr>
        <w:t>–</w:t>
      </w:r>
      <w:r w:rsidRPr="00F32309">
        <w:rPr>
          <w:rFonts w:ascii="Century" w:hAnsi="Century" w:cs="Miriam"/>
          <w:b/>
          <w:spacing w:val="0"/>
          <w:szCs w:val="24"/>
          <w:rtl/>
        </w:rPr>
        <w:t xml:space="preserve"> </w:t>
      </w:r>
      <w:r w:rsidRPr="00F32309">
        <w:rPr>
          <w:rFonts w:ascii="Century" w:hAnsi="Century" w:cs="Miriam" w:hint="eastAsia"/>
          <w:b/>
          <w:spacing w:val="0"/>
          <w:szCs w:val="24"/>
          <w:rtl/>
        </w:rPr>
        <w:t>כרך</w:t>
      </w:r>
      <w:r w:rsidRPr="00F32309">
        <w:rPr>
          <w:rFonts w:ascii="Century" w:hAnsi="Century" w:cs="Miriam"/>
          <w:b/>
          <w:spacing w:val="0"/>
          <w:szCs w:val="24"/>
          <w:rtl/>
        </w:rPr>
        <w:t xml:space="preserve"> </w:t>
      </w:r>
      <w:r w:rsidRPr="00F32309">
        <w:rPr>
          <w:rFonts w:ascii="Century" w:hAnsi="Century" w:cs="Miriam" w:hint="eastAsia"/>
          <w:b/>
          <w:spacing w:val="0"/>
          <w:szCs w:val="24"/>
          <w:rtl/>
        </w:rPr>
        <w:t>ג</w:t>
      </w:r>
      <w:r w:rsidRPr="00F32309">
        <w:rPr>
          <w:rtl/>
        </w:rPr>
        <w:t xml:space="preserve">, </w:t>
      </w:r>
      <w:r w:rsidRPr="00F32309">
        <w:rPr>
          <w:rFonts w:hint="eastAsia"/>
          <w:rtl/>
        </w:rPr>
        <w:t>עמ</w:t>
      </w:r>
      <w:r w:rsidRPr="00F32309">
        <w:rPr>
          <w:rtl/>
        </w:rPr>
        <w:t xml:space="preserve">' 203-202; </w:t>
      </w:r>
      <w:r w:rsidRPr="00F32309">
        <w:rPr>
          <w:rFonts w:ascii="Century" w:hAnsi="Century" w:cs="Miriam" w:hint="eastAsia"/>
          <w:b/>
          <w:spacing w:val="0"/>
          <w:szCs w:val="24"/>
          <w:rtl/>
        </w:rPr>
        <w:t>דויטש</w:t>
      </w:r>
      <w:r w:rsidRPr="00F32309">
        <w:rPr>
          <w:rFonts w:ascii="Century" w:hAnsi="Century" w:cs="Miriam"/>
          <w:b/>
          <w:spacing w:val="0"/>
          <w:szCs w:val="24"/>
          <w:rtl/>
        </w:rPr>
        <w:t xml:space="preserve"> </w:t>
      </w:r>
      <w:r w:rsidRPr="00F32309">
        <w:rPr>
          <w:rFonts w:ascii="Century" w:hAnsi="Century"/>
          <w:rtl/>
        </w:rPr>
        <w:t>–</w:t>
      </w:r>
      <w:r w:rsidRPr="00F32309">
        <w:rPr>
          <w:rFonts w:ascii="Century" w:hAnsi="Century" w:cs="Miriam"/>
          <w:b/>
          <w:spacing w:val="0"/>
          <w:szCs w:val="24"/>
          <w:rtl/>
        </w:rPr>
        <w:t xml:space="preserve"> </w:t>
      </w:r>
      <w:r w:rsidRPr="00F32309">
        <w:rPr>
          <w:rFonts w:ascii="Century" w:hAnsi="Century" w:cs="Miriam" w:hint="eastAsia"/>
          <w:b/>
          <w:spacing w:val="0"/>
          <w:szCs w:val="24"/>
          <w:rtl/>
        </w:rPr>
        <w:t>קניין</w:t>
      </w:r>
      <w:r w:rsidRPr="00F32309">
        <w:rPr>
          <w:rFonts w:ascii="Century" w:hAnsi="Century" w:cs="Miriam"/>
          <w:b/>
          <w:spacing w:val="0"/>
          <w:szCs w:val="24"/>
          <w:rtl/>
        </w:rPr>
        <w:t xml:space="preserve"> </w:t>
      </w:r>
      <w:r w:rsidRPr="00F32309">
        <w:rPr>
          <w:rFonts w:ascii="Century" w:hAnsi="Century" w:cs="Miriam" w:hint="eastAsia"/>
          <w:b/>
          <w:spacing w:val="0"/>
          <w:szCs w:val="24"/>
          <w:rtl/>
        </w:rPr>
        <w:t>כתווית</w:t>
      </w:r>
      <w:r w:rsidRPr="00F32309">
        <w:rPr>
          <w:rtl/>
        </w:rPr>
        <w:t xml:space="preserve">, </w:t>
      </w:r>
      <w:r w:rsidRPr="00F32309">
        <w:rPr>
          <w:rFonts w:hint="eastAsia"/>
          <w:rtl/>
        </w:rPr>
        <w:t>עמ</w:t>
      </w:r>
      <w:r w:rsidRPr="00F32309">
        <w:rPr>
          <w:rtl/>
        </w:rPr>
        <w:t>' 307;</w:t>
      </w:r>
      <w:r>
        <w:rPr>
          <w:rFonts w:hint="cs"/>
          <w:rtl/>
        </w:rPr>
        <w:t xml:space="preserve"> והשוו: ה"פ (מחוזי חיפה) 226/96 </w:t>
      </w:r>
      <w:r w:rsidRPr="009B724B">
        <w:rPr>
          <w:rFonts w:ascii="Century" w:hAnsi="Century" w:cs="Miriam" w:hint="eastAsia"/>
          <w:b/>
          <w:spacing w:val="0"/>
          <w:szCs w:val="24"/>
          <w:rtl/>
        </w:rPr>
        <w:t>וולפרט</w:t>
      </w:r>
      <w:r w:rsidRPr="009B724B">
        <w:rPr>
          <w:rFonts w:ascii="Century" w:hAnsi="Century" w:cs="Miriam"/>
          <w:b/>
          <w:spacing w:val="0"/>
          <w:szCs w:val="24"/>
          <w:rtl/>
        </w:rPr>
        <w:t xml:space="preserve"> </w:t>
      </w:r>
      <w:r w:rsidRPr="009B724B">
        <w:rPr>
          <w:rFonts w:ascii="Century" w:hAnsi="Century" w:cs="Miriam" w:hint="eastAsia"/>
          <w:b/>
          <w:spacing w:val="0"/>
          <w:szCs w:val="24"/>
          <w:rtl/>
        </w:rPr>
        <w:t>נ</w:t>
      </w:r>
      <w:r w:rsidRPr="009B724B">
        <w:rPr>
          <w:rFonts w:ascii="Century" w:hAnsi="Century" w:cs="Miriam"/>
          <w:b/>
          <w:spacing w:val="0"/>
          <w:szCs w:val="24"/>
          <w:rtl/>
        </w:rPr>
        <w:t xml:space="preserve">' </w:t>
      </w:r>
      <w:r w:rsidRPr="009B724B">
        <w:rPr>
          <w:rFonts w:ascii="Century" w:hAnsi="Century" w:cs="Miriam" w:hint="eastAsia"/>
          <w:b/>
          <w:spacing w:val="0"/>
          <w:szCs w:val="24"/>
          <w:rtl/>
        </w:rPr>
        <w:t>האפוטרופוס</w:t>
      </w:r>
      <w:r w:rsidRPr="009B724B">
        <w:rPr>
          <w:rFonts w:ascii="Century" w:hAnsi="Century" w:cs="Miriam"/>
          <w:b/>
          <w:spacing w:val="0"/>
          <w:szCs w:val="24"/>
          <w:rtl/>
        </w:rPr>
        <w:t xml:space="preserve"> </w:t>
      </w:r>
      <w:r w:rsidRPr="009B724B">
        <w:rPr>
          <w:rFonts w:ascii="Century" w:hAnsi="Century" w:cs="Miriam" w:hint="eastAsia"/>
          <w:b/>
          <w:spacing w:val="0"/>
          <w:szCs w:val="24"/>
          <w:rtl/>
        </w:rPr>
        <w:t>הכללי</w:t>
      </w:r>
      <w:r>
        <w:rPr>
          <w:rFonts w:hint="cs"/>
          <w:rtl/>
        </w:rPr>
        <w:t xml:space="preserve">, פ"מ התשנ"ו (2), 453, 461 (1996), ובש"א (מחוזי י-ם) 2409/05 </w:t>
      </w:r>
      <w:r w:rsidRPr="009B724B">
        <w:rPr>
          <w:rFonts w:ascii="Century" w:hAnsi="Century" w:cs="Miriam" w:hint="eastAsia"/>
          <w:b/>
          <w:spacing w:val="0"/>
          <w:szCs w:val="24"/>
          <w:rtl/>
        </w:rPr>
        <w:t>רשם</w:t>
      </w:r>
      <w:r w:rsidRPr="009B724B">
        <w:rPr>
          <w:rFonts w:ascii="Century" w:hAnsi="Century" w:cs="Miriam"/>
          <w:b/>
          <w:spacing w:val="0"/>
          <w:szCs w:val="24"/>
          <w:rtl/>
        </w:rPr>
        <w:t xml:space="preserve"> </w:t>
      </w:r>
      <w:r w:rsidRPr="009B724B">
        <w:rPr>
          <w:rFonts w:ascii="Century" w:hAnsi="Century" w:cs="Miriam" w:hint="eastAsia"/>
          <w:b/>
          <w:spacing w:val="0"/>
          <w:szCs w:val="24"/>
          <w:rtl/>
        </w:rPr>
        <w:t>המקרקעין</w:t>
      </w:r>
      <w:r w:rsidRPr="009B724B">
        <w:rPr>
          <w:rFonts w:ascii="Century" w:hAnsi="Century" w:cs="Miriam"/>
          <w:b/>
          <w:spacing w:val="0"/>
          <w:szCs w:val="24"/>
          <w:rtl/>
        </w:rPr>
        <w:t xml:space="preserve"> </w:t>
      </w:r>
      <w:r w:rsidRPr="009B724B">
        <w:rPr>
          <w:rFonts w:ascii="Century" w:hAnsi="Century" w:cs="Miriam" w:hint="eastAsia"/>
          <w:b/>
          <w:spacing w:val="0"/>
          <w:szCs w:val="24"/>
          <w:rtl/>
        </w:rPr>
        <w:t>נ</w:t>
      </w:r>
      <w:r w:rsidRPr="009B724B">
        <w:rPr>
          <w:rFonts w:ascii="Century" w:hAnsi="Century" w:cs="Miriam"/>
          <w:b/>
          <w:spacing w:val="0"/>
          <w:szCs w:val="24"/>
          <w:rtl/>
        </w:rPr>
        <w:t xml:space="preserve">' </w:t>
      </w:r>
      <w:r w:rsidRPr="009B724B">
        <w:rPr>
          <w:rFonts w:ascii="Century" w:hAnsi="Century" w:cs="Miriam" w:hint="eastAsia"/>
          <w:b/>
          <w:spacing w:val="0"/>
          <w:szCs w:val="24"/>
          <w:rtl/>
        </w:rPr>
        <w:t>האפוטרופוס</w:t>
      </w:r>
      <w:r w:rsidRPr="009B724B">
        <w:rPr>
          <w:rFonts w:ascii="Century" w:hAnsi="Century" w:cs="Miriam"/>
          <w:b/>
          <w:spacing w:val="0"/>
          <w:szCs w:val="24"/>
          <w:rtl/>
        </w:rPr>
        <w:t xml:space="preserve"> </w:t>
      </w:r>
      <w:r w:rsidRPr="009B724B">
        <w:rPr>
          <w:rFonts w:ascii="Century" w:hAnsi="Century" w:cs="Miriam" w:hint="eastAsia"/>
          <w:b/>
          <w:spacing w:val="0"/>
          <w:szCs w:val="24"/>
          <w:rtl/>
        </w:rPr>
        <w:t>הכללי</w:t>
      </w:r>
      <w:r>
        <w:rPr>
          <w:rFonts w:hint="cs"/>
          <w:rtl/>
        </w:rPr>
        <w:t xml:space="preserve">, פסקה 12 (27.9.2006) </w:t>
      </w:r>
      <w:r>
        <w:rPr>
          <w:rtl/>
        </w:rPr>
        <w:t>–</w:t>
      </w:r>
      <w:r>
        <w:rPr>
          <w:rFonts w:hint="cs"/>
          <w:rtl/>
        </w:rPr>
        <w:t xml:space="preserve"> שעסקו שניהם בדרישת רישום ה'עסקה', </w:t>
      </w:r>
      <w:r>
        <w:rPr>
          <w:rFonts w:hint="cs"/>
          <w:rtl/>
        </w:rPr>
        <w:lastRenderedPageBreak/>
        <w:t xml:space="preserve">לפי סעיף 16 לחוק האפוטרופוס הכללי). באחת הפרשיות שעסקו בסעיף 17(א) הנ"ל, אף צוין: </w:t>
      </w:r>
      <w:r w:rsidRPr="009B724B">
        <w:rPr>
          <w:rFonts w:ascii="Century" w:hAnsi="Century" w:cs="Miriam"/>
          <w:b/>
          <w:spacing w:val="0"/>
          <w:szCs w:val="24"/>
          <w:rtl/>
        </w:rPr>
        <w:t>"</w:t>
      </w:r>
      <w:r w:rsidRPr="009B724B">
        <w:rPr>
          <w:rFonts w:ascii="Century" w:hAnsi="Century" w:cs="Miriam" w:hint="eastAsia"/>
          <w:b/>
          <w:spacing w:val="0"/>
          <w:szCs w:val="24"/>
          <w:rtl/>
        </w:rPr>
        <w:t>לעניין</w:t>
      </w:r>
      <w:r w:rsidRPr="009B724B">
        <w:rPr>
          <w:rFonts w:ascii="Century" w:hAnsi="Century" w:cs="Miriam"/>
          <w:b/>
          <w:spacing w:val="0"/>
          <w:szCs w:val="24"/>
          <w:rtl/>
        </w:rPr>
        <w:t xml:space="preserve"> </w:t>
      </w:r>
      <w:r w:rsidRPr="009B724B">
        <w:rPr>
          <w:rFonts w:ascii="Century" w:hAnsi="Century" w:cs="Miriam" w:hint="eastAsia"/>
          <w:b/>
          <w:spacing w:val="0"/>
          <w:szCs w:val="24"/>
          <w:rtl/>
        </w:rPr>
        <w:t>זה</w:t>
      </w:r>
      <w:r w:rsidRPr="009B724B">
        <w:rPr>
          <w:rFonts w:ascii="Century" w:hAnsi="Century" w:cs="Miriam"/>
          <w:b/>
          <w:spacing w:val="0"/>
          <w:szCs w:val="24"/>
          <w:rtl/>
        </w:rPr>
        <w:t xml:space="preserve"> </w:t>
      </w:r>
      <w:r>
        <w:rPr>
          <w:rFonts w:ascii="Century" w:hAnsi="Century" w:cs="Miriam" w:hint="cs"/>
          <w:b/>
          <w:spacing w:val="0"/>
          <w:szCs w:val="24"/>
          <w:rtl/>
        </w:rPr>
        <w:t>[</w:t>
      </w:r>
      <w:r w:rsidRPr="009B724B">
        <w:rPr>
          <w:rFonts w:ascii="Century" w:hAnsi="Century" w:cs="Miriam" w:hint="eastAsia"/>
          <w:b/>
          <w:spacing w:val="0"/>
          <w:szCs w:val="24"/>
          <w:rtl/>
        </w:rPr>
        <w:t>תקנת</w:t>
      </w:r>
      <w:r w:rsidRPr="009B724B">
        <w:rPr>
          <w:rFonts w:ascii="Century" w:hAnsi="Century" w:cs="Miriam"/>
          <w:b/>
          <w:spacing w:val="0"/>
          <w:szCs w:val="24"/>
          <w:rtl/>
        </w:rPr>
        <w:t xml:space="preserve"> </w:t>
      </w:r>
      <w:r w:rsidRPr="009B724B">
        <w:rPr>
          <w:rFonts w:ascii="Century" w:hAnsi="Century" w:cs="Miriam" w:hint="eastAsia"/>
          <w:b/>
          <w:spacing w:val="0"/>
          <w:szCs w:val="24"/>
          <w:rtl/>
        </w:rPr>
        <w:t>השוק</w:t>
      </w:r>
      <w:r w:rsidRPr="009B724B">
        <w:rPr>
          <w:rFonts w:ascii="Century" w:hAnsi="Century" w:cs="Miriam"/>
          <w:b/>
          <w:spacing w:val="0"/>
          <w:szCs w:val="24"/>
          <w:rtl/>
        </w:rPr>
        <w:t xml:space="preserve"> </w:t>
      </w:r>
      <w:r w:rsidRPr="009B724B">
        <w:rPr>
          <w:rFonts w:ascii="Century" w:hAnsi="Century" w:cs="Miriam" w:hint="eastAsia"/>
          <w:b/>
          <w:spacing w:val="0"/>
          <w:szCs w:val="24"/>
          <w:rtl/>
        </w:rPr>
        <w:t>שבסעיף</w:t>
      </w:r>
      <w:r w:rsidRPr="009B724B">
        <w:rPr>
          <w:rFonts w:ascii="Century" w:hAnsi="Century" w:cs="Miriam"/>
          <w:b/>
          <w:spacing w:val="0"/>
          <w:szCs w:val="24"/>
          <w:rtl/>
        </w:rPr>
        <w:t xml:space="preserve"> 17(</w:t>
      </w:r>
      <w:r w:rsidRPr="009B724B">
        <w:rPr>
          <w:rFonts w:ascii="Century" w:hAnsi="Century" w:cs="Miriam" w:hint="eastAsia"/>
          <w:b/>
          <w:spacing w:val="0"/>
          <w:szCs w:val="24"/>
          <w:rtl/>
        </w:rPr>
        <w:t>א</w:t>
      </w:r>
      <w:r w:rsidRPr="009B724B">
        <w:rPr>
          <w:rFonts w:ascii="Century" w:hAnsi="Century" w:cs="Miriam"/>
          <w:b/>
          <w:spacing w:val="0"/>
          <w:szCs w:val="24"/>
          <w:rtl/>
        </w:rPr>
        <w:t xml:space="preserve">) </w:t>
      </w:r>
      <w:r w:rsidRPr="009B724B">
        <w:rPr>
          <w:rFonts w:ascii="Century" w:hAnsi="Century" w:cs="Miriam" w:hint="eastAsia"/>
          <w:b/>
          <w:spacing w:val="0"/>
          <w:szCs w:val="24"/>
          <w:rtl/>
        </w:rPr>
        <w:t>לחוק</w:t>
      </w:r>
      <w:r w:rsidRPr="009B724B">
        <w:rPr>
          <w:rFonts w:ascii="Century" w:hAnsi="Century" w:cs="Miriam"/>
          <w:b/>
          <w:spacing w:val="0"/>
          <w:szCs w:val="24"/>
          <w:rtl/>
        </w:rPr>
        <w:t xml:space="preserve"> </w:t>
      </w:r>
      <w:r w:rsidRPr="009B724B">
        <w:rPr>
          <w:rFonts w:ascii="Century" w:hAnsi="Century" w:cs="Miriam" w:hint="eastAsia"/>
          <w:b/>
          <w:spacing w:val="0"/>
          <w:szCs w:val="24"/>
          <w:rtl/>
        </w:rPr>
        <w:t>נכסי</w:t>
      </w:r>
      <w:r w:rsidRPr="009B724B">
        <w:rPr>
          <w:rFonts w:ascii="Century" w:hAnsi="Century" w:cs="Miriam"/>
          <w:b/>
          <w:spacing w:val="0"/>
          <w:szCs w:val="24"/>
          <w:rtl/>
        </w:rPr>
        <w:t xml:space="preserve"> </w:t>
      </w:r>
      <w:r w:rsidRPr="009B724B">
        <w:rPr>
          <w:rFonts w:ascii="Century" w:hAnsi="Century" w:cs="Miriam" w:hint="eastAsia"/>
          <w:b/>
          <w:spacing w:val="0"/>
          <w:szCs w:val="24"/>
          <w:rtl/>
        </w:rPr>
        <w:t>נפקדים</w:t>
      </w:r>
      <w:r w:rsidRPr="009B724B">
        <w:rPr>
          <w:rFonts w:ascii="Century" w:hAnsi="Century" w:cs="Miriam"/>
          <w:b/>
          <w:spacing w:val="0"/>
          <w:szCs w:val="24"/>
          <w:rtl/>
        </w:rPr>
        <w:t xml:space="preserve"> </w:t>
      </w:r>
      <w:r w:rsidRPr="009B724B">
        <w:rPr>
          <w:rFonts w:ascii="Century" w:hAnsi="Century"/>
          <w:rtl/>
        </w:rPr>
        <w:t>–</w:t>
      </w:r>
      <w:r w:rsidRPr="009B724B">
        <w:rPr>
          <w:rFonts w:ascii="Century" w:hAnsi="Century" w:cs="Miriam"/>
          <w:b/>
          <w:spacing w:val="0"/>
          <w:szCs w:val="24"/>
          <w:rtl/>
        </w:rPr>
        <w:t xml:space="preserve"> </w:t>
      </w:r>
      <w:r w:rsidRPr="009B724B">
        <w:rPr>
          <w:rFonts w:ascii="Century" w:hAnsi="Century" w:cs="Miriam" w:hint="eastAsia"/>
          <w:b/>
          <w:spacing w:val="0"/>
          <w:szCs w:val="24"/>
          <w:rtl/>
        </w:rPr>
        <w:t>נ</w:t>
      </w:r>
      <w:r w:rsidRPr="009B724B">
        <w:rPr>
          <w:rFonts w:ascii="Century" w:hAnsi="Century" w:cs="Miriam"/>
          <w:b/>
          <w:spacing w:val="0"/>
          <w:szCs w:val="24"/>
          <w:rtl/>
        </w:rPr>
        <w:t xml:space="preserve">' </w:t>
      </w:r>
      <w:r w:rsidRPr="009B724B">
        <w:rPr>
          <w:rFonts w:ascii="Century" w:hAnsi="Century" w:cs="Miriam" w:hint="eastAsia"/>
          <w:b/>
          <w:spacing w:val="0"/>
          <w:szCs w:val="24"/>
          <w:rtl/>
        </w:rPr>
        <w:t>ס</w:t>
      </w:r>
      <w:r w:rsidRPr="009B724B">
        <w:rPr>
          <w:rFonts w:ascii="Century" w:hAnsi="Century" w:cs="Miriam"/>
          <w:b/>
          <w:spacing w:val="0"/>
          <w:szCs w:val="24"/>
          <w:rtl/>
        </w:rPr>
        <w:t>'</w:t>
      </w:r>
      <w:r>
        <w:rPr>
          <w:rFonts w:ascii="Century" w:hAnsi="Century" w:cs="Miriam" w:hint="cs"/>
          <w:b/>
          <w:spacing w:val="0"/>
          <w:szCs w:val="24"/>
          <w:rtl/>
        </w:rPr>
        <w:t>]</w:t>
      </w:r>
      <w:r w:rsidRPr="009B724B">
        <w:rPr>
          <w:rFonts w:ascii="Century" w:hAnsi="Century" w:cs="Miriam"/>
          <w:b/>
          <w:spacing w:val="0"/>
          <w:szCs w:val="24"/>
          <w:rtl/>
        </w:rPr>
        <w:t xml:space="preserve"> </w:t>
      </w:r>
      <w:r w:rsidRPr="009B724B">
        <w:rPr>
          <w:rFonts w:ascii="Century" w:hAnsi="Century" w:cs="Miriam" w:hint="eastAsia"/>
          <w:b/>
          <w:spacing w:val="0"/>
          <w:szCs w:val="24"/>
          <w:rtl/>
        </w:rPr>
        <w:t>אין</w:t>
      </w:r>
      <w:r w:rsidRPr="009B724B">
        <w:rPr>
          <w:rFonts w:ascii="Century" w:hAnsi="Century" w:cs="Miriam"/>
          <w:b/>
          <w:spacing w:val="0"/>
          <w:szCs w:val="24"/>
          <w:rtl/>
        </w:rPr>
        <w:t xml:space="preserve"> </w:t>
      </w:r>
      <w:r w:rsidRPr="009B724B">
        <w:rPr>
          <w:rFonts w:ascii="Century" w:hAnsi="Century" w:cs="Miriam" w:hint="eastAsia"/>
          <w:b/>
          <w:spacing w:val="0"/>
          <w:szCs w:val="24"/>
          <w:rtl/>
        </w:rPr>
        <w:t>נפקא</w:t>
      </w:r>
      <w:r w:rsidRPr="009B724B">
        <w:rPr>
          <w:rFonts w:ascii="Century" w:hAnsi="Century" w:cs="Miriam"/>
          <w:b/>
          <w:spacing w:val="0"/>
          <w:szCs w:val="24"/>
          <w:rtl/>
        </w:rPr>
        <w:t xml:space="preserve"> </w:t>
      </w:r>
      <w:r w:rsidRPr="009B724B">
        <w:rPr>
          <w:rFonts w:ascii="Century" w:hAnsi="Century" w:cs="Miriam" w:hint="eastAsia"/>
          <w:b/>
          <w:spacing w:val="0"/>
          <w:szCs w:val="24"/>
          <w:rtl/>
        </w:rPr>
        <w:t>מינה</w:t>
      </w:r>
      <w:r w:rsidRPr="009B724B">
        <w:rPr>
          <w:rFonts w:ascii="Century" w:hAnsi="Century" w:cs="Miriam"/>
          <w:b/>
          <w:spacing w:val="0"/>
          <w:szCs w:val="24"/>
          <w:rtl/>
        </w:rPr>
        <w:t xml:space="preserve"> </w:t>
      </w:r>
      <w:r w:rsidRPr="009B724B">
        <w:rPr>
          <w:rFonts w:ascii="Century" w:hAnsi="Century" w:cs="Miriam" w:hint="eastAsia"/>
          <w:b/>
          <w:spacing w:val="0"/>
          <w:szCs w:val="24"/>
          <w:rtl/>
        </w:rPr>
        <w:t>אם</w:t>
      </w:r>
      <w:r w:rsidRPr="009B724B">
        <w:rPr>
          <w:rFonts w:ascii="Century" w:hAnsi="Century" w:cs="Miriam"/>
          <w:b/>
          <w:spacing w:val="0"/>
          <w:szCs w:val="24"/>
          <w:rtl/>
        </w:rPr>
        <w:t xml:space="preserve"> </w:t>
      </w:r>
      <w:r w:rsidRPr="009B724B">
        <w:rPr>
          <w:rFonts w:ascii="Century" w:hAnsi="Century" w:cs="Miriam" w:hint="eastAsia"/>
          <w:b/>
          <w:spacing w:val="0"/>
          <w:szCs w:val="24"/>
          <w:rtl/>
        </w:rPr>
        <w:t>העיסקה</w:t>
      </w:r>
      <w:r w:rsidRPr="009B724B">
        <w:rPr>
          <w:rFonts w:ascii="Century" w:hAnsi="Century" w:cs="Miriam"/>
          <w:b/>
          <w:spacing w:val="0"/>
          <w:szCs w:val="24"/>
          <w:rtl/>
        </w:rPr>
        <w:t xml:space="preserve"> </w:t>
      </w:r>
      <w:r w:rsidRPr="009B724B">
        <w:rPr>
          <w:rFonts w:ascii="Century" w:hAnsi="Century" w:cs="Miriam" w:hint="eastAsia"/>
          <w:b/>
          <w:spacing w:val="0"/>
          <w:szCs w:val="24"/>
          <w:rtl/>
        </w:rPr>
        <w:t>נעשתה</w:t>
      </w:r>
      <w:r w:rsidRPr="009B724B">
        <w:rPr>
          <w:rFonts w:ascii="Century" w:hAnsi="Century" w:cs="Miriam"/>
          <w:b/>
          <w:spacing w:val="0"/>
          <w:szCs w:val="24"/>
          <w:rtl/>
        </w:rPr>
        <w:t xml:space="preserve"> </w:t>
      </w:r>
      <w:r w:rsidRPr="009B724B">
        <w:rPr>
          <w:rFonts w:ascii="Century" w:hAnsi="Century" w:cs="Miriam" w:hint="eastAsia"/>
          <w:b/>
          <w:spacing w:val="0"/>
          <w:szCs w:val="24"/>
          <w:rtl/>
        </w:rPr>
        <w:t>שעה</w:t>
      </w:r>
      <w:r w:rsidRPr="009B724B">
        <w:rPr>
          <w:rFonts w:ascii="Century" w:hAnsi="Century" w:cs="Miriam"/>
          <w:b/>
          <w:spacing w:val="0"/>
          <w:szCs w:val="24"/>
          <w:rtl/>
        </w:rPr>
        <w:t xml:space="preserve"> </w:t>
      </w:r>
      <w:r w:rsidRPr="009B724B">
        <w:rPr>
          <w:rFonts w:ascii="Century" w:hAnsi="Century" w:cs="Miriam" w:hint="eastAsia"/>
          <w:b/>
          <w:spacing w:val="0"/>
          <w:szCs w:val="24"/>
          <w:rtl/>
        </w:rPr>
        <w:t>שהנכס</w:t>
      </w:r>
      <w:r w:rsidRPr="009B724B">
        <w:rPr>
          <w:rFonts w:ascii="Century" w:hAnsi="Century" w:cs="Miriam"/>
          <w:b/>
          <w:spacing w:val="0"/>
          <w:szCs w:val="24"/>
          <w:rtl/>
        </w:rPr>
        <w:t xml:space="preserve"> </w:t>
      </w:r>
      <w:r w:rsidRPr="009B724B">
        <w:rPr>
          <w:rFonts w:ascii="Century" w:hAnsi="Century" w:cs="Miriam" w:hint="eastAsia"/>
          <w:b/>
          <w:spacing w:val="0"/>
          <w:szCs w:val="24"/>
          <w:rtl/>
        </w:rPr>
        <w:t>היה</w:t>
      </w:r>
      <w:r w:rsidRPr="009B724B">
        <w:rPr>
          <w:rFonts w:ascii="Century" w:hAnsi="Century" w:cs="Miriam"/>
          <w:b/>
          <w:spacing w:val="0"/>
          <w:szCs w:val="24"/>
          <w:rtl/>
        </w:rPr>
        <w:t xml:space="preserve"> </w:t>
      </w:r>
      <w:r w:rsidRPr="009B724B">
        <w:rPr>
          <w:rFonts w:ascii="Century" w:hAnsi="Century" w:cs="Miriam" w:hint="eastAsia"/>
          <w:b/>
          <w:spacing w:val="0"/>
          <w:szCs w:val="24"/>
          <w:rtl/>
        </w:rPr>
        <w:t>רשום</w:t>
      </w:r>
      <w:r w:rsidRPr="009B724B">
        <w:rPr>
          <w:rFonts w:ascii="Century" w:hAnsi="Century" w:cs="Miriam"/>
          <w:b/>
          <w:spacing w:val="0"/>
          <w:szCs w:val="24"/>
          <w:rtl/>
        </w:rPr>
        <w:t xml:space="preserve"> </w:t>
      </w:r>
      <w:r w:rsidRPr="009B724B">
        <w:rPr>
          <w:rFonts w:ascii="Century" w:hAnsi="Century" w:cs="Miriam" w:hint="eastAsia"/>
          <w:b/>
          <w:spacing w:val="0"/>
          <w:szCs w:val="24"/>
          <w:rtl/>
        </w:rPr>
        <w:t>על</w:t>
      </w:r>
      <w:r w:rsidRPr="009B724B">
        <w:rPr>
          <w:rFonts w:ascii="Century" w:hAnsi="Century" w:cs="Miriam"/>
          <w:b/>
          <w:spacing w:val="0"/>
          <w:szCs w:val="24"/>
          <w:rtl/>
        </w:rPr>
        <w:t xml:space="preserve"> </w:t>
      </w:r>
      <w:r w:rsidRPr="009B724B">
        <w:rPr>
          <w:rFonts w:ascii="Century" w:hAnsi="Century" w:cs="Miriam" w:hint="eastAsia"/>
          <w:b/>
          <w:spacing w:val="0"/>
          <w:szCs w:val="24"/>
          <w:rtl/>
        </w:rPr>
        <w:t>שם</w:t>
      </w:r>
      <w:r w:rsidRPr="009B724B">
        <w:rPr>
          <w:rFonts w:ascii="Century" w:hAnsi="Century" w:cs="Miriam"/>
          <w:b/>
          <w:spacing w:val="0"/>
          <w:szCs w:val="24"/>
          <w:rtl/>
        </w:rPr>
        <w:t xml:space="preserve"> </w:t>
      </w:r>
      <w:r w:rsidRPr="009B724B">
        <w:rPr>
          <w:rFonts w:ascii="Century" w:hAnsi="Century" w:cs="Miriam" w:hint="eastAsia"/>
          <w:b/>
          <w:spacing w:val="0"/>
          <w:szCs w:val="24"/>
          <w:rtl/>
        </w:rPr>
        <w:t>האפוטרופוס</w:t>
      </w:r>
      <w:r w:rsidRPr="009B724B">
        <w:rPr>
          <w:rFonts w:ascii="Century" w:hAnsi="Century" w:cs="Miriam"/>
          <w:b/>
          <w:spacing w:val="0"/>
          <w:szCs w:val="24"/>
          <w:rtl/>
        </w:rPr>
        <w:t xml:space="preserve"> </w:t>
      </w:r>
      <w:r w:rsidRPr="009B724B">
        <w:rPr>
          <w:rFonts w:ascii="Century" w:hAnsi="Century" w:cs="Miriam" w:hint="eastAsia"/>
          <w:b/>
          <w:spacing w:val="0"/>
          <w:szCs w:val="24"/>
          <w:rtl/>
        </w:rPr>
        <w:t>אם</w:t>
      </w:r>
      <w:r w:rsidRPr="009B724B">
        <w:rPr>
          <w:rFonts w:ascii="Century" w:hAnsi="Century" w:cs="Miriam"/>
          <w:b/>
          <w:spacing w:val="0"/>
          <w:szCs w:val="24"/>
          <w:rtl/>
        </w:rPr>
        <w:t xml:space="preserve"> </w:t>
      </w:r>
      <w:r w:rsidRPr="009B724B">
        <w:rPr>
          <w:rFonts w:ascii="Century" w:hAnsi="Century" w:cs="Miriam" w:hint="eastAsia"/>
          <w:b/>
          <w:spacing w:val="0"/>
          <w:szCs w:val="24"/>
          <w:rtl/>
        </w:rPr>
        <w:t>לאו</w:t>
      </w:r>
      <w:r w:rsidRPr="009B724B">
        <w:rPr>
          <w:rFonts w:ascii="Century" w:hAnsi="Century" w:cs="Miriam"/>
          <w:b/>
          <w:spacing w:val="0"/>
          <w:szCs w:val="24"/>
          <w:rtl/>
        </w:rPr>
        <w:t xml:space="preserve">, </w:t>
      </w:r>
      <w:r w:rsidRPr="009B724B">
        <w:rPr>
          <w:rFonts w:ascii="Century" w:hAnsi="Century" w:cs="Miriam" w:hint="eastAsia"/>
          <w:b/>
          <w:spacing w:val="0"/>
          <w:szCs w:val="24"/>
          <w:rtl/>
        </w:rPr>
        <w:t>שכן</w:t>
      </w:r>
      <w:r w:rsidRPr="009B724B">
        <w:rPr>
          <w:rFonts w:ascii="Century" w:hAnsi="Century" w:cs="Miriam"/>
          <w:b/>
          <w:spacing w:val="0"/>
          <w:szCs w:val="24"/>
          <w:rtl/>
        </w:rPr>
        <w:t xml:space="preserve"> </w:t>
      </w:r>
      <w:r w:rsidRPr="009B724B">
        <w:rPr>
          <w:rFonts w:ascii="Century" w:hAnsi="Century" w:cs="Miriam" w:hint="eastAsia"/>
          <w:b/>
          <w:spacing w:val="0"/>
          <w:szCs w:val="24"/>
          <w:rtl/>
        </w:rPr>
        <w:t>ההקניה</w:t>
      </w:r>
      <w:r w:rsidRPr="009B724B">
        <w:rPr>
          <w:rFonts w:ascii="Century" w:hAnsi="Century" w:cs="Miriam"/>
          <w:b/>
          <w:spacing w:val="0"/>
          <w:szCs w:val="24"/>
          <w:rtl/>
        </w:rPr>
        <w:t xml:space="preserve"> </w:t>
      </w:r>
      <w:r w:rsidRPr="009B724B">
        <w:rPr>
          <w:rFonts w:ascii="Century" w:hAnsi="Century" w:cs="Miriam" w:hint="eastAsia"/>
          <w:b/>
          <w:spacing w:val="0"/>
          <w:szCs w:val="24"/>
          <w:rtl/>
        </w:rPr>
        <w:t>לאפוטרופוס</w:t>
      </w:r>
      <w:r w:rsidRPr="009B724B">
        <w:rPr>
          <w:rFonts w:ascii="Century" w:hAnsi="Century" w:cs="Miriam"/>
          <w:b/>
          <w:spacing w:val="0"/>
          <w:szCs w:val="24"/>
          <w:rtl/>
        </w:rPr>
        <w:t xml:space="preserve"> </w:t>
      </w:r>
      <w:r w:rsidRPr="009B724B">
        <w:rPr>
          <w:rFonts w:ascii="Century" w:hAnsi="Century" w:cs="Miriam" w:hint="eastAsia"/>
          <w:b/>
          <w:spacing w:val="0"/>
          <w:szCs w:val="24"/>
          <w:rtl/>
        </w:rPr>
        <w:t>של</w:t>
      </w:r>
      <w:r w:rsidRPr="009B724B">
        <w:rPr>
          <w:rFonts w:ascii="Century" w:hAnsi="Century" w:cs="Miriam"/>
          <w:b/>
          <w:spacing w:val="0"/>
          <w:szCs w:val="24"/>
          <w:rtl/>
        </w:rPr>
        <w:t xml:space="preserve"> </w:t>
      </w:r>
      <w:r w:rsidRPr="009B724B">
        <w:rPr>
          <w:rFonts w:ascii="Century" w:hAnsi="Century" w:cs="Miriam" w:hint="eastAsia"/>
          <w:b/>
          <w:spacing w:val="0"/>
          <w:szCs w:val="24"/>
          <w:rtl/>
        </w:rPr>
        <w:t>נכס</w:t>
      </w:r>
      <w:r w:rsidRPr="009B724B">
        <w:rPr>
          <w:rFonts w:ascii="Century" w:hAnsi="Century" w:cs="Miriam"/>
          <w:b/>
          <w:spacing w:val="0"/>
          <w:szCs w:val="24"/>
          <w:rtl/>
        </w:rPr>
        <w:t xml:space="preserve"> </w:t>
      </w:r>
      <w:r w:rsidRPr="009B724B">
        <w:rPr>
          <w:rFonts w:ascii="Century" w:hAnsi="Century" w:cs="Miriam" w:hint="eastAsia"/>
          <w:b/>
          <w:spacing w:val="0"/>
          <w:szCs w:val="24"/>
          <w:rtl/>
        </w:rPr>
        <w:t>שאושר</w:t>
      </w:r>
      <w:r w:rsidRPr="009B724B">
        <w:rPr>
          <w:rFonts w:ascii="Century" w:hAnsi="Century" w:cs="Miriam"/>
          <w:b/>
          <w:spacing w:val="0"/>
          <w:szCs w:val="24"/>
          <w:rtl/>
        </w:rPr>
        <w:t xml:space="preserve"> </w:t>
      </w:r>
      <w:r w:rsidRPr="009B724B">
        <w:rPr>
          <w:rFonts w:ascii="Century" w:hAnsi="Century" w:cs="Miriam" w:hint="eastAsia"/>
          <w:b/>
          <w:spacing w:val="0"/>
          <w:szCs w:val="24"/>
          <w:rtl/>
        </w:rPr>
        <w:t>על</w:t>
      </w:r>
      <w:r w:rsidRPr="009B724B">
        <w:rPr>
          <w:rFonts w:ascii="Century" w:hAnsi="Century" w:cs="Miriam"/>
          <w:b/>
          <w:spacing w:val="0"/>
          <w:szCs w:val="24"/>
          <w:rtl/>
        </w:rPr>
        <w:t xml:space="preserve"> </w:t>
      </w:r>
      <w:r w:rsidRPr="009B724B">
        <w:rPr>
          <w:rFonts w:ascii="Century" w:hAnsi="Century" w:cs="Miriam" w:hint="eastAsia"/>
          <w:b/>
          <w:spacing w:val="0"/>
          <w:szCs w:val="24"/>
          <w:rtl/>
        </w:rPr>
        <w:t>ידו</w:t>
      </w:r>
      <w:r w:rsidRPr="009B724B">
        <w:rPr>
          <w:rFonts w:ascii="Century" w:hAnsi="Century" w:cs="Miriam"/>
          <w:b/>
          <w:spacing w:val="0"/>
          <w:szCs w:val="24"/>
          <w:rtl/>
        </w:rPr>
        <w:t xml:space="preserve"> </w:t>
      </w:r>
      <w:r w:rsidRPr="009B724B">
        <w:rPr>
          <w:rFonts w:ascii="Century" w:hAnsi="Century" w:cs="Miriam" w:hint="eastAsia"/>
          <w:b/>
          <w:spacing w:val="0"/>
          <w:szCs w:val="24"/>
          <w:rtl/>
        </w:rPr>
        <w:t>כנכס</w:t>
      </w:r>
      <w:r w:rsidRPr="009B724B">
        <w:rPr>
          <w:rFonts w:ascii="Century" w:hAnsi="Century" w:cs="Miriam"/>
          <w:b/>
          <w:spacing w:val="0"/>
          <w:szCs w:val="24"/>
          <w:rtl/>
        </w:rPr>
        <w:t xml:space="preserve"> </w:t>
      </w:r>
      <w:r w:rsidRPr="009B724B">
        <w:rPr>
          <w:rFonts w:ascii="Century" w:hAnsi="Century" w:cs="Miriam" w:hint="eastAsia"/>
          <w:b/>
          <w:spacing w:val="0"/>
          <w:szCs w:val="24"/>
          <w:rtl/>
        </w:rPr>
        <w:t>נפקד</w:t>
      </w:r>
      <w:r w:rsidRPr="009B724B">
        <w:rPr>
          <w:rFonts w:ascii="Century" w:hAnsi="Century" w:cs="Miriam"/>
          <w:b/>
          <w:spacing w:val="0"/>
          <w:szCs w:val="24"/>
          <w:rtl/>
        </w:rPr>
        <w:t xml:space="preserve"> </w:t>
      </w:r>
      <w:r w:rsidRPr="009B724B">
        <w:rPr>
          <w:rFonts w:ascii="Century" w:hAnsi="Century" w:cs="Miriam" w:hint="eastAsia"/>
          <w:b/>
          <w:spacing w:val="0"/>
          <w:szCs w:val="24"/>
          <w:rtl/>
        </w:rPr>
        <w:t>אינה</w:t>
      </w:r>
      <w:r w:rsidRPr="009B724B">
        <w:rPr>
          <w:rFonts w:ascii="Century" w:hAnsi="Century" w:cs="Miriam"/>
          <w:b/>
          <w:spacing w:val="0"/>
          <w:szCs w:val="24"/>
          <w:rtl/>
        </w:rPr>
        <w:t xml:space="preserve"> </w:t>
      </w:r>
      <w:r w:rsidRPr="009B724B">
        <w:rPr>
          <w:rFonts w:ascii="Century" w:hAnsi="Century" w:cs="Miriam" w:hint="eastAsia"/>
          <w:b/>
          <w:spacing w:val="0"/>
          <w:szCs w:val="24"/>
          <w:rtl/>
        </w:rPr>
        <w:t>תלויה</w:t>
      </w:r>
      <w:r w:rsidRPr="009B724B">
        <w:rPr>
          <w:rFonts w:ascii="Century" w:hAnsi="Century" w:cs="Miriam"/>
          <w:b/>
          <w:spacing w:val="0"/>
          <w:szCs w:val="24"/>
          <w:rtl/>
        </w:rPr>
        <w:t xml:space="preserve"> </w:t>
      </w:r>
      <w:r w:rsidRPr="009B724B">
        <w:rPr>
          <w:rFonts w:ascii="Century" w:hAnsi="Century" w:cs="Miriam" w:hint="eastAsia"/>
          <w:b/>
          <w:spacing w:val="0"/>
          <w:szCs w:val="24"/>
          <w:rtl/>
        </w:rPr>
        <w:t>ברישום</w:t>
      </w:r>
      <w:r w:rsidRPr="009B724B">
        <w:rPr>
          <w:rFonts w:ascii="Century" w:hAnsi="Century" w:cs="Miriam"/>
          <w:b/>
          <w:spacing w:val="0"/>
          <w:szCs w:val="24"/>
          <w:rtl/>
        </w:rPr>
        <w:t xml:space="preserve"> </w:t>
      </w:r>
      <w:r w:rsidRPr="009B724B">
        <w:rPr>
          <w:rFonts w:ascii="Century" w:hAnsi="Century" w:cs="Miriam" w:hint="eastAsia"/>
          <w:b/>
          <w:spacing w:val="0"/>
          <w:szCs w:val="24"/>
          <w:rtl/>
        </w:rPr>
        <w:t>הנכס</w:t>
      </w:r>
      <w:r w:rsidRPr="009B724B">
        <w:rPr>
          <w:rFonts w:ascii="Century" w:hAnsi="Century" w:cs="Miriam"/>
          <w:b/>
          <w:spacing w:val="0"/>
          <w:szCs w:val="24"/>
          <w:rtl/>
        </w:rPr>
        <w:t xml:space="preserve"> </w:t>
      </w:r>
      <w:r w:rsidRPr="009B724B">
        <w:rPr>
          <w:rFonts w:ascii="Century" w:hAnsi="Century" w:cs="Miriam" w:hint="eastAsia"/>
          <w:b/>
          <w:spacing w:val="0"/>
          <w:szCs w:val="24"/>
          <w:rtl/>
        </w:rPr>
        <w:t>על</w:t>
      </w:r>
      <w:r w:rsidRPr="009B724B">
        <w:rPr>
          <w:rFonts w:ascii="Century" w:hAnsi="Century" w:cs="Miriam"/>
          <w:b/>
          <w:spacing w:val="0"/>
          <w:szCs w:val="24"/>
          <w:rtl/>
        </w:rPr>
        <w:t xml:space="preserve"> </w:t>
      </w:r>
      <w:r w:rsidRPr="009B724B">
        <w:rPr>
          <w:rFonts w:ascii="Century" w:hAnsi="Century" w:cs="Miriam" w:hint="eastAsia"/>
          <w:b/>
          <w:spacing w:val="0"/>
          <w:szCs w:val="24"/>
          <w:rtl/>
        </w:rPr>
        <w:t>שם</w:t>
      </w:r>
      <w:r w:rsidRPr="009B724B">
        <w:rPr>
          <w:rFonts w:ascii="Century" w:hAnsi="Century" w:cs="Miriam"/>
          <w:b/>
          <w:spacing w:val="0"/>
          <w:szCs w:val="24"/>
          <w:rtl/>
        </w:rPr>
        <w:t xml:space="preserve"> </w:t>
      </w:r>
      <w:r w:rsidRPr="009B724B">
        <w:rPr>
          <w:rFonts w:ascii="Century" w:hAnsi="Century" w:cs="Miriam" w:hint="eastAsia"/>
          <w:b/>
          <w:spacing w:val="0"/>
          <w:szCs w:val="24"/>
          <w:rtl/>
        </w:rPr>
        <w:t>האפוטרופוס</w:t>
      </w:r>
      <w:r w:rsidRPr="009B724B">
        <w:rPr>
          <w:rFonts w:ascii="Century" w:hAnsi="Century" w:cs="Miriam"/>
          <w:b/>
          <w:spacing w:val="0"/>
          <w:szCs w:val="24"/>
          <w:rtl/>
        </w:rPr>
        <w:t xml:space="preserve">" </w:t>
      </w:r>
      <w:r>
        <w:rPr>
          <w:rFonts w:hint="cs"/>
          <w:rtl/>
        </w:rPr>
        <w:t>(</w:t>
      </w:r>
      <w:r w:rsidRPr="004037E7">
        <w:rPr>
          <w:rFonts w:hint="eastAsia"/>
          <w:rtl/>
        </w:rPr>
        <w:t>ע</w:t>
      </w:r>
      <w:r w:rsidRPr="004037E7">
        <w:rPr>
          <w:rtl/>
        </w:rPr>
        <w:t>"</w:t>
      </w:r>
      <w:r w:rsidRPr="004037E7">
        <w:rPr>
          <w:rFonts w:hint="eastAsia"/>
          <w:rtl/>
        </w:rPr>
        <w:t>א</w:t>
      </w:r>
      <w:r w:rsidRPr="004037E7">
        <w:rPr>
          <w:rtl/>
        </w:rPr>
        <w:t xml:space="preserve"> 1397/90 </w:t>
      </w:r>
      <w:r w:rsidRPr="009B724B">
        <w:rPr>
          <w:rFonts w:ascii="Century" w:hAnsi="Century" w:cs="Miriam" w:hint="eastAsia"/>
          <w:b/>
          <w:spacing w:val="0"/>
          <w:szCs w:val="24"/>
          <w:rtl/>
        </w:rPr>
        <w:t>דיאב</w:t>
      </w:r>
      <w:r w:rsidRPr="009B724B">
        <w:rPr>
          <w:rFonts w:ascii="Century" w:hAnsi="Century" w:cs="Miriam"/>
          <w:b/>
          <w:spacing w:val="0"/>
          <w:szCs w:val="24"/>
          <w:rtl/>
        </w:rPr>
        <w:t xml:space="preserve"> </w:t>
      </w:r>
      <w:r w:rsidRPr="009B724B">
        <w:rPr>
          <w:rFonts w:ascii="Century" w:hAnsi="Century" w:cs="Miriam" w:hint="eastAsia"/>
          <w:b/>
          <w:spacing w:val="0"/>
          <w:szCs w:val="24"/>
          <w:rtl/>
        </w:rPr>
        <w:t>נ</w:t>
      </w:r>
      <w:r w:rsidRPr="009B724B">
        <w:rPr>
          <w:rFonts w:ascii="Century" w:hAnsi="Century" w:cs="Miriam"/>
          <w:b/>
          <w:spacing w:val="0"/>
          <w:szCs w:val="24"/>
          <w:rtl/>
        </w:rPr>
        <w:t xml:space="preserve">' </w:t>
      </w:r>
      <w:r w:rsidRPr="009B724B">
        <w:rPr>
          <w:rFonts w:ascii="Century" w:hAnsi="Century" w:cs="Miriam" w:hint="eastAsia"/>
          <w:b/>
          <w:spacing w:val="0"/>
          <w:szCs w:val="24"/>
          <w:rtl/>
        </w:rPr>
        <w:t>האפוטרופוס</w:t>
      </w:r>
      <w:r w:rsidRPr="009B724B">
        <w:rPr>
          <w:rFonts w:ascii="Century" w:hAnsi="Century" w:cs="Miriam"/>
          <w:b/>
          <w:spacing w:val="0"/>
          <w:szCs w:val="24"/>
          <w:rtl/>
        </w:rPr>
        <w:t xml:space="preserve"> </w:t>
      </w:r>
      <w:r w:rsidRPr="009B724B">
        <w:rPr>
          <w:rFonts w:ascii="Century" w:hAnsi="Century" w:cs="Miriam" w:hint="eastAsia"/>
          <w:b/>
          <w:spacing w:val="0"/>
          <w:szCs w:val="24"/>
          <w:rtl/>
        </w:rPr>
        <w:t>על</w:t>
      </w:r>
      <w:r w:rsidRPr="009B724B">
        <w:rPr>
          <w:rFonts w:ascii="Century" w:hAnsi="Century" w:cs="Miriam"/>
          <w:b/>
          <w:spacing w:val="0"/>
          <w:szCs w:val="24"/>
          <w:rtl/>
        </w:rPr>
        <w:t xml:space="preserve"> </w:t>
      </w:r>
      <w:r w:rsidRPr="009B724B">
        <w:rPr>
          <w:rFonts w:ascii="Century" w:hAnsi="Century" w:cs="Miriam" w:hint="eastAsia"/>
          <w:b/>
          <w:spacing w:val="0"/>
          <w:szCs w:val="24"/>
          <w:rtl/>
        </w:rPr>
        <w:t>נכסי</w:t>
      </w:r>
      <w:r w:rsidRPr="009B724B">
        <w:rPr>
          <w:rFonts w:ascii="Century" w:hAnsi="Century" w:cs="Miriam"/>
          <w:b/>
          <w:spacing w:val="0"/>
          <w:szCs w:val="24"/>
          <w:rtl/>
        </w:rPr>
        <w:t xml:space="preserve"> </w:t>
      </w:r>
      <w:r w:rsidRPr="009B724B">
        <w:rPr>
          <w:rFonts w:ascii="Century" w:hAnsi="Century" w:cs="Miriam" w:hint="eastAsia"/>
          <w:b/>
          <w:spacing w:val="0"/>
          <w:szCs w:val="24"/>
          <w:rtl/>
        </w:rPr>
        <w:t>נפקדים</w:t>
      </w:r>
      <w:r w:rsidRPr="004037E7">
        <w:rPr>
          <w:rtl/>
        </w:rPr>
        <w:t xml:space="preserve">, </w:t>
      </w:r>
      <w:r w:rsidRPr="004037E7">
        <w:rPr>
          <w:rFonts w:hint="eastAsia"/>
          <w:rtl/>
        </w:rPr>
        <w:t>פ</w:t>
      </w:r>
      <w:r w:rsidRPr="004037E7">
        <w:rPr>
          <w:rtl/>
        </w:rPr>
        <w:t>"</w:t>
      </w:r>
      <w:r w:rsidRPr="004037E7">
        <w:rPr>
          <w:rFonts w:hint="eastAsia"/>
          <w:rtl/>
        </w:rPr>
        <w:t>ד</w:t>
      </w:r>
      <w:r w:rsidRPr="004037E7">
        <w:rPr>
          <w:rtl/>
        </w:rPr>
        <w:t xml:space="preserve"> </w:t>
      </w:r>
      <w:r w:rsidRPr="004037E7">
        <w:rPr>
          <w:rFonts w:hint="eastAsia"/>
          <w:rtl/>
        </w:rPr>
        <w:t>מ</w:t>
      </w:r>
      <w:r w:rsidRPr="004037E7">
        <w:rPr>
          <w:rtl/>
        </w:rPr>
        <w:t>"</w:t>
      </w:r>
      <w:r w:rsidRPr="004037E7">
        <w:rPr>
          <w:rFonts w:hint="eastAsia"/>
          <w:rtl/>
        </w:rPr>
        <w:t>ו</w:t>
      </w:r>
      <w:r w:rsidRPr="004037E7">
        <w:rPr>
          <w:rtl/>
        </w:rPr>
        <w:t>(5), 789</w:t>
      </w:r>
      <w:r>
        <w:rPr>
          <w:rFonts w:hint="cs"/>
          <w:rtl/>
        </w:rPr>
        <w:t xml:space="preserve">, 796 (1992) (להלן: </w:t>
      </w:r>
      <w:r w:rsidRPr="009B724B">
        <w:rPr>
          <w:rFonts w:ascii="Century" w:hAnsi="Century" w:cs="Miriam" w:hint="eastAsia"/>
          <w:b/>
          <w:spacing w:val="0"/>
          <w:szCs w:val="24"/>
          <w:rtl/>
        </w:rPr>
        <w:t>עניין</w:t>
      </w:r>
      <w:r w:rsidRPr="009B724B">
        <w:rPr>
          <w:rFonts w:ascii="Century" w:hAnsi="Century" w:cs="Miriam"/>
          <w:b/>
          <w:spacing w:val="0"/>
          <w:szCs w:val="24"/>
          <w:rtl/>
        </w:rPr>
        <w:t xml:space="preserve"> </w:t>
      </w:r>
      <w:r w:rsidRPr="009B724B">
        <w:rPr>
          <w:rFonts w:ascii="Century" w:hAnsi="Century" w:cs="Miriam" w:hint="eastAsia"/>
          <w:b/>
          <w:spacing w:val="0"/>
          <w:szCs w:val="24"/>
          <w:rtl/>
        </w:rPr>
        <w:t>דיאב</w:t>
      </w:r>
      <w:r>
        <w:rPr>
          <w:rFonts w:hint="cs"/>
          <w:rtl/>
        </w:rPr>
        <w:t>); ראו גם: עניין</w:t>
      </w:r>
      <w:r w:rsidRPr="009B724B">
        <w:rPr>
          <w:rFonts w:ascii="Century" w:hAnsi="Century" w:cs="Miriam"/>
          <w:b/>
          <w:spacing w:val="0"/>
          <w:szCs w:val="24"/>
          <w:rtl/>
        </w:rPr>
        <w:t xml:space="preserve"> </w:t>
      </w:r>
      <w:r w:rsidRPr="009B724B">
        <w:rPr>
          <w:rFonts w:ascii="Century" w:hAnsi="Century" w:cs="Miriam" w:hint="eastAsia"/>
          <w:b/>
          <w:spacing w:val="0"/>
          <w:szCs w:val="24"/>
          <w:rtl/>
        </w:rPr>
        <w:t>רבאח</w:t>
      </w:r>
      <w:r>
        <w:rPr>
          <w:rFonts w:hint="cs"/>
          <w:rtl/>
        </w:rPr>
        <w:t xml:space="preserve">, עמ' 876). דומני, כי התכליות הדומות של שני ההסדרים </w:t>
      </w:r>
      <w:r>
        <w:rPr>
          <w:rtl/>
        </w:rPr>
        <w:t>–</w:t>
      </w:r>
      <w:r>
        <w:rPr>
          <w:rFonts w:hint="cs"/>
          <w:rtl/>
        </w:rPr>
        <w:t xml:space="preserve"> הגנה על הסתמכותם של צדדים שלישיים </w:t>
      </w:r>
      <w:r>
        <w:rPr>
          <w:rtl/>
        </w:rPr>
        <w:t>–</w:t>
      </w:r>
      <w:r>
        <w:rPr>
          <w:rFonts w:hint="cs"/>
          <w:rtl/>
        </w:rPr>
        <w:t xml:space="preserve"> מצדיקות תחולה דומה ביחס להיקף פרישׂתם, כך שבשני ההסדרים תיכללנה גם עסקאות שלא הסתיימו ברישום.  </w:t>
      </w:r>
    </w:p>
    <w:p w:rsidR="00295623" w:rsidRDefault="00295623" w:rsidP="00295623">
      <w:pPr>
        <w:pStyle w:val="Ruller41"/>
        <w:tabs>
          <w:tab w:val="left" w:pos="90"/>
        </w:tabs>
        <w:spacing w:line="240" w:lineRule="auto"/>
        <w:rPr>
          <w:rtl/>
        </w:rPr>
      </w:pPr>
    </w:p>
    <w:p w:rsidR="00295623" w:rsidRDefault="00295623" w:rsidP="00295623">
      <w:pPr>
        <w:pStyle w:val="Ruller41"/>
      </w:pPr>
      <w:r>
        <w:rPr>
          <w:rFonts w:hint="cs"/>
          <w:rtl/>
        </w:rPr>
        <w:t>44.</w:t>
      </w:r>
      <w:r>
        <w:rPr>
          <w:rFonts w:hint="cs"/>
          <w:rtl/>
        </w:rPr>
        <w:tab/>
        <w:t xml:space="preserve">סיכומה של נקודה זו: לעמדתי, יש לקבוע כי לשם החלת סעיף 5, אין לדרוש כי עסקה שנערכה עם הממונה, תסתיים בדרך של רישום בפנקסי המקרקעין או במרשם ההרשאות. דרישה שכזו, אינה מתיישבת עם תכלית הסעיף, ואף תביא לעיקורו באופן כמעט מוחלט. </w:t>
      </w:r>
    </w:p>
    <w:p w:rsidR="00295623" w:rsidRPr="00DF333F" w:rsidRDefault="00295623" w:rsidP="00295623">
      <w:pPr>
        <w:pStyle w:val="Ruller41"/>
        <w:tabs>
          <w:tab w:val="left" w:pos="90"/>
        </w:tabs>
        <w:rPr>
          <w:rtl/>
        </w:rPr>
      </w:pPr>
    </w:p>
    <w:p w:rsidR="00295623" w:rsidRPr="00DF333F" w:rsidRDefault="00295623" w:rsidP="00295623">
      <w:pPr>
        <w:pStyle w:val="Ruller41"/>
        <w:tabs>
          <w:tab w:val="left" w:pos="90"/>
        </w:tabs>
        <w:spacing w:line="480" w:lineRule="auto"/>
        <w:rPr>
          <w:rFonts w:ascii="Century" w:hAnsi="Century" w:cs="Miriam"/>
          <w:b/>
          <w:spacing w:val="0"/>
          <w:szCs w:val="24"/>
        </w:rPr>
      </w:pPr>
      <w:r>
        <w:rPr>
          <w:rFonts w:ascii="Century" w:hAnsi="Century" w:cs="Miriam" w:hint="cs"/>
          <w:b/>
          <w:spacing w:val="0"/>
          <w:szCs w:val="24"/>
          <w:rtl/>
        </w:rPr>
        <w:t xml:space="preserve">שאלה שניה: </w:t>
      </w:r>
      <w:r w:rsidRPr="00DF333F">
        <w:rPr>
          <w:rFonts w:ascii="Century" w:hAnsi="Century" w:cs="Miriam" w:hint="cs"/>
          <w:b/>
          <w:spacing w:val="0"/>
          <w:szCs w:val="24"/>
          <w:rtl/>
        </w:rPr>
        <w:t xml:space="preserve">האם סעיף 5 חל בעסקאות שבין הממונה לבין </w:t>
      </w:r>
      <w:r>
        <w:rPr>
          <w:rFonts w:ascii="Century" w:hAnsi="Century" w:cs="Miriam" w:hint="cs"/>
          <w:b/>
          <w:spacing w:val="0"/>
          <w:szCs w:val="24"/>
          <w:rtl/>
        </w:rPr>
        <w:t>ההסתדרות הציונית</w:t>
      </w:r>
      <w:r w:rsidRPr="00DF333F">
        <w:rPr>
          <w:rFonts w:ascii="Century" w:hAnsi="Century" w:cs="Miriam" w:hint="cs"/>
          <w:b/>
          <w:spacing w:val="0"/>
          <w:szCs w:val="24"/>
          <w:rtl/>
        </w:rPr>
        <w:t>?</w:t>
      </w:r>
    </w:p>
    <w:p w:rsidR="00295623" w:rsidRDefault="00295623" w:rsidP="00295623">
      <w:pPr>
        <w:pStyle w:val="Ruller41"/>
      </w:pPr>
      <w:r>
        <w:rPr>
          <w:rFonts w:hint="cs"/>
          <w:rtl/>
        </w:rPr>
        <w:t>45.</w:t>
      </w:r>
      <w:r>
        <w:rPr>
          <w:rFonts w:hint="cs"/>
          <w:rtl/>
        </w:rPr>
        <w:tab/>
        <w:t xml:space="preserve">כזכור, המשיבים טוענים כי ההסתדרות הציונית אינה ממלאת אחר הגדרת </w:t>
      </w:r>
      <w:r w:rsidRPr="00416E6D">
        <w:rPr>
          <w:rFonts w:ascii="Century" w:hAnsi="Century" w:cs="Miriam"/>
          <w:b/>
          <w:spacing w:val="0"/>
          <w:szCs w:val="24"/>
          <w:rtl/>
        </w:rPr>
        <w:t>"</w:t>
      </w:r>
      <w:r w:rsidRPr="00416E6D">
        <w:rPr>
          <w:rFonts w:ascii="Century" w:hAnsi="Century" w:cs="Miriam" w:hint="eastAsia"/>
          <w:b/>
          <w:spacing w:val="0"/>
          <w:szCs w:val="24"/>
          <w:rtl/>
        </w:rPr>
        <w:t>אדם</w:t>
      </w:r>
      <w:r w:rsidRPr="00416E6D">
        <w:rPr>
          <w:rFonts w:ascii="Century" w:hAnsi="Century" w:cs="Miriam"/>
          <w:b/>
          <w:spacing w:val="0"/>
          <w:szCs w:val="24"/>
          <w:rtl/>
        </w:rPr>
        <w:t xml:space="preserve"> </w:t>
      </w:r>
      <w:r w:rsidRPr="00416E6D">
        <w:rPr>
          <w:rFonts w:ascii="Century" w:hAnsi="Century" w:cs="Miriam" w:hint="eastAsia"/>
          <w:b/>
          <w:spacing w:val="0"/>
          <w:szCs w:val="24"/>
          <w:rtl/>
        </w:rPr>
        <w:t>אחר</w:t>
      </w:r>
      <w:r w:rsidRPr="00416E6D">
        <w:rPr>
          <w:rFonts w:ascii="Century" w:hAnsi="Century" w:cs="Miriam"/>
          <w:b/>
          <w:spacing w:val="0"/>
          <w:szCs w:val="24"/>
          <w:rtl/>
        </w:rPr>
        <w:t>"</w:t>
      </w:r>
      <w:r>
        <w:rPr>
          <w:rFonts w:hint="cs"/>
          <w:rtl/>
        </w:rPr>
        <w:t xml:space="preserve">, לגבי ההסדר המעוגן בסעיף 5, שכן במרבית המקרים היא פועלת כגוף ביצועי מטעם המדינה. ממילא, אין לראות את הסכמי ההרשאה שנכרתו עמה, כעסקאות שנעשו עם </w:t>
      </w:r>
      <w:r w:rsidRPr="00416E6D">
        <w:rPr>
          <w:rFonts w:ascii="Century" w:hAnsi="Century" w:cs="Miriam"/>
          <w:b/>
          <w:spacing w:val="0"/>
          <w:szCs w:val="24"/>
          <w:rtl/>
        </w:rPr>
        <w:t>"</w:t>
      </w:r>
      <w:r w:rsidRPr="00416E6D">
        <w:rPr>
          <w:rFonts w:ascii="Century" w:hAnsi="Century" w:cs="Miriam" w:hint="eastAsia"/>
          <w:b/>
          <w:spacing w:val="0"/>
          <w:szCs w:val="24"/>
          <w:rtl/>
        </w:rPr>
        <w:t>אדם</w:t>
      </w:r>
      <w:r w:rsidRPr="00416E6D">
        <w:rPr>
          <w:rFonts w:ascii="Century" w:hAnsi="Century" w:cs="Miriam"/>
          <w:b/>
          <w:spacing w:val="0"/>
          <w:szCs w:val="24"/>
          <w:rtl/>
        </w:rPr>
        <w:t xml:space="preserve"> </w:t>
      </w:r>
      <w:r w:rsidRPr="00416E6D">
        <w:rPr>
          <w:rFonts w:ascii="Century" w:hAnsi="Century" w:cs="Miriam" w:hint="eastAsia"/>
          <w:b/>
          <w:spacing w:val="0"/>
          <w:szCs w:val="24"/>
          <w:rtl/>
        </w:rPr>
        <w:t>אחר</w:t>
      </w:r>
      <w:r w:rsidRPr="00416E6D">
        <w:rPr>
          <w:rFonts w:ascii="Century" w:hAnsi="Century" w:cs="Miriam"/>
          <w:b/>
          <w:spacing w:val="0"/>
          <w:szCs w:val="24"/>
          <w:rtl/>
        </w:rPr>
        <w:t>"</w:t>
      </w:r>
      <w:r>
        <w:rPr>
          <w:rFonts w:hint="cs"/>
          <w:rtl/>
        </w:rPr>
        <w:t xml:space="preserve">. </w:t>
      </w:r>
    </w:p>
    <w:p w:rsidR="00295623" w:rsidRDefault="00295623" w:rsidP="00295623">
      <w:pPr>
        <w:pStyle w:val="Ruller4"/>
        <w:numPr>
          <w:ilvl w:val="0"/>
          <w:numId w:val="0"/>
        </w:numPr>
        <w:tabs>
          <w:tab w:val="left" w:pos="90"/>
        </w:tabs>
      </w:pPr>
    </w:p>
    <w:p w:rsidR="00295623" w:rsidRDefault="00295623" w:rsidP="00295623">
      <w:pPr>
        <w:pStyle w:val="Ruller4"/>
        <w:numPr>
          <w:ilvl w:val="0"/>
          <w:numId w:val="0"/>
        </w:numPr>
        <w:tabs>
          <w:tab w:val="left" w:pos="90"/>
        </w:tabs>
        <w:rPr>
          <w:rtl/>
        </w:rPr>
      </w:pPr>
      <w:r>
        <w:rPr>
          <w:rtl/>
        </w:rPr>
        <w:tab/>
      </w:r>
      <w:r>
        <w:rPr>
          <w:rtl/>
        </w:rPr>
        <w:tab/>
      </w:r>
      <w:r>
        <w:rPr>
          <w:rFonts w:hint="cs"/>
          <w:rtl/>
        </w:rPr>
        <w:t xml:space="preserve">אין בידי לקבל טענה זו.  </w:t>
      </w:r>
    </w:p>
    <w:p w:rsidR="00295623" w:rsidRPr="00DF333F" w:rsidRDefault="00295623" w:rsidP="00295623">
      <w:pPr>
        <w:pStyle w:val="Ruller41"/>
        <w:tabs>
          <w:tab w:val="left" w:pos="90"/>
        </w:tabs>
        <w:spacing w:line="240" w:lineRule="auto"/>
      </w:pPr>
    </w:p>
    <w:p w:rsidR="00295623" w:rsidRDefault="00295623" w:rsidP="00295623">
      <w:pPr>
        <w:pStyle w:val="Ruller41"/>
        <w:rPr>
          <w:rtl/>
        </w:rPr>
      </w:pPr>
      <w:r>
        <w:rPr>
          <w:rFonts w:hint="cs"/>
          <w:rtl/>
        </w:rPr>
        <w:t>46.</w:t>
      </w:r>
      <w:r>
        <w:rPr>
          <w:rFonts w:hint="cs"/>
          <w:rtl/>
        </w:rPr>
        <w:tab/>
        <w:t>סעיף 1 לצו בדבר רכוש ממשלתי מגדיר את המונח</w:t>
      </w:r>
      <w:r w:rsidRPr="00DF333F">
        <w:rPr>
          <w:rtl/>
        </w:rPr>
        <w:t xml:space="preserve"> </w:t>
      </w:r>
      <w:r w:rsidRPr="00416E6D">
        <w:rPr>
          <w:rFonts w:ascii="Century" w:hAnsi="Century" w:cs="Miriam"/>
          <w:b/>
          <w:spacing w:val="0"/>
          <w:szCs w:val="24"/>
          <w:rtl/>
        </w:rPr>
        <w:t>"</w:t>
      </w:r>
      <w:r w:rsidRPr="00416E6D">
        <w:rPr>
          <w:rFonts w:ascii="Century" w:hAnsi="Century" w:cs="Miriam" w:hint="eastAsia"/>
          <w:b/>
          <w:spacing w:val="0"/>
          <w:szCs w:val="24"/>
          <w:rtl/>
        </w:rPr>
        <w:t>אדם</w:t>
      </w:r>
      <w:r w:rsidRPr="00416E6D">
        <w:rPr>
          <w:rFonts w:ascii="Century" w:hAnsi="Century" w:cs="Miriam"/>
          <w:b/>
          <w:spacing w:val="0"/>
          <w:szCs w:val="24"/>
          <w:rtl/>
        </w:rPr>
        <w:t>"</w:t>
      </w:r>
      <w:r w:rsidRPr="00DF333F">
        <w:rPr>
          <w:rtl/>
        </w:rPr>
        <w:t xml:space="preserve"> </w:t>
      </w:r>
      <w:r>
        <w:rPr>
          <w:rFonts w:hint="cs"/>
          <w:rtl/>
        </w:rPr>
        <w:t xml:space="preserve">כך: </w:t>
      </w:r>
      <w:r w:rsidRPr="00DF333F">
        <w:rPr>
          <w:rFonts w:ascii="Century" w:hAnsi="Century" w:cs="Miriam" w:hint="cs"/>
          <w:b/>
          <w:spacing w:val="0"/>
          <w:szCs w:val="24"/>
          <w:rtl/>
        </w:rPr>
        <w:t xml:space="preserve">"אדם </w:t>
      </w:r>
      <w:r w:rsidRPr="00DF333F">
        <w:rPr>
          <w:rFonts w:ascii="Century" w:hAnsi="Century"/>
          <w:rtl/>
        </w:rPr>
        <w:t>–</w:t>
      </w:r>
      <w:r w:rsidRPr="00DF333F">
        <w:rPr>
          <w:rFonts w:ascii="Century" w:hAnsi="Century" w:cs="Miriam" w:hint="cs"/>
          <w:b/>
          <w:spacing w:val="0"/>
          <w:szCs w:val="24"/>
          <w:rtl/>
        </w:rPr>
        <w:t xml:space="preserve"> </w:t>
      </w:r>
      <w:r w:rsidRPr="00DF333F">
        <w:rPr>
          <w:rFonts w:ascii="Century" w:hAnsi="Century" w:cs="Miriam" w:hint="eastAsia"/>
          <w:b/>
          <w:spacing w:val="0"/>
          <w:szCs w:val="24"/>
          <w:rtl/>
        </w:rPr>
        <w:t>לרבות</w:t>
      </w:r>
      <w:r w:rsidRPr="00DF333F">
        <w:rPr>
          <w:rFonts w:ascii="Century" w:hAnsi="Century" w:cs="Miriam"/>
          <w:b/>
          <w:spacing w:val="0"/>
          <w:szCs w:val="24"/>
          <w:rtl/>
        </w:rPr>
        <w:t xml:space="preserve"> </w:t>
      </w:r>
      <w:r w:rsidRPr="00DF333F">
        <w:rPr>
          <w:rFonts w:ascii="Century" w:hAnsi="Century" w:cs="Miriam" w:hint="eastAsia"/>
          <w:b/>
          <w:spacing w:val="0"/>
          <w:szCs w:val="24"/>
          <w:rtl/>
        </w:rPr>
        <w:t>תאגיד</w:t>
      </w:r>
      <w:r w:rsidRPr="00DF333F">
        <w:rPr>
          <w:rFonts w:ascii="Century" w:hAnsi="Century" w:cs="Miriam"/>
          <w:b/>
          <w:spacing w:val="0"/>
          <w:szCs w:val="24"/>
          <w:rtl/>
        </w:rPr>
        <w:t xml:space="preserve">, </w:t>
      </w:r>
      <w:r w:rsidRPr="00DF333F">
        <w:rPr>
          <w:rFonts w:ascii="Century" w:hAnsi="Century" w:cs="Miriam" w:hint="eastAsia"/>
          <w:b/>
          <w:spacing w:val="0"/>
          <w:szCs w:val="24"/>
          <w:rtl/>
        </w:rPr>
        <w:t>או</w:t>
      </w:r>
      <w:r w:rsidRPr="00DF333F">
        <w:rPr>
          <w:rFonts w:ascii="Century" w:hAnsi="Century" w:cs="Miriam"/>
          <w:b/>
          <w:spacing w:val="0"/>
          <w:szCs w:val="24"/>
          <w:rtl/>
        </w:rPr>
        <w:t xml:space="preserve"> </w:t>
      </w:r>
      <w:r w:rsidRPr="00DF333F">
        <w:rPr>
          <w:rFonts w:ascii="Century" w:hAnsi="Century" w:cs="Miriam" w:hint="eastAsia"/>
          <w:b/>
          <w:spacing w:val="0"/>
          <w:szCs w:val="24"/>
          <w:rtl/>
        </w:rPr>
        <w:t>חבר</w:t>
      </w:r>
      <w:r w:rsidRPr="00DF333F">
        <w:rPr>
          <w:rFonts w:ascii="Century" w:hAnsi="Century" w:cs="Miriam"/>
          <w:b/>
          <w:spacing w:val="0"/>
          <w:szCs w:val="24"/>
          <w:rtl/>
        </w:rPr>
        <w:t xml:space="preserve"> </w:t>
      </w:r>
      <w:r w:rsidRPr="00DF333F">
        <w:rPr>
          <w:rFonts w:ascii="Century" w:hAnsi="Century" w:cs="Miriam" w:hint="eastAsia"/>
          <w:b/>
          <w:spacing w:val="0"/>
          <w:szCs w:val="24"/>
          <w:rtl/>
        </w:rPr>
        <w:t>בני</w:t>
      </w:r>
      <w:r w:rsidRPr="00DF333F">
        <w:rPr>
          <w:rFonts w:ascii="Century" w:hAnsi="Century" w:cs="Miriam"/>
          <w:b/>
          <w:spacing w:val="0"/>
          <w:szCs w:val="24"/>
          <w:rtl/>
        </w:rPr>
        <w:t xml:space="preserve"> </w:t>
      </w:r>
      <w:r w:rsidRPr="00DF333F">
        <w:rPr>
          <w:rFonts w:ascii="Century" w:hAnsi="Century" w:cs="Miriam" w:hint="eastAsia"/>
          <w:b/>
          <w:spacing w:val="0"/>
          <w:szCs w:val="24"/>
          <w:rtl/>
        </w:rPr>
        <w:t>אדם</w:t>
      </w:r>
      <w:r w:rsidRPr="00DF333F">
        <w:rPr>
          <w:rFonts w:ascii="Century" w:hAnsi="Century" w:cs="Miriam"/>
          <w:b/>
          <w:spacing w:val="0"/>
          <w:szCs w:val="24"/>
          <w:rtl/>
        </w:rPr>
        <w:t xml:space="preserve"> </w:t>
      </w:r>
      <w:r w:rsidRPr="00DF333F">
        <w:rPr>
          <w:rFonts w:ascii="Century" w:hAnsi="Century" w:cs="Miriam" w:hint="eastAsia"/>
          <w:b/>
          <w:spacing w:val="0"/>
          <w:szCs w:val="24"/>
          <w:rtl/>
        </w:rPr>
        <w:t>שאינו</w:t>
      </w:r>
      <w:r w:rsidRPr="00DF333F">
        <w:rPr>
          <w:rFonts w:ascii="Century" w:hAnsi="Century" w:cs="Miriam"/>
          <w:b/>
          <w:spacing w:val="0"/>
          <w:szCs w:val="24"/>
          <w:rtl/>
        </w:rPr>
        <w:t xml:space="preserve"> </w:t>
      </w:r>
      <w:r w:rsidRPr="00DF333F">
        <w:rPr>
          <w:rFonts w:ascii="Century" w:hAnsi="Century" w:cs="Miriam" w:hint="eastAsia"/>
          <w:b/>
          <w:spacing w:val="0"/>
          <w:szCs w:val="24"/>
          <w:rtl/>
        </w:rPr>
        <w:t>מאוגד</w:t>
      </w:r>
      <w:r>
        <w:rPr>
          <w:rFonts w:ascii="Century" w:hAnsi="Century" w:cs="Miriam" w:hint="cs"/>
          <w:b/>
          <w:spacing w:val="0"/>
          <w:szCs w:val="24"/>
          <w:rtl/>
        </w:rPr>
        <w:t>"</w:t>
      </w:r>
      <w:r>
        <w:rPr>
          <w:rFonts w:hint="cs"/>
          <w:rtl/>
        </w:rPr>
        <w:t xml:space="preserve"> (ראו גם הגדרה זהה למונח </w:t>
      </w:r>
      <w:r w:rsidRPr="00416E6D">
        <w:rPr>
          <w:rFonts w:ascii="Century" w:hAnsi="Century" w:cs="Miriam"/>
          <w:b/>
          <w:spacing w:val="0"/>
          <w:szCs w:val="24"/>
          <w:rtl/>
        </w:rPr>
        <w:t>"</w:t>
      </w:r>
      <w:r w:rsidRPr="00416E6D">
        <w:rPr>
          <w:rFonts w:ascii="Century" w:hAnsi="Century" w:cs="Miriam" w:hint="eastAsia"/>
          <w:b/>
          <w:spacing w:val="0"/>
          <w:szCs w:val="24"/>
          <w:rtl/>
        </w:rPr>
        <w:t>אדם</w:t>
      </w:r>
      <w:r w:rsidRPr="00416E6D">
        <w:rPr>
          <w:rFonts w:ascii="Century" w:hAnsi="Century" w:cs="Miriam"/>
          <w:b/>
          <w:spacing w:val="0"/>
          <w:szCs w:val="24"/>
          <w:rtl/>
        </w:rPr>
        <w:t>"</w:t>
      </w:r>
      <w:r>
        <w:rPr>
          <w:rFonts w:hint="cs"/>
          <w:rtl/>
        </w:rPr>
        <w:t>, בצו בדבר פרשנות [נוסח משולב] (יהודה ושומרון) (מס' 1729), התשע"ד-2013)</w:t>
      </w:r>
      <w:r w:rsidRPr="00DF333F">
        <w:rPr>
          <w:rtl/>
        </w:rPr>
        <w:t>.</w:t>
      </w:r>
      <w:r>
        <w:rPr>
          <w:rFonts w:hint="cs"/>
          <w:rtl/>
        </w:rPr>
        <w:t xml:space="preserve"> מאחר שההסתדרות הציונית היא גוף עצמאי, בעל אישיות משפטית נפרדת מהמדינה, היא באה בגדרי </w:t>
      </w:r>
      <w:r w:rsidRPr="00416E6D">
        <w:rPr>
          <w:rFonts w:ascii="Century" w:hAnsi="Century" w:cs="Miriam"/>
          <w:b/>
          <w:spacing w:val="0"/>
          <w:szCs w:val="24"/>
          <w:rtl/>
        </w:rPr>
        <w:t>"</w:t>
      </w:r>
      <w:r w:rsidRPr="00416E6D">
        <w:rPr>
          <w:rFonts w:ascii="Century" w:hAnsi="Century" w:cs="Miriam" w:hint="eastAsia"/>
          <w:b/>
          <w:spacing w:val="0"/>
          <w:szCs w:val="24"/>
          <w:rtl/>
        </w:rPr>
        <w:t>אדם</w:t>
      </w:r>
      <w:r w:rsidRPr="00416E6D">
        <w:rPr>
          <w:rFonts w:ascii="Century" w:hAnsi="Century" w:cs="Miriam"/>
          <w:b/>
          <w:spacing w:val="0"/>
          <w:szCs w:val="24"/>
          <w:rtl/>
        </w:rPr>
        <w:t>"</w:t>
      </w:r>
      <w:r>
        <w:rPr>
          <w:rFonts w:hint="cs"/>
          <w:rtl/>
        </w:rPr>
        <w:t xml:space="preserve">, ומכאן שסעיף 5 חל גם ביחס לעסקאות שערך עמה הממונה (ראו: סעיף 1 לחוק מעמדן של ההסתדרות הציונית והעולמית ושל הסוכנות היהודית לארץ ישראל, התשי"ג-1952, הקובע כי </w:t>
      </w:r>
      <w:r w:rsidRPr="005568B0">
        <w:rPr>
          <w:rFonts w:ascii="Century" w:hAnsi="Century" w:cs="Miriam" w:hint="cs"/>
          <w:b/>
          <w:spacing w:val="0"/>
          <w:szCs w:val="24"/>
          <w:rtl/>
        </w:rPr>
        <w:t>"</w:t>
      </w:r>
      <w:r w:rsidRPr="005568B0">
        <w:rPr>
          <w:rFonts w:ascii="Century" w:hAnsi="Century" w:cs="Miriam" w:hint="eastAsia"/>
          <w:b/>
          <w:spacing w:val="0"/>
          <w:szCs w:val="24"/>
          <w:rtl/>
        </w:rPr>
        <w:t>ההסתדרות</w:t>
      </w:r>
      <w:r w:rsidRPr="005568B0">
        <w:rPr>
          <w:rFonts w:ascii="Century" w:hAnsi="Century" w:cs="Miriam"/>
          <w:b/>
          <w:spacing w:val="0"/>
          <w:szCs w:val="24"/>
          <w:rtl/>
        </w:rPr>
        <w:t xml:space="preserve"> </w:t>
      </w:r>
      <w:r w:rsidRPr="005568B0">
        <w:rPr>
          <w:rFonts w:ascii="Century" w:hAnsi="Century" w:cs="Miriam" w:hint="eastAsia"/>
          <w:b/>
          <w:spacing w:val="0"/>
          <w:szCs w:val="24"/>
          <w:rtl/>
        </w:rPr>
        <w:t>הציונית</w:t>
      </w:r>
      <w:r w:rsidRPr="005568B0">
        <w:rPr>
          <w:rFonts w:ascii="Century" w:hAnsi="Century" w:cs="Miriam"/>
          <w:b/>
          <w:spacing w:val="0"/>
          <w:szCs w:val="24"/>
          <w:rtl/>
        </w:rPr>
        <w:t xml:space="preserve"> </w:t>
      </w:r>
      <w:r w:rsidRPr="005568B0">
        <w:rPr>
          <w:rFonts w:ascii="Century" w:hAnsi="Century" w:cs="Miriam" w:hint="eastAsia"/>
          <w:b/>
          <w:spacing w:val="0"/>
          <w:szCs w:val="24"/>
          <w:rtl/>
        </w:rPr>
        <w:t>העולמית</w:t>
      </w:r>
      <w:r w:rsidRPr="005568B0">
        <w:rPr>
          <w:rFonts w:ascii="Century" w:hAnsi="Century" w:cs="Miriam"/>
          <w:b/>
          <w:spacing w:val="0"/>
          <w:szCs w:val="24"/>
          <w:rtl/>
        </w:rPr>
        <w:t xml:space="preserve"> </w:t>
      </w:r>
      <w:r w:rsidRPr="005568B0">
        <w:rPr>
          <w:rFonts w:ascii="Century" w:hAnsi="Century" w:cs="Miriam" w:hint="eastAsia"/>
          <w:b/>
          <w:spacing w:val="0"/>
          <w:szCs w:val="24"/>
          <w:rtl/>
        </w:rPr>
        <w:t>והסוכנות</w:t>
      </w:r>
      <w:r w:rsidRPr="005568B0">
        <w:rPr>
          <w:rFonts w:ascii="Century" w:hAnsi="Century" w:cs="Miriam"/>
          <w:b/>
          <w:spacing w:val="0"/>
          <w:szCs w:val="24"/>
          <w:rtl/>
        </w:rPr>
        <w:t xml:space="preserve"> </w:t>
      </w:r>
      <w:r w:rsidRPr="005568B0">
        <w:rPr>
          <w:rFonts w:ascii="Century" w:hAnsi="Century" w:cs="Miriam" w:hint="eastAsia"/>
          <w:b/>
          <w:spacing w:val="0"/>
          <w:szCs w:val="24"/>
          <w:rtl/>
        </w:rPr>
        <w:t>היהודית</w:t>
      </w:r>
      <w:r w:rsidRPr="005568B0">
        <w:rPr>
          <w:rFonts w:ascii="Century" w:hAnsi="Century" w:cs="Miriam"/>
          <w:b/>
          <w:spacing w:val="0"/>
          <w:szCs w:val="24"/>
          <w:rtl/>
        </w:rPr>
        <w:t xml:space="preserve"> </w:t>
      </w:r>
      <w:r w:rsidRPr="005568B0">
        <w:rPr>
          <w:rFonts w:ascii="Century" w:hAnsi="Century" w:cs="Miriam" w:hint="eastAsia"/>
          <w:b/>
          <w:spacing w:val="0"/>
          <w:szCs w:val="24"/>
          <w:rtl/>
        </w:rPr>
        <w:t>לארץ־</w:t>
      </w:r>
      <w:r>
        <w:rPr>
          <w:rFonts w:ascii="Century" w:hAnsi="Century" w:cs="Miriam" w:hint="cs"/>
          <w:b/>
          <w:spacing w:val="0"/>
          <w:szCs w:val="24"/>
          <w:rtl/>
        </w:rPr>
        <w:t xml:space="preserve"> </w:t>
      </w:r>
      <w:r w:rsidRPr="005568B0">
        <w:rPr>
          <w:rFonts w:ascii="Century" w:hAnsi="Century" w:cs="Miriam" w:hint="eastAsia"/>
          <w:b/>
          <w:spacing w:val="0"/>
          <w:szCs w:val="24"/>
          <w:rtl/>
        </w:rPr>
        <w:t>ישראל</w:t>
      </w:r>
      <w:r w:rsidRPr="005568B0">
        <w:rPr>
          <w:rFonts w:ascii="Century" w:hAnsi="Century" w:cs="Miriam"/>
          <w:b/>
          <w:spacing w:val="0"/>
          <w:szCs w:val="24"/>
          <w:rtl/>
        </w:rPr>
        <w:t xml:space="preserve">, </w:t>
      </w:r>
      <w:r w:rsidRPr="005568B0">
        <w:rPr>
          <w:rFonts w:ascii="Century" w:hAnsi="Century" w:cs="Miriam" w:hint="eastAsia"/>
          <w:b/>
          <w:spacing w:val="0"/>
          <w:szCs w:val="24"/>
          <w:rtl/>
        </w:rPr>
        <w:t>כל</w:t>
      </w:r>
      <w:r w:rsidRPr="005568B0">
        <w:rPr>
          <w:rFonts w:ascii="Century" w:hAnsi="Century" w:cs="Miriam"/>
          <w:b/>
          <w:spacing w:val="0"/>
          <w:szCs w:val="24"/>
          <w:rtl/>
        </w:rPr>
        <w:t xml:space="preserve"> </w:t>
      </w:r>
      <w:r w:rsidRPr="005568B0">
        <w:rPr>
          <w:rFonts w:ascii="Century" w:hAnsi="Century" w:cs="Miriam" w:hint="eastAsia"/>
          <w:b/>
          <w:spacing w:val="0"/>
          <w:szCs w:val="24"/>
          <w:rtl/>
        </w:rPr>
        <w:t>אחת</w:t>
      </w:r>
      <w:r w:rsidRPr="005568B0">
        <w:rPr>
          <w:rFonts w:ascii="Century" w:hAnsi="Century" w:cs="Miriam"/>
          <w:b/>
          <w:spacing w:val="0"/>
          <w:szCs w:val="24"/>
          <w:rtl/>
        </w:rPr>
        <w:t xml:space="preserve"> </w:t>
      </w:r>
      <w:r w:rsidRPr="005568B0">
        <w:rPr>
          <w:rFonts w:ascii="Century" w:hAnsi="Century" w:cs="Miriam" w:hint="eastAsia"/>
          <w:b/>
          <w:spacing w:val="0"/>
          <w:szCs w:val="24"/>
          <w:rtl/>
        </w:rPr>
        <w:t>מהן</w:t>
      </w:r>
      <w:r w:rsidRPr="005568B0">
        <w:rPr>
          <w:rFonts w:ascii="Century" w:hAnsi="Century" w:cs="Miriam"/>
          <w:b/>
          <w:spacing w:val="0"/>
          <w:szCs w:val="24"/>
          <w:rtl/>
        </w:rPr>
        <w:t xml:space="preserve"> </w:t>
      </w:r>
      <w:r w:rsidRPr="005568B0">
        <w:rPr>
          <w:rFonts w:ascii="Century" w:hAnsi="Century" w:cs="Miriam" w:hint="eastAsia"/>
          <w:b/>
          <w:spacing w:val="0"/>
          <w:szCs w:val="24"/>
          <w:rtl/>
        </w:rPr>
        <w:t>היא</w:t>
      </w:r>
      <w:r w:rsidRPr="005568B0">
        <w:rPr>
          <w:rFonts w:ascii="Century" w:hAnsi="Century" w:cs="Miriam"/>
          <w:b/>
          <w:spacing w:val="0"/>
          <w:szCs w:val="24"/>
          <w:rtl/>
        </w:rPr>
        <w:t xml:space="preserve"> </w:t>
      </w:r>
      <w:r w:rsidRPr="005568B0">
        <w:rPr>
          <w:rFonts w:ascii="Century" w:hAnsi="Century" w:cs="Miriam" w:hint="eastAsia"/>
          <w:b/>
          <w:spacing w:val="0"/>
          <w:szCs w:val="24"/>
          <w:rtl/>
        </w:rPr>
        <w:t>אישיות</w:t>
      </w:r>
      <w:r w:rsidRPr="005568B0">
        <w:rPr>
          <w:rFonts w:ascii="Century" w:hAnsi="Century" w:cs="Miriam"/>
          <w:b/>
          <w:spacing w:val="0"/>
          <w:szCs w:val="24"/>
          <w:rtl/>
        </w:rPr>
        <w:t xml:space="preserve"> </w:t>
      </w:r>
      <w:r w:rsidRPr="005568B0">
        <w:rPr>
          <w:rFonts w:ascii="Century" w:hAnsi="Century" w:cs="Miriam" w:hint="eastAsia"/>
          <w:b/>
          <w:spacing w:val="0"/>
          <w:szCs w:val="24"/>
          <w:rtl/>
        </w:rPr>
        <w:t>משפטית</w:t>
      </w:r>
      <w:r w:rsidRPr="005568B0">
        <w:rPr>
          <w:rFonts w:ascii="Century" w:hAnsi="Century" w:cs="Miriam"/>
          <w:b/>
          <w:spacing w:val="0"/>
          <w:szCs w:val="24"/>
          <w:rtl/>
        </w:rPr>
        <w:t xml:space="preserve"> </w:t>
      </w:r>
      <w:r w:rsidRPr="005568B0">
        <w:rPr>
          <w:rFonts w:ascii="Century" w:hAnsi="Century" w:cs="Miriam" w:hint="eastAsia"/>
          <w:b/>
          <w:spacing w:val="0"/>
          <w:szCs w:val="24"/>
          <w:rtl/>
        </w:rPr>
        <w:t>והיא</w:t>
      </w:r>
      <w:r w:rsidRPr="005568B0">
        <w:rPr>
          <w:rFonts w:ascii="Century" w:hAnsi="Century" w:cs="Miriam"/>
          <w:b/>
          <w:spacing w:val="0"/>
          <w:szCs w:val="24"/>
          <w:rtl/>
        </w:rPr>
        <w:t xml:space="preserve"> </w:t>
      </w:r>
      <w:r w:rsidRPr="005568B0">
        <w:rPr>
          <w:rFonts w:ascii="Century" w:hAnsi="Century" w:cs="Miriam" w:hint="eastAsia"/>
          <w:b/>
          <w:spacing w:val="0"/>
          <w:szCs w:val="24"/>
          <w:rtl/>
        </w:rPr>
        <w:t>רשאית</w:t>
      </w:r>
      <w:r w:rsidRPr="005568B0">
        <w:rPr>
          <w:rFonts w:ascii="Century" w:hAnsi="Century" w:cs="Miriam"/>
          <w:b/>
          <w:spacing w:val="0"/>
          <w:szCs w:val="24"/>
          <w:rtl/>
        </w:rPr>
        <w:t xml:space="preserve"> </w:t>
      </w:r>
      <w:r w:rsidRPr="005568B0">
        <w:rPr>
          <w:rFonts w:ascii="Century" w:hAnsi="Century" w:cs="Miriam" w:hint="eastAsia"/>
          <w:b/>
          <w:spacing w:val="0"/>
          <w:szCs w:val="24"/>
          <w:rtl/>
        </w:rPr>
        <w:t>להתקשר</w:t>
      </w:r>
      <w:r w:rsidRPr="005568B0">
        <w:rPr>
          <w:rFonts w:ascii="Century" w:hAnsi="Century" w:cs="Miriam"/>
          <w:b/>
          <w:spacing w:val="0"/>
          <w:szCs w:val="24"/>
          <w:rtl/>
        </w:rPr>
        <w:t xml:space="preserve"> </w:t>
      </w:r>
      <w:r w:rsidRPr="005568B0">
        <w:rPr>
          <w:rFonts w:ascii="Century" w:hAnsi="Century" w:cs="Miriam" w:hint="eastAsia"/>
          <w:b/>
          <w:spacing w:val="0"/>
          <w:szCs w:val="24"/>
          <w:rtl/>
        </w:rPr>
        <w:t>בחוזים</w:t>
      </w:r>
      <w:r w:rsidRPr="005568B0">
        <w:rPr>
          <w:rFonts w:ascii="Century" w:hAnsi="Century" w:cs="Miriam"/>
          <w:b/>
          <w:spacing w:val="0"/>
          <w:szCs w:val="24"/>
          <w:rtl/>
        </w:rPr>
        <w:t xml:space="preserve">, </w:t>
      </w:r>
      <w:r w:rsidRPr="005568B0">
        <w:rPr>
          <w:rFonts w:ascii="Century" w:hAnsi="Century" w:cs="Miriam" w:hint="eastAsia"/>
          <w:b/>
          <w:spacing w:val="0"/>
          <w:szCs w:val="24"/>
          <w:rtl/>
        </w:rPr>
        <w:t>לרכוש</w:t>
      </w:r>
      <w:r w:rsidRPr="005568B0">
        <w:rPr>
          <w:rFonts w:ascii="Century" w:hAnsi="Century" w:cs="Miriam"/>
          <w:b/>
          <w:spacing w:val="0"/>
          <w:szCs w:val="24"/>
          <w:rtl/>
        </w:rPr>
        <w:t xml:space="preserve"> </w:t>
      </w:r>
      <w:r w:rsidRPr="005568B0">
        <w:rPr>
          <w:rFonts w:ascii="Century" w:hAnsi="Century" w:cs="Miriam" w:hint="eastAsia"/>
          <w:b/>
          <w:spacing w:val="0"/>
          <w:szCs w:val="24"/>
          <w:rtl/>
        </w:rPr>
        <w:t>נכסים</w:t>
      </w:r>
      <w:r w:rsidRPr="005568B0">
        <w:rPr>
          <w:rFonts w:ascii="Century" w:hAnsi="Century" w:cs="Miriam"/>
          <w:b/>
          <w:spacing w:val="0"/>
          <w:szCs w:val="24"/>
          <w:rtl/>
        </w:rPr>
        <w:t xml:space="preserve">, </w:t>
      </w:r>
      <w:r w:rsidRPr="005568B0">
        <w:rPr>
          <w:rFonts w:ascii="Century" w:hAnsi="Century" w:cs="Miriam" w:hint="eastAsia"/>
          <w:b/>
          <w:spacing w:val="0"/>
          <w:szCs w:val="24"/>
          <w:rtl/>
        </w:rPr>
        <w:t>להחזיק</w:t>
      </w:r>
      <w:r w:rsidRPr="005568B0">
        <w:rPr>
          <w:rFonts w:ascii="Century" w:hAnsi="Century" w:cs="Miriam"/>
          <w:b/>
          <w:spacing w:val="0"/>
          <w:szCs w:val="24"/>
          <w:rtl/>
        </w:rPr>
        <w:t xml:space="preserve"> </w:t>
      </w:r>
      <w:r w:rsidRPr="005568B0">
        <w:rPr>
          <w:rFonts w:ascii="Century" w:hAnsi="Century" w:cs="Miriam" w:hint="eastAsia"/>
          <w:b/>
          <w:spacing w:val="0"/>
          <w:szCs w:val="24"/>
          <w:rtl/>
        </w:rPr>
        <w:t>בהם</w:t>
      </w:r>
      <w:r w:rsidRPr="005568B0">
        <w:rPr>
          <w:rFonts w:ascii="Century" w:hAnsi="Century" w:cs="Miriam"/>
          <w:b/>
          <w:spacing w:val="0"/>
          <w:szCs w:val="24"/>
          <w:rtl/>
        </w:rPr>
        <w:t xml:space="preserve"> </w:t>
      </w:r>
      <w:r w:rsidRPr="005568B0">
        <w:rPr>
          <w:rFonts w:ascii="Century" w:hAnsi="Century" w:cs="Miriam" w:hint="eastAsia"/>
          <w:b/>
          <w:spacing w:val="0"/>
          <w:szCs w:val="24"/>
          <w:rtl/>
        </w:rPr>
        <w:t>ולהוציאם</w:t>
      </w:r>
      <w:r w:rsidRPr="005568B0">
        <w:rPr>
          <w:rFonts w:ascii="Century" w:hAnsi="Century" w:cs="Miriam"/>
          <w:b/>
          <w:spacing w:val="0"/>
          <w:szCs w:val="24"/>
          <w:rtl/>
        </w:rPr>
        <w:t xml:space="preserve"> </w:t>
      </w:r>
      <w:r w:rsidRPr="005568B0">
        <w:rPr>
          <w:rFonts w:ascii="Century" w:hAnsi="Century" w:cs="Miriam" w:hint="eastAsia"/>
          <w:b/>
          <w:spacing w:val="0"/>
          <w:szCs w:val="24"/>
          <w:rtl/>
        </w:rPr>
        <w:t>מרשותה</w:t>
      </w:r>
      <w:r w:rsidRPr="005568B0">
        <w:rPr>
          <w:rFonts w:ascii="Century" w:hAnsi="Century" w:cs="Miriam"/>
          <w:b/>
          <w:spacing w:val="0"/>
          <w:szCs w:val="24"/>
          <w:rtl/>
        </w:rPr>
        <w:t xml:space="preserve">, </w:t>
      </w:r>
      <w:r w:rsidRPr="005568B0">
        <w:rPr>
          <w:rFonts w:ascii="Century" w:hAnsi="Century" w:cs="Miriam" w:hint="eastAsia"/>
          <w:b/>
          <w:spacing w:val="0"/>
          <w:szCs w:val="24"/>
          <w:rtl/>
        </w:rPr>
        <w:t>ולהיות</w:t>
      </w:r>
      <w:r w:rsidRPr="005568B0">
        <w:rPr>
          <w:rFonts w:ascii="Century" w:hAnsi="Century" w:cs="Miriam"/>
          <w:b/>
          <w:spacing w:val="0"/>
          <w:szCs w:val="24"/>
          <w:rtl/>
        </w:rPr>
        <w:t xml:space="preserve"> </w:t>
      </w:r>
      <w:r w:rsidRPr="005568B0">
        <w:rPr>
          <w:rFonts w:ascii="Century" w:hAnsi="Century" w:cs="Miriam" w:hint="eastAsia"/>
          <w:b/>
          <w:spacing w:val="0"/>
          <w:szCs w:val="24"/>
          <w:rtl/>
        </w:rPr>
        <w:t>צד</w:t>
      </w:r>
      <w:r w:rsidRPr="005568B0">
        <w:rPr>
          <w:rFonts w:ascii="Century" w:hAnsi="Century" w:cs="Miriam"/>
          <w:b/>
          <w:spacing w:val="0"/>
          <w:szCs w:val="24"/>
          <w:rtl/>
        </w:rPr>
        <w:t xml:space="preserve"> </w:t>
      </w:r>
      <w:r w:rsidRPr="005568B0">
        <w:rPr>
          <w:rFonts w:ascii="Century" w:hAnsi="Century" w:cs="Miriam" w:hint="eastAsia"/>
          <w:b/>
          <w:spacing w:val="0"/>
          <w:szCs w:val="24"/>
          <w:rtl/>
        </w:rPr>
        <w:t>בכל</w:t>
      </w:r>
      <w:r w:rsidRPr="005568B0">
        <w:rPr>
          <w:rFonts w:ascii="Century" w:hAnsi="Century" w:cs="Miriam"/>
          <w:b/>
          <w:spacing w:val="0"/>
          <w:szCs w:val="24"/>
          <w:rtl/>
        </w:rPr>
        <w:t xml:space="preserve"> </w:t>
      </w:r>
      <w:r w:rsidRPr="005568B0">
        <w:rPr>
          <w:rFonts w:ascii="Century" w:hAnsi="Century" w:cs="Miriam" w:hint="eastAsia"/>
          <w:b/>
          <w:spacing w:val="0"/>
          <w:szCs w:val="24"/>
          <w:rtl/>
        </w:rPr>
        <w:t>משא</w:t>
      </w:r>
      <w:r w:rsidRPr="005568B0">
        <w:rPr>
          <w:rFonts w:ascii="Century" w:hAnsi="Century" w:cs="Miriam"/>
          <w:b/>
          <w:spacing w:val="0"/>
          <w:szCs w:val="24"/>
          <w:rtl/>
        </w:rPr>
        <w:t xml:space="preserve"> </w:t>
      </w:r>
      <w:r w:rsidRPr="005568B0">
        <w:rPr>
          <w:rFonts w:ascii="Century" w:hAnsi="Century" w:cs="Miriam" w:hint="eastAsia"/>
          <w:b/>
          <w:spacing w:val="0"/>
          <w:szCs w:val="24"/>
          <w:rtl/>
        </w:rPr>
        <w:t>ומתן</w:t>
      </w:r>
      <w:r w:rsidRPr="005568B0">
        <w:rPr>
          <w:rFonts w:ascii="Century" w:hAnsi="Century" w:cs="Miriam"/>
          <w:b/>
          <w:spacing w:val="0"/>
          <w:szCs w:val="24"/>
          <w:rtl/>
        </w:rPr>
        <w:t xml:space="preserve"> </w:t>
      </w:r>
      <w:r w:rsidRPr="005568B0">
        <w:rPr>
          <w:rFonts w:ascii="Century" w:hAnsi="Century" w:cs="Miriam" w:hint="eastAsia"/>
          <w:b/>
          <w:spacing w:val="0"/>
          <w:szCs w:val="24"/>
          <w:rtl/>
        </w:rPr>
        <w:t>משפטי</w:t>
      </w:r>
      <w:r w:rsidRPr="005568B0">
        <w:rPr>
          <w:rFonts w:ascii="Century" w:hAnsi="Century" w:cs="Miriam"/>
          <w:b/>
          <w:spacing w:val="0"/>
          <w:szCs w:val="24"/>
          <w:rtl/>
        </w:rPr>
        <w:t xml:space="preserve"> </w:t>
      </w:r>
      <w:r w:rsidRPr="005568B0">
        <w:rPr>
          <w:rFonts w:ascii="Century" w:hAnsi="Century" w:cs="Miriam" w:hint="eastAsia"/>
          <w:b/>
          <w:spacing w:val="0"/>
          <w:szCs w:val="24"/>
          <w:rtl/>
        </w:rPr>
        <w:t>ואחר</w:t>
      </w:r>
      <w:r w:rsidRPr="005568B0">
        <w:rPr>
          <w:rFonts w:ascii="Century" w:hAnsi="Century" w:cs="Miriam" w:hint="cs"/>
          <w:b/>
          <w:spacing w:val="0"/>
          <w:szCs w:val="24"/>
          <w:rtl/>
        </w:rPr>
        <w:t>"</w:t>
      </w:r>
      <w:r>
        <w:rPr>
          <w:rFonts w:hint="cs"/>
          <w:rtl/>
        </w:rPr>
        <w:t xml:space="preserve">; בכל הנוגע למעמדה של ההסתדרות הציונית, ולמעמדה של החטיבה להתיישבות המשמשת זרוע ביצועית שלה </w:t>
      </w:r>
      <w:r>
        <w:rPr>
          <w:rtl/>
        </w:rPr>
        <w:t>–</w:t>
      </w:r>
      <w:r>
        <w:rPr>
          <w:rFonts w:hint="cs"/>
          <w:rtl/>
        </w:rPr>
        <w:t xml:space="preserve"> ראו: בג"ץ 9518/16 </w:t>
      </w:r>
      <w:r w:rsidRPr="004A361F">
        <w:rPr>
          <w:rFonts w:ascii="Century" w:hAnsi="Century" w:cs="Miriam" w:hint="cs"/>
          <w:b/>
          <w:spacing w:val="0"/>
          <w:szCs w:val="24"/>
          <w:rtl/>
        </w:rPr>
        <w:t>הראל נ' כנסת ישראל</w:t>
      </w:r>
      <w:r>
        <w:rPr>
          <w:rFonts w:hint="cs"/>
          <w:rtl/>
        </w:rPr>
        <w:t xml:space="preserve">, פסקה מ"ג (5.9.2017); בג"ץ </w:t>
      </w:r>
      <w:r>
        <w:rPr>
          <w:rFonts w:hint="cs"/>
          <w:rtl/>
        </w:rPr>
        <w:lastRenderedPageBreak/>
        <w:t xml:space="preserve">3301/15 </w:t>
      </w:r>
      <w:r w:rsidRPr="001D10A5">
        <w:rPr>
          <w:rFonts w:ascii="Century" w:hAnsi="Century" w:cs="Miriam" w:hint="cs"/>
          <w:b/>
          <w:spacing w:val="0"/>
          <w:szCs w:val="24"/>
          <w:rtl/>
        </w:rPr>
        <w:t>גלאון נ' סיעת הליכוד בכנסת ה-20</w:t>
      </w:r>
      <w:r>
        <w:rPr>
          <w:rFonts w:hint="cs"/>
          <w:rtl/>
        </w:rPr>
        <w:t xml:space="preserve">, פסקאות ט"ז ו-כ"א (29.6.2015); אסף הראל </w:t>
      </w:r>
      <w:r w:rsidRPr="00D66BCA">
        <w:rPr>
          <w:rFonts w:ascii="Century" w:hAnsi="Century" w:cs="Miriam" w:hint="cs"/>
          <w:b/>
          <w:spacing w:val="0"/>
          <w:szCs w:val="24"/>
          <w:rtl/>
        </w:rPr>
        <w:t>גופי ונושאי משרה דו-מהותיים</w:t>
      </w:r>
      <w:r>
        <w:rPr>
          <w:rFonts w:hint="cs"/>
          <w:rtl/>
        </w:rPr>
        <w:t xml:space="preserve">, 69 (2019)).    </w:t>
      </w:r>
    </w:p>
    <w:p w:rsidR="00295623" w:rsidRPr="004339D3" w:rsidRDefault="00295623" w:rsidP="00295623">
      <w:pPr>
        <w:pStyle w:val="Ruller41"/>
        <w:tabs>
          <w:tab w:val="left" w:pos="90"/>
        </w:tabs>
        <w:spacing w:line="240" w:lineRule="auto"/>
      </w:pPr>
    </w:p>
    <w:p w:rsidR="00295623" w:rsidRDefault="00295623" w:rsidP="00295623">
      <w:pPr>
        <w:pStyle w:val="Ruller41"/>
        <w:rPr>
          <w:rtl/>
        </w:rPr>
      </w:pPr>
      <w:r>
        <w:rPr>
          <w:rFonts w:hint="cs"/>
          <w:rtl/>
        </w:rPr>
        <w:t>47.</w:t>
      </w:r>
      <w:r>
        <w:rPr>
          <w:rFonts w:hint="cs"/>
          <w:rtl/>
        </w:rPr>
        <w:tab/>
        <w:t xml:space="preserve">זאת ועוד. הפרשנות שניתנה בפסיקה לביטוי </w:t>
      </w:r>
      <w:r w:rsidRPr="00416E6D">
        <w:rPr>
          <w:rFonts w:ascii="Century" w:hAnsi="Century" w:cs="Miriam"/>
          <w:b/>
          <w:spacing w:val="0"/>
          <w:szCs w:val="24"/>
          <w:rtl/>
        </w:rPr>
        <w:t>"</w:t>
      </w:r>
      <w:r w:rsidRPr="00416E6D">
        <w:rPr>
          <w:rFonts w:ascii="Century" w:hAnsi="Century" w:cs="Miriam" w:hint="eastAsia"/>
          <w:b/>
          <w:spacing w:val="0"/>
          <w:szCs w:val="24"/>
          <w:rtl/>
        </w:rPr>
        <w:t>אדם</w:t>
      </w:r>
      <w:r w:rsidRPr="00416E6D">
        <w:rPr>
          <w:rFonts w:ascii="Century" w:hAnsi="Century" w:cs="Miriam"/>
          <w:b/>
          <w:spacing w:val="0"/>
          <w:szCs w:val="24"/>
          <w:rtl/>
        </w:rPr>
        <w:t xml:space="preserve"> </w:t>
      </w:r>
      <w:r w:rsidRPr="00416E6D">
        <w:rPr>
          <w:rFonts w:ascii="Century" w:hAnsi="Century" w:cs="Miriam" w:hint="eastAsia"/>
          <w:b/>
          <w:spacing w:val="0"/>
          <w:szCs w:val="24"/>
          <w:rtl/>
        </w:rPr>
        <w:t>אחר</w:t>
      </w:r>
      <w:r w:rsidRPr="00416E6D">
        <w:rPr>
          <w:rFonts w:ascii="Century" w:hAnsi="Century" w:cs="Miriam"/>
          <w:b/>
          <w:spacing w:val="0"/>
          <w:szCs w:val="24"/>
          <w:rtl/>
        </w:rPr>
        <w:t>"</w:t>
      </w:r>
      <w:r>
        <w:rPr>
          <w:rFonts w:hint="cs"/>
          <w:rtl/>
        </w:rPr>
        <w:t xml:space="preserve"> שבסעיף 17(א) לחוק נכסי נפקדים, היא כזו הכוללת גם רשות סטטוטורית של ממש, המשמשת אורגן של המדינה, דוגמת רשות הפיתוח. לגבי זו האחרונה כבר נפסק, כי </w:t>
      </w:r>
      <w:r w:rsidRPr="004339D3">
        <w:rPr>
          <w:rFonts w:ascii="Century" w:hAnsi="Century" w:cs="Miriam" w:hint="cs"/>
          <w:b/>
          <w:spacing w:val="0"/>
          <w:szCs w:val="24"/>
          <w:rtl/>
        </w:rPr>
        <w:t>"</w:t>
      </w:r>
      <w:r w:rsidRPr="004339D3">
        <w:rPr>
          <w:rFonts w:ascii="Century" w:hAnsi="Century" w:cs="Miriam" w:hint="eastAsia"/>
          <w:b/>
          <w:spacing w:val="0"/>
          <w:szCs w:val="24"/>
          <w:rtl/>
        </w:rPr>
        <w:t>אין</w:t>
      </w:r>
      <w:r w:rsidRPr="004339D3">
        <w:rPr>
          <w:rFonts w:ascii="Century" w:hAnsi="Century" w:cs="Miriam"/>
          <w:b/>
          <w:spacing w:val="0"/>
          <w:szCs w:val="24"/>
          <w:rtl/>
        </w:rPr>
        <w:t xml:space="preserve"> </w:t>
      </w:r>
      <w:r w:rsidRPr="004339D3">
        <w:rPr>
          <w:rFonts w:ascii="Century" w:hAnsi="Century" w:cs="Miriam" w:hint="eastAsia"/>
          <w:b/>
          <w:spacing w:val="0"/>
          <w:szCs w:val="24"/>
          <w:rtl/>
        </w:rPr>
        <w:t>בכך</w:t>
      </w:r>
      <w:r w:rsidRPr="004339D3">
        <w:rPr>
          <w:rFonts w:ascii="Century" w:hAnsi="Century" w:cs="Miriam"/>
          <w:b/>
          <w:spacing w:val="0"/>
          <w:szCs w:val="24"/>
          <w:rtl/>
        </w:rPr>
        <w:t xml:space="preserve"> </w:t>
      </w:r>
      <w:r w:rsidRPr="004339D3">
        <w:rPr>
          <w:rFonts w:ascii="Century" w:hAnsi="Century" w:cs="Miriam" w:hint="eastAsia"/>
          <w:b/>
          <w:spacing w:val="0"/>
          <w:szCs w:val="24"/>
          <w:rtl/>
        </w:rPr>
        <w:t>שהאפוטרופוס</w:t>
      </w:r>
      <w:r w:rsidRPr="004339D3">
        <w:rPr>
          <w:rFonts w:ascii="Century" w:hAnsi="Century" w:cs="Miriam"/>
          <w:b/>
          <w:spacing w:val="0"/>
          <w:szCs w:val="24"/>
          <w:rtl/>
        </w:rPr>
        <w:t xml:space="preserve"> </w:t>
      </w:r>
      <w:r w:rsidRPr="004339D3">
        <w:rPr>
          <w:rFonts w:ascii="Century" w:hAnsi="Century" w:cs="Miriam" w:hint="eastAsia"/>
          <w:b/>
          <w:spacing w:val="0"/>
          <w:szCs w:val="24"/>
          <w:rtl/>
        </w:rPr>
        <w:t>ורשות</w:t>
      </w:r>
      <w:r w:rsidRPr="004339D3">
        <w:rPr>
          <w:rFonts w:ascii="Century" w:hAnsi="Century" w:cs="Miriam"/>
          <w:b/>
          <w:spacing w:val="0"/>
          <w:szCs w:val="24"/>
          <w:rtl/>
        </w:rPr>
        <w:t xml:space="preserve"> </w:t>
      </w:r>
      <w:r w:rsidRPr="004339D3">
        <w:rPr>
          <w:rFonts w:ascii="Century" w:hAnsi="Century" w:cs="Miriam" w:hint="eastAsia"/>
          <w:b/>
          <w:spacing w:val="0"/>
          <w:szCs w:val="24"/>
          <w:rtl/>
        </w:rPr>
        <w:t>הפיתוח</w:t>
      </w:r>
      <w:r w:rsidRPr="004339D3">
        <w:rPr>
          <w:rFonts w:ascii="Century" w:hAnsi="Century" w:cs="Miriam"/>
          <w:b/>
          <w:spacing w:val="0"/>
          <w:szCs w:val="24"/>
          <w:rtl/>
        </w:rPr>
        <w:t xml:space="preserve"> </w:t>
      </w:r>
      <w:r w:rsidRPr="004339D3">
        <w:rPr>
          <w:rFonts w:ascii="Century" w:hAnsi="Century" w:cs="Miriam" w:hint="eastAsia"/>
          <w:b/>
          <w:spacing w:val="0"/>
          <w:szCs w:val="24"/>
          <w:rtl/>
        </w:rPr>
        <w:t>שניהם</w:t>
      </w:r>
      <w:r w:rsidRPr="004339D3">
        <w:rPr>
          <w:rFonts w:ascii="Century" w:hAnsi="Century" w:cs="Miriam"/>
          <w:b/>
          <w:spacing w:val="0"/>
          <w:szCs w:val="24"/>
          <w:rtl/>
        </w:rPr>
        <w:t xml:space="preserve"> </w:t>
      </w:r>
      <w:r w:rsidRPr="004339D3">
        <w:rPr>
          <w:rFonts w:ascii="Century" w:hAnsi="Century" w:cs="Miriam" w:hint="eastAsia"/>
          <w:b/>
          <w:spacing w:val="0"/>
          <w:szCs w:val="24"/>
          <w:rtl/>
        </w:rPr>
        <w:t>בגדר</w:t>
      </w:r>
      <w:r w:rsidRPr="004339D3">
        <w:rPr>
          <w:rFonts w:ascii="Century" w:hAnsi="Century" w:cs="Miriam"/>
          <w:b/>
          <w:spacing w:val="0"/>
          <w:szCs w:val="24"/>
          <w:rtl/>
        </w:rPr>
        <w:t xml:space="preserve"> </w:t>
      </w:r>
      <w:r>
        <w:rPr>
          <w:rFonts w:ascii="Century" w:hAnsi="Century" w:cs="Miriam" w:hint="cs"/>
          <w:b/>
          <w:spacing w:val="0"/>
          <w:szCs w:val="24"/>
          <w:rtl/>
        </w:rPr>
        <w:t>'</w:t>
      </w:r>
      <w:r w:rsidRPr="004339D3">
        <w:rPr>
          <w:rFonts w:ascii="Century" w:hAnsi="Century" w:cs="Miriam" w:hint="eastAsia"/>
          <w:b/>
          <w:spacing w:val="0"/>
          <w:szCs w:val="24"/>
          <w:rtl/>
        </w:rPr>
        <w:t>רשות</w:t>
      </w:r>
      <w:r w:rsidRPr="004339D3">
        <w:rPr>
          <w:rFonts w:ascii="Century" w:hAnsi="Century" w:cs="Miriam"/>
          <w:b/>
          <w:spacing w:val="0"/>
          <w:szCs w:val="24"/>
          <w:rtl/>
        </w:rPr>
        <w:t xml:space="preserve"> </w:t>
      </w:r>
      <w:r w:rsidRPr="004339D3">
        <w:rPr>
          <w:rFonts w:ascii="Century" w:hAnsi="Century" w:cs="Miriam" w:hint="eastAsia"/>
          <w:b/>
          <w:spacing w:val="0"/>
          <w:szCs w:val="24"/>
          <w:rtl/>
        </w:rPr>
        <w:t>מינהלית</w:t>
      </w:r>
      <w:r>
        <w:rPr>
          <w:rFonts w:ascii="Century" w:hAnsi="Century" w:cs="Miriam" w:hint="cs"/>
          <w:b/>
          <w:spacing w:val="0"/>
          <w:szCs w:val="24"/>
          <w:rtl/>
        </w:rPr>
        <w:t>'</w:t>
      </w:r>
      <w:r w:rsidRPr="004339D3">
        <w:rPr>
          <w:rFonts w:ascii="Century" w:hAnsi="Century" w:cs="Miriam"/>
          <w:b/>
          <w:spacing w:val="0"/>
          <w:szCs w:val="24"/>
          <w:rtl/>
        </w:rPr>
        <w:t xml:space="preserve"> </w:t>
      </w:r>
      <w:r w:rsidRPr="004339D3">
        <w:rPr>
          <w:rFonts w:ascii="Century" w:hAnsi="Century" w:cs="Miriam" w:hint="eastAsia"/>
          <w:b/>
          <w:spacing w:val="0"/>
          <w:szCs w:val="24"/>
          <w:rtl/>
        </w:rPr>
        <w:t>כדי</w:t>
      </w:r>
      <w:r w:rsidRPr="004339D3">
        <w:rPr>
          <w:rFonts w:ascii="Century" w:hAnsi="Century" w:cs="Miriam"/>
          <w:b/>
          <w:spacing w:val="0"/>
          <w:szCs w:val="24"/>
          <w:rtl/>
        </w:rPr>
        <w:t xml:space="preserve"> </w:t>
      </w:r>
      <w:r w:rsidRPr="004339D3">
        <w:rPr>
          <w:rFonts w:ascii="Century" w:hAnsi="Century" w:cs="Miriam" w:hint="eastAsia"/>
          <w:b/>
          <w:spacing w:val="0"/>
          <w:szCs w:val="24"/>
          <w:rtl/>
        </w:rPr>
        <w:t>לשנות</w:t>
      </w:r>
      <w:r w:rsidRPr="004339D3">
        <w:rPr>
          <w:rFonts w:ascii="Century" w:hAnsi="Century" w:cs="Miriam"/>
          <w:b/>
          <w:spacing w:val="0"/>
          <w:szCs w:val="24"/>
          <w:rtl/>
        </w:rPr>
        <w:t xml:space="preserve"> </w:t>
      </w:r>
      <w:r w:rsidRPr="004339D3">
        <w:rPr>
          <w:rFonts w:ascii="Century" w:hAnsi="Century" w:cs="Miriam" w:hint="eastAsia"/>
          <w:b/>
          <w:spacing w:val="0"/>
          <w:szCs w:val="24"/>
          <w:rtl/>
        </w:rPr>
        <w:t>את</w:t>
      </w:r>
      <w:r w:rsidRPr="004339D3">
        <w:rPr>
          <w:rFonts w:ascii="Century" w:hAnsi="Century" w:cs="Miriam"/>
          <w:b/>
          <w:spacing w:val="0"/>
          <w:szCs w:val="24"/>
          <w:rtl/>
        </w:rPr>
        <w:t xml:space="preserve"> </w:t>
      </w:r>
      <w:r w:rsidRPr="004339D3">
        <w:rPr>
          <w:rFonts w:ascii="Century" w:hAnsi="Century" w:cs="Miriam" w:hint="eastAsia"/>
          <w:b/>
          <w:spacing w:val="0"/>
          <w:szCs w:val="24"/>
          <w:rtl/>
        </w:rPr>
        <w:t>המסקנה</w:t>
      </w:r>
      <w:r w:rsidRPr="004339D3">
        <w:rPr>
          <w:rFonts w:ascii="Century" w:hAnsi="Century" w:cs="Miriam"/>
          <w:b/>
          <w:spacing w:val="0"/>
          <w:szCs w:val="24"/>
          <w:rtl/>
        </w:rPr>
        <w:t xml:space="preserve">. </w:t>
      </w:r>
      <w:r w:rsidRPr="004339D3">
        <w:rPr>
          <w:rFonts w:ascii="Century" w:hAnsi="Century" w:cs="Miriam" w:hint="eastAsia"/>
          <w:b/>
          <w:spacing w:val="0"/>
          <w:szCs w:val="24"/>
          <w:rtl/>
        </w:rPr>
        <w:t>האפוטרופוס</w:t>
      </w:r>
      <w:r w:rsidRPr="004339D3">
        <w:rPr>
          <w:rFonts w:ascii="Century" w:hAnsi="Century" w:cs="Miriam"/>
          <w:b/>
          <w:spacing w:val="0"/>
          <w:szCs w:val="24"/>
          <w:rtl/>
        </w:rPr>
        <w:t xml:space="preserve"> </w:t>
      </w:r>
      <w:r w:rsidRPr="004339D3">
        <w:rPr>
          <w:rFonts w:ascii="Century" w:hAnsi="Century" w:cs="Miriam" w:hint="eastAsia"/>
          <w:b/>
          <w:spacing w:val="0"/>
          <w:szCs w:val="24"/>
          <w:rtl/>
        </w:rPr>
        <w:t>העביר</w:t>
      </w:r>
      <w:r w:rsidRPr="004339D3">
        <w:rPr>
          <w:rFonts w:ascii="Century" w:hAnsi="Century" w:cs="Miriam"/>
          <w:b/>
          <w:spacing w:val="0"/>
          <w:szCs w:val="24"/>
          <w:rtl/>
        </w:rPr>
        <w:t xml:space="preserve"> </w:t>
      </w:r>
      <w:r w:rsidRPr="004339D3">
        <w:rPr>
          <w:rFonts w:ascii="Century" w:hAnsi="Century" w:cs="Miriam" w:hint="eastAsia"/>
          <w:b/>
          <w:spacing w:val="0"/>
          <w:szCs w:val="24"/>
          <w:rtl/>
        </w:rPr>
        <w:t>את</w:t>
      </w:r>
      <w:r w:rsidRPr="004339D3">
        <w:rPr>
          <w:rFonts w:ascii="Century" w:hAnsi="Century" w:cs="Miriam"/>
          <w:b/>
          <w:spacing w:val="0"/>
          <w:szCs w:val="24"/>
          <w:rtl/>
        </w:rPr>
        <w:t xml:space="preserve"> </w:t>
      </w:r>
      <w:r w:rsidRPr="004339D3">
        <w:rPr>
          <w:rFonts w:ascii="Century" w:hAnsi="Century" w:cs="Miriam" w:hint="eastAsia"/>
          <w:b/>
          <w:spacing w:val="0"/>
          <w:szCs w:val="24"/>
          <w:rtl/>
        </w:rPr>
        <w:t>המקרקעין</w:t>
      </w:r>
      <w:r w:rsidRPr="004339D3">
        <w:rPr>
          <w:rFonts w:ascii="Century" w:hAnsi="Century" w:cs="Miriam"/>
          <w:b/>
          <w:spacing w:val="0"/>
          <w:szCs w:val="24"/>
          <w:rtl/>
        </w:rPr>
        <w:t xml:space="preserve"> </w:t>
      </w:r>
      <w:r w:rsidRPr="004339D3">
        <w:rPr>
          <w:rFonts w:ascii="Century" w:hAnsi="Century" w:cs="Miriam" w:hint="eastAsia"/>
          <w:b/>
          <w:spacing w:val="0"/>
          <w:szCs w:val="24"/>
          <w:rtl/>
        </w:rPr>
        <w:t>לידי</w:t>
      </w:r>
      <w:r w:rsidRPr="004339D3">
        <w:rPr>
          <w:rFonts w:ascii="Century" w:hAnsi="Century" w:cs="Miriam"/>
          <w:b/>
          <w:spacing w:val="0"/>
          <w:szCs w:val="24"/>
          <w:rtl/>
        </w:rPr>
        <w:t xml:space="preserve"> </w:t>
      </w:r>
      <w:r w:rsidRPr="004339D3">
        <w:rPr>
          <w:rFonts w:ascii="Century" w:hAnsi="Century" w:cs="Miriam" w:hint="eastAsia"/>
          <w:b/>
          <w:spacing w:val="0"/>
          <w:szCs w:val="24"/>
          <w:rtl/>
        </w:rPr>
        <w:t>רשות</w:t>
      </w:r>
      <w:r w:rsidRPr="004339D3">
        <w:rPr>
          <w:rFonts w:ascii="Century" w:hAnsi="Century" w:cs="Miriam"/>
          <w:b/>
          <w:spacing w:val="0"/>
          <w:szCs w:val="24"/>
          <w:rtl/>
        </w:rPr>
        <w:t xml:space="preserve"> </w:t>
      </w:r>
      <w:r w:rsidRPr="004339D3">
        <w:rPr>
          <w:rFonts w:ascii="Century" w:hAnsi="Century" w:cs="Miriam" w:hint="eastAsia"/>
          <w:b/>
          <w:spacing w:val="0"/>
          <w:szCs w:val="24"/>
          <w:rtl/>
        </w:rPr>
        <w:t>הפיתוח</w:t>
      </w:r>
      <w:r w:rsidRPr="004339D3">
        <w:rPr>
          <w:rFonts w:ascii="Century" w:hAnsi="Century" w:cs="Miriam"/>
          <w:b/>
          <w:spacing w:val="0"/>
          <w:szCs w:val="24"/>
          <w:rtl/>
        </w:rPr>
        <w:t xml:space="preserve">. </w:t>
      </w:r>
      <w:r w:rsidRPr="004339D3">
        <w:rPr>
          <w:rFonts w:ascii="Century" w:hAnsi="Century" w:cs="Miriam" w:hint="eastAsia"/>
          <w:b/>
          <w:spacing w:val="0"/>
          <w:szCs w:val="24"/>
          <w:rtl/>
        </w:rPr>
        <w:t>האחרונה</w:t>
      </w:r>
      <w:r w:rsidRPr="004339D3">
        <w:rPr>
          <w:rFonts w:ascii="Century" w:hAnsi="Century" w:cs="Miriam"/>
          <w:b/>
          <w:spacing w:val="0"/>
          <w:szCs w:val="24"/>
          <w:rtl/>
        </w:rPr>
        <w:t xml:space="preserve"> </w:t>
      </w:r>
      <w:r w:rsidRPr="004339D3">
        <w:rPr>
          <w:rFonts w:ascii="Century" w:hAnsi="Century" w:cs="Miriam" w:hint="eastAsia"/>
          <w:b/>
          <w:spacing w:val="0"/>
          <w:szCs w:val="24"/>
          <w:rtl/>
        </w:rPr>
        <w:t>הינה</w:t>
      </w:r>
      <w:r w:rsidRPr="004339D3">
        <w:rPr>
          <w:rFonts w:ascii="Century" w:hAnsi="Century" w:cs="Miriam"/>
          <w:b/>
          <w:spacing w:val="0"/>
          <w:szCs w:val="24"/>
          <w:rtl/>
        </w:rPr>
        <w:t xml:space="preserve"> </w:t>
      </w:r>
      <w:r w:rsidRPr="004339D3">
        <w:rPr>
          <w:rFonts w:ascii="Century" w:hAnsi="Century" w:cs="Miriam" w:hint="eastAsia"/>
          <w:b/>
          <w:spacing w:val="0"/>
          <w:szCs w:val="24"/>
          <w:rtl/>
        </w:rPr>
        <w:t>בגדר</w:t>
      </w:r>
      <w:r w:rsidRPr="004339D3">
        <w:rPr>
          <w:rFonts w:ascii="Century" w:hAnsi="Century" w:cs="Miriam"/>
          <w:b/>
          <w:spacing w:val="0"/>
          <w:szCs w:val="24"/>
          <w:rtl/>
        </w:rPr>
        <w:t xml:space="preserve"> </w:t>
      </w:r>
      <w:r>
        <w:rPr>
          <w:rFonts w:ascii="Century" w:hAnsi="Century" w:cs="Miriam" w:hint="cs"/>
          <w:b/>
          <w:spacing w:val="0"/>
          <w:szCs w:val="24"/>
          <w:rtl/>
        </w:rPr>
        <w:t>'</w:t>
      </w:r>
      <w:r w:rsidRPr="004339D3">
        <w:rPr>
          <w:rFonts w:ascii="Century" w:hAnsi="Century" w:cs="Miriam" w:hint="eastAsia"/>
          <w:b/>
          <w:spacing w:val="0"/>
          <w:szCs w:val="24"/>
          <w:rtl/>
        </w:rPr>
        <w:t>אדם</w:t>
      </w:r>
      <w:r w:rsidRPr="004339D3">
        <w:rPr>
          <w:rFonts w:ascii="Century" w:hAnsi="Century" w:cs="Miriam"/>
          <w:b/>
          <w:spacing w:val="0"/>
          <w:szCs w:val="24"/>
          <w:rtl/>
        </w:rPr>
        <w:t xml:space="preserve"> </w:t>
      </w:r>
      <w:r w:rsidRPr="004339D3">
        <w:rPr>
          <w:rFonts w:ascii="Century" w:hAnsi="Century" w:cs="Miriam" w:hint="eastAsia"/>
          <w:b/>
          <w:spacing w:val="0"/>
          <w:szCs w:val="24"/>
          <w:rtl/>
        </w:rPr>
        <w:t>אחר</w:t>
      </w:r>
      <w:r>
        <w:rPr>
          <w:rFonts w:ascii="Century" w:hAnsi="Century" w:cs="Miriam" w:hint="cs"/>
          <w:b/>
          <w:spacing w:val="0"/>
          <w:szCs w:val="24"/>
          <w:rtl/>
        </w:rPr>
        <w:t>'</w:t>
      </w:r>
      <w:r w:rsidRPr="004339D3">
        <w:rPr>
          <w:rFonts w:ascii="Century" w:hAnsi="Century" w:cs="Miriam"/>
          <w:b/>
          <w:spacing w:val="0"/>
          <w:szCs w:val="24"/>
          <w:rtl/>
        </w:rPr>
        <w:t xml:space="preserve"> </w:t>
      </w:r>
      <w:r w:rsidRPr="004339D3">
        <w:rPr>
          <w:rFonts w:ascii="Century" w:hAnsi="Century" w:cs="Miriam" w:hint="eastAsia"/>
          <w:b/>
          <w:spacing w:val="0"/>
          <w:szCs w:val="24"/>
          <w:rtl/>
        </w:rPr>
        <w:t>ביחס</w:t>
      </w:r>
      <w:r w:rsidRPr="004339D3">
        <w:rPr>
          <w:rFonts w:ascii="Century" w:hAnsi="Century" w:cs="Miriam"/>
          <w:b/>
          <w:spacing w:val="0"/>
          <w:szCs w:val="24"/>
          <w:rtl/>
        </w:rPr>
        <w:t xml:space="preserve"> </w:t>
      </w:r>
      <w:r w:rsidRPr="004339D3">
        <w:rPr>
          <w:rFonts w:ascii="Century" w:hAnsi="Century" w:cs="Miriam" w:hint="eastAsia"/>
          <w:b/>
          <w:spacing w:val="0"/>
          <w:szCs w:val="24"/>
          <w:rtl/>
        </w:rPr>
        <w:t>לנכס</w:t>
      </w:r>
      <w:r w:rsidRPr="004339D3">
        <w:rPr>
          <w:rFonts w:ascii="Century" w:hAnsi="Century" w:cs="Miriam"/>
          <w:b/>
          <w:spacing w:val="0"/>
          <w:szCs w:val="24"/>
          <w:rtl/>
        </w:rPr>
        <w:t xml:space="preserve"> </w:t>
      </w:r>
      <w:r w:rsidRPr="004339D3">
        <w:rPr>
          <w:rFonts w:ascii="Century" w:hAnsi="Century" w:cs="Miriam" w:hint="eastAsia"/>
          <w:b/>
          <w:spacing w:val="0"/>
          <w:szCs w:val="24"/>
          <w:rtl/>
        </w:rPr>
        <w:t>כהגדרת</w:t>
      </w:r>
      <w:r w:rsidRPr="004339D3">
        <w:rPr>
          <w:rFonts w:ascii="Century" w:hAnsi="Century" w:cs="Miriam"/>
          <w:b/>
          <w:spacing w:val="0"/>
          <w:szCs w:val="24"/>
          <w:rtl/>
        </w:rPr>
        <w:t xml:space="preserve"> </w:t>
      </w:r>
      <w:r w:rsidRPr="004339D3">
        <w:rPr>
          <w:rFonts w:ascii="Century" w:hAnsi="Century" w:cs="Miriam" w:hint="eastAsia"/>
          <w:b/>
          <w:spacing w:val="0"/>
          <w:szCs w:val="24"/>
          <w:rtl/>
        </w:rPr>
        <w:t>סעיף</w:t>
      </w:r>
      <w:r w:rsidRPr="004339D3">
        <w:rPr>
          <w:rFonts w:ascii="Century" w:hAnsi="Century" w:cs="Miriam"/>
          <w:b/>
          <w:spacing w:val="0"/>
          <w:szCs w:val="24"/>
          <w:rtl/>
        </w:rPr>
        <w:t xml:space="preserve"> 17, </w:t>
      </w:r>
      <w:r w:rsidRPr="004339D3">
        <w:rPr>
          <w:rFonts w:ascii="Century" w:hAnsi="Century" w:cs="Miriam" w:hint="eastAsia"/>
          <w:b/>
          <w:spacing w:val="0"/>
          <w:szCs w:val="24"/>
          <w:rtl/>
        </w:rPr>
        <w:t>ועל</w:t>
      </w:r>
      <w:r w:rsidRPr="004339D3">
        <w:rPr>
          <w:rFonts w:ascii="Century" w:hAnsi="Century" w:cs="Miriam"/>
          <w:b/>
          <w:spacing w:val="0"/>
          <w:szCs w:val="24"/>
          <w:rtl/>
        </w:rPr>
        <w:t xml:space="preserve"> </w:t>
      </w:r>
      <w:r w:rsidRPr="004339D3">
        <w:rPr>
          <w:rFonts w:ascii="Century" w:hAnsi="Century" w:cs="Miriam" w:hint="eastAsia"/>
          <w:b/>
          <w:spacing w:val="0"/>
          <w:szCs w:val="24"/>
          <w:rtl/>
        </w:rPr>
        <w:t>כן</w:t>
      </w:r>
      <w:r w:rsidRPr="004339D3">
        <w:rPr>
          <w:rFonts w:ascii="Century" w:hAnsi="Century" w:cs="Miriam"/>
          <w:b/>
          <w:spacing w:val="0"/>
          <w:szCs w:val="24"/>
          <w:rtl/>
        </w:rPr>
        <w:t xml:space="preserve"> </w:t>
      </w:r>
      <w:r>
        <w:rPr>
          <w:rFonts w:ascii="Century" w:hAnsi="Century" w:cs="Miriam" w:hint="cs"/>
          <w:b/>
          <w:spacing w:val="0"/>
          <w:szCs w:val="24"/>
          <w:rtl/>
        </w:rPr>
        <w:t>'</w:t>
      </w:r>
      <w:r w:rsidRPr="004339D3">
        <w:rPr>
          <w:rFonts w:ascii="Century" w:hAnsi="Century" w:cs="Miriam" w:hint="eastAsia"/>
          <w:b/>
          <w:spacing w:val="0"/>
          <w:szCs w:val="24"/>
          <w:rtl/>
        </w:rPr>
        <w:t>העסקה</w:t>
      </w:r>
      <w:r w:rsidRPr="004339D3">
        <w:rPr>
          <w:rFonts w:ascii="Century" w:hAnsi="Century" w:cs="Miriam"/>
          <w:b/>
          <w:spacing w:val="0"/>
          <w:szCs w:val="24"/>
          <w:rtl/>
        </w:rPr>
        <w:t xml:space="preserve"> </w:t>
      </w:r>
      <w:r w:rsidRPr="004339D3">
        <w:rPr>
          <w:rFonts w:ascii="Century" w:hAnsi="Century" w:cs="Miriam" w:hint="eastAsia"/>
          <w:b/>
          <w:spacing w:val="0"/>
          <w:szCs w:val="24"/>
          <w:rtl/>
        </w:rPr>
        <w:t>לא</w:t>
      </w:r>
      <w:r w:rsidRPr="004339D3">
        <w:rPr>
          <w:rFonts w:ascii="Century" w:hAnsi="Century" w:cs="Miriam"/>
          <w:b/>
          <w:spacing w:val="0"/>
          <w:szCs w:val="24"/>
          <w:rtl/>
        </w:rPr>
        <w:t xml:space="preserve"> </w:t>
      </w:r>
      <w:r w:rsidRPr="004339D3">
        <w:rPr>
          <w:rFonts w:ascii="Century" w:hAnsi="Century" w:cs="Miriam" w:hint="eastAsia"/>
          <w:b/>
          <w:spacing w:val="0"/>
          <w:szCs w:val="24"/>
          <w:rtl/>
        </w:rPr>
        <w:t>תיפסל</w:t>
      </w:r>
      <w:r w:rsidRPr="004339D3">
        <w:rPr>
          <w:rFonts w:ascii="Century" w:hAnsi="Century" w:cs="Miriam"/>
          <w:b/>
          <w:spacing w:val="0"/>
          <w:szCs w:val="24"/>
          <w:rtl/>
        </w:rPr>
        <w:t xml:space="preserve"> </w:t>
      </w:r>
      <w:r w:rsidRPr="004339D3">
        <w:rPr>
          <w:rFonts w:ascii="Century" w:hAnsi="Century" w:cs="Miriam" w:hint="eastAsia"/>
          <w:b/>
          <w:spacing w:val="0"/>
          <w:szCs w:val="24"/>
          <w:rtl/>
        </w:rPr>
        <w:t>ותעמוד</w:t>
      </w:r>
      <w:r w:rsidRPr="004339D3">
        <w:rPr>
          <w:rFonts w:ascii="Century" w:hAnsi="Century" w:cs="Miriam"/>
          <w:b/>
          <w:spacing w:val="0"/>
          <w:szCs w:val="24"/>
          <w:rtl/>
        </w:rPr>
        <w:t xml:space="preserve"> </w:t>
      </w:r>
      <w:r w:rsidRPr="004339D3">
        <w:rPr>
          <w:rFonts w:ascii="Century" w:hAnsi="Century" w:cs="Miriam" w:hint="eastAsia"/>
          <w:b/>
          <w:spacing w:val="0"/>
          <w:szCs w:val="24"/>
          <w:rtl/>
        </w:rPr>
        <w:t>בת</w:t>
      </w:r>
      <w:r>
        <w:rPr>
          <w:rFonts w:ascii="Century" w:hAnsi="Century" w:cs="Miriam" w:hint="cs"/>
          <w:b/>
          <w:spacing w:val="0"/>
          <w:szCs w:val="24"/>
          <w:rtl/>
        </w:rPr>
        <w:t>ו</w:t>
      </w:r>
      <w:r w:rsidRPr="004339D3">
        <w:rPr>
          <w:rFonts w:ascii="Century" w:hAnsi="Century" w:cs="Miriam" w:hint="eastAsia"/>
          <w:b/>
          <w:spacing w:val="0"/>
          <w:szCs w:val="24"/>
          <w:rtl/>
        </w:rPr>
        <w:t>קפה</w:t>
      </w:r>
      <w:r>
        <w:rPr>
          <w:rFonts w:ascii="Century" w:hAnsi="Century" w:cs="Miriam" w:hint="cs"/>
          <w:b/>
          <w:spacing w:val="0"/>
          <w:szCs w:val="24"/>
          <w:rtl/>
        </w:rPr>
        <w:t>'</w:t>
      </w:r>
      <w:r w:rsidRPr="004339D3">
        <w:rPr>
          <w:rFonts w:ascii="Century" w:hAnsi="Century" w:cs="Miriam"/>
          <w:b/>
          <w:spacing w:val="0"/>
          <w:szCs w:val="24"/>
          <w:rtl/>
        </w:rPr>
        <w:t xml:space="preserve"> </w:t>
      </w:r>
      <w:r w:rsidRPr="004339D3">
        <w:rPr>
          <w:rFonts w:ascii="Century" w:hAnsi="Century" w:cs="Miriam" w:hint="eastAsia"/>
          <w:b/>
          <w:spacing w:val="0"/>
          <w:szCs w:val="24"/>
          <w:rtl/>
        </w:rPr>
        <w:t>אף</w:t>
      </w:r>
      <w:r w:rsidRPr="004339D3">
        <w:rPr>
          <w:rFonts w:ascii="Century" w:hAnsi="Century" w:cs="Miriam"/>
          <w:b/>
          <w:spacing w:val="0"/>
          <w:szCs w:val="24"/>
          <w:rtl/>
        </w:rPr>
        <w:t xml:space="preserve"> </w:t>
      </w:r>
      <w:r w:rsidRPr="004339D3">
        <w:rPr>
          <w:rFonts w:ascii="Century" w:hAnsi="Century" w:cs="Miriam" w:hint="eastAsia"/>
          <w:b/>
          <w:spacing w:val="0"/>
          <w:szCs w:val="24"/>
          <w:rtl/>
        </w:rPr>
        <w:t>אם</w:t>
      </w:r>
      <w:r w:rsidRPr="004339D3">
        <w:rPr>
          <w:rFonts w:ascii="Century" w:hAnsi="Century" w:cs="Miriam"/>
          <w:b/>
          <w:spacing w:val="0"/>
          <w:szCs w:val="24"/>
          <w:rtl/>
        </w:rPr>
        <w:t xml:space="preserve"> </w:t>
      </w:r>
      <w:r w:rsidRPr="004339D3">
        <w:rPr>
          <w:rFonts w:ascii="Century" w:hAnsi="Century" w:cs="Miriam" w:hint="eastAsia"/>
          <w:b/>
          <w:spacing w:val="0"/>
          <w:szCs w:val="24"/>
          <w:rtl/>
        </w:rPr>
        <w:t>טעה</w:t>
      </w:r>
      <w:r w:rsidRPr="004339D3">
        <w:rPr>
          <w:rFonts w:ascii="Century" w:hAnsi="Century" w:cs="Miriam"/>
          <w:b/>
          <w:spacing w:val="0"/>
          <w:szCs w:val="24"/>
          <w:rtl/>
        </w:rPr>
        <w:t xml:space="preserve"> </w:t>
      </w:r>
      <w:r w:rsidRPr="004339D3">
        <w:rPr>
          <w:rFonts w:ascii="Century" w:hAnsi="Century" w:cs="Miriam" w:hint="eastAsia"/>
          <w:b/>
          <w:spacing w:val="0"/>
          <w:szCs w:val="24"/>
          <w:rtl/>
        </w:rPr>
        <w:t>האפוטרופוס</w:t>
      </w:r>
      <w:r w:rsidRPr="004339D3">
        <w:rPr>
          <w:rFonts w:ascii="Century" w:hAnsi="Century" w:cs="Miriam"/>
          <w:b/>
          <w:spacing w:val="0"/>
          <w:szCs w:val="24"/>
          <w:rtl/>
        </w:rPr>
        <w:t xml:space="preserve"> </w:t>
      </w:r>
      <w:r w:rsidRPr="004339D3">
        <w:rPr>
          <w:rFonts w:ascii="Century" w:hAnsi="Century" w:cs="Miriam" w:hint="eastAsia"/>
          <w:b/>
          <w:spacing w:val="0"/>
          <w:szCs w:val="24"/>
          <w:rtl/>
        </w:rPr>
        <w:t>בחשבו</w:t>
      </w:r>
      <w:r w:rsidRPr="004339D3">
        <w:rPr>
          <w:rFonts w:ascii="Century" w:hAnsi="Century" w:cs="Miriam"/>
          <w:b/>
          <w:spacing w:val="0"/>
          <w:szCs w:val="24"/>
          <w:rtl/>
        </w:rPr>
        <w:t xml:space="preserve"> </w:t>
      </w:r>
      <w:r w:rsidRPr="004339D3">
        <w:rPr>
          <w:rFonts w:ascii="Century" w:hAnsi="Century" w:cs="Miriam" w:hint="eastAsia"/>
          <w:b/>
          <w:spacing w:val="0"/>
          <w:szCs w:val="24"/>
          <w:rtl/>
        </w:rPr>
        <w:t>כי</w:t>
      </w:r>
      <w:r w:rsidRPr="004339D3">
        <w:rPr>
          <w:rFonts w:ascii="Century" w:hAnsi="Century" w:cs="Miriam"/>
          <w:b/>
          <w:spacing w:val="0"/>
          <w:szCs w:val="24"/>
          <w:rtl/>
        </w:rPr>
        <w:t xml:space="preserve"> </w:t>
      </w:r>
      <w:r w:rsidRPr="004339D3">
        <w:rPr>
          <w:rFonts w:ascii="Century" w:hAnsi="Century" w:cs="Miriam" w:hint="eastAsia"/>
          <w:b/>
          <w:spacing w:val="0"/>
          <w:szCs w:val="24"/>
          <w:rtl/>
        </w:rPr>
        <w:t>הנכס</w:t>
      </w:r>
      <w:r w:rsidRPr="004339D3">
        <w:rPr>
          <w:rFonts w:ascii="Century" w:hAnsi="Century" w:cs="Miriam"/>
          <w:b/>
          <w:spacing w:val="0"/>
          <w:szCs w:val="24"/>
          <w:rtl/>
        </w:rPr>
        <w:t xml:space="preserve"> </w:t>
      </w:r>
      <w:r w:rsidRPr="004339D3">
        <w:rPr>
          <w:rFonts w:ascii="Century" w:hAnsi="Century" w:cs="Miriam" w:hint="eastAsia"/>
          <w:b/>
          <w:spacing w:val="0"/>
          <w:szCs w:val="24"/>
          <w:rtl/>
        </w:rPr>
        <w:t>מוקנה</w:t>
      </w:r>
      <w:r w:rsidRPr="004339D3">
        <w:rPr>
          <w:rFonts w:ascii="Century" w:hAnsi="Century" w:cs="Miriam" w:hint="cs"/>
          <w:b/>
          <w:spacing w:val="0"/>
          <w:szCs w:val="24"/>
          <w:rtl/>
        </w:rPr>
        <w:t>"</w:t>
      </w:r>
      <w:r>
        <w:rPr>
          <w:rFonts w:hint="cs"/>
          <w:rtl/>
        </w:rPr>
        <w:t xml:space="preserve"> (ע"א 11085/08 </w:t>
      </w:r>
      <w:r w:rsidRPr="004339D3">
        <w:rPr>
          <w:rFonts w:ascii="Century" w:hAnsi="Century" w:cs="Miriam" w:hint="cs"/>
          <w:b/>
          <w:spacing w:val="0"/>
          <w:szCs w:val="24"/>
          <w:rtl/>
        </w:rPr>
        <w:t>מראד נ' רשות הפיתוח</w:t>
      </w:r>
      <w:r>
        <w:rPr>
          <w:rFonts w:hint="cs"/>
          <w:rtl/>
        </w:rPr>
        <w:t>, פסקה 6 (9.10.2011))</w:t>
      </w:r>
      <w:r w:rsidRPr="004339D3">
        <w:rPr>
          <w:rtl/>
        </w:rPr>
        <w:t>.</w:t>
      </w:r>
      <w:r>
        <w:rPr>
          <w:rFonts w:hint="cs"/>
          <w:rtl/>
        </w:rPr>
        <w:t xml:space="preserve"> רק לאחרונה בוצרה הלכה זו כהלכה מחייבת (ראו: דעת הרוב ב</w:t>
      </w:r>
      <w:r w:rsidRPr="00870A34">
        <w:rPr>
          <w:rFonts w:ascii="Century" w:hAnsi="Century" w:hint="cs"/>
          <w:rtl/>
        </w:rPr>
        <w:t>עניין</w:t>
      </w:r>
      <w:r w:rsidRPr="00BB6916">
        <w:rPr>
          <w:rFonts w:ascii="Century" w:hAnsi="Century" w:cs="Miriam" w:hint="cs"/>
          <w:b/>
          <w:spacing w:val="0"/>
          <w:szCs w:val="24"/>
          <w:rtl/>
        </w:rPr>
        <w:t xml:space="preserve"> עקל</w:t>
      </w:r>
      <w:r>
        <w:rPr>
          <w:rFonts w:hint="cs"/>
          <w:rtl/>
        </w:rPr>
        <w:t xml:space="preserve">). דברים אלה, כוחם יפה מקל וחומר, לגבי ההסתדרות הציונית, שאמנם משמשת לעיתים כגורם ביצועי מטעם המדינה, אך אינה משמשת כרשות מינהלית (להבדיל למשל מרשות הפיתוח). כאמור לעיל, נוכח זהות התכליות, אני מוצא טעם של ממש להשוות בין הפרשנות הראויה לסעיף 5, לזו שניתנה לסעיף 17(א) לחוק נכסי נפקדים.  </w:t>
      </w:r>
      <w:r>
        <w:rPr>
          <w:rFonts w:hint="cs"/>
          <w:rtl/>
        </w:rPr>
        <w:tab/>
      </w:r>
    </w:p>
    <w:p w:rsidR="00295623" w:rsidRPr="0082255B" w:rsidRDefault="00295623" w:rsidP="00295623">
      <w:pPr>
        <w:pStyle w:val="Ruller41"/>
        <w:tabs>
          <w:tab w:val="left" w:pos="90"/>
        </w:tabs>
        <w:spacing w:line="240" w:lineRule="auto"/>
      </w:pPr>
    </w:p>
    <w:p w:rsidR="00295623" w:rsidRDefault="00295623" w:rsidP="00295623">
      <w:pPr>
        <w:pStyle w:val="Ruller41"/>
        <w:rPr>
          <w:rtl/>
        </w:rPr>
      </w:pPr>
      <w:r>
        <w:rPr>
          <w:rFonts w:hint="cs"/>
          <w:rtl/>
        </w:rPr>
        <w:t>48.</w:t>
      </w:r>
      <w:r>
        <w:rPr>
          <w:rFonts w:hint="cs"/>
          <w:rtl/>
        </w:rPr>
        <w:tab/>
        <w:t>עוד אציין, כי פרשנות המשיבים, גם בהקשר זה, עלולה לרוקן את סעיף 5 מתוכן. הפרקטיקה המקובלת, שבאמצעותה מנהל הממונה את המקרקעין ביישובים הכפריים באיו"ש, היא הקצאות חוזיות לגורם מיישב, דוגמת ההסתדרות הציונית או משרד הבינוי והשיכון (באמצעות 'הסכמי הרשאה'), כאשר זה בתורו, מתקשר עם אגודות שיתופיות ועם מתיישבים פרטיים, בהסכמי 'בר-רשות' (</w:t>
      </w:r>
      <w:r w:rsidRPr="0082255B">
        <w:rPr>
          <w:rFonts w:ascii="Century" w:hAnsi="Century" w:cs="Miriam" w:hint="cs"/>
          <w:b/>
          <w:spacing w:val="0"/>
          <w:szCs w:val="24"/>
          <w:rtl/>
        </w:rPr>
        <w:t>דו"ח ועדת זנדברג</w:t>
      </w:r>
      <w:r>
        <w:rPr>
          <w:rFonts w:hint="cs"/>
          <w:rtl/>
        </w:rPr>
        <w:t xml:space="preserve">, עמ' 50; הסדרה דומה, חלה גם באשר להתיישבות החקלאית-שיתופית בשטחי ישראל </w:t>
      </w:r>
      <w:r>
        <w:rPr>
          <w:rtl/>
        </w:rPr>
        <w:t>–</w:t>
      </w:r>
      <w:r>
        <w:rPr>
          <w:rFonts w:hint="cs"/>
          <w:rtl/>
        </w:rPr>
        <w:t xml:space="preserve"> לעניין זה, ראו למשל: בע"מ 1813/18 </w:t>
      </w:r>
      <w:r w:rsidRPr="0082255B">
        <w:rPr>
          <w:rFonts w:ascii="Century" w:hAnsi="Century" w:cs="Miriam" w:hint="cs"/>
          <w:b/>
          <w:spacing w:val="0"/>
          <w:szCs w:val="24"/>
          <w:rtl/>
        </w:rPr>
        <w:t>פלוני נ' פלוני</w:t>
      </w:r>
      <w:r>
        <w:rPr>
          <w:rFonts w:hint="cs"/>
          <w:rtl/>
        </w:rPr>
        <w:t>, פסקה 12 (23.6.2019)). החרגת מקרקעין שהוקצו להסתדרות הציונית, מתחולת ההסדר שבסעיף 5, תביא לצמצומו באופן דרמטי, עד כדי איונו כליל. כפי שציינתי לעיל, עלינו להעניק לסעיף 5 פרשנות מקיימת, ולא פרשנות מאיינת, שתהפוך את ההסדר החוקי לסעיף חסר תוחלת, ל</w:t>
      </w:r>
      <w:r w:rsidRPr="0082255B">
        <w:rPr>
          <w:rFonts w:ascii="Century" w:hAnsi="Century" w:cs="Miriam" w:hint="cs"/>
          <w:b/>
          <w:spacing w:val="0"/>
          <w:szCs w:val="24"/>
          <w:rtl/>
        </w:rPr>
        <w:t>"</w:t>
      </w:r>
      <w:r w:rsidRPr="0082255B">
        <w:rPr>
          <w:rFonts w:ascii="Century" w:hAnsi="Century" w:cs="Miriam"/>
          <w:b/>
          <w:spacing w:val="0"/>
          <w:szCs w:val="24"/>
          <w:shd w:val="clear" w:color="auto" w:fill="FFFFFF"/>
          <w:rtl/>
        </w:rPr>
        <w:t>כְּלִי אֵין חֵפֶץ בּוֹ</w:t>
      </w:r>
      <w:r w:rsidRPr="0082255B">
        <w:rPr>
          <w:rFonts w:ascii="Century" w:hAnsi="Century" w:cs="Miriam" w:hint="cs"/>
          <w:b/>
          <w:spacing w:val="0"/>
          <w:szCs w:val="24"/>
          <w:shd w:val="clear" w:color="auto" w:fill="FFFFFF"/>
          <w:rtl/>
        </w:rPr>
        <w:t>"</w:t>
      </w:r>
      <w:r>
        <w:rPr>
          <w:rFonts w:hint="cs"/>
          <w:rtl/>
        </w:rPr>
        <w:t xml:space="preserve"> (ירמיהו כב, כח) (להנמקה דומה, ראו: עניין </w:t>
      </w:r>
      <w:r w:rsidRPr="00870A34">
        <w:rPr>
          <w:rFonts w:ascii="Century" w:hAnsi="Century" w:cs="Miriam" w:hint="cs"/>
          <w:b/>
          <w:spacing w:val="0"/>
          <w:szCs w:val="24"/>
          <w:rtl/>
        </w:rPr>
        <w:t>עקל</w:t>
      </w:r>
      <w:r>
        <w:rPr>
          <w:rFonts w:hint="cs"/>
          <w:rtl/>
        </w:rPr>
        <w:t xml:space="preserve">, פסקה 12). </w:t>
      </w:r>
    </w:p>
    <w:p w:rsidR="00295623" w:rsidRPr="0082255B" w:rsidRDefault="00295623" w:rsidP="00295623">
      <w:pPr>
        <w:pStyle w:val="Ruller41"/>
        <w:tabs>
          <w:tab w:val="left" w:pos="90"/>
        </w:tabs>
        <w:spacing w:line="480" w:lineRule="auto"/>
      </w:pPr>
    </w:p>
    <w:p w:rsidR="00295623" w:rsidRPr="00901CAF" w:rsidRDefault="00295623" w:rsidP="00295623">
      <w:pPr>
        <w:pStyle w:val="Ruller41"/>
        <w:tabs>
          <w:tab w:val="left" w:pos="90"/>
        </w:tabs>
        <w:spacing w:line="480" w:lineRule="auto"/>
        <w:rPr>
          <w:rFonts w:ascii="Century" w:hAnsi="Century" w:cs="Miriam"/>
          <w:b/>
          <w:spacing w:val="0"/>
          <w:szCs w:val="24"/>
        </w:rPr>
      </w:pPr>
      <w:r>
        <w:rPr>
          <w:rFonts w:ascii="Century" w:hAnsi="Century" w:cs="Miriam" w:hint="cs"/>
          <w:b/>
          <w:spacing w:val="0"/>
          <w:szCs w:val="24"/>
          <w:rtl/>
        </w:rPr>
        <w:t xml:space="preserve">שאלה שלישית: </w:t>
      </w:r>
      <w:r w:rsidRPr="00901CAF">
        <w:rPr>
          <w:rFonts w:ascii="Century" w:hAnsi="Century" w:cs="Miriam" w:hint="cs"/>
          <w:b/>
          <w:spacing w:val="0"/>
          <w:szCs w:val="24"/>
          <w:rtl/>
        </w:rPr>
        <w:t>האם סעיף 5 כולל רכיב של תמורה לצורך תחולתו?</w:t>
      </w:r>
    </w:p>
    <w:p w:rsidR="00295623" w:rsidRDefault="00295623" w:rsidP="00295623">
      <w:pPr>
        <w:pStyle w:val="Ruller41"/>
      </w:pPr>
      <w:r>
        <w:rPr>
          <w:rFonts w:hint="cs"/>
          <w:rtl/>
        </w:rPr>
        <w:t>49.</w:t>
      </w:r>
      <w:r>
        <w:rPr>
          <w:rFonts w:hint="cs"/>
          <w:rtl/>
        </w:rPr>
        <w:tab/>
        <w:t xml:space="preserve">עיון בסעיף 5 מלמדנו, כי </w:t>
      </w:r>
      <w:r w:rsidR="001D4967">
        <w:rPr>
          <w:rFonts w:hint="cs"/>
          <w:rtl/>
        </w:rPr>
        <w:t xml:space="preserve">הוא </w:t>
      </w:r>
      <w:r>
        <w:rPr>
          <w:rFonts w:hint="cs"/>
          <w:rtl/>
        </w:rPr>
        <w:t>אינו כולל התייחסות מפורשת לקיומה של תמורה לצורך תחולתו. זאת, בשונה מן הדרישה ביחס לתחולת תקנת השוק שבסעיף 10 לחוק המקרקעין. עמ</w:t>
      </w:r>
      <w:r w:rsidRPr="00536C48">
        <w:rPr>
          <w:rFonts w:hint="cs"/>
          <w:rtl/>
        </w:rPr>
        <w:t xml:space="preserve">דת המדינה, כפי שבאה לידי ביטוי גם במסמך </w:t>
      </w:r>
      <w:r w:rsidRPr="00536C48">
        <w:rPr>
          <w:rFonts w:ascii="Century" w:hAnsi="Century" w:cs="Miriam" w:hint="cs"/>
          <w:b/>
          <w:spacing w:val="0"/>
          <w:szCs w:val="24"/>
          <w:rtl/>
        </w:rPr>
        <w:t>"</w:t>
      </w:r>
      <w:r w:rsidRPr="00536C48">
        <w:rPr>
          <w:rFonts w:ascii="Century" w:hAnsi="Century" w:cs="Miriam" w:hint="eastAsia"/>
          <w:b/>
          <w:spacing w:val="0"/>
          <w:szCs w:val="24"/>
          <w:rtl/>
        </w:rPr>
        <w:t>סיכום</w:t>
      </w:r>
      <w:r w:rsidRPr="00536C48">
        <w:rPr>
          <w:rFonts w:ascii="Century" w:hAnsi="Century" w:cs="Miriam"/>
          <w:b/>
          <w:spacing w:val="0"/>
          <w:szCs w:val="24"/>
          <w:rtl/>
        </w:rPr>
        <w:t xml:space="preserve"> </w:t>
      </w:r>
      <w:r w:rsidRPr="00536C48">
        <w:rPr>
          <w:rFonts w:ascii="Century" w:hAnsi="Century" w:cs="Miriam" w:hint="eastAsia"/>
          <w:b/>
          <w:spacing w:val="0"/>
          <w:szCs w:val="24"/>
          <w:rtl/>
        </w:rPr>
        <w:t>דיון</w:t>
      </w:r>
      <w:r w:rsidRPr="00536C48">
        <w:rPr>
          <w:rFonts w:ascii="Century" w:hAnsi="Century" w:cs="Miriam"/>
          <w:b/>
          <w:spacing w:val="0"/>
          <w:szCs w:val="24"/>
          <w:rtl/>
        </w:rPr>
        <w:t xml:space="preserve"> </w:t>
      </w:r>
      <w:r w:rsidRPr="00536C48">
        <w:rPr>
          <w:rFonts w:ascii="Century" w:hAnsi="Century"/>
          <w:rtl/>
        </w:rPr>
        <w:t>–</w:t>
      </w:r>
      <w:r w:rsidRPr="00536C48">
        <w:rPr>
          <w:rFonts w:ascii="Century" w:hAnsi="Century" w:cs="Miriam"/>
          <w:b/>
          <w:spacing w:val="0"/>
          <w:szCs w:val="24"/>
          <w:rtl/>
        </w:rPr>
        <w:t xml:space="preserve"> </w:t>
      </w:r>
      <w:r w:rsidRPr="00536C48">
        <w:rPr>
          <w:rFonts w:ascii="Century" w:hAnsi="Century" w:cs="Miriam" w:hint="eastAsia"/>
          <w:b/>
          <w:spacing w:val="0"/>
          <w:szCs w:val="24"/>
          <w:rtl/>
        </w:rPr>
        <w:t>סעיף</w:t>
      </w:r>
      <w:r w:rsidRPr="00536C48">
        <w:rPr>
          <w:rFonts w:ascii="Century" w:hAnsi="Century" w:cs="Miriam"/>
          <w:b/>
          <w:spacing w:val="0"/>
          <w:szCs w:val="24"/>
          <w:rtl/>
        </w:rPr>
        <w:t xml:space="preserve"> 5 </w:t>
      </w:r>
      <w:r w:rsidRPr="00536C48">
        <w:rPr>
          <w:rFonts w:ascii="Century" w:hAnsi="Century" w:cs="Miriam" w:hint="eastAsia"/>
          <w:b/>
          <w:spacing w:val="0"/>
          <w:szCs w:val="24"/>
          <w:rtl/>
        </w:rPr>
        <w:t>לצו</w:t>
      </w:r>
      <w:r w:rsidRPr="00536C48">
        <w:rPr>
          <w:rFonts w:ascii="Century" w:hAnsi="Century" w:cs="Miriam"/>
          <w:b/>
          <w:spacing w:val="0"/>
          <w:szCs w:val="24"/>
          <w:rtl/>
        </w:rPr>
        <w:t xml:space="preserve"> </w:t>
      </w:r>
      <w:r w:rsidRPr="00536C48">
        <w:rPr>
          <w:rFonts w:ascii="Century" w:hAnsi="Century" w:cs="Miriam" w:hint="eastAsia"/>
          <w:b/>
          <w:spacing w:val="0"/>
          <w:szCs w:val="24"/>
          <w:rtl/>
        </w:rPr>
        <w:t>בדבר</w:t>
      </w:r>
      <w:r w:rsidRPr="00536C48">
        <w:rPr>
          <w:rFonts w:ascii="Century" w:hAnsi="Century" w:cs="Miriam"/>
          <w:b/>
          <w:spacing w:val="0"/>
          <w:szCs w:val="24"/>
          <w:rtl/>
        </w:rPr>
        <w:t xml:space="preserve"> </w:t>
      </w:r>
      <w:r w:rsidRPr="00536C48">
        <w:rPr>
          <w:rFonts w:ascii="Century" w:hAnsi="Century" w:cs="Miriam" w:hint="eastAsia"/>
          <w:b/>
          <w:spacing w:val="0"/>
          <w:szCs w:val="24"/>
          <w:rtl/>
        </w:rPr>
        <w:t>רכוש</w:t>
      </w:r>
      <w:r w:rsidRPr="00536C48">
        <w:rPr>
          <w:rFonts w:ascii="Century" w:hAnsi="Century" w:cs="Miriam"/>
          <w:b/>
          <w:spacing w:val="0"/>
          <w:szCs w:val="24"/>
          <w:rtl/>
        </w:rPr>
        <w:t xml:space="preserve"> </w:t>
      </w:r>
      <w:r w:rsidRPr="00536C48">
        <w:rPr>
          <w:rFonts w:ascii="Century" w:hAnsi="Century" w:cs="Miriam" w:hint="eastAsia"/>
          <w:b/>
          <w:spacing w:val="0"/>
          <w:szCs w:val="24"/>
          <w:rtl/>
        </w:rPr>
        <w:t>ממשלתי</w:t>
      </w:r>
      <w:r w:rsidRPr="00536C48">
        <w:rPr>
          <w:rFonts w:ascii="Century" w:hAnsi="Century" w:cs="Miriam"/>
          <w:b/>
          <w:spacing w:val="0"/>
          <w:szCs w:val="24"/>
          <w:rtl/>
        </w:rPr>
        <w:t xml:space="preserve"> (</w:t>
      </w:r>
      <w:r w:rsidRPr="00536C48">
        <w:rPr>
          <w:rFonts w:ascii="Century" w:hAnsi="Century" w:cs="Miriam" w:hint="eastAsia"/>
          <w:b/>
          <w:spacing w:val="0"/>
          <w:szCs w:val="24"/>
          <w:rtl/>
        </w:rPr>
        <w:t>יהודה</w:t>
      </w:r>
      <w:r w:rsidRPr="00536C48">
        <w:rPr>
          <w:rFonts w:ascii="Century" w:hAnsi="Century" w:cs="Miriam"/>
          <w:b/>
          <w:spacing w:val="0"/>
          <w:szCs w:val="24"/>
          <w:rtl/>
        </w:rPr>
        <w:t xml:space="preserve"> </w:t>
      </w:r>
      <w:r w:rsidRPr="00536C48">
        <w:rPr>
          <w:rFonts w:ascii="Century" w:hAnsi="Century" w:cs="Miriam" w:hint="eastAsia"/>
          <w:b/>
          <w:spacing w:val="0"/>
          <w:szCs w:val="24"/>
          <w:rtl/>
        </w:rPr>
        <w:t>ושומרון</w:t>
      </w:r>
      <w:r w:rsidRPr="00536C48">
        <w:rPr>
          <w:rFonts w:ascii="Century" w:hAnsi="Century" w:cs="Miriam"/>
          <w:b/>
          <w:spacing w:val="0"/>
          <w:szCs w:val="24"/>
          <w:rtl/>
        </w:rPr>
        <w:t>)</w:t>
      </w:r>
      <w:r w:rsidRPr="00536C48">
        <w:rPr>
          <w:rFonts w:ascii="Century" w:hAnsi="Century" w:cs="Miriam" w:hint="cs"/>
          <w:b/>
          <w:spacing w:val="0"/>
          <w:szCs w:val="24"/>
          <w:rtl/>
        </w:rPr>
        <w:t>"</w:t>
      </w:r>
      <w:r w:rsidRPr="00536C48">
        <w:rPr>
          <w:rFonts w:ascii="Century" w:hAnsi="Century" w:hint="cs"/>
          <w:rtl/>
        </w:rPr>
        <w:t>, מיום 7.12.2016</w:t>
      </w:r>
      <w:r>
        <w:rPr>
          <w:rFonts w:hint="cs"/>
          <w:rtl/>
        </w:rPr>
        <w:t xml:space="preserve"> </w:t>
      </w:r>
      <w:r w:rsidRPr="00536C48">
        <w:rPr>
          <w:rFonts w:hint="cs"/>
          <w:rtl/>
        </w:rPr>
        <w:t xml:space="preserve">(להלן: </w:t>
      </w:r>
      <w:r w:rsidRPr="00536C48">
        <w:rPr>
          <w:rFonts w:ascii="Century" w:hAnsi="Century" w:cs="Miriam" w:hint="cs"/>
          <w:b/>
          <w:spacing w:val="0"/>
          <w:szCs w:val="24"/>
          <w:rtl/>
        </w:rPr>
        <w:t>"חוות דעת היוע</w:t>
      </w:r>
      <w:r>
        <w:rPr>
          <w:rFonts w:ascii="Century" w:hAnsi="Century" w:cs="Miriam" w:hint="cs"/>
          <w:b/>
          <w:spacing w:val="0"/>
          <w:szCs w:val="24"/>
          <w:rtl/>
        </w:rPr>
        <w:t>ץ המשפטי לממשלה</w:t>
      </w:r>
      <w:r w:rsidRPr="00536C48">
        <w:rPr>
          <w:rFonts w:ascii="Century" w:hAnsi="Century" w:cs="Miriam" w:hint="cs"/>
          <w:b/>
          <w:spacing w:val="0"/>
          <w:szCs w:val="24"/>
          <w:rtl/>
        </w:rPr>
        <w:t xml:space="preserve"> מיום 7.12.2016"</w:t>
      </w:r>
      <w:r w:rsidRPr="00536C48">
        <w:rPr>
          <w:rFonts w:hint="cs"/>
          <w:rtl/>
        </w:rPr>
        <w:t>)</w:t>
      </w:r>
      <w:r>
        <w:rPr>
          <w:rFonts w:hint="cs"/>
          <w:rtl/>
        </w:rPr>
        <w:t xml:space="preserve">, היא שיש לקרוא לתוככי סעיף 5 דרישת תמורה, בדרך של </w:t>
      </w:r>
      <w:r>
        <w:rPr>
          <w:rFonts w:hint="cs"/>
          <w:rtl/>
        </w:rPr>
        <w:lastRenderedPageBreak/>
        <w:t xml:space="preserve">פרשנות (שם, סעיפים 5א ו-5ד). לצד זאת גורסת המדינה, כי אין הכרח להצביע על העברת תמורה </w:t>
      </w:r>
      <w:r w:rsidRPr="00C175B8">
        <w:rPr>
          <w:rFonts w:ascii="Century" w:hAnsi="Century"/>
          <w:rtl/>
        </w:rPr>
        <w:t>כספית</w:t>
      </w:r>
      <w:r w:rsidRPr="00D53AE7">
        <w:rPr>
          <w:rFonts w:hint="cs"/>
          <w:rtl/>
        </w:rPr>
        <w:t xml:space="preserve"> </w:t>
      </w:r>
      <w:r>
        <w:rPr>
          <w:rFonts w:hint="cs"/>
          <w:rtl/>
        </w:rPr>
        <w:t xml:space="preserve">מאת המתקשר לממונה </w:t>
      </w:r>
      <w:r>
        <w:rPr>
          <w:rtl/>
        </w:rPr>
        <w:t>–</w:t>
      </w:r>
      <w:r>
        <w:rPr>
          <w:rFonts w:hint="cs"/>
          <w:rtl/>
        </w:rPr>
        <w:t xml:space="preserve"> פעולה שממילא אינה משקפת את הפרקטיקה המקובלת בהקצאות מקרקעין באיו"ש; לשיטתה, ניתן לראות ב</w:t>
      </w:r>
      <w:r w:rsidRPr="00FC7F6A">
        <w:rPr>
          <w:rFonts w:ascii="Century" w:hAnsi="Century" w:cs="Miriam" w:hint="cs"/>
          <w:b/>
          <w:spacing w:val="0"/>
          <w:szCs w:val="24"/>
          <w:rtl/>
        </w:rPr>
        <w:t>"קידום תכנית מתאר לשטח המוקצה, פיתוחו ושיווקו"</w:t>
      </w:r>
      <w:r>
        <w:rPr>
          <w:rFonts w:hint="cs"/>
          <w:rtl/>
        </w:rPr>
        <w:t xml:space="preserve">, על-ידי המתקשר עם הממונה, משום מענה לדרישת התמורה. כאמור לעיל, חברי השופט </w:t>
      </w:r>
      <w:r w:rsidRPr="001F0163">
        <w:rPr>
          <w:rFonts w:ascii="Century" w:hAnsi="Century" w:cs="Miriam" w:hint="cs"/>
          <w:b/>
          <w:spacing w:val="0"/>
          <w:szCs w:val="24"/>
          <w:rtl/>
        </w:rPr>
        <w:t>הנדל</w:t>
      </w:r>
      <w:r>
        <w:rPr>
          <w:rFonts w:hint="cs"/>
          <w:rtl/>
        </w:rPr>
        <w:t xml:space="preserve">, הותיר את שאלת התמורה בצריך עיון, כשקבע כי בענייננו די בבניית המבנים במקרקעין על מנת </w:t>
      </w:r>
      <w:r w:rsidRPr="00FC7F6A">
        <w:rPr>
          <w:rFonts w:ascii="Century" w:hAnsi="Century" w:cs="Miriam" w:hint="cs"/>
          <w:b/>
          <w:spacing w:val="0"/>
          <w:szCs w:val="24"/>
          <w:rtl/>
        </w:rPr>
        <w:t>"לענות על יסוד ההסתמכות או התמורה"</w:t>
      </w:r>
      <w:r>
        <w:rPr>
          <w:rFonts w:hint="cs"/>
          <w:rtl/>
        </w:rPr>
        <w:t>.</w:t>
      </w:r>
    </w:p>
    <w:p w:rsidR="00295623" w:rsidRPr="004156C1" w:rsidRDefault="00295623" w:rsidP="00295623">
      <w:pPr>
        <w:pStyle w:val="Ruller4"/>
        <w:numPr>
          <w:ilvl w:val="0"/>
          <w:numId w:val="0"/>
        </w:numPr>
        <w:tabs>
          <w:tab w:val="left" w:pos="90"/>
        </w:tabs>
        <w:spacing w:line="240" w:lineRule="auto"/>
      </w:pPr>
      <w:r>
        <w:rPr>
          <w:rFonts w:hint="cs"/>
          <w:rtl/>
        </w:rPr>
        <w:t xml:space="preserve"> </w:t>
      </w:r>
    </w:p>
    <w:p w:rsidR="00295623" w:rsidRDefault="00295623" w:rsidP="00295623">
      <w:pPr>
        <w:pStyle w:val="Ruller41"/>
        <w:rPr>
          <w:rtl/>
        </w:rPr>
      </w:pPr>
      <w:r>
        <w:rPr>
          <w:rFonts w:hint="cs"/>
          <w:rtl/>
        </w:rPr>
        <w:t>50.</w:t>
      </w:r>
      <w:r>
        <w:rPr>
          <w:rFonts w:hint="cs"/>
          <w:rtl/>
        </w:rPr>
        <w:tab/>
        <w:t xml:space="preserve">גם ביחס לסעיף המקביל בחקיקה הישראלית </w:t>
      </w:r>
      <w:r>
        <w:rPr>
          <w:rtl/>
        </w:rPr>
        <w:t>–</w:t>
      </w:r>
      <w:r>
        <w:rPr>
          <w:rFonts w:hint="cs"/>
          <w:rtl/>
        </w:rPr>
        <w:t xml:space="preserve"> סעיף 17(א) לחוק נכסי נפקדים </w:t>
      </w:r>
      <w:r>
        <w:rPr>
          <w:rtl/>
        </w:rPr>
        <w:t>–</w:t>
      </w:r>
      <w:r>
        <w:rPr>
          <w:rFonts w:hint="cs"/>
          <w:rtl/>
        </w:rPr>
        <w:t xml:space="preserve"> נותרה שאלת התמורה בצריך עיון (ראו: </w:t>
      </w:r>
      <w:r w:rsidRPr="00247D56">
        <w:rPr>
          <w:rFonts w:hint="eastAsia"/>
          <w:rtl/>
        </w:rPr>
        <w:t>ע</w:t>
      </w:r>
      <w:r w:rsidRPr="00247D56">
        <w:rPr>
          <w:rtl/>
        </w:rPr>
        <w:t>"</w:t>
      </w:r>
      <w:r w:rsidRPr="00247D56">
        <w:rPr>
          <w:rFonts w:hint="eastAsia"/>
          <w:rtl/>
        </w:rPr>
        <w:t>א</w:t>
      </w:r>
      <w:r w:rsidRPr="00247D56">
        <w:rPr>
          <w:rtl/>
        </w:rPr>
        <w:t xml:space="preserve"> 109/87 </w:t>
      </w:r>
      <w:r w:rsidRPr="00247D56">
        <w:rPr>
          <w:rFonts w:ascii="Century" w:hAnsi="Century" w:cs="Miriam" w:hint="eastAsia"/>
          <w:b/>
          <w:spacing w:val="0"/>
          <w:szCs w:val="24"/>
          <w:rtl/>
        </w:rPr>
        <w:t>חוות</w:t>
      </w:r>
      <w:r w:rsidRPr="00247D56">
        <w:rPr>
          <w:rFonts w:ascii="Century" w:hAnsi="Century" w:cs="Miriam"/>
          <w:b/>
          <w:spacing w:val="0"/>
          <w:szCs w:val="24"/>
          <w:rtl/>
        </w:rPr>
        <w:t xml:space="preserve"> </w:t>
      </w:r>
      <w:r w:rsidRPr="00247D56">
        <w:rPr>
          <w:rFonts w:ascii="Century" w:hAnsi="Century" w:cs="Miriam" w:hint="eastAsia"/>
          <w:b/>
          <w:spacing w:val="0"/>
          <w:szCs w:val="24"/>
          <w:rtl/>
        </w:rPr>
        <w:t>מקורה</w:t>
      </w:r>
      <w:r w:rsidRPr="00247D56">
        <w:rPr>
          <w:rFonts w:ascii="Century" w:hAnsi="Century" w:cs="Miriam"/>
          <w:b/>
          <w:spacing w:val="0"/>
          <w:szCs w:val="24"/>
          <w:rtl/>
        </w:rPr>
        <w:t xml:space="preserve"> </w:t>
      </w:r>
      <w:r w:rsidRPr="00247D56">
        <w:rPr>
          <w:rFonts w:ascii="Century" w:hAnsi="Century" w:cs="Miriam" w:hint="eastAsia"/>
          <w:b/>
          <w:spacing w:val="0"/>
          <w:szCs w:val="24"/>
          <w:rtl/>
        </w:rPr>
        <w:t>בע</w:t>
      </w:r>
      <w:r w:rsidRPr="00247D56">
        <w:rPr>
          <w:rFonts w:ascii="Century" w:hAnsi="Century" w:cs="Miriam"/>
          <w:b/>
          <w:spacing w:val="0"/>
          <w:szCs w:val="24"/>
          <w:rtl/>
        </w:rPr>
        <w:t>"</w:t>
      </w:r>
      <w:r w:rsidRPr="00247D56">
        <w:rPr>
          <w:rFonts w:ascii="Century" w:hAnsi="Century" w:cs="Miriam" w:hint="eastAsia"/>
          <w:b/>
          <w:spacing w:val="0"/>
          <w:szCs w:val="24"/>
          <w:rtl/>
        </w:rPr>
        <w:t>מ</w:t>
      </w:r>
      <w:r w:rsidRPr="00247D56">
        <w:rPr>
          <w:rFonts w:ascii="Century" w:hAnsi="Century" w:cs="Miriam"/>
          <w:b/>
          <w:spacing w:val="0"/>
          <w:szCs w:val="24"/>
          <w:rtl/>
        </w:rPr>
        <w:t xml:space="preserve"> </w:t>
      </w:r>
      <w:r w:rsidRPr="00247D56">
        <w:rPr>
          <w:rFonts w:ascii="Century" w:hAnsi="Century" w:cs="Miriam" w:hint="eastAsia"/>
          <w:b/>
          <w:spacing w:val="0"/>
          <w:szCs w:val="24"/>
          <w:rtl/>
        </w:rPr>
        <w:t>נ</w:t>
      </w:r>
      <w:r w:rsidRPr="00247D56">
        <w:rPr>
          <w:rFonts w:ascii="Century" w:hAnsi="Century" w:cs="Miriam"/>
          <w:b/>
          <w:spacing w:val="0"/>
          <w:szCs w:val="24"/>
          <w:rtl/>
        </w:rPr>
        <w:t xml:space="preserve">' </w:t>
      </w:r>
      <w:r w:rsidRPr="00247D56">
        <w:rPr>
          <w:rFonts w:ascii="Century" w:hAnsi="Century" w:cs="Miriam" w:hint="eastAsia"/>
          <w:b/>
          <w:spacing w:val="0"/>
          <w:szCs w:val="24"/>
          <w:rtl/>
        </w:rPr>
        <w:t>חסן</w:t>
      </w:r>
      <w:r w:rsidRPr="00247D56">
        <w:rPr>
          <w:rtl/>
        </w:rPr>
        <w:t xml:space="preserve">, </w:t>
      </w:r>
      <w:r w:rsidRPr="00247D56">
        <w:rPr>
          <w:rFonts w:hint="eastAsia"/>
          <w:rtl/>
        </w:rPr>
        <w:t>פ</w:t>
      </w:r>
      <w:r w:rsidRPr="00247D56">
        <w:rPr>
          <w:rtl/>
        </w:rPr>
        <w:t>"</w:t>
      </w:r>
      <w:r w:rsidRPr="00247D56">
        <w:rPr>
          <w:rFonts w:hint="eastAsia"/>
          <w:rtl/>
        </w:rPr>
        <w:t>ד</w:t>
      </w:r>
      <w:r w:rsidRPr="00247D56">
        <w:rPr>
          <w:rtl/>
        </w:rPr>
        <w:t xml:space="preserve"> </w:t>
      </w:r>
      <w:r w:rsidRPr="00247D56">
        <w:rPr>
          <w:rFonts w:hint="eastAsia"/>
          <w:rtl/>
        </w:rPr>
        <w:t>מז</w:t>
      </w:r>
      <w:r w:rsidRPr="00247D56">
        <w:rPr>
          <w:rtl/>
        </w:rPr>
        <w:t xml:space="preserve">(5) 1, </w:t>
      </w:r>
      <w:r w:rsidRPr="00247D56">
        <w:rPr>
          <w:rFonts w:hint="cs"/>
          <w:rtl/>
        </w:rPr>
        <w:t>25</w:t>
      </w:r>
      <w:r w:rsidRPr="00247D56">
        <w:rPr>
          <w:rtl/>
        </w:rPr>
        <w:t xml:space="preserve"> (1993</w:t>
      </w:r>
      <w:r w:rsidRPr="00247D56">
        <w:rPr>
          <w:rFonts w:hint="cs"/>
          <w:rtl/>
        </w:rPr>
        <w:t xml:space="preserve">) (להלן: </w:t>
      </w:r>
      <w:r w:rsidRPr="00247D56">
        <w:rPr>
          <w:rFonts w:ascii="Century" w:hAnsi="Century" w:cs="Miriam" w:hint="eastAsia"/>
          <w:b/>
          <w:spacing w:val="0"/>
          <w:szCs w:val="24"/>
          <w:rtl/>
        </w:rPr>
        <w:t>עניין</w:t>
      </w:r>
      <w:r w:rsidRPr="00247D56">
        <w:rPr>
          <w:rFonts w:ascii="Century" w:hAnsi="Century" w:cs="Miriam"/>
          <w:b/>
          <w:spacing w:val="0"/>
          <w:szCs w:val="24"/>
          <w:rtl/>
        </w:rPr>
        <w:t xml:space="preserve"> </w:t>
      </w:r>
      <w:r w:rsidRPr="00247D56">
        <w:rPr>
          <w:rFonts w:ascii="Century" w:hAnsi="Century" w:cs="Miriam" w:hint="eastAsia"/>
          <w:b/>
          <w:spacing w:val="0"/>
          <w:szCs w:val="24"/>
          <w:rtl/>
        </w:rPr>
        <w:t>חוות</w:t>
      </w:r>
      <w:r w:rsidRPr="00247D56">
        <w:rPr>
          <w:rFonts w:ascii="Century" w:hAnsi="Century" w:cs="Miriam"/>
          <w:b/>
          <w:spacing w:val="0"/>
          <w:szCs w:val="24"/>
          <w:rtl/>
        </w:rPr>
        <w:t xml:space="preserve"> </w:t>
      </w:r>
      <w:r w:rsidRPr="00247D56">
        <w:rPr>
          <w:rFonts w:ascii="Century" w:hAnsi="Century" w:cs="Miriam" w:hint="eastAsia"/>
          <w:b/>
          <w:spacing w:val="0"/>
          <w:szCs w:val="24"/>
          <w:rtl/>
        </w:rPr>
        <w:t>מקורה</w:t>
      </w:r>
      <w:r w:rsidRPr="00247D56">
        <w:rPr>
          <w:rFonts w:hint="cs"/>
          <w:rtl/>
        </w:rPr>
        <w:t>)).</w:t>
      </w:r>
      <w:r>
        <w:rPr>
          <w:rFonts w:hint="cs"/>
          <w:rtl/>
        </w:rPr>
        <w:t xml:space="preserve"> הלכה למעשה, בפסקי הדין שבהם התקבלה טענה להתקיימות הסדר תקנת השוק שבסעיף 17(א) הנ"ל, לא הוצבה דרישת התמורה כתנאי לתחולת הסעיף. כך למשל, בעניין </w:t>
      </w:r>
      <w:r w:rsidRPr="007D60A2">
        <w:rPr>
          <w:rFonts w:ascii="Century" w:hAnsi="Century" w:cs="Miriam" w:hint="cs"/>
          <w:b/>
          <w:spacing w:val="0"/>
          <w:szCs w:val="24"/>
          <w:rtl/>
        </w:rPr>
        <w:t>מראד</w:t>
      </w:r>
      <w:r>
        <w:rPr>
          <w:rFonts w:hint="cs"/>
          <w:rtl/>
        </w:rPr>
        <w:t xml:space="preserve"> נטען, נוכח האמור בסעיף 19(א) לחוק נכסי נפקדים </w:t>
      </w:r>
      <w:r>
        <w:rPr>
          <w:rtl/>
        </w:rPr>
        <w:t>–</w:t>
      </w:r>
      <w:r>
        <w:rPr>
          <w:rFonts w:hint="cs"/>
          <w:rtl/>
        </w:rPr>
        <w:t xml:space="preserve"> הקובע כי האפוטרופוס רשאי למכור נכס מקרקעין אך ורק לרשות הפיתוח, </w:t>
      </w:r>
      <w:r w:rsidRPr="007D60A2">
        <w:rPr>
          <w:rFonts w:ascii="Century" w:hAnsi="Century" w:cs="Miriam" w:hint="cs"/>
          <w:b/>
          <w:spacing w:val="0"/>
          <w:szCs w:val="24"/>
          <w:rtl/>
        </w:rPr>
        <w:t>"במחיר שאינו נמוך משוויו הרשמי של הנכס"</w:t>
      </w:r>
      <w:r>
        <w:rPr>
          <w:rFonts w:hint="cs"/>
          <w:rtl/>
        </w:rPr>
        <w:t xml:space="preserve"> </w:t>
      </w:r>
      <w:r>
        <w:rPr>
          <w:rtl/>
        </w:rPr>
        <w:t>–</w:t>
      </w:r>
      <w:r>
        <w:rPr>
          <w:rFonts w:hint="cs"/>
          <w:rtl/>
        </w:rPr>
        <w:t xml:space="preserve"> כי ניתן להסיק קיומה של דרישה לתמורה, לשם התקיימות ההסדר שבתקנת השוק שבסעיף 17(א), </w:t>
      </w:r>
      <w:r>
        <w:rPr>
          <w:rFonts w:ascii="Century" w:hAnsi="Century" w:hint="cs"/>
          <w:rtl/>
        </w:rPr>
        <w:t xml:space="preserve">בעת ביצוע עסקה למכירת </w:t>
      </w:r>
      <w:r w:rsidRPr="00851926">
        <w:rPr>
          <w:rFonts w:ascii="Century" w:hAnsi="Century" w:hint="cs"/>
          <w:rtl/>
        </w:rPr>
        <w:t xml:space="preserve">זכות </w:t>
      </w:r>
      <w:r w:rsidRPr="00811DC1">
        <w:rPr>
          <w:rFonts w:ascii="Century" w:hAnsi="Century" w:hint="cs"/>
          <w:rtl/>
        </w:rPr>
        <w:t xml:space="preserve">בעלות </w:t>
      </w:r>
      <w:r>
        <w:rPr>
          <w:rFonts w:ascii="Century" w:hAnsi="Century" w:hint="cs"/>
          <w:rtl/>
        </w:rPr>
        <w:t>במקרקעין</w:t>
      </w:r>
      <w:r>
        <w:rPr>
          <w:rFonts w:hint="cs"/>
          <w:rtl/>
        </w:rPr>
        <w:t xml:space="preserve">. אמנם, באותו עניין, נדחתה הטענה להעדר תמורה, משום שהועלתה ללא </w:t>
      </w:r>
      <w:r w:rsidRPr="00851926">
        <w:rPr>
          <w:rFonts w:ascii="Century" w:hAnsi="Century" w:cs="Miriam" w:hint="cs"/>
          <w:b/>
          <w:spacing w:val="0"/>
          <w:szCs w:val="24"/>
          <w:rtl/>
        </w:rPr>
        <w:t>"מסד עובדתי משמעותי"</w:t>
      </w:r>
      <w:r>
        <w:rPr>
          <w:rFonts w:hint="cs"/>
          <w:rtl/>
        </w:rPr>
        <w:t>, ומשכך, בפועל, שאלת התמורה לא הוכרעה בצורה פוזיטיבית.</w:t>
      </w:r>
      <w:r w:rsidRPr="009E0A7C">
        <w:rPr>
          <w:rFonts w:hint="cs"/>
          <w:rtl/>
        </w:rPr>
        <w:t xml:space="preserve"> </w:t>
      </w:r>
      <w:r>
        <w:rPr>
          <w:rFonts w:hint="cs"/>
          <w:rtl/>
        </w:rPr>
        <w:t>גם בספרות מצינו, כי יש לקרוא בסעיף 17(א) הנ"ל דרישת תמורה, הגם שלא צוינה בו במפורש (</w:t>
      </w:r>
      <w:r w:rsidRPr="00E8159B">
        <w:rPr>
          <w:rFonts w:ascii="Century" w:hAnsi="Century" w:cs="Miriam" w:hint="cs"/>
          <w:b/>
          <w:spacing w:val="0"/>
          <w:szCs w:val="24"/>
          <w:rtl/>
        </w:rPr>
        <w:t xml:space="preserve">דויטש </w:t>
      </w:r>
      <w:r w:rsidRPr="00C95D1B">
        <w:rPr>
          <w:rFonts w:ascii="Century" w:hAnsi="Century"/>
          <w:rtl/>
        </w:rPr>
        <w:t>–</w:t>
      </w:r>
      <w:r w:rsidRPr="00E8159B">
        <w:rPr>
          <w:rFonts w:ascii="Century" w:hAnsi="Century" w:cs="Miriam" w:hint="cs"/>
          <w:b/>
          <w:spacing w:val="0"/>
          <w:szCs w:val="24"/>
          <w:rtl/>
        </w:rPr>
        <w:t xml:space="preserve"> כרך ד</w:t>
      </w:r>
      <w:r>
        <w:rPr>
          <w:rFonts w:hint="cs"/>
          <w:rtl/>
        </w:rPr>
        <w:t xml:space="preserve">, עמ' 310-309). כך או אחרת, לגבי סעיף 5 לצו, נכון גם אני להותיר שאלה זו לעת מצוא, מאחר שתמים-דעים אני עם עמדתו של חברי השופט </w:t>
      </w:r>
      <w:r w:rsidRPr="009B324D">
        <w:rPr>
          <w:rFonts w:ascii="Century" w:hAnsi="Century" w:cs="Miriam" w:hint="cs"/>
          <w:b/>
          <w:spacing w:val="0"/>
          <w:szCs w:val="24"/>
          <w:rtl/>
        </w:rPr>
        <w:t>הנדל</w:t>
      </w:r>
      <w:r>
        <w:rPr>
          <w:rFonts w:hint="cs"/>
          <w:rtl/>
        </w:rPr>
        <w:t xml:space="preserve">, כי בענייננו </w:t>
      </w:r>
      <w:r>
        <w:rPr>
          <w:rtl/>
        </w:rPr>
        <w:t>–</w:t>
      </w:r>
      <w:r>
        <w:rPr>
          <w:rFonts w:hint="cs"/>
          <w:rtl/>
        </w:rPr>
        <w:t xml:space="preserve"> דרישת התמורה מתקיימת במלואה. אסביר. </w:t>
      </w:r>
    </w:p>
    <w:p w:rsidR="00295623" w:rsidRPr="004156C1" w:rsidRDefault="00295623" w:rsidP="00295623">
      <w:pPr>
        <w:pStyle w:val="Ruller41"/>
        <w:tabs>
          <w:tab w:val="left" w:pos="90"/>
        </w:tabs>
        <w:spacing w:line="240" w:lineRule="auto"/>
      </w:pPr>
    </w:p>
    <w:p w:rsidR="00295623" w:rsidRDefault="00295623" w:rsidP="00295623">
      <w:pPr>
        <w:pStyle w:val="Ruller41"/>
      </w:pPr>
      <w:r>
        <w:rPr>
          <w:rFonts w:hint="cs"/>
          <w:rtl/>
        </w:rPr>
        <w:t>51.</w:t>
      </w:r>
      <w:r>
        <w:rPr>
          <w:rFonts w:hint="cs"/>
          <w:rtl/>
        </w:rPr>
        <w:tab/>
        <w:t xml:space="preserve">בפסיקה ובספרות קיימת התייחסות מקיפה למשמעות המושג 'תמורה', וממנה עולה כי מושג זה נושא בחובו משמעויות שונות, בהקשרים שונים: </w:t>
      </w:r>
      <w:r w:rsidRPr="001D4967">
        <w:rPr>
          <w:rFonts w:ascii="Century" w:hAnsi="Century" w:cs="Miriam" w:hint="cs"/>
          <w:b/>
          <w:spacing w:val="0"/>
          <w:szCs w:val="24"/>
          <w:rtl/>
        </w:rPr>
        <w:t>"</w:t>
      </w:r>
      <w:r w:rsidRPr="001D4967">
        <w:rPr>
          <w:rFonts w:ascii="Century" w:hAnsi="Century" w:cs="Miriam" w:hint="eastAsia"/>
          <w:b/>
          <w:spacing w:val="0"/>
          <w:szCs w:val="24"/>
          <w:rtl/>
        </w:rPr>
        <w:t>מושג</w:t>
      </w:r>
      <w:r w:rsidRPr="001D4967">
        <w:rPr>
          <w:rFonts w:ascii="Century" w:hAnsi="Century" w:cs="Miriam"/>
          <w:b/>
          <w:spacing w:val="0"/>
          <w:szCs w:val="24"/>
          <w:rtl/>
        </w:rPr>
        <w:t xml:space="preserve"> </w:t>
      </w:r>
      <w:r w:rsidRPr="001D4967">
        <w:rPr>
          <w:rFonts w:ascii="Century" w:hAnsi="Century" w:cs="Miriam" w:hint="eastAsia"/>
          <w:b/>
          <w:spacing w:val="0"/>
          <w:szCs w:val="24"/>
          <w:rtl/>
        </w:rPr>
        <w:t>התמורה</w:t>
      </w:r>
      <w:r w:rsidRPr="001D4967">
        <w:rPr>
          <w:rFonts w:ascii="Century" w:hAnsi="Century" w:cs="Miriam"/>
          <w:b/>
          <w:spacing w:val="0"/>
          <w:szCs w:val="24"/>
          <w:rtl/>
        </w:rPr>
        <w:t xml:space="preserve"> </w:t>
      </w:r>
      <w:r w:rsidRPr="001D4967">
        <w:rPr>
          <w:rFonts w:ascii="Century" w:hAnsi="Century" w:cs="Miriam" w:hint="eastAsia"/>
          <w:b/>
          <w:spacing w:val="0"/>
          <w:szCs w:val="24"/>
          <w:rtl/>
        </w:rPr>
        <w:t>מופיע</w:t>
      </w:r>
      <w:r w:rsidRPr="001D4967">
        <w:rPr>
          <w:rFonts w:ascii="Century" w:hAnsi="Century" w:cs="Miriam"/>
          <w:b/>
          <w:spacing w:val="0"/>
          <w:szCs w:val="24"/>
          <w:rtl/>
        </w:rPr>
        <w:t xml:space="preserve"> </w:t>
      </w:r>
      <w:r w:rsidRPr="001D4967">
        <w:rPr>
          <w:rFonts w:ascii="Century" w:hAnsi="Century" w:cs="Miriam" w:hint="eastAsia"/>
          <w:b/>
          <w:spacing w:val="0"/>
          <w:szCs w:val="24"/>
          <w:rtl/>
        </w:rPr>
        <w:t>בדין</w:t>
      </w:r>
      <w:r w:rsidRPr="001D4967">
        <w:rPr>
          <w:rFonts w:ascii="Century" w:hAnsi="Century" w:cs="Miriam"/>
          <w:b/>
          <w:spacing w:val="0"/>
          <w:szCs w:val="24"/>
          <w:rtl/>
        </w:rPr>
        <w:t xml:space="preserve"> </w:t>
      </w:r>
      <w:r w:rsidRPr="001D4967">
        <w:rPr>
          <w:rFonts w:ascii="Century" w:hAnsi="Century" w:cs="Miriam" w:hint="eastAsia"/>
          <w:b/>
          <w:spacing w:val="0"/>
          <w:szCs w:val="24"/>
          <w:rtl/>
        </w:rPr>
        <w:t>הישראלי</w:t>
      </w:r>
      <w:r w:rsidRPr="001D4967">
        <w:rPr>
          <w:rFonts w:ascii="Century" w:hAnsi="Century" w:cs="Miriam"/>
          <w:b/>
          <w:spacing w:val="0"/>
          <w:szCs w:val="24"/>
          <w:rtl/>
        </w:rPr>
        <w:t xml:space="preserve"> </w:t>
      </w:r>
      <w:r w:rsidRPr="001D4967">
        <w:rPr>
          <w:rFonts w:ascii="Century" w:hAnsi="Century" w:cs="Miriam" w:hint="eastAsia"/>
          <w:b/>
          <w:spacing w:val="0"/>
          <w:szCs w:val="24"/>
          <w:rtl/>
        </w:rPr>
        <w:t>בהקשרים</w:t>
      </w:r>
      <w:r w:rsidRPr="001D4967">
        <w:rPr>
          <w:rFonts w:ascii="Century" w:hAnsi="Century" w:cs="Miriam"/>
          <w:b/>
          <w:spacing w:val="0"/>
          <w:szCs w:val="24"/>
          <w:rtl/>
        </w:rPr>
        <w:t xml:space="preserve"> </w:t>
      </w:r>
      <w:r w:rsidRPr="001D4967">
        <w:rPr>
          <w:rFonts w:ascii="Century" w:hAnsi="Century" w:cs="Miriam" w:hint="eastAsia"/>
          <w:b/>
          <w:spacing w:val="0"/>
          <w:szCs w:val="24"/>
          <w:rtl/>
        </w:rPr>
        <w:t>שונים</w:t>
      </w:r>
      <w:r w:rsidRPr="001D4967">
        <w:rPr>
          <w:rFonts w:ascii="Century" w:hAnsi="Century" w:cs="Miriam"/>
          <w:b/>
          <w:spacing w:val="0"/>
          <w:szCs w:val="24"/>
          <w:rtl/>
        </w:rPr>
        <w:t xml:space="preserve">, </w:t>
      </w:r>
      <w:r w:rsidRPr="001D4967">
        <w:rPr>
          <w:rFonts w:ascii="Century" w:hAnsi="Century" w:cs="Miriam" w:hint="eastAsia"/>
          <w:b/>
          <w:spacing w:val="0"/>
          <w:szCs w:val="24"/>
          <w:rtl/>
        </w:rPr>
        <w:t>ותוכנו</w:t>
      </w:r>
      <w:r w:rsidRPr="001D4967">
        <w:rPr>
          <w:rFonts w:ascii="Century" w:hAnsi="Century" w:cs="Miriam"/>
          <w:b/>
          <w:spacing w:val="0"/>
          <w:szCs w:val="24"/>
          <w:rtl/>
        </w:rPr>
        <w:t xml:space="preserve"> </w:t>
      </w:r>
      <w:r w:rsidRPr="001D4967">
        <w:rPr>
          <w:rFonts w:ascii="Century" w:hAnsi="Century" w:cs="Miriam" w:hint="eastAsia"/>
          <w:b/>
          <w:spacing w:val="0"/>
          <w:szCs w:val="24"/>
          <w:rtl/>
        </w:rPr>
        <w:t>של</w:t>
      </w:r>
      <w:r w:rsidRPr="001D4967">
        <w:rPr>
          <w:rFonts w:ascii="Century" w:hAnsi="Century" w:cs="Miriam"/>
          <w:b/>
          <w:spacing w:val="0"/>
          <w:szCs w:val="24"/>
          <w:rtl/>
        </w:rPr>
        <w:t xml:space="preserve"> </w:t>
      </w:r>
      <w:r w:rsidRPr="001D4967">
        <w:rPr>
          <w:rFonts w:ascii="Century" w:hAnsi="Century" w:cs="Miriam" w:hint="eastAsia"/>
          <w:b/>
          <w:spacing w:val="0"/>
          <w:szCs w:val="24"/>
          <w:rtl/>
        </w:rPr>
        <w:t>מושג</w:t>
      </w:r>
      <w:r w:rsidRPr="001D4967">
        <w:rPr>
          <w:rFonts w:ascii="Century" w:hAnsi="Century" w:cs="Miriam"/>
          <w:b/>
          <w:spacing w:val="0"/>
          <w:szCs w:val="24"/>
          <w:rtl/>
        </w:rPr>
        <w:t xml:space="preserve"> </w:t>
      </w:r>
      <w:r w:rsidRPr="001D4967">
        <w:rPr>
          <w:rFonts w:ascii="Century" w:hAnsi="Century" w:cs="Miriam" w:hint="eastAsia"/>
          <w:b/>
          <w:spacing w:val="0"/>
          <w:szCs w:val="24"/>
          <w:rtl/>
        </w:rPr>
        <w:t>זה</w:t>
      </w:r>
      <w:r w:rsidRPr="001D4967">
        <w:rPr>
          <w:rFonts w:ascii="Century" w:hAnsi="Century" w:cs="Miriam"/>
          <w:b/>
          <w:spacing w:val="0"/>
          <w:szCs w:val="24"/>
          <w:rtl/>
        </w:rPr>
        <w:t xml:space="preserve"> – </w:t>
      </w:r>
      <w:r w:rsidRPr="001D4967">
        <w:rPr>
          <w:rFonts w:ascii="Century" w:hAnsi="Century" w:cs="Miriam" w:hint="eastAsia"/>
          <w:b/>
          <w:spacing w:val="0"/>
          <w:szCs w:val="24"/>
          <w:rtl/>
        </w:rPr>
        <w:t>אף</w:t>
      </w:r>
      <w:r w:rsidRPr="001D4967">
        <w:rPr>
          <w:rFonts w:ascii="Century" w:hAnsi="Century" w:cs="Miriam"/>
          <w:b/>
          <w:spacing w:val="0"/>
          <w:szCs w:val="24"/>
          <w:rtl/>
        </w:rPr>
        <w:t xml:space="preserve"> </w:t>
      </w:r>
      <w:r w:rsidRPr="001D4967">
        <w:rPr>
          <w:rFonts w:ascii="Century" w:hAnsi="Century" w:cs="Miriam" w:hint="eastAsia"/>
          <w:b/>
          <w:spacing w:val="0"/>
          <w:szCs w:val="24"/>
          <w:rtl/>
        </w:rPr>
        <w:t>הוא</w:t>
      </w:r>
      <w:r w:rsidRPr="001D4967">
        <w:rPr>
          <w:rFonts w:ascii="Century" w:hAnsi="Century" w:cs="Miriam"/>
          <w:b/>
          <w:spacing w:val="0"/>
          <w:szCs w:val="24"/>
          <w:rtl/>
        </w:rPr>
        <w:t xml:space="preserve"> </w:t>
      </w:r>
      <w:r w:rsidRPr="001D4967">
        <w:rPr>
          <w:rFonts w:ascii="Century" w:hAnsi="Century" w:cs="Miriam" w:hint="eastAsia"/>
          <w:b/>
          <w:spacing w:val="0"/>
          <w:szCs w:val="24"/>
          <w:rtl/>
        </w:rPr>
        <w:t>משתנה</w:t>
      </w:r>
      <w:r w:rsidRPr="001D4967">
        <w:rPr>
          <w:rFonts w:ascii="Century" w:hAnsi="Century" w:cs="Miriam"/>
          <w:b/>
          <w:spacing w:val="0"/>
          <w:szCs w:val="24"/>
          <w:rtl/>
        </w:rPr>
        <w:t xml:space="preserve"> </w:t>
      </w:r>
      <w:r w:rsidRPr="001D4967">
        <w:rPr>
          <w:rFonts w:ascii="Century" w:hAnsi="Century" w:cs="Miriam" w:hint="eastAsia"/>
          <w:b/>
          <w:spacing w:val="0"/>
          <w:szCs w:val="24"/>
          <w:rtl/>
        </w:rPr>
        <w:t>לאור</w:t>
      </w:r>
      <w:r w:rsidRPr="001D4967">
        <w:rPr>
          <w:rFonts w:ascii="Century" w:hAnsi="Century" w:cs="Miriam"/>
          <w:b/>
          <w:spacing w:val="0"/>
          <w:szCs w:val="24"/>
          <w:rtl/>
        </w:rPr>
        <w:t xml:space="preserve"> </w:t>
      </w:r>
      <w:r w:rsidRPr="001D4967">
        <w:rPr>
          <w:rFonts w:ascii="Century" w:hAnsi="Century" w:cs="Miriam" w:hint="eastAsia"/>
          <w:b/>
          <w:spacing w:val="0"/>
          <w:szCs w:val="24"/>
          <w:rtl/>
        </w:rPr>
        <w:t>ההקשר</w:t>
      </w:r>
      <w:r w:rsidRPr="001D4967">
        <w:rPr>
          <w:rFonts w:ascii="Century" w:hAnsi="Century" w:cs="Miriam"/>
          <w:b/>
          <w:spacing w:val="0"/>
          <w:szCs w:val="24"/>
          <w:rtl/>
        </w:rPr>
        <w:t xml:space="preserve">. </w:t>
      </w:r>
      <w:r w:rsidRPr="001D4967">
        <w:rPr>
          <w:rFonts w:ascii="Century" w:hAnsi="Century" w:cs="Miriam" w:hint="eastAsia"/>
          <w:b/>
          <w:spacing w:val="0"/>
          <w:szCs w:val="24"/>
          <w:rtl/>
        </w:rPr>
        <w:t>ההקשרים</w:t>
      </w:r>
      <w:r w:rsidRPr="001D4967">
        <w:rPr>
          <w:rFonts w:ascii="Century" w:hAnsi="Century" w:cs="Miriam"/>
          <w:b/>
          <w:spacing w:val="0"/>
          <w:szCs w:val="24"/>
          <w:rtl/>
        </w:rPr>
        <w:t xml:space="preserve"> </w:t>
      </w:r>
      <w:r w:rsidRPr="001D4967">
        <w:rPr>
          <w:rFonts w:ascii="Century" w:hAnsi="Century" w:cs="Miriam" w:hint="eastAsia"/>
          <w:b/>
          <w:spacing w:val="0"/>
          <w:szCs w:val="24"/>
          <w:rtl/>
        </w:rPr>
        <w:t>השונים</w:t>
      </w:r>
      <w:r w:rsidRPr="001D4967">
        <w:rPr>
          <w:rFonts w:ascii="Century" w:hAnsi="Century" w:cs="Miriam"/>
          <w:b/>
          <w:spacing w:val="0"/>
          <w:szCs w:val="24"/>
          <w:rtl/>
        </w:rPr>
        <w:t xml:space="preserve"> </w:t>
      </w:r>
      <w:r w:rsidRPr="001D4967">
        <w:rPr>
          <w:rFonts w:ascii="Century" w:hAnsi="Century" w:cs="Miriam" w:hint="eastAsia"/>
          <w:b/>
          <w:spacing w:val="0"/>
          <w:szCs w:val="24"/>
          <w:rtl/>
        </w:rPr>
        <w:t>הובחנו</w:t>
      </w:r>
      <w:r w:rsidRPr="001D4967">
        <w:rPr>
          <w:rFonts w:ascii="Century" w:hAnsi="Century" w:cs="Miriam"/>
          <w:b/>
          <w:spacing w:val="0"/>
          <w:szCs w:val="24"/>
          <w:rtl/>
        </w:rPr>
        <w:t xml:space="preserve"> </w:t>
      </w:r>
      <w:r w:rsidRPr="001D4967">
        <w:rPr>
          <w:rFonts w:ascii="Century" w:hAnsi="Century" w:cs="Miriam" w:hint="eastAsia"/>
          <w:b/>
          <w:spacing w:val="0"/>
          <w:szCs w:val="24"/>
          <w:rtl/>
        </w:rPr>
        <w:t>זה</w:t>
      </w:r>
      <w:r w:rsidRPr="001D4967">
        <w:rPr>
          <w:rFonts w:ascii="Century" w:hAnsi="Century" w:cs="Miriam"/>
          <w:b/>
          <w:spacing w:val="0"/>
          <w:szCs w:val="24"/>
          <w:rtl/>
        </w:rPr>
        <w:t xml:space="preserve"> </w:t>
      </w:r>
      <w:r w:rsidRPr="001D4967">
        <w:rPr>
          <w:rFonts w:ascii="Century" w:hAnsi="Century" w:cs="Miriam" w:hint="eastAsia"/>
          <w:b/>
          <w:spacing w:val="0"/>
          <w:szCs w:val="24"/>
          <w:rtl/>
        </w:rPr>
        <w:t>מזה</w:t>
      </w:r>
      <w:r w:rsidRPr="001D4967">
        <w:rPr>
          <w:rFonts w:ascii="Century" w:hAnsi="Century" w:cs="Miriam"/>
          <w:b/>
          <w:spacing w:val="0"/>
          <w:szCs w:val="24"/>
          <w:rtl/>
        </w:rPr>
        <w:t xml:space="preserve"> </w:t>
      </w:r>
      <w:r w:rsidRPr="001D4967">
        <w:rPr>
          <w:rFonts w:ascii="Century" w:hAnsi="Century" w:cs="Miriam" w:hint="eastAsia"/>
          <w:b/>
          <w:spacing w:val="0"/>
          <w:szCs w:val="24"/>
          <w:rtl/>
        </w:rPr>
        <w:t>בפסיקה</w:t>
      </w:r>
      <w:r w:rsidRPr="001D4967">
        <w:rPr>
          <w:rFonts w:ascii="Century" w:hAnsi="Century" w:cs="Miriam"/>
          <w:b/>
          <w:spacing w:val="0"/>
          <w:szCs w:val="24"/>
          <w:rtl/>
        </w:rPr>
        <w:t xml:space="preserve">, </w:t>
      </w:r>
      <w:r w:rsidRPr="001D4967">
        <w:rPr>
          <w:rFonts w:ascii="Century" w:hAnsi="Century" w:cs="Miriam" w:hint="eastAsia"/>
          <w:b/>
          <w:spacing w:val="0"/>
          <w:szCs w:val="24"/>
          <w:rtl/>
        </w:rPr>
        <w:t>וביתר</w:t>
      </w:r>
      <w:r w:rsidRPr="001D4967">
        <w:rPr>
          <w:rFonts w:ascii="Century" w:hAnsi="Century" w:cs="Miriam"/>
          <w:b/>
          <w:spacing w:val="0"/>
          <w:szCs w:val="24"/>
          <w:rtl/>
        </w:rPr>
        <w:t xml:space="preserve"> </w:t>
      </w:r>
      <w:r w:rsidRPr="001D4967">
        <w:rPr>
          <w:rFonts w:ascii="Century" w:hAnsi="Century" w:cs="Miriam" w:hint="eastAsia"/>
          <w:b/>
          <w:spacing w:val="0"/>
          <w:szCs w:val="24"/>
          <w:rtl/>
        </w:rPr>
        <w:t>חדות</w:t>
      </w:r>
      <w:r w:rsidRPr="001D4967">
        <w:rPr>
          <w:rFonts w:ascii="Century" w:hAnsi="Century" w:cs="Miriam"/>
          <w:b/>
          <w:spacing w:val="0"/>
          <w:szCs w:val="24"/>
          <w:rtl/>
        </w:rPr>
        <w:t xml:space="preserve"> </w:t>
      </w:r>
      <w:r w:rsidRPr="001D4967">
        <w:rPr>
          <w:rFonts w:ascii="Century" w:hAnsi="Century" w:cs="Miriam" w:hint="eastAsia"/>
          <w:b/>
          <w:spacing w:val="0"/>
          <w:szCs w:val="24"/>
          <w:rtl/>
        </w:rPr>
        <w:t>על</w:t>
      </w:r>
      <w:r w:rsidRPr="001D4967">
        <w:rPr>
          <w:rFonts w:ascii="Century" w:hAnsi="Century" w:cs="Miriam" w:hint="cs"/>
          <w:b/>
          <w:spacing w:val="0"/>
          <w:szCs w:val="24"/>
          <w:rtl/>
        </w:rPr>
        <w:t xml:space="preserve"> </w:t>
      </w:r>
      <w:r w:rsidRPr="001D4967">
        <w:rPr>
          <w:rFonts w:ascii="Century" w:hAnsi="Century" w:cs="Miriam" w:hint="eastAsia"/>
          <w:b/>
          <w:spacing w:val="0"/>
          <w:szCs w:val="24"/>
          <w:rtl/>
        </w:rPr>
        <w:t>ידי</w:t>
      </w:r>
      <w:r w:rsidRPr="001D4967">
        <w:rPr>
          <w:rFonts w:ascii="Century" w:hAnsi="Century" w:cs="Miriam" w:hint="cs"/>
          <w:b/>
          <w:spacing w:val="0"/>
          <w:szCs w:val="24"/>
          <w:rtl/>
        </w:rPr>
        <w:t xml:space="preserve"> </w:t>
      </w:r>
      <w:r w:rsidRPr="001D4967">
        <w:rPr>
          <w:rFonts w:ascii="Century" w:hAnsi="Century" w:cs="Miriam" w:hint="eastAsia"/>
          <w:b/>
          <w:spacing w:val="0"/>
          <w:szCs w:val="24"/>
          <w:rtl/>
        </w:rPr>
        <w:t>המלומדים</w:t>
      </w:r>
      <w:r w:rsidRPr="001D4967">
        <w:rPr>
          <w:rFonts w:ascii="Century" w:hAnsi="Century" w:cs="Miriam" w:hint="cs"/>
          <w:b/>
          <w:spacing w:val="0"/>
          <w:szCs w:val="24"/>
          <w:rtl/>
        </w:rPr>
        <w:t>"</w:t>
      </w:r>
      <w:r w:rsidRPr="006C58D0">
        <w:rPr>
          <w:rFonts w:hint="cs"/>
          <w:rtl/>
        </w:rPr>
        <w:t xml:space="preserve"> </w:t>
      </w:r>
      <w:r>
        <w:rPr>
          <w:rFonts w:hint="cs"/>
          <w:rtl/>
        </w:rPr>
        <w:t xml:space="preserve">(עניין </w:t>
      </w:r>
      <w:r w:rsidRPr="001D4967">
        <w:rPr>
          <w:rFonts w:ascii="Century" w:hAnsi="Century" w:cs="Miriam" w:hint="cs"/>
          <w:b/>
          <w:spacing w:val="0"/>
          <w:szCs w:val="24"/>
          <w:rtl/>
        </w:rPr>
        <w:t>חוות מקורה</w:t>
      </w:r>
      <w:r>
        <w:rPr>
          <w:rFonts w:hint="cs"/>
          <w:rtl/>
        </w:rPr>
        <w:t>, עמ' 22; דניאל פרידמן ואלרן בר-אור</w:t>
      </w:r>
      <w:r w:rsidR="001D4967">
        <w:rPr>
          <w:rFonts w:hint="cs"/>
          <w:rtl/>
        </w:rPr>
        <w:t>,</w:t>
      </w:r>
      <w:r>
        <w:rPr>
          <w:rFonts w:hint="cs"/>
          <w:rtl/>
        </w:rPr>
        <w:t xml:space="preserve"> </w:t>
      </w:r>
      <w:r w:rsidRPr="001D4967">
        <w:rPr>
          <w:rFonts w:ascii="Century" w:hAnsi="Century" w:cs="Miriam" w:hint="cs"/>
          <w:b/>
          <w:spacing w:val="0"/>
          <w:szCs w:val="24"/>
          <w:rtl/>
        </w:rPr>
        <w:t xml:space="preserve">דיני עשיית עושר ולא במשפט </w:t>
      </w:r>
      <w:r w:rsidRPr="001D4967">
        <w:rPr>
          <w:rFonts w:ascii="Century" w:hAnsi="Century"/>
          <w:rtl/>
        </w:rPr>
        <w:t>–</w:t>
      </w:r>
      <w:r w:rsidRPr="001D4967">
        <w:rPr>
          <w:rFonts w:ascii="Century" w:hAnsi="Century" w:cs="Miriam" w:hint="cs"/>
          <w:b/>
          <w:spacing w:val="0"/>
          <w:szCs w:val="24"/>
          <w:rtl/>
        </w:rPr>
        <w:t xml:space="preserve"> </w:t>
      </w:r>
      <w:r w:rsidRPr="001D4967">
        <w:rPr>
          <w:rFonts w:ascii="Century" w:hAnsi="Century" w:cs="Miriam"/>
          <w:b/>
          <w:spacing w:val="0"/>
          <w:szCs w:val="24"/>
          <w:rtl/>
        </w:rPr>
        <w:t>כרך ב</w:t>
      </w:r>
      <w:r>
        <w:rPr>
          <w:rFonts w:hint="cs"/>
          <w:rtl/>
        </w:rPr>
        <w:t xml:space="preserve">, 1338 (2017) (להלן: </w:t>
      </w:r>
      <w:r w:rsidRPr="001D4967">
        <w:rPr>
          <w:rFonts w:ascii="Century" w:hAnsi="Century" w:cs="Miriam"/>
          <w:b/>
          <w:spacing w:val="0"/>
          <w:szCs w:val="24"/>
          <w:rtl/>
        </w:rPr>
        <w:t>פרידמן ובר-אור</w:t>
      </w:r>
      <w:r>
        <w:rPr>
          <w:rFonts w:hint="cs"/>
          <w:rtl/>
        </w:rPr>
        <w:t xml:space="preserve">)). בהקשר של הסדרי תקנת השוק, נועדה דרישת התמורה להעיד על קיומה של הסתמכות מצד רוכש הזכות, ועל שינוי מצבו לרעה בעקבות ביצוע העסקה: </w:t>
      </w:r>
      <w:r w:rsidRPr="001D4967">
        <w:rPr>
          <w:rFonts w:ascii="Century" w:hAnsi="Century" w:cs="Miriam" w:hint="cs"/>
          <w:b/>
          <w:spacing w:val="0"/>
          <w:szCs w:val="24"/>
          <w:rtl/>
        </w:rPr>
        <w:t>"הצידוק להטלתה של דרישת התמורה על הזכאי המאוחר הוא בכך שמתן תמורה מצדו מצביע על הסתמכות משמעותית שלו על העסקה"</w:t>
      </w:r>
      <w:r>
        <w:rPr>
          <w:rFonts w:hint="cs"/>
          <w:rtl/>
        </w:rPr>
        <w:t xml:space="preserve"> (</w:t>
      </w:r>
      <w:r w:rsidRPr="001D4967">
        <w:rPr>
          <w:rFonts w:ascii="Century" w:hAnsi="Century" w:cs="Miriam" w:hint="cs"/>
          <w:b/>
          <w:spacing w:val="0"/>
          <w:szCs w:val="24"/>
          <w:rtl/>
        </w:rPr>
        <w:t xml:space="preserve">דויטש </w:t>
      </w:r>
      <w:r w:rsidRPr="001D4967">
        <w:rPr>
          <w:rFonts w:ascii="Century" w:hAnsi="Century"/>
          <w:rtl/>
        </w:rPr>
        <w:t>–</w:t>
      </w:r>
      <w:r w:rsidRPr="001D4967">
        <w:rPr>
          <w:rFonts w:ascii="Century" w:hAnsi="Century" w:cs="Miriam" w:hint="cs"/>
          <w:b/>
          <w:spacing w:val="0"/>
          <w:szCs w:val="24"/>
          <w:rtl/>
        </w:rPr>
        <w:t xml:space="preserve"> כרך ג</w:t>
      </w:r>
      <w:r>
        <w:rPr>
          <w:rFonts w:hint="cs"/>
          <w:rtl/>
        </w:rPr>
        <w:t xml:space="preserve">, 232). מטעם זה, סבור פרופ' </w:t>
      </w:r>
      <w:r w:rsidRPr="00F11687">
        <w:rPr>
          <w:rFonts w:hint="eastAsia"/>
          <w:rtl/>
        </w:rPr>
        <w:t>דויטש</w:t>
      </w:r>
      <w:r>
        <w:rPr>
          <w:rFonts w:hint="cs"/>
          <w:rtl/>
        </w:rPr>
        <w:t xml:space="preserve">, כי את דרישת התמורה יש לפרש בצורה רחבה, באופן שיביא למימוש הרציונל שבבסיסה </w:t>
      </w:r>
      <w:r>
        <w:rPr>
          <w:rtl/>
        </w:rPr>
        <w:t>–</w:t>
      </w:r>
      <w:r>
        <w:rPr>
          <w:rFonts w:hint="cs"/>
          <w:rtl/>
        </w:rPr>
        <w:t xml:space="preserve"> הגנה על הסתמכותו של רוכש הזכות: </w:t>
      </w:r>
    </w:p>
    <w:p w:rsidR="00295623" w:rsidRDefault="00295623" w:rsidP="00295623">
      <w:pPr>
        <w:pStyle w:val="Ruller4"/>
        <w:numPr>
          <w:ilvl w:val="0"/>
          <w:numId w:val="0"/>
        </w:numPr>
        <w:tabs>
          <w:tab w:val="left" w:pos="90"/>
        </w:tabs>
        <w:rPr>
          <w:rtl/>
        </w:rPr>
      </w:pPr>
    </w:p>
    <w:p w:rsidR="00295623" w:rsidRPr="00456D21" w:rsidRDefault="00295623" w:rsidP="00295623">
      <w:pPr>
        <w:pStyle w:val="Ruller5"/>
        <w:ind w:left="1649"/>
        <w:rPr>
          <w:rtl/>
        </w:rPr>
      </w:pPr>
      <w:r w:rsidRPr="00D81898">
        <w:rPr>
          <w:rFonts w:ascii="Century" w:hAnsi="Century" w:cs="Miriam" w:hint="cs"/>
          <w:b/>
          <w:spacing w:val="0"/>
          <w:szCs w:val="24"/>
          <w:rtl/>
        </w:rPr>
        <w:t>"על פי הרציונל לדרישה הנדונה, מן</w:t>
      </w:r>
      <w:r>
        <w:rPr>
          <w:rFonts w:ascii="Century" w:hAnsi="Century" w:cs="Miriam" w:hint="cs"/>
          <w:b/>
          <w:spacing w:val="0"/>
          <w:szCs w:val="24"/>
          <w:rtl/>
        </w:rPr>
        <w:t xml:space="preserve"> </w:t>
      </w:r>
      <w:r w:rsidRPr="00D81898">
        <w:rPr>
          <w:rFonts w:ascii="Century" w:hAnsi="Century" w:cs="Miriam" w:hint="cs"/>
          <w:b/>
          <w:spacing w:val="0"/>
          <w:szCs w:val="24"/>
          <w:rtl/>
        </w:rPr>
        <w:t>הראוי להתחשב גם בגורמי הסתמכות נוספים, שאינם דווקא מתן תמורה לצד שכנגד לעסקה, אלא נוגעים לשינוי מצב כתוצאה מהעסקה. הכוונה היא להתקשרויות עם צדדים שלישיים בהסתמך על העסקה, או הוצאת הוצאות שונות בהסתמך על כך. עוצמת השינוי לרעה כתוצאה מכך יכולה להיות משמעותית ביותר. גורם ההסתמכות, במובנו הרחב האמור (שלאו דווקא בהקשר תמורה לצד שכנגד) הוא גורם אשר הדין מגן עליו בהקשרים שונים. ואכן, הפסיקה קבעה כי יש לפרש את מושג התמורה, בענייננו, ככולל כל סוג של שינוי מצב לרעה בהסתמך על העסקה"</w:t>
      </w:r>
      <w:r w:rsidRPr="00D81898">
        <w:rPr>
          <w:rFonts w:hint="cs"/>
          <w:rtl/>
        </w:rPr>
        <w:t xml:space="preserve"> </w:t>
      </w:r>
      <w:r>
        <w:rPr>
          <w:rFonts w:hint="cs"/>
          <w:rtl/>
        </w:rPr>
        <w:t>(</w:t>
      </w:r>
      <w:r w:rsidRPr="00D81898">
        <w:rPr>
          <w:rFonts w:ascii="Century" w:hAnsi="Century" w:cs="Miriam" w:hint="cs"/>
          <w:b/>
          <w:spacing w:val="0"/>
          <w:szCs w:val="24"/>
          <w:rtl/>
        </w:rPr>
        <w:t xml:space="preserve">דויטש </w:t>
      </w:r>
      <w:r w:rsidRPr="00D81898">
        <w:rPr>
          <w:rFonts w:ascii="Century" w:hAnsi="Century"/>
          <w:rtl/>
        </w:rPr>
        <w:t>–</w:t>
      </w:r>
      <w:r w:rsidRPr="00D81898">
        <w:rPr>
          <w:rFonts w:ascii="Century" w:hAnsi="Century" w:cs="Miriam" w:hint="cs"/>
          <w:b/>
          <w:spacing w:val="0"/>
          <w:szCs w:val="24"/>
          <w:rtl/>
        </w:rPr>
        <w:t xml:space="preserve"> כרך ג</w:t>
      </w:r>
      <w:r>
        <w:rPr>
          <w:rFonts w:hint="cs"/>
          <w:rtl/>
        </w:rPr>
        <w:t>, עמ' 223-222).</w:t>
      </w:r>
    </w:p>
    <w:p w:rsidR="00295623" w:rsidRPr="00456D21" w:rsidRDefault="00295623" w:rsidP="00295623">
      <w:pPr>
        <w:pStyle w:val="Ruller41"/>
        <w:tabs>
          <w:tab w:val="left" w:pos="90"/>
        </w:tabs>
      </w:pPr>
    </w:p>
    <w:p w:rsidR="00295623" w:rsidRDefault="00295623" w:rsidP="00295623">
      <w:pPr>
        <w:pStyle w:val="Ruller4"/>
        <w:numPr>
          <w:ilvl w:val="0"/>
          <w:numId w:val="0"/>
        </w:numPr>
        <w:tabs>
          <w:tab w:val="left" w:pos="90"/>
        </w:tabs>
        <w:rPr>
          <w:rtl/>
        </w:rPr>
      </w:pPr>
      <w:r>
        <w:rPr>
          <w:rtl/>
        </w:rPr>
        <w:tab/>
      </w:r>
      <w:r>
        <w:rPr>
          <w:rtl/>
        </w:rPr>
        <w:tab/>
      </w:r>
      <w:r>
        <w:rPr>
          <w:rFonts w:hint="cs"/>
          <w:rtl/>
        </w:rPr>
        <w:t xml:space="preserve">גישה זו עולה גם מדברי המלומדים </w:t>
      </w:r>
      <w:r w:rsidRPr="009E0A7C">
        <w:rPr>
          <w:rFonts w:ascii="Century" w:hAnsi="Century" w:cs="Miriam" w:hint="cs"/>
          <w:b/>
          <w:spacing w:val="0"/>
          <w:sz w:val="22"/>
          <w:szCs w:val="24"/>
          <w:rtl/>
        </w:rPr>
        <w:t>פרידמן ובר אור</w:t>
      </w:r>
      <w:r>
        <w:rPr>
          <w:rFonts w:hint="cs"/>
          <w:rtl/>
        </w:rPr>
        <w:t xml:space="preserve">: </w:t>
      </w:r>
    </w:p>
    <w:p w:rsidR="00295623" w:rsidRDefault="00295623" w:rsidP="00295623">
      <w:pPr>
        <w:pStyle w:val="Ruller4"/>
        <w:numPr>
          <w:ilvl w:val="0"/>
          <w:numId w:val="0"/>
        </w:numPr>
        <w:tabs>
          <w:tab w:val="left" w:pos="90"/>
        </w:tabs>
        <w:rPr>
          <w:rtl/>
        </w:rPr>
      </w:pPr>
    </w:p>
    <w:p w:rsidR="00295623" w:rsidRDefault="00295623" w:rsidP="00295623">
      <w:pPr>
        <w:pStyle w:val="Ruller5"/>
        <w:tabs>
          <w:tab w:val="left" w:pos="90"/>
        </w:tabs>
        <w:ind w:left="1649"/>
        <w:rPr>
          <w:rtl/>
        </w:rPr>
      </w:pPr>
      <w:r w:rsidRPr="009E0A7C">
        <w:rPr>
          <w:rFonts w:ascii="Century" w:hAnsi="Century" w:cs="Miriam" w:hint="cs"/>
          <w:b/>
          <w:spacing w:val="0"/>
          <w:szCs w:val="24"/>
          <w:rtl/>
        </w:rPr>
        <w:t xml:space="preserve">"אם רכש הצד השלישי, בתום לב, קניין בנכס, </w:t>
      </w:r>
      <w:r>
        <w:rPr>
          <w:rFonts w:ascii="Century" w:hAnsi="Century" w:cs="Miriam" w:hint="cs"/>
          <w:b/>
          <w:spacing w:val="0"/>
          <w:szCs w:val="24"/>
          <w:rtl/>
        </w:rPr>
        <w:t xml:space="preserve">תמורת התחייבות לשלם עבורו, </w:t>
      </w:r>
      <w:r w:rsidRPr="00CC1430">
        <w:rPr>
          <w:rFonts w:ascii="Century" w:hAnsi="Century" w:cs="Miriam" w:hint="cs"/>
          <w:b/>
          <w:spacing w:val="0"/>
          <w:szCs w:val="24"/>
          <w:u w:val="single"/>
          <w:rtl/>
        </w:rPr>
        <w:t>ועל סמך זה שינה מצבו לרעה</w:t>
      </w:r>
      <w:r>
        <w:rPr>
          <w:rFonts w:ascii="Century" w:hAnsi="Century" w:cs="Miriam" w:hint="cs"/>
          <w:b/>
          <w:spacing w:val="0"/>
          <w:szCs w:val="24"/>
          <w:rtl/>
        </w:rPr>
        <w:t xml:space="preserve">, </w:t>
      </w:r>
      <w:r w:rsidRPr="009E0A7C">
        <w:rPr>
          <w:rFonts w:ascii="Century" w:hAnsi="Century" w:cs="Miriam" w:hint="cs"/>
          <w:b/>
          <w:spacing w:val="0"/>
          <w:szCs w:val="24"/>
          <w:rtl/>
        </w:rPr>
        <w:t>ראוי, לדעתנו, להכיר בכך שעמד בדרישת התמורה, ולהקנות לו עדיפות"</w:t>
      </w:r>
      <w:r>
        <w:rPr>
          <w:rFonts w:hint="cs"/>
          <w:rtl/>
        </w:rPr>
        <w:t xml:space="preserve"> (</w:t>
      </w:r>
      <w:r>
        <w:rPr>
          <w:rFonts w:ascii="Century" w:hAnsi="Century" w:cs="Miriam" w:hint="cs"/>
          <w:b/>
          <w:spacing w:val="0"/>
          <w:szCs w:val="24"/>
          <w:rtl/>
        </w:rPr>
        <w:t>פרידמן ובר-אור</w:t>
      </w:r>
      <w:r>
        <w:rPr>
          <w:rFonts w:hint="cs"/>
          <w:rtl/>
        </w:rPr>
        <w:t xml:space="preserve">, עמ' 1341; ההדגשה הוּספה </w:t>
      </w:r>
      <w:r>
        <w:rPr>
          <w:rtl/>
        </w:rPr>
        <w:t>–</w:t>
      </w:r>
      <w:r>
        <w:rPr>
          <w:rFonts w:hint="cs"/>
          <w:rtl/>
        </w:rPr>
        <w:t xml:space="preserve"> נ' ס').</w:t>
      </w:r>
    </w:p>
    <w:p w:rsidR="00295623" w:rsidRPr="009E0A7C" w:rsidRDefault="00295623" w:rsidP="00295623">
      <w:pPr>
        <w:pStyle w:val="Ruller41"/>
        <w:tabs>
          <w:tab w:val="left" w:pos="90"/>
        </w:tabs>
      </w:pPr>
    </w:p>
    <w:p w:rsidR="00295623" w:rsidRDefault="00295623" w:rsidP="00295623">
      <w:pPr>
        <w:pStyle w:val="Ruller41"/>
      </w:pPr>
      <w:r>
        <w:rPr>
          <w:rFonts w:hint="cs"/>
          <w:rtl/>
        </w:rPr>
        <w:t>52.</w:t>
      </w:r>
      <w:r>
        <w:rPr>
          <w:rFonts w:hint="cs"/>
          <w:rtl/>
        </w:rPr>
        <w:tab/>
        <w:t xml:space="preserve">בפרשת </w:t>
      </w:r>
      <w:r w:rsidRPr="00CC1430">
        <w:rPr>
          <w:rFonts w:ascii="Miriam" w:hAnsi="Miriam" w:cs="Miriam"/>
          <w:szCs w:val="24"/>
          <w:rtl/>
        </w:rPr>
        <w:t>כנען</w:t>
      </w:r>
      <w:r>
        <w:rPr>
          <w:rFonts w:hint="cs"/>
          <w:rtl/>
        </w:rPr>
        <w:t xml:space="preserve"> המפורסמת, אשר עסקה בדרישת התמורה בהקשר של תקנת השוק במיטלטלין (לפי סעיף 34 לחוק המכר), נאמר כך: </w:t>
      </w:r>
    </w:p>
    <w:p w:rsidR="00295623" w:rsidRPr="009E0A7C" w:rsidRDefault="00295623" w:rsidP="00295623">
      <w:pPr>
        <w:pStyle w:val="Ruller5"/>
        <w:tabs>
          <w:tab w:val="left" w:pos="90"/>
        </w:tabs>
        <w:ind w:left="0"/>
        <w:rPr>
          <w:rFonts w:ascii="Century" w:hAnsi="Century" w:cs="Miriam"/>
          <w:b/>
          <w:spacing w:val="0"/>
          <w:szCs w:val="24"/>
          <w:rtl/>
        </w:rPr>
      </w:pPr>
    </w:p>
    <w:p w:rsidR="00295623" w:rsidRPr="006C58D0" w:rsidRDefault="00295623" w:rsidP="00295623">
      <w:pPr>
        <w:pStyle w:val="Ruller5"/>
        <w:ind w:left="1649"/>
        <w:rPr>
          <w:rFonts w:ascii="Century" w:hAnsi="Century" w:cs="Miriam"/>
          <w:b/>
          <w:spacing w:val="0"/>
          <w:szCs w:val="24"/>
          <w:rtl/>
        </w:rPr>
      </w:pPr>
      <w:r>
        <w:rPr>
          <w:rFonts w:ascii="Century" w:hAnsi="Century" w:cs="Miriam" w:hint="cs"/>
          <w:b/>
          <w:spacing w:val="0"/>
          <w:szCs w:val="24"/>
          <w:rtl/>
        </w:rPr>
        <w:t xml:space="preserve">"[...] </w:t>
      </w:r>
      <w:r w:rsidRPr="006C58D0">
        <w:rPr>
          <w:rFonts w:ascii="Century" w:hAnsi="Century" w:cs="Miriam" w:hint="eastAsia"/>
          <w:b/>
          <w:spacing w:val="0"/>
          <w:szCs w:val="24"/>
          <w:rtl/>
        </w:rPr>
        <w:t>דרישת</w:t>
      </w:r>
      <w:r w:rsidRPr="006C58D0">
        <w:rPr>
          <w:rFonts w:ascii="Century" w:hAnsi="Century" w:cs="Miriam"/>
          <w:b/>
          <w:spacing w:val="0"/>
          <w:szCs w:val="24"/>
          <w:rtl/>
        </w:rPr>
        <w:t xml:space="preserve"> </w:t>
      </w:r>
      <w:r w:rsidRPr="006C58D0">
        <w:rPr>
          <w:rFonts w:ascii="Century" w:hAnsi="Century" w:cs="Miriam" w:hint="eastAsia"/>
          <w:b/>
          <w:spacing w:val="0"/>
          <w:szCs w:val="24"/>
          <w:rtl/>
        </w:rPr>
        <w:t>התמורה</w:t>
      </w:r>
      <w:r w:rsidRPr="006C58D0">
        <w:rPr>
          <w:rFonts w:ascii="Century" w:hAnsi="Century" w:cs="Miriam"/>
          <w:b/>
          <w:spacing w:val="0"/>
          <w:szCs w:val="24"/>
          <w:rtl/>
        </w:rPr>
        <w:t xml:space="preserve"> </w:t>
      </w:r>
      <w:r w:rsidRPr="006C58D0">
        <w:rPr>
          <w:rFonts w:ascii="Century" w:hAnsi="Century" w:cs="Miriam" w:hint="eastAsia"/>
          <w:b/>
          <w:spacing w:val="0"/>
          <w:szCs w:val="24"/>
          <w:rtl/>
        </w:rPr>
        <w:t>לצורך</w:t>
      </w:r>
      <w:r w:rsidRPr="006C58D0">
        <w:rPr>
          <w:rFonts w:ascii="Century" w:hAnsi="Century" w:cs="Miriam"/>
          <w:b/>
          <w:spacing w:val="0"/>
          <w:szCs w:val="24"/>
          <w:rtl/>
        </w:rPr>
        <w:t xml:space="preserve"> </w:t>
      </w:r>
      <w:r w:rsidRPr="006C58D0">
        <w:rPr>
          <w:rFonts w:ascii="Century" w:hAnsi="Century" w:cs="Miriam" w:hint="eastAsia"/>
          <w:b/>
          <w:spacing w:val="0"/>
          <w:szCs w:val="24"/>
          <w:rtl/>
        </w:rPr>
        <w:t>תקנת</w:t>
      </w:r>
      <w:r w:rsidRPr="006C58D0">
        <w:rPr>
          <w:rFonts w:ascii="Century" w:hAnsi="Century" w:cs="Miriam"/>
          <w:b/>
          <w:spacing w:val="0"/>
          <w:szCs w:val="24"/>
          <w:rtl/>
        </w:rPr>
        <w:t xml:space="preserve"> </w:t>
      </w:r>
      <w:r w:rsidRPr="006C58D0">
        <w:rPr>
          <w:rFonts w:ascii="Century" w:hAnsi="Century" w:cs="Miriam" w:hint="eastAsia"/>
          <w:b/>
          <w:spacing w:val="0"/>
          <w:szCs w:val="24"/>
          <w:rtl/>
        </w:rPr>
        <w:t>השוק</w:t>
      </w:r>
      <w:r w:rsidRPr="006C58D0">
        <w:rPr>
          <w:rFonts w:ascii="Century" w:hAnsi="Century" w:cs="Miriam"/>
          <w:b/>
          <w:spacing w:val="0"/>
          <w:szCs w:val="24"/>
          <w:rtl/>
        </w:rPr>
        <w:t xml:space="preserve"> </w:t>
      </w:r>
      <w:r w:rsidRPr="006C58D0">
        <w:rPr>
          <w:rFonts w:ascii="Century" w:hAnsi="Century" w:cs="Miriam" w:hint="eastAsia"/>
          <w:b/>
          <w:spacing w:val="0"/>
          <w:szCs w:val="24"/>
          <w:rtl/>
        </w:rPr>
        <w:t>באה</w:t>
      </w:r>
      <w:r w:rsidRPr="006C58D0">
        <w:rPr>
          <w:rFonts w:ascii="Century" w:hAnsi="Century" w:cs="Miriam"/>
          <w:b/>
          <w:spacing w:val="0"/>
          <w:szCs w:val="24"/>
          <w:rtl/>
        </w:rPr>
        <w:t xml:space="preserve"> </w:t>
      </w:r>
      <w:r w:rsidRPr="006C58D0">
        <w:rPr>
          <w:rFonts w:ascii="Century" w:hAnsi="Century" w:cs="Miriam" w:hint="eastAsia"/>
          <w:b/>
          <w:spacing w:val="0"/>
          <w:szCs w:val="24"/>
          <w:rtl/>
        </w:rPr>
        <w:t>להעיד</w:t>
      </w:r>
      <w:r w:rsidRPr="006C58D0">
        <w:rPr>
          <w:rFonts w:ascii="Century" w:hAnsi="Century" w:cs="Miriam"/>
          <w:b/>
          <w:spacing w:val="0"/>
          <w:szCs w:val="24"/>
          <w:rtl/>
        </w:rPr>
        <w:t xml:space="preserve"> </w:t>
      </w:r>
      <w:r w:rsidRPr="006C58D0">
        <w:rPr>
          <w:rFonts w:ascii="Century" w:hAnsi="Century" w:cs="Miriam" w:hint="eastAsia"/>
          <w:b/>
          <w:spacing w:val="0"/>
          <w:szCs w:val="24"/>
          <w:rtl/>
        </w:rPr>
        <w:t>על</w:t>
      </w:r>
      <w:r w:rsidRPr="006C58D0">
        <w:rPr>
          <w:rFonts w:ascii="Century" w:hAnsi="Century" w:cs="Miriam"/>
          <w:b/>
          <w:spacing w:val="0"/>
          <w:szCs w:val="24"/>
          <w:rtl/>
        </w:rPr>
        <w:t xml:space="preserve"> </w:t>
      </w:r>
      <w:r w:rsidRPr="006C58D0">
        <w:rPr>
          <w:rFonts w:ascii="Century" w:hAnsi="Century" w:cs="Miriam" w:hint="eastAsia"/>
          <w:b/>
          <w:spacing w:val="0"/>
          <w:szCs w:val="24"/>
          <w:rtl/>
        </w:rPr>
        <w:t>תום</w:t>
      </w:r>
      <w:r w:rsidRPr="006C58D0">
        <w:rPr>
          <w:rFonts w:ascii="Century" w:hAnsi="Century" w:cs="Miriam"/>
          <w:b/>
          <w:spacing w:val="0"/>
          <w:szCs w:val="24"/>
          <w:rtl/>
        </w:rPr>
        <w:t>-</w:t>
      </w:r>
      <w:r w:rsidRPr="006C58D0">
        <w:rPr>
          <w:rFonts w:ascii="Century" w:hAnsi="Century" w:cs="Miriam" w:hint="eastAsia"/>
          <w:b/>
          <w:spacing w:val="0"/>
          <w:szCs w:val="24"/>
          <w:rtl/>
        </w:rPr>
        <w:t>לבו</w:t>
      </w:r>
      <w:r w:rsidRPr="006C58D0">
        <w:rPr>
          <w:rFonts w:ascii="Century" w:hAnsi="Century" w:cs="Miriam"/>
          <w:b/>
          <w:spacing w:val="0"/>
          <w:szCs w:val="24"/>
          <w:rtl/>
        </w:rPr>
        <w:t xml:space="preserve"> </w:t>
      </w:r>
      <w:r w:rsidRPr="006C58D0">
        <w:rPr>
          <w:rFonts w:ascii="Century" w:hAnsi="Century" w:cs="Miriam" w:hint="eastAsia"/>
          <w:b/>
          <w:spacing w:val="0"/>
          <w:szCs w:val="24"/>
          <w:rtl/>
        </w:rPr>
        <w:t>של</w:t>
      </w:r>
      <w:r w:rsidRPr="006C58D0">
        <w:rPr>
          <w:rFonts w:ascii="Century" w:hAnsi="Century" w:cs="Miriam"/>
          <w:b/>
          <w:spacing w:val="0"/>
          <w:szCs w:val="24"/>
          <w:rtl/>
        </w:rPr>
        <w:t xml:space="preserve"> </w:t>
      </w:r>
      <w:r w:rsidRPr="006C58D0">
        <w:rPr>
          <w:rFonts w:ascii="Century" w:hAnsi="Century" w:cs="Miriam" w:hint="eastAsia"/>
          <w:b/>
          <w:spacing w:val="0"/>
          <w:szCs w:val="24"/>
          <w:rtl/>
        </w:rPr>
        <w:t>הקונה</w:t>
      </w:r>
      <w:r w:rsidRPr="006C58D0">
        <w:rPr>
          <w:rFonts w:ascii="Century" w:hAnsi="Century" w:cs="Miriam"/>
          <w:b/>
          <w:spacing w:val="0"/>
          <w:szCs w:val="24"/>
          <w:rtl/>
        </w:rPr>
        <w:t xml:space="preserve">. </w:t>
      </w:r>
      <w:r w:rsidRPr="006C58D0">
        <w:rPr>
          <w:rFonts w:ascii="Century" w:hAnsi="Century" w:cs="Miriam" w:hint="eastAsia"/>
          <w:b/>
          <w:spacing w:val="0"/>
          <w:szCs w:val="24"/>
          <w:rtl/>
        </w:rPr>
        <w:t>כמו</w:t>
      </w:r>
      <w:r w:rsidRPr="006C58D0">
        <w:rPr>
          <w:rFonts w:ascii="Century" w:hAnsi="Century" w:cs="Miriam"/>
          <w:b/>
          <w:spacing w:val="0"/>
          <w:szCs w:val="24"/>
          <w:rtl/>
        </w:rPr>
        <w:t xml:space="preserve"> </w:t>
      </w:r>
      <w:r w:rsidRPr="006C58D0">
        <w:rPr>
          <w:rFonts w:ascii="Century" w:hAnsi="Century" w:cs="Miriam" w:hint="eastAsia"/>
          <w:b/>
          <w:spacing w:val="0"/>
          <w:szCs w:val="24"/>
          <w:rtl/>
        </w:rPr>
        <w:t>כן</w:t>
      </w:r>
      <w:r w:rsidRPr="006C58D0">
        <w:rPr>
          <w:rFonts w:ascii="Century" w:hAnsi="Century" w:cs="Miriam"/>
          <w:b/>
          <w:spacing w:val="0"/>
          <w:szCs w:val="24"/>
          <w:rtl/>
        </w:rPr>
        <w:t xml:space="preserve"> </w:t>
      </w:r>
      <w:r w:rsidRPr="006C58D0">
        <w:rPr>
          <w:rFonts w:ascii="Century" w:hAnsi="Century" w:cs="Miriam" w:hint="eastAsia"/>
          <w:b/>
          <w:spacing w:val="0"/>
          <w:szCs w:val="24"/>
          <w:rtl/>
        </w:rPr>
        <w:t>מיועדת</w:t>
      </w:r>
      <w:r w:rsidRPr="006C58D0">
        <w:rPr>
          <w:rFonts w:ascii="Century" w:hAnsi="Century" w:cs="Miriam"/>
          <w:b/>
          <w:spacing w:val="0"/>
          <w:szCs w:val="24"/>
          <w:rtl/>
        </w:rPr>
        <w:t xml:space="preserve"> </w:t>
      </w:r>
      <w:r w:rsidRPr="006C58D0">
        <w:rPr>
          <w:rFonts w:ascii="Century" w:hAnsi="Century" w:cs="Miriam" w:hint="eastAsia"/>
          <w:b/>
          <w:spacing w:val="0"/>
          <w:szCs w:val="24"/>
          <w:rtl/>
        </w:rPr>
        <w:t>היא</w:t>
      </w:r>
      <w:r w:rsidRPr="006C58D0">
        <w:rPr>
          <w:rFonts w:ascii="Century" w:hAnsi="Century" w:cs="Miriam"/>
          <w:b/>
          <w:spacing w:val="0"/>
          <w:szCs w:val="24"/>
          <w:rtl/>
        </w:rPr>
        <w:t xml:space="preserve"> </w:t>
      </w:r>
      <w:r w:rsidRPr="006C58D0">
        <w:rPr>
          <w:rFonts w:ascii="Century" w:hAnsi="Century" w:cs="Miriam" w:hint="eastAsia"/>
          <w:b/>
          <w:spacing w:val="0"/>
          <w:szCs w:val="24"/>
          <w:rtl/>
        </w:rPr>
        <w:t>לאזן</w:t>
      </w:r>
      <w:r w:rsidRPr="006C58D0">
        <w:rPr>
          <w:rFonts w:ascii="Century" w:hAnsi="Century" w:cs="Miriam"/>
          <w:b/>
          <w:spacing w:val="0"/>
          <w:szCs w:val="24"/>
          <w:rtl/>
        </w:rPr>
        <w:t xml:space="preserve"> </w:t>
      </w:r>
      <w:r w:rsidRPr="006C58D0">
        <w:rPr>
          <w:rFonts w:ascii="Century" w:hAnsi="Century" w:cs="Miriam" w:hint="eastAsia"/>
          <w:b/>
          <w:spacing w:val="0"/>
          <w:szCs w:val="24"/>
          <w:rtl/>
        </w:rPr>
        <w:t>בין</w:t>
      </w:r>
      <w:r w:rsidRPr="006C58D0">
        <w:rPr>
          <w:rFonts w:ascii="Century" w:hAnsi="Century" w:cs="Miriam"/>
          <w:b/>
          <w:spacing w:val="0"/>
          <w:szCs w:val="24"/>
          <w:rtl/>
        </w:rPr>
        <w:t xml:space="preserve"> </w:t>
      </w:r>
      <w:r w:rsidRPr="006C58D0">
        <w:rPr>
          <w:rFonts w:ascii="Century" w:hAnsi="Century" w:cs="Miriam" w:hint="eastAsia"/>
          <w:b/>
          <w:spacing w:val="0"/>
          <w:szCs w:val="24"/>
          <w:rtl/>
        </w:rPr>
        <w:t>האינטרסים</w:t>
      </w:r>
      <w:r w:rsidRPr="006C58D0">
        <w:rPr>
          <w:rFonts w:ascii="Century" w:hAnsi="Century" w:cs="Miriam"/>
          <w:b/>
          <w:spacing w:val="0"/>
          <w:szCs w:val="24"/>
          <w:rtl/>
        </w:rPr>
        <w:t xml:space="preserve"> </w:t>
      </w:r>
      <w:r w:rsidRPr="006C58D0">
        <w:rPr>
          <w:rFonts w:ascii="Century" w:hAnsi="Century" w:cs="Miriam" w:hint="eastAsia"/>
          <w:b/>
          <w:spacing w:val="0"/>
          <w:szCs w:val="24"/>
          <w:rtl/>
        </w:rPr>
        <w:t>העלולים</w:t>
      </w:r>
      <w:r w:rsidRPr="006C58D0">
        <w:rPr>
          <w:rFonts w:ascii="Century" w:hAnsi="Century" w:cs="Miriam"/>
          <w:b/>
          <w:spacing w:val="0"/>
          <w:szCs w:val="24"/>
          <w:rtl/>
        </w:rPr>
        <w:t xml:space="preserve"> </w:t>
      </w:r>
      <w:r w:rsidRPr="006C58D0">
        <w:rPr>
          <w:rFonts w:ascii="Century" w:hAnsi="Century" w:cs="Miriam" w:hint="eastAsia"/>
          <w:b/>
          <w:spacing w:val="0"/>
          <w:szCs w:val="24"/>
          <w:rtl/>
        </w:rPr>
        <w:t>להיפגע</w:t>
      </w:r>
      <w:r w:rsidRPr="006C58D0">
        <w:rPr>
          <w:rFonts w:ascii="Century" w:hAnsi="Century" w:cs="Miriam"/>
          <w:b/>
          <w:spacing w:val="0"/>
          <w:szCs w:val="24"/>
          <w:rtl/>
        </w:rPr>
        <w:t xml:space="preserve"> </w:t>
      </w:r>
      <w:r w:rsidRPr="006C58D0">
        <w:rPr>
          <w:rFonts w:ascii="Century" w:hAnsi="Century" w:cs="Miriam" w:hint="eastAsia"/>
          <w:b/>
          <w:spacing w:val="0"/>
          <w:szCs w:val="24"/>
          <w:rtl/>
        </w:rPr>
        <w:t>ולסייע</w:t>
      </w:r>
      <w:r w:rsidRPr="006C58D0">
        <w:rPr>
          <w:rFonts w:ascii="Century" w:hAnsi="Century" w:cs="Miriam"/>
          <w:b/>
          <w:spacing w:val="0"/>
          <w:szCs w:val="24"/>
          <w:rtl/>
        </w:rPr>
        <w:t xml:space="preserve"> </w:t>
      </w:r>
      <w:r w:rsidRPr="006C58D0">
        <w:rPr>
          <w:rFonts w:ascii="Century" w:hAnsi="Century" w:cs="Miriam" w:hint="eastAsia"/>
          <w:b/>
          <w:spacing w:val="0"/>
          <w:szCs w:val="24"/>
          <w:rtl/>
        </w:rPr>
        <w:t>בהעדפת</w:t>
      </w:r>
      <w:r w:rsidRPr="006C58D0">
        <w:rPr>
          <w:rFonts w:ascii="Century" w:hAnsi="Century" w:cs="Miriam"/>
          <w:b/>
          <w:spacing w:val="0"/>
          <w:szCs w:val="24"/>
          <w:rtl/>
        </w:rPr>
        <w:t xml:space="preserve"> </w:t>
      </w:r>
      <w:r w:rsidRPr="006C58D0">
        <w:rPr>
          <w:rFonts w:ascii="Century" w:hAnsi="Century" w:cs="Miriam" w:hint="eastAsia"/>
          <w:b/>
          <w:spacing w:val="0"/>
          <w:szCs w:val="24"/>
          <w:rtl/>
        </w:rPr>
        <w:t>האינטרס</w:t>
      </w:r>
      <w:r w:rsidRPr="006C58D0">
        <w:rPr>
          <w:rFonts w:ascii="Century" w:hAnsi="Century" w:cs="Miriam"/>
          <w:b/>
          <w:spacing w:val="0"/>
          <w:szCs w:val="24"/>
          <w:rtl/>
        </w:rPr>
        <w:t xml:space="preserve"> </w:t>
      </w:r>
      <w:r w:rsidRPr="006C58D0">
        <w:rPr>
          <w:rFonts w:ascii="Century" w:hAnsi="Century" w:cs="Miriam" w:hint="eastAsia"/>
          <w:b/>
          <w:spacing w:val="0"/>
          <w:szCs w:val="24"/>
          <w:rtl/>
        </w:rPr>
        <w:t>הראוי</w:t>
      </w:r>
      <w:r w:rsidRPr="006C58D0">
        <w:rPr>
          <w:rFonts w:ascii="Century" w:hAnsi="Century" w:cs="Miriam"/>
          <w:b/>
          <w:spacing w:val="0"/>
          <w:szCs w:val="24"/>
          <w:rtl/>
        </w:rPr>
        <w:t xml:space="preserve"> </w:t>
      </w:r>
      <w:r w:rsidRPr="006C58D0">
        <w:rPr>
          <w:rFonts w:ascii="Century" w:hAnsi="Century" w:cs="Miriam" w:hint="eastAsia"/>
          <w:b/>
          <w:spacing w:val="0"/>
          <w:szCs w:val="24"/>
          <w:rtl/>
        </w:rPr>
        <w:t>להגנה</w:t>
      </w:r>
      <w:r w:rsidRPr="006C58D0">
        <w:rPr>
          <w:rFonts w:ascii="Century" w:hAnsi="Century" w:cs="Miriam"/>
          <w:b/>
          <w:spacing w:val="0"/>
          <w:szCs w:val="24"/>
          <w:rtl/>
        </w:rPr>
        <w:t xml:space="preserve">, </w:t>
      </w:r>
      <w:r w:rsidRPr="006C58D0">
        <w:rPr>
          <w:rFonts w:ascii="Century" w:hAnsi="Century" w:cs="Miriam" w:hint="eastAsia"/>
          <w:b/>
          <w:spacing w:val="0"/>
          <w:szCs w:val="24"/>
          <w:rtl/>
        </w:rPr>
        <w:t>על</w:t>
      </w:r>
      <w:r w:rsidRPr="006C58D0">
        <w:rPr>
          <w:rFonts w:ascii="Century" w:hAnsi="Century" w:cs="Miriam"/>
          <w:b/>
          <w:spacing w:val="0"/>
          <w:szCs w:val="24"/>
          <w:rtl/>
        </w:rPr>
        <w:t xml:space="preserve"> </w:t>
      </w:r>
      <w:r w:rsidRPr="006C58D0">
        <w:rPr>
          <w:rFonts w:ascii="Century" w:hAnsi="Century" w:cs="Miriam" w:hint="eastAsia"/>
          <w:b/>
          <w:spacing w:val="0"/>
          <w:szCs w:val="24"/>
          <w:rtl/>
        </w:rPr>
        <w:t>פני</w:t>
      </w:r>
      <w:r w:rsidRPr="006C58D0">
        <w:rPr>
          <w:rFonts w:ascii="Century" w:hAnsi="Century" w:cs="Miriam"/>
          <w:b/>
          <w:spacing w:val="0"/>
          <w:szCs w:val="24"/>
          <w:rtl/>
        </w:rPr>
        <w:t xml:space="preserve"> </w:t>
      </w:r>
      <w:r w:rsidRPr="006C58D0">
        <w:rPr>
          <w:rFonts w:ascii="Century" w:hAnsi="Century" w:cs="Miriam" w:hint="eastAsia"/>
          <w:b/>
          <w:spacing w:val="0"/>
          <w:szCs w:val="24"/>
          <w:rtl/>
        </w:rPr>
        <w:t>האחרים</w:t>
      </w:r>
      <w:r>
        <w:rPr>
          <w:rFonts w:ascii="Century" w:hAnsi="Century" w:cs="Miriam" w:hint="cs"/>
          <w:b/>
          <w:spacing w:val="0"/>
          <w:szCs w:val="24"/>
          <w:rtl/>
        </w:rPr>
        <w:t xml:space="preserve">" </w:t>
      </w:r>
      <w:r w:rsidRPr="006C58D0">
        <w:rPr>
          <w:rFonts w:ascii="Century" w:hAnsi="Century" w:hint="cs"/>
          <w:rtl/>
        </w:rPr>
        <w:t>(</w:t>
      </w:r>
      <w:r>
        <w:rPr>
          <w:rFonts w:hint="cs"/>
          <w:rtl/>
        </w:rPr>
        <w:t xml:space="preserve">ע"א 5664/93 </w:t>
      </w:r>
      <w:r w:rsidRPr="00A86F70">
        <w:rPr>
          <w:rFonts w:ascii="Century" w:hAnsi="Century" w:cs="Miriam" w:hint="eastAsia"/>
          <w:b/>
          <w:spacing w:val="0"/>
          <w:szCs w:val="24"/>
          <w:rtl/>
        </w:rPr>
        <w:t>כנען</w:t>
      </w:r>
      <w:r w:rsidRPr="00A86F70">
        <w:rPr>
          <w:rFonts w:ascii="Century" w:hAnsi="Century" w:cs="Miriam"/>
          <w:b/>
          <w:spacing w:val="0"/>
          <w:szCs w:val="24"/>
          <w:rtl/>
        </w:rPr>
        <w:t xml:space="preserve"> </w:t>
      </w:r>
      <w:r w:rsidRPr="00A86F70">
        <w:rPr>
          <w:rFonts w:ascii="Century" w:hAnsi="Century" w:cs="Miriam" w:hint="eastAsia"/>
          <w:b/>
          <w:spacing w:val="0"/>
          <w:szCs w:val="24"/>
          <w:rtl/>
        </w:rPr>
        <w:t>נ</w:t>
      </w:r>
      <w:r w:rsidRPr="00A86F70">
        <w:rPr>
          <w:rFonts w:ascii="Century" w:hAnsi="Century" w:cs="Miriam"/>
          <w:b/>
          <w:spacing w:val="0"/>
          <w:szCs w:val="24"/>
          <w:rtl/>
        </w:rPr>
        <w:t xml:space="preserve">' </w:t>
      </w:r>
      <w:r w:rsidRPr="008F61E1">
        <w:rPr>
          <w:rFonts w:ascii="Garamond" w:hAnsi="Garamond" w:cs="Miriam"/>
          <w:bCs/>
          <w:spacing w:val="0"/>
          <w:szCs w:val="24"/>
        </w:rPr>
        <w:t>United States of America</w:t>
      </w:r>
      <w:r w:rsidRPr="00A86F70">
        <w:rPr>
          <w:rtl/>
        </w:rPr>
        <w:t xml:space="preserve">, </w:t>
      </w:r>
      <w:r w:rsidRPr="00A86F70">
        <w:rPr>
          <w:rFonts w:hint="eastAsia"/>
          <w:rtl/>
        </w:rPr>
        <w:t>פ</w:t>
      </w:r>
      <w:r w:rsidRPr="00A86F70">
        <w:rPr>
          <w:rtl/>
        </w:rPr>
        <w:t>"</w:t>
      </w:r>
      <w:r w:rsidRPr="00A86F70">
        <w:rPr>
          <w:rFonts w:hint="eastAsia"/>
          <w:rtl/>
        </w:rPr>
        <w:t>ד</w:t>
      </w:r>
      <w:r w:rsidRPr="00A86F70">
        <w:rPr>
          <w:rtl/>
        </w:rPr>
        <w:t xml:space="preserve"> </w:t>
      </w:r>
      <w:r w:rsidRPr="00A86F70">
        <w:rPr>
          <w:rFonts w:hint="eastAsia"/>
          <w:rtl/>
        </w:rPr>
        <w:t>נא</w:t>
      </w:r>
      <w:r w:rsidRPr="00A86F70">
        <w:rPr>
          <w:rtl/>
        </w:rPr>
        <w:t>(1) 114</w:t>
      </w:r>
      <w:r>
        <w:rPr>
          <w:rFonts w:hint="cs"/>
          <w:rtl/>
        </w:rPr>
        <w:t>, 129 (1997)</w:t>
      </w:r>
      <w:r>
        <w:rPr>
          <w:rFonts w:ascii="Century" w:hAnsi="Century" w:hint="cs"/>
          <w:rtl/>
        </w:rPr>
        <w:t>;</w:t>
      </w:r>
      <w:r w:rsidRPr="00C95D1B">
        <w:rPr>
          <w:rFonts w:hint="cs"/>
          <w:rtl/>
        </w:rPr>
        <w:t xml:space="preserve"> </w:t>
      </w:r>
      <w:r>
        <w:rPr>
          <w:rFonts w:hint="cs"/>
          <w:rtl/>
        </w:rPr>
        <w:t>ו</w:t>
      </w:r>
      <w:r w:rsidRPr="00C95D1B">
        <w:rPr>
          <w:rFonts w:ascii="Century" w:hAnsi="Century" w:hint="cs"/>
          <w:rtl/>
        </w:rPr>
        <w:t>ראו גם:</w:t>
      </w:r>
      <w:r>
        <w:rPr>
          <w:rFonts w:ascii="Century" w:hAnsi="Century" w:hint="cs"/>
          <w:rtl/>
        </w:rPr>
        <w:t xml:space="preserve"> דנ"א 2568/97</w:t>
      </w:r>
      <w:r w:rsidRPr="006C58D0">
        <w:rPr>
          <w:rFonts w:ascii="Century" w:hAnsi="Century" w:cs="Miriam" w:hint="cs"/>
          <w:b/>
          <w:spacing w:val="0"/>
          <w:szCs w:val="24"/>
          <w:rtl/>
        </w:rPr>
        <w:t xml:space="preserve"> כנען</w:t>
      </w:r>
      <w:r>
        <w:rPr>
          <w:rFonts w:ascii="Century" w:hAnsi="Century" w:cs="Miriam" w:hint="cs"/>
          <w:b/>
          <w:spacing w:val="0"/>
          <w:szCs w:val="24"/>
          <w:rtl/>
        </w:rPr>
        <w:t xml:space="preserve"> נ' ממשלת ארצות הברית</w:t>
      </w:r>
      <w:r>
        <w:rPr>
          <w:rFonts w:hint="cs"/>
          <w:rtl/>
        </w:rPr>
        <w:t xml:space="preserve">, פ"ד נז(2) 632, 645 (המשנה לנשיא </w:t>
      </w:r>
      <w:r w:rsidRPr="006C58D0">
        <w:rPr>
          <w:rFonts w:ascii="Century" w:hAnsi="Century" w:cs="Miriam" w:hint="cs"/>
          <w:b/>
          <w:spacing w:val="0"/>
          <w:szCs w:val="24"/>
          <w:rtl/>
        </w:rPr>
        <w:t>ש' לוין</w:t>
      </w:r>
      <w:r>
        <w:rPr>
          <w:rFonts w:hint="cs"/>
          <w:rtl/>
        </w:rPr>
        <w:t xml:space="preserve">), 680 (השופט (כתוארו אז) </w:t>
      </w:r>
      <w:r w:rsidRPr="006C58D0">
        <w:rPr>
          <w:rFonts w:ascii="Century" w:hAnsi="Century" w:cs="Miriam" w:hint="cs"/>
          <w:b/>
          <w:spacing w:val="0"/>
          <w:szCs w:val="24"/>
          <w:rtl/>
        </w:rPr>
        <w:t>ת' אור</w:t>
      </w:r>
      <w:r>
        <w:rPr>
          <w:rFonts w:hint="cs"/>
          <w:rtl/>
        </w:rPr>
        <w:t xml:space="preserve">), 717 (השופטת </w:t>
      </w:r>
      <w:r w:rsidRPr="006C58D0">
        <w:rPr>
          <w:rFonts w:ascii="Century" w:hAnsi="Century" w:cs="Miriam" w:hint="cs"/>
          <w:b/>
          <w:spacing w:val="0"/>
          <w:szCs w:val="24"/>
          <w:rtl/>
        </w:rPr>
        <w:t>ט' שטרסברג-כהן</w:t>
      </w:r>
      <w:r>
        <w:rPr>
          <w:rFonts w:hint="cs"/>
          <w:rtl/>
        </w:rPr>
        <w:t xml:space="preserve">), והשוו שם, לדעת השופט </w:t>
      </w:r>
      <w:r w:rsidRPr="006C58D0">
        <w:rPr>
          <w:rFonts w:ascii="Century" w:hAnsi="Century" w:cs="Miriam" w:hint="cs"/>
          <w:b/>
          <w:spacing w:val="0"/>
          <w:szCs w:val="24"/>
          <w:rtl/>
        </w:rPr>
        <w:t>י' טירקל</w:t>
      </w:r>
      <w:r>
        <w:rPr>
          <w:rFonts w:hint="cs"/>
          <w:rtl/>
        </w:rPr>
        <w:t xml:space="preserve"> (שם, עמוד 707) (2003)</w:t>
      </w:r>
      <w:r w:rsidRPr="006C58D0">
        <w:rPr>
          <w:rFonts w:ascii="Century" w:hAnsi="Century" w:hint="cs"/>
          <w:rtl/>
        </w:rPr>
        <w:t>).</w:t>
      </w:r>
    </w:p>
    <w:p w:rsidR="00295623" w:rsidRDefault="00295623" w:rsidP="00295623">
      <w:pPr>
        <w:pStyle w:val="Ruller4"/>
        <w:numPr>
          <w:ilvl w:val="0"/>
          <w:numId w:val="0"/>
        </w:numPr>
        <w:tabs>
          <w:tab w:val="left" w:pos="90"/>
        </w:tabs>
        <w:rPr>
          <w:rtl/>
        </w:rPr>
      </w:pPr>
    </w:p>
    <w:p w:rsidR="00295623" w:rsidRDefault="00295623" w:rsidP="00295623">
      <w:pPr>
        <w:pStyle w:val="Ruller4"/>
        <w:numPr>
          <w:ilvl w:val="0"/>
          <w:numId w:val="0"/>
        </w:numPr>
        <w:tabs>
          <w:tab w:val="left" w:pos="90"/>
        </w:tabs>
        <w:rPr>
          <w:rtl/>
        </w:rPr>
      </w:pPr>
      <w:r>
        <w:rPr>
          <w:rtl/>
        </w:rPr>
        <w:tab/>
      </w:r>
      <w:r>
        <w:rPr>
          <w:rtl/>
        </w:rPr>
        <w:tab/>
      </w:r>
      <w:r>
        <w:rPr>
          <w:rFonts w:hint="cs"/>
          <w:rtl/>
        </w:rPr>
        <w:t xml:space="preserve">רכיב התמורה שבהסדרי תקנת השוק, מסייע אפוא להגשים שתי מטרות המשלימות זו את זו: הוא משמש אינדיקציה להסתמכותו תמת-הלב של רוכש הזכות; והוא מסייע ב'מזעור הנזק', בדרך של העדפת מי שנושא בנזק רב יותר </w:t>
      </w:r>
      <w:r>
        <w:rPr>
          <w:rtl/>
        </w:rPr>
        <w:t>–</w:t>
      </w:r>
      <w:r>
        <w:rPr>
          <w:rFonts w:hint="cs"/>
          <w:rtl/>
        </w:rPr>
        <w:t xml:space="preserve"> בעל הזכות המקורית או רוכש הזכות </w:t>
      </w:r>
      <w:r>
        <w:rPr>
          <w:rtl/>
        </w:rPr>
        <w:t>–</w:t>
      </w:r>
      <w:r>
        <w:rPr>
          <w:rFonts w:hint="cs"/>
          <w:rtl/>
        </w:rPr>
        <w:t xml:space="preserve"> ובאיזון</w:t>
      </w:r>
      <w:r>
        <w:rPr>
          <w:rtl/>
        </w:rPr>
        <w:tab/>
      </w:r>
      <w:r>
        <w:rPr>
          <w:rFonts w:hint="cs"/>
        </w:rPr>
        <w:t>E</w:t>
      </w:r>
      <w:r>
        <w:t>x-post</w:t>
      </w:r>
      <w:r>
        <w:rPr>
          <w:rFonts w:hint="cs"/>
          <w:rtl/>
        </w:rPr>
        <w:t xml:space="preserve">, בין האינטרסים העלולים להיפגע כתוצאה מהחלת התקנה. עוד יש להסיק מכך, כי את דרישת התמורה אין לקרוא באופן דווקני </w:t>
      </w:r>
      <w:r>
        <w:rPr>
          <w:rtl/>
        </w:rPr>
        <w:t>–</w:t>
      </w:r>
      <w:r>
        <w:rPr>
          <w:rFonts w:hint="cs"/>
          <w:rtl/>
        </w:rPr>
        <w:t xml:space="preserve"> כתמורה כספית גרידא, ולשם כך, ניתן להסתפק גם בהוכחה להוצאת הוצאות או התקשרות בעסקה עם צד שלישי (ואגב כך, הסתכנות בתביעה מצד אותו צד ג', ככל שהעסקה תבוטל), מכוח הסתמכותו תמת-הלב של רוכש הזכות. </w:t>
      </w:r>
    </w:p>
    <w:p w:rsidR="00295623" w:rsidRPr="006F43CE" w:rsidRDefault="00295623" w:rsidP="00295623">
      <w:pPr>
        <w:pStyle w:val="Ruller41"/>
        <w:tabs>
          <w:tab w:val="left" w:pos="90"/>
        </w:tabs>
        <w:spacing w:line="240" w:lineRule="auto"/>
      </w:pPr>
    </w:p>
    <w:p w:rsidR="00295623" w:rsidRDefault="00295623" w:rsidP="00295623">
      <w:pPr>
        <w:pStyle w:val="Ruller41"/>
        <w:rPr>
          <w:rtl/>
        </w:rPr>
      </w:pPr>
      <w:r>
        <w:rPr>
          <w:rFonts w:hint="cs"/>
          <w:rtl/>
        </w:rPr>
        <w:lastRenderedPageBreak/>
        <w:t>53.</w:t>
      </w:r>
      <w:r>
        <w:rPr>
          <w:rFonts w:hint="cs"/>
          <w:rtl/>
        </w:rPr>
        <w:tab/>
        <w:t xml:space="preserve">ומהתם להכא. לגישתי, האופן שבו עוצבה דרישת התמורה, כמפורט לעיל, הביאני לכלל מסקנה כי במקרה שלפנינו (ובמקרים דומים), דרישה זו מתקיימת </w:t>
      </w:r>
      <w:r>
        <w:rPr>
          <w:rtl/>
        </w:rPr>
        <w:t>–</w:t>
      </w:r>
      <w:r>
        <w:rPr>
          <w:rFonts w:hint="cs"/>
          <w:rtl/>
        </w:rPr>
        <w:t xml:space="preserve"> הגם שלא הועברה תמורה כספית מאת ההסתדרות הציונית לממונה. בהקשר זה, אביא מ</w:t>
      </w:r>
      <w:r w:rsidRPr="00536C48">
        <w:rPr>
          <w:rFonts w:ascii="Century" w:hAnsi="Century" w:hint="cs"/>
          <w:rtl/>
        </w:rPr>
        <w:t>חוות דעת היועץ המשפטי לממשלה מיום 7.12.2016</w:t>
      </w:r>
      <w:r>
        <w:rPr>
          <w:rFonts w:hint="cs"/>
          <w:rtl/>
        </w:rPr>
        <w:t xml:space="preserve">, שם נכתב: </w:t>
      </w:r>
      <w:r w:rsidRPr="00DC255B">
        <w:rPr>
          <w:rFonts w:ascii="Century" w:hAnsi="Century" w:cs="Miriam" w:hint="cs"/>
          <w:b/>
          <w:spacing w:val="0"/>
          <w:szCs w:val="24"/>
          <w:rtl/>
        </w:rPr>
        <w:t>"כאשר מדובר בהתקשרויות בין גופים מיישבים או משכנים, הפרקטיקה באזור בעבר הייתה שההתקשרות עצמה איננה כרוכה בתשלום תמורה כספית מצד הגורם המתקשר, כאשר התמורה שניתנה מצדו הינה קידום תכנית מתאר לשטח המוקצה, פיתוחו ושיווקו"</w:t>
      </w:r>
      <w:r>
        <w:rPr>
          <w:rFonts w:hint="cs"/>
          <w:rtl/>
        </w:rPr>
        <w:t xml:space="preserve">. סבורני אפוא, כי בנדון דידן, די בהשקעות שביצעה ההסתדרות הציונית, בדרך של קידום תכניות סטטוטוריות, שיווק המקרקעין, וביצוע עבודות תשתית ופיתוח, כדי להצביע על הסתמכות זו, וכדי לעמוד בדרישת התמורה (ככל שהיא קיימת ביחס להסדר שבסעיף 5). כך, השטח שעליו הוקם מצפה כרמים תוכנן על-ידי ההסתדרות הציונית, כמה פעמים; חלק מהמגרשים שווקו על-ידה; ובהמשך הוסיפה ההסתדרות הציונית לפתח את הקרקע, כאשר בחלקה הוצבו יבילים ובחלקה הוקמו בתי-קבע. כל זאת עשתה ההסתדרות הציונית </w:t>
      </w:r>
      <w:r>
        <w:rPr>
          <w:rtl/>
        </w:rPr>
        <w:t>–</w:t>
      </w:r>
      <w:r>
        <w:rPr>
          <w:rFonts w:hint="cs"/>
          <w:rtl/>
        </w:rPr>
        <w:t xml:space="preserve"> בהסתמך על ההרשאה שניתנה לה מאת הממונה, ובהסתמך על מצגים שונים מצד גורמים במדינה. אשר למחזיקים </w:t>
      </w:r>
      <w:r>
        <w:rPr>
          <w:rtl/>
        </w:rPr>
        <w:t>–</w:t>
      </w:r>
      <w:r>
        <w:rPr>
          <w:rFonts w:hint="cs"/>
          <w:rtl/>
        </w:rPr>
        <w:t xml:space="preserve"> הדברים פשוטים אף יותר. אלו הקימו קהילה במקום,</w:t>
      </w:r>
      <w:r w:rsidRPr="00003223">
        <w:rPr>
          <w:rFonts w:hint="eastAsia"/>
          <w:rtl/>
        </w:rPr>
        <w:t xml:space="preserve"> </w:t>
      </w:r>
      <w:r w:rsidRPr="00003223">
        <w:rPr>
          <w:rFonts w:ascii="Century" w:hAnsi="Century" w:cs="Miriam" w:hint="cs"/>
          <w:b/>
          <w:spacing w:val="0"/>
          <w:szCs w:val="24"/>
          <w:rtl/>
        </w:rPr>
        <w:t>"</w:t>
      </w:r>
      <w:r w:rsidRPr="00003223">
        <w:rPr>
          <w:rFonts w:ascii="Century" w:hAnsi="Century" w:cs="Miriam" w:hint="eastAsia"/>
          <w:b/>
          <w:spacing w:val="0"/>
          <w:szCs w:val="24"/>
          <w:rtl/>
        </w:rPr>
        <w:t>וּבָנוּ</w:t>
      </w:r>
      <w:r w:rsidRPr="00003223">
        <w:rPr>
          <w:rFonts w:ascii="Century" w:hAnsi="Century" w:cs="Miriam"/>
          <w:b/>
          <w:spacing w:val="0"/>
          <w:szCs w:val="24"/>
          <w:rtl/>
        </w:rPr>
        <w:t xml:space="preserve"> </w:t>
      </w:r>
      <w:r w:rsidRPr="00003223">
        <w:rPr>
          <w:rFonts w:ascii="Century" w:hAnsi="Century" w:cs="Miriam" w:hint="eastAsia"/>
          <w:b/>
          <w:spacing w:val="0"/>
          <w:szCs w:val="24"/>
          <w:rtl/>
        </w:rPr>
        <w:t>בָתִּים</w:t>
      </w:r>
      <w:r w:rsidRPr="00003223">
        <w:rPr>
          <w:rFonts w:ascii="Century" w:hAnsi="Century" w:cs="Miriam"/>
          <w:b/>
          <w:spacing w:val="0"/>
          <w:szCs w:val="24"/>
          <w:rtl/>
        </w:rPr>
        <w:t xml:space="preserve"> </w:t>
      </w:r>
      <w:r w:rsidRPr="00003223">
        <w:rPr>
          <w:rFonts w:ascii="Century" w:hAnsi="Century" w:cs="Miriam" w:hint="eastAsia"/>
          <w:b/>
          <w:spacing w:val="0"/>
          <w:szCs w:val="24"/>
          <w:rtl/>
        </w:rPr>
        <w:t>וְיָשָׁבוּ</w:t>
      </w:r>
      <w:r w:rsidRPr="00003223">
        <w:rPr>
          <w:rFonts w:ascii="Century" w:hAnsi="Century" w:cs="Miriam"/>
          <w:b/>
          <w:spacing w:val="0"/>
          <w:szCs w:val="24"/>
          <w:rtl/>
        </w:rPr>
        <w:t xml:space="preserve"> </w:t>
      </w:r>
      <w:r w:rsidRPr="00003223">
        <w:rPr>
          <w:rFonts w:ascii="Century" w:hAnsi="Century" w:cs="Miriam" w:hint="eastAsia"/>
          <w:b/>
          <w:spacing w:val="0"/>
          <w:szCs w:val="24"/>
          <w:rtl/>
        </w:rPr>
        <w:t>וְנָטְעוּ</w:t>
      </w:r>
      <w:r w:rsidRPr="00003223">
        <w:rPr>
          <w:rFonts w:ascii="Century" w:hAnsi="Century" w:cs="Miriam"/>
          <w:b/>
          <w:spacing w:val="0"/>
          <w:szCs w:val="24"/>
          <w:rtl/>
        </w:rPr>
        <w:t xml:space="preserve"> </w:t>
      </w:r>
      <w:r w:rsidRPr="00003223">
        <w:rPr>
          <w:rFonts w:ascii="Century" w:hAnsi="Century" w:cs="Miriam" w:hint="eastAsia"/>
          <w:b/>
          <w:spacing w:val="0"/>
          <w:szCs w:val="24"/>
          <w:rtl/>
        </w:rPr>
        <w:t>כְרָמִים</w:t>
      </w:r>
      <w:r w:rsidRPr="00003223">
        <w:rPr>
          <w:rFonts w:ascii="Century" w:hAnsi="Century" w:cs="Miriam"/>
          <w:b/>
          <w:spacing w:val="0"/>
          <w:szCs w:val="24"/>
          <w:rtl/>
        </w:rPr>
        <w:t xml:space="preserve"> </w:t>
      </w:r>
      <w:r w:rsidRPr="00003223">
        <w:rPr>
          <w:rFonts w:ascii="Century" w:hAnsi="Century" w:cs="Miriam" w:hint="eastAsia"/>
          <w:b/>
          <w:spacing w:val="0"/>
          <w:szCs w:val="24"/>
          <w:rtl/>
        </w:rPr>
        <w:t>וְאָכְלוּ</w:t>
      </w:r>
      <w:r w:rsidRPr="00003223">
        <w:rPr>
          <w:rFonts w:ascii="Century" w:hAnsi="Century" w:cs="Miriam"/>
          <w:b/>
          <w:spacing w:val="0"/>
          <w:szCs w:val="24"/>
          <w:rtl/>
        </w:rPr>
        <w:t xml:space="preserve"> </w:t>
      </w:r>
      <w:r w:rsidRPr="00003223">
        <w:rPr>
          <w:rFonts w:ascii="Century" w:hAnsi="Century" w:cs="Miriam" w:hint="eastAsia"/>
          <w:b/>
          <w:spacing w:val="0"/>
          <w:szCs w:val="24"/>
          <w:rtl/>
        </w:rPr>
        <w:t>פִּרְיָם</w:t>
      </w:r>
      <w:r w:rsidRPr="00003223">
        <w:rPr>
          <w:rFonts w:ascii="Century" w:hAnsi="Century" w:cs="Miriam" w:hint="cs"/>
          <w:b/>
          <w:spacing w:val="0"/>
          <w:szCs w:val="24"/>
          <w:rtl/>
        </w:rPr>
        <w:t>"</w:t>
      </w:r>
      <w:r>
        <w:rPr>
          <w:rFonts w:hint="cs"/>
          <w:rtl/>
        </w:rPr>
        <w:t xml:space="preserve"> (</w:t>
      </w:r>
      <w:r w:rsidRPr="00F11687">
        <w:rPr>
          <w:rFonts w:ascii="Century" w:hAnsi="Century" w:hint="eastAsia"/>
          <w:rtl/>
        </w:rPr>
        <w:t>ישעיהו</w:t>
      </w:r>
      <w:r w:rsidRPr="00476CDA">
        <w:rPr>
          <w:rtl/>
        </w:rPr>
        <w:t xml:space="preserve"> </w:t>
      </w:r>
      <w:r>
        <w:rPr>
          <w:rFonts w:hint="cs"/>
          <w:rtl/>
        </w:rPr>
        <w:t xml:space="preserve">סה, כא). ברי אפוא, כי המחזיקים הסתמכו אף הם על הסכמי ההרשאה, ופעלו פעולות שונות, אשר שינו את מצבם לרעה </w:t>
      </w:r>
      <w:r>
        <w:rPr>
          <w:rtl/>
        </w:rPr>
        <w:t>–</w:t>
      </w:r>
      <w:r>
        <w:rPr>
          <w:rFonts w:hint="cs"/>
          <w:rtl/>
        </w:rPr>
        <w:t xml:space="preserve"> באופן מובהק ומשמעותי. </w:t>
      </w:r>
    </w:p>
    <w:p w:rsidR="00295623" w:rsidRPr="00003223" w:rsidRDefault="00295623" w:rsidP="00295623">
      <w:pPr>
        <w:pStyle w:val="Ruller41"/>
        <w:tabs>
          <w:tab w:val="left" w:pos="90"/>
        </w:tabs>
        <w:spacing w:line="240" w:lineRule="auto"/>
      </w:pPr>
    </w:p>
    <w:p w:rsidR="00295623" w:rsidRDefault="00295623" w:rsidP="00295623">
      <w:pPr>
        <w:pStyle w:val="Ruller41"/>
        <w:rPr>
          <w:rtl/>
        </w:rPr>
      </w:pPr>
      <w:r>
        <w:rPr>
          <w:rFonts w:hint="cs"/>
          <w:rtl/>
        </w:rPr>
        <w:t>54.</w:t>
      </w:r>
      <w:r>
        <w:rPr>
          <w:rFonts w:hint="cs"/>
          <w:rtl/>
        </w:rPr>
        <w:tab/>
        <w:t>בכל הקשור לשיקול של 'מזעור הנזק', ולשאלה מי נושא בנזק גדול יותר, הרי שכבר ציינתי לעיל, כי בענייננו בתחרות זכויות 'מלאכותית'</w:t>
      </w:r>
      <w:r w:rsidRPr="00BC5A68">
        <w:rPr>
          <w:rFonts w:hint="cs"/>
          <w:rtl/>
        </w:rPr>
        <w:t xml:space="preserve"> </w:t>
      </w:r>
      <w:r>
        <w:rPr>
          <w:rFonts w:hint="cs"/>
          <w:rtl/>
        </w:rPr>
        <w:t xml:space="preserve">עסקינן, במובן זה שבעל הזכויות המקורי איננו לפנינו </w:t>
      </w:r>
      <w:r>
        <w:rPr>
          <w:rtl/>
        </w:rPr>
        <w:t>–</w:t>
      </w:r>
      <w:r>
        <w:rPr>
          <w:rFonts w:hint="cs"/>
          <w:rtl/>
        </w:rPr>
        <w:t xml:space="preserve"> לא הוא ולא נזקו. השיקול האמור תומך ללא ספק בהעדפת רוכשי הזכות מאת הממונה (ההסתדרות הציונית והמחזיקים), ולא במי שטוען, </w:t>
      </w:r>
      <w:r w:rsidRPr="00F11687">
        <w:rPr>
          <w:rFonts w:ascii="Century" w:hAnsi="Century" w:cs="Miriam" w:hint="eastAsia"/>
          <w:b/>
          <w:spacing w:val="0"/>
          <w:szCs w:val="24"/>
          <w:rtl/>
        </w:rPr>
        <w:t>מבלי</w:t>
      </w:r>
      <w:r w:rsidRPr="00F11687">
        <w:rPr>
          <w:rFonts w:ascii="Century" w:hAnsi="Century" w:cs="Miriam"/>
          <w:b/>
          <w:spacing w:val="0"/>
          <w:szCs w:val="24"/>
          <w:rtl/>
        </w:rPr>
        <w:t xml:space="preserve"> </w:t>
      </w:r>
      <w:r w:rsidRPr="00F11687">
        <w:rPr>
          <w:rFonts w:ascii="Century" w:hAnsi="Century" w:cs="Miriam" w:hint="eastAsia"/>
          <w:b/>
          <w:spacing w:val="0"/>
          <w:szCs w:val="24"/>
          <w:rtl/>
        </w:rPr>
        <w:t>שהוכיח</w:t>
      </w:r>
      <w:r>
        <w:rPr>
          <w:rFonts w:ascii="Century" w:hAnsi="Century" w:cs="Miriam" w:hint="cs"/>
          <w:b/>
          <w:spacing w:val="0"/>
          <w:szCs w:val="24"/>
          <w:rtl/>
        </w:rPr>
        <w:t xml:space="preserve"> כנדרש</w:t>
      </w:r>
      <w:r>
        <w:rPr>
          <w:rFonts w:hint="cs"/>
          <w:rtl/>
        </w:rPr>
        <w:t>, כי רכש את זכותו של בעל הזכויות המקורי.</w:t>
      </w:r>
    </w:p>
    <w:p w:rsidR="00295623" w:rsidRPr="00B26BEC" w:rsidRDefault="00295623" w:rsidP="00295623">
      <w:pPr>
        <w:pStyle w:val="Ruller41"/>
        <w:tabs>
          <w:tab w:val="left" w:pos="90"/>
        </w:tabs>
        <w:spacing w:line="240" w:lineRule="auto"/>
      </w:pPr>
    </w:p>
    <w:p w:rsidR="00295623" w:rsidRDefault="00295623" w:rsidP="00295623">
      <w:pPr>
        <w:pStyle w:val="Ruller4"/>
        <w:numPr>
          <w:ilvl w:val="0"/>
          <w:numId w:val="0"/>
        </w:numPr>
        <w:tabs>
          <w:tab w:val="left" w:pos="90"/>
        </w:tabs>
        <w:rPr>
          <w:rtl/>
        </w:rPr>
      </w:pPr>
      <w:r>
        <w:rPr>
          <w:rFonts w:hint="cs"/>
          <w:rtl/>
        </w:rPr>
        <w:t>55.</w:t>
      </w:r>
      <w:r>
        <w:rPr>
          <w:rFonts w:hint="cs"/>
          <w:rtl/>
        </w:rPr>
        <w:tab/>
        <w:t xml:space="preserve">עמדתי היא אפוא, כי דרישת התמורה התקיימה בענייננו, ולפיכך אינני מוצא טעם להכריע עתה בשאלה אם דרישה זו אכן מתחייבת, כחלק מתנאי ההסדר המעוגן בסעיף 5. </w:t>
      </w:r>
    </w:p>
    <w:p w:rsidR="00295623" w:rsidRDefault="00295623" w:rsidP="00295623">
      <w:pPr>
        <w:pStyle w:val="Ruller41"/>
        <w:tabs>
          <w:tab w:val="left" w:pos="90"/>
        </w:tabs>
        <w:rPr>
          <w:rtl/>
        </w:rPr>
      </w:pPr>
    </w:p>
    <w:p w:rsidR="00295623" w:rsidRPr="00B26BEC" w:rsidRDefault="00295623" w:rsidP="00295623">
      <w:pPr>
        <w:pStyle w:val="Ruller41"/>
        <w:tabs>
          <w:tab w:val="left" w:pos="90"/>
        </w:tabs>
        <w:spacing w:line="480" w:lineRule="auto"/>
        <w:rPr>
          <w:rFonts w:ascii="Century" w:hAnsi="Century" w:cs="Miriam"/>
          <w:b/>
          <w:spacing w:val="0"/>
          <w:szCs w:val="24"/>
          <w:rtl/>
        </w:rPr>
      </w:pPr>
      <w:r>
        <w:rPr>
          <w:rFonts w:ascii="Century" w:hAnsi="Century" w:cs="Miriam" w:hint="cs"/>
          <w:b/>
          <w:spacing w:val="0"/>
          <w:szCs w:val="24"/>
          <w:rtl/>
        </w:rPr>
        <w:t xml:space="preserve">שאלה רביעית: </w:t>
      </w:r>
      <w:r w:rsidRPr="00B26BEC">
        <w:rPr>
          <w:rFonts w:ascii="Century" w:hAnsi="Century" w:cs="Miriam" w:hint="cs"/>
          <w:b/>
          <w:spacing w:val="0"/>
          <w:szCs w:val="24"/>
          <w:rtl/>
        </w:rPr>
        <w:t xml:space="preserve">האם </w:t>
      </w:r>
      <w:r>
        <w:rPr>
          <w:rFonts w:ascii="Century" w:hAnsi="Century" w:cs="Miriam" w:hint="cs"/>
          <w:b/>
          <w:spacing w:val="0"/>
          <w:szCs w:val="24"/>
          <w:rtl/>
        </w:rPr>
        <w:t>הסכמי ההרשאה התייחסו למ</w:t>
      </w:r>
      <w:r w:rsidRPr="00B26BEC">
        <w:rPr>
          <w:rFonts w:ascii="Century" w:hAnsi="Century" w:cs="Miriam" w:hint="cs"/>
          <w:b/>
          <w:spacing w:val="0"/>
          <w:szCs w:val="24"/>
          <w:rtl/>
        </w:rPr>
        <w:t>קרקעין שעליהם הוקם מצפה כרמים?</w:t>
      </w:r>
    </w:p>
    <w:p w:rsidR="00295623" w:rsidRDefault="00295623" w:rsidP="00295623">
      <w:pPr>
        <w:pStyle w:val="Ruller41"/>
        <w:rPr>
          <w:rtl/>
        </w:rPr>
      </w:pPr>
      <w:r>
        <w:rPr>
          <w:rFonts w:hint="cs"/>
          <w:rtl/>
        </w:rPr>
        <w:t>56.</w:t>
      </w:r>
      <w:r>
        <w:rPr>
          <w:rFonts w:hint="cs"/>
          <w:rtl/>
        </w:rPr>
        <w:tab/>
        <w:t xml:space="preserve">כאמור, שאלה זו מתעוררת אגב נסיבותיו הקונקרטיות של המקרה שלפנינו, ועל-כן אפתח בהצגת הרקע העובדתי הדרוש לעניין. </w:t>
      </w:r>
    </w:p>
    <w:p w:rsidR="00295623" w:rsidRPr="00132228" w:rsidRDefault="00295623" w:rsidP="00295623">
      <w:pPr>
        <w:pStyle w:val="Ruller41"/>
        <w:tabs>
          <w:tab w:val="left" w:pos="90"/>
        </w:tabs>
        <w:spacing w:line="240" w:lineRule="auto"/>
      </w:pPr>
    </w:p>
    <w:p w:rsidR="00295623" w:rsidRDefault="00295623" w:rsidP="00295623">
      <w:pPr>
        <w:pStyle w:val="Ruller41"/>
        <w:rPr>
          <w:rtl/>
        </w:rPr>
      </w:pPr>
      <w:r>
        <w:rPr>
          <w:rFonts w:hint="cs"/>
          <w:rtl/>
        </w:rPr>
        <w:t>57.</w:t>
      </w:r>
      <w:r>
        <w:rPr>
          <w:rFonts w:hint="cs"/>
          <w:rtl/>
        </w:rPr>
        <w:tab/>
        <w:t xml:space="preserve">הקמת הישוב כוכב השחר, עלתה במחשבה לפני המפקד הצבאי, כבר בשנת 1973. מחשבה זו קרמה עור וגידים ביום 3.2.1975, אז חתם המפקד הצבאי על צו בדבר </w:t>
      </w:r>
      <w:r>
        <w:rPr>
          <w:rFonts w:hint="cs"/>
          <w:rtl/>
        </w:rPr>
        <w:lastRenderedPageBreak/>
        <w:t xml:space="preserve">שטחים סגורים (שטח כ"ד) (יהודה ושומרון) (מס' 576), התשל"ה-1975, שבגדרו הוצא צו סגירה, ביחס לשטח של כ-1,070 דונם באזור כוכב השחר (להלן: </w:t>
      </w:r>
      <w:r w:rsidRPr="00372969">
        <w:rPr>
          <w:rFonts w:ascii="Century" w:hAnsi="Century" w:cs="Miriam" w:hint="cs"/>
          <w:b/>
          <w:spacing w:val="0"/>
          <w:szCs w:val="24"/>
          <w:rtl/>
        </w:rPr>
        <w:t>צו הסגירה</w:t>
      </w:r>
      <w:r>
        <w:rPr>
          <w:rFonts w:hint="cs"/>
          <w:rtl/>
        </w:rPr>
        <w:t xml:space="preserve">). במסגרת הצו צוין, כי המקרקעין שנסגרו, סומנו במפה שצורפה לצו </w:t>
      </w:r>
      <w:r>
        <w:rPr>
          <w:rtl/>
        </w:rPr>
        <w:t>–</w:t>
      </w:r>
      <w:r>
        <w:rPr>
          <w:rFonts w:hint="cs"/>
          <w:rtl/>
        </w:rPr>
        <w:t xml:space="preserve"> בקנה מידה של 1:50,000, וכי גבולות המקרקעין סומנו בשטח, באמצעות חביות. במכתב דיווח שנשלח ביום 29.12.1975, מהממונה דאז, אל סגן מפקד איו"ש,</w:t>
      </w:r>
      <w:r w:rsidRPr="00CD4D19">
        <w:rPr>
          <w:rFonts w:hint="cs"/>
          <w:rtl/>
        </w:rPr>
        <w:t xml:space="preserve"> </w:t>
      </w:r>
      <w:r>
        <w:rPr>
          <w:rFonts w:hint="cs"/>
          <w:rtl/>
        </w:rPr>
        <w:t xml:space="preserve">צוין היקף השטח הסגור, וכן פרטי הבעלויות במקרקעין (665 דונם </w:t>
      </w:r>
      <w:r>
        <w:rPr>
          <w:rtl/>
        </w:rPr>
        <w:t>–</w:t>
      </w:r>
      <w:r>
        <w:rPr>
          <w:rFonts w:hint="cs"/>
          <w:rtl/>
        </w:rPr>
        <w:t xml:space="preserve"> אדמות 'נוכחים'; 269 דונם </w:t>
      </w:r>
      <w:r>
        <w:rPr>
          <w:rtl/>
        </w:rPr>
        <w:t>–</w:t>
      </w:r>
      <w:r>
        <w:rPr>
          <w:rFonts w:hint="cs"/>
          <w:rtl/>
        </w:rPr>
        <w:t xml:space="preserve"> אדמות 'נפקדים'; 136 דונם </w:t>
      </w:r>
      <w:r>
        <w:rPr>
          <w:rtl/>
        </w:rPr>
        <w:t>–</w:t>
      </w:r>
      <w:r>
        <w:rPr>
          <w:rFonts w:hint="cs"/>
          <w:rtl/>
        </w:rPr>
        <w:t xml:space="preserve"> אדמות מדינה). במכתב זה הוצע, כי המאחז המתוכנן, כוכב השחר, יוקם על אדמות מדינה טרשיות. לשלמות התמונה יצוין, כי צו הסגירה בוטל בפועל רק בשנת 2009. </w:t>
      </w:r>
    </w:p>
    <w:p w:rsidR="00295623" w:rsidRPr="0063586A" w:rsidRDefault="00295623" w:rsidP="00295623">
      <w:pPr>
        <w:pStyle w:val="Ruller41"/>
        <w:tabs>
          <w:tab w:val="left" w:pos="90"/>
        </w:tabs>
        <w:spacing w:line="240" w:lineRule="auto"/>
      </w:pPr>
    </w:p>
    <w:p w:rsidR="00295623" w:rsidRDefault="00295623" w:rsidP="00295623">
      <w:pPr>
        <w:pStyle w:val="Ruller41"/>
        <w:rPr>
          <w:rtl/>
        </w:rPr>
      </w:pPr>
      <w:r>
        <w:rPr>
          <w:rFonts w:hint="cs"/>
          <w:rtl/>
        </w:rPr>
        <w:t xml:space="preserve"> 58.</w:t>
      </w:r>
      <w:r>
        <w:rPr>
          <w:rFonts w:hint="cs"/>
          <w:rtl/>
        </w:rPr>
        <w:tab/>
        <w:t xml:space="preserve">ביום 29.6.1976, החליטה ועדת השרים לענייני התיישבות (החלטה מס' הת/12), כי המאחז כוכב השחר יחשב להיאחזות נח"ל. בחלוף כ-3 שנים, ביום 10.4.1979, החליטה ועדת השרים לענייני התיישבות כי היאחזות כוכב השחר תהפוך לאזרחית (החלטה מס' הת/19). </w:t>
      </w:r>
    </w:p>
    <w:p w:rsidR="00295623" w:rsidRPr="00B27AB4" w:rsidRDefault="00295623" w:rsidP="00295623">
      <w:pPr>
        <w:pStyle w:val="Ruller41"/>
        <w:spacing w:line="240" w:lineRule="auto"/>
      </w:pPr>
    </w:p>
    <w:p w:rsidR="00295623" w:rsidRDefault="00295623" w:rsidP="00295623">
      <w:pPr>
        <w:pStyle w:val="Ruller41"/>
        <w:rPr>
          <w:rtl/>
        </w:rPr>
      </w:pPr>
      <w:r>
        <w:rPr>
          <w:rFonts w:hint="cs"/>
          <w:rtl/>
        </w:rPr>
        <w:t>59.</w:t>
      </w:r>
      <w:r>
        <w:rPr>
          <w:rFonts w:hint="cs"/>
          <w:rtl/>
        </w:rPr>
        <w:tab/>
        <w:t xml:space="preserve">ביום 29.7.1980, חתם תת-אלוף בנימין בן אליעזר, ששימש באותה תקופה כמפקד הצבאי, על הצו בדבר תפיסת מקרקעין מס' 18/80/ת (יהודה ושומרון), התש"ם-1980 (להלן: </w:t>
      </w:r>
      <w:r w:rsidRPr="002F626B">
        <w:rPr>
          <w:rFonts w:ascii="Century" w:hAnsi="Century" w:cs="Miriam" w:hint="cs"/>
          <w:b/>
          <w:spacing w:val="0"/>
          <w:szCs w:val="24"/>
          <w:rtl/>
        </w:rPr>
        <w:t>צו התפיסה</w:t>
      </w:r>
      <w:r>
        <w:rPr>
          <w:rFonts w:hint="cs"/>
          <w:rtl/>
        </w:rPr>
        <w:t xml:space="preserve">). בצו התפיסה צוין, כי השטח נתפס </w:t>
      </w:r>
      <w:r w:rsidRPr="002F626B">
        <w:rPr>
          <w:rFonts w:ascii="Century" w:hAnsi="Century" w:cs="Miriam" w:hint="cs"/>
          <w:b/>
          <w:spacing w:val="0"/>
          <w:szCs w:val="24"/>
          <w:rtl/>
        </w:rPr>
        <w:t>"לצרכים צבאיים"</w:t>
      </w:r>
      <w:r>
        <w:rPr>
          <w:rFonts w:hint="cs"/>
          <w:rtl/>
        </w:rPr>
        <w:t>, וצורפה לו מפה, בקנה מידה של 1:20,000, שעל-גביה סומן ב</w:t>
      </w:r>
      <w:r w:rsidRPr="001B098D">
        <w:rPr>
          <w:rFonts w:hint="eastAsia"/>
          <w:rtl/>
        </w:rPr>
        <w:t>מַצְבֵּעַ</w:t>
      </w:r>
      <w:r>
        <w:rPr>
          <w:rFonts w:hint="cs"/>
          <w:rtl/>
        </w:rPr>
        <w:t xml:space="preserve"> (טוּש) השטח התפוס. במכתב הנלווה לצו התפיסה צוין, כי השטח התפוס יהיה מצומצם מזה שנקבע בשטח הסגירה </w:t>
      </w:r>
      <w:r>
        <w:rPr>
          <w:rtl/>
        </w:rPr>
        <w:t>–</w:t>
      </w:r>
      <w:r>
        <w:rPr>
          <w:rFonts w:hint="cs"/>
          <w:rtl/>
        </w:rPr>
        <w:t xml:space="preserve"> 850 דונם, ופורטו בו נתוני הבעלויות (400 דונם </w:t>
      </w:r>
      <w:r>
        <w:rPr>
          <w:rtl/>
        </w:rPr>
        <w:t>–</w:t>
      </w:r>
      <w:r>
        <w:rPr>
          <w:rFonts w:hint="cs"/>
          <w:rtl/>
        </w:rPr>
        <w:t xml:space="preserve"> אדמות פרטיות; 270 דונם </w:t>
      </w:r>
      <w:r>
        <w:rPr>
          <w:rtl/>
        </w:rPr>
        <w:t>–</w:t>
      </w:r>
      <w:r>
        <w:rPr>
          <w:rFonts w:hint="cs"/>
          <w:rtl/>
        </w:rPr>
        <w:t xml:space="preserve"> אדמות 'נפקדים'; 136 דונם </w:t>
      </w:r>
      <w:r>
        <w:rPr>
          <w:rtl/>
        </w:rPr>
        <w:t>–</w:t>
      </w:r>
      <w:r>
        <w:rPr>
          <w:rFonts w:hint="cs"/>
          <w:rtl/>
        </w:rPr>
        <w:t xml:space="preserve"> אדמות מדינה). בנוסף צוין במכתב הנלווה, כי יש להודיע למוכתרי הכפרים הסמוכים על אודות התפיסה, ובד בבד להודיע גם לבעלי המקרקעין על זכאותם לפיצוי, ככל שיוכיחו את בעלותם. במכתב הנלווה צוין עוד, כי על ההסתדרות הציונית </w:t>
      </w:r>
      <w:r w:rsidRPr="002F626B">
        <w:rPr>
          <w:rFonts w:ascii="Century" w:hAnsi="Century" w:cs="Miriam" w:hint="cs"/>
          <w:b/>
          <w:spacing w:val="0"/>
          <w:szCs w:val="24"/>
          <w:rtl/>
        </w:rPr>
        <w:t>"לוודא אי חריגה בשטח הצו בעת עבודות המימוש"</w:t>
      </w:r>
      <w:r>
        <w:rPr>
          <w:rFonts w:hint="cs"/>
          <w:rtl/>
        </w:rPr>
        <w:t xml:space="preserve">, ולפעול להעברת תכנית מתאר, לאישורה של לשכת התכנון העליונה. צו התפיסה מומש בפועל בחודש אוגוסט 1980, אז עלו מתיישבים מגרעין 'גוש אמונים' על הקרקע. </w:t>
      </w:r>
    </w:p>
    <w:p w:rsidR="00295623" w:rsidRPr="008C0617" w:rsidRDefault="00295623" w:rsidP="00295623">
      <w:pPr>
        <w:pStyle w:val="Ruller41"/>
        <w:tabs>
          <w:tab w:val="left" w:pos="90"/>
        </w:tabs>
        <w:spacing w:line="240" w:lineRule="auto"/>
      </w:pPr>
    </w:p>
    <w:p w:rsidR="00295623" w:rsidRDefault="00295623" w:rsidP="00295623">
      <w:pPr>
        <w:pStyle w:val="Ruller41"/>
        <w:rPr>
          <w:rtl/>
        </w:rPr>
      </w:pPr>
      <w:r>
        <w:rPr>
          <w:rFonts w:hint="cs"/>
          <w:rtl/>
        </w:rPr>
        <w:t>60.</w:t>
      </w:r>
      <w:r>
        <w:rPr>
          <w:rFonts w:hint="cs"/>
          <w:rtl/>
        </w:rPr>
        <w:tab/>
        <w:t>ביום 23.2.1981, כרת הממונה 'הסכם הרשאה' עם ההסתדרות הציונית, לתקופה בת 5 שנים, לגבי שטח בהיקף של 1,071 דונם. השטח סומן ב</w:t>
      </w:r>
      <w:r w:rsidRPr="001B098D">
        <w:rPr>
          <w:rFonts w:hint="eastAsia"/>
          <w:rtl/>
        </w:rPr>
        <w:t>מַצְבֵּעַ</w:t>
      </w:r>
      <w:r>
        <w:rPr>
          <w:rFonts w:hint="cs"/>
          <w:rtl/>
        </w:rPr>
        <w:t xml:space="preserve"> על-גבי מפה שצורפה כנספח להסכם (להלן: </w:t>
      </w:r>
      <w:r w:rsidRPr="009D0008">
        <w:rPr>
          <w:rFonts w:ascii="Century" w:hAnsi="Century" w:cs="Miriam" w:hint="cs"/>
          <w:b/>
          <w:spacing w:val="0"/>
          <w:szCs w:val="24"/>
          <w:rtl/>
        </w:rPr>
        <w:t>הסכם ההרשאה הראשון</w:t>
      </w:r>
      <w:r>
        <w:rPr>
          <w:rFonts w:hint="cs"/>
          <w:rtl/>
        </w:rPr>
        <w:t xml:space="preserve">). במפה, שנחתמה על-ידי הממונה דאז, מר יהודה נהרי (להלן: </w:t>
      </w:r>
      <w:r w:rsidRPr="00DF0931">
        <w:rPr>
          <w:rFonts w:ascii="Century" w:hAnsi="Century" w:cs="Miriam" w:hint="cs"/>
          <w:b/>
          <w:spacing w:val="0"/>
          <w:szCs w:val="24"/>
          <w:rtl/>
        </w:rPr>
        <w:t>נהרי</w:t>
      </w:r>
      <w:r>
        <w:rPr>
          <w:rFonts w:hint="cs"/>
          <w:rtl/>
        </w:rPr>
        <w:t xml:space="preserve">) </w:t>
      </w:r>
      <w:r>
        <w:rPr>
          <w:rtl/>
        </w:rPr>
        <w:t>–</w:t>
      </w:r>
      <w:r>
        <w:rPr>
          <w:rFonts w:hint="cs"/>
          <w:rtl/>
        </w:rPr>
        <w:t xml:space="preserve"> מפה בקנה מידה של 1:50,000, ללא קואורדינטות </w:t>
      </w:r>
      <w:r>
        <w:rPr>
          <w:rtl/>
        </w:rPr>
        <w:t>–</w:t>
      </w:r>
      <w:r>
        <w:rPr>
          <w:rFonts w:hint="cs"/>
          <w:rtl/>
        </w:rPr>
        <w:t xml:space="preserve"> נכתב ב</w:t>
      </w:r>
      <w:r w:rsidRPr="001B098D">
        <w:rPr>
          <w:rFonts w:hint="eastAsia"/>
          <w:rtl/>
        </w:rPr>
        <w:t>מַצְבֵּעַ</w:t>
      </w:r>
      <w:r w:rsidDel="00BC5A68">
        <w:rPr>
          <w:rFonts w:hint="cs"/>
          <w:rtl/>
        </w:rPr>
        <w:t xml:space="preserve"> </w:t>
      </w:r>
      <w:r>
        <w:rPr>
          <w:rFonts w:hint="cs"/>
          <w:rtl/>
        </w:rPr>
        <w:t xml:space="preserve">עבה: </w:t>
      </w:r>
      <w:r w:rsidRPr="00DF0931">
        <w:rPr>
          <w:rFonts w:ascii="Century" w:hAnsi="Century" w:cs="Miriam" w:hint="cs"/>
          <w:b/>
          <w:spacing w:val="0"/>
          <w:szCs w:val="24"/>
          <w:rtl/>
        </w:rPr>
        <w:t>"כוכב השחר</w:t>
      </w:r>
      <w:r>
        <w:rPr>
          <w:rFonts w:ascii="Century" w:hAnsi="Century" w:cs="Miriam" w:hint="cs"/>
          <w:b/>
          <w:spacing w:val="0"/>
          <w:szCs w:val="24"/>
          <w:rtl/>
        </w:rPr>
        <w:t>.</w:t>
      </w:r>
      <w:r w:rsidRPr="00DF0931">
        <w:rPr>
          <w:rFonts w:ascii="Century" w:hAnsi="Century" w:cs="Miriam" w:hint="cs"/>
          <w:b/>
          <w:spacing w:val="0"/>
          <w:szCs w:val="24"/>
          <w:rtl/>
        </w:rPr>
        <w:t xml:space="preserve"> צו תפיסה: 576 כד'</w:t>
      </w:r>
      <w:r>
        <w:rPr>
          <w:rFonts w:ascii="Century" w:hAnsi="Century" w:cs="Miriam" w:hint="cs"/>
          <w:b/>
          <w:spacing w:val="0"/>
          <w:szCs w:val="24"/>
          <w:rtl/>
        </w:rPr>
        <w:t>.</w:t>
      </w:r>
      <w:r w:rsidRPr="00DF0931">
        <w:rPr>
          <w:rFonts w:ascii="Century" w:hAnsi="Century" w:cs="Miriam" w:hint="cs"/>
          <w:b/>
          <w:spacing w:val="0"/>
          <w:szCs w:val="24"/>
          <w:rtl/>
        </w:rPr>
        <w:t xml:space="preserve"> שטח </w:t>
      </w:r>
      <w:r w:rsidRPr="00B70443">
        <w:rPr>
          <w:rFonts w:ascii="Century" w:hAnsi="Century" w:cs="Miriam" w:hint="cs"/>
          <w:b/>
          <w:spacing w:val="0"/>
          <w:szCs w:val="24"/>
          <w:rtl/>
        </w:rPr>
        <w:t>כ-1071</w:t>
      </w:r>
      <w:r w:rsidRPr="00DF0931">
        <w:rPr>
          <w:rFonts w:ascii="Century" w:hAnsi="Century" w:cs="Miriam" w:hint="cs"/>
          <w:b/>
          <w:spacing w:val="0"/>
          <w:szCs w:val="24"/>
          <w:rtl/>
        </w:rPr>
        <w:t xml:space="preserve"> ד'</w:t>
      </w:r>
      <w:r>
        <w:rPr>
          <w:rFonts w:ascii="Century" w:hAnsi="Century" w:cs="Miriam" w:hint="cs"/>
          <w:b/>
          <w:spacing w:val="0"/>
          <w:szCs w:val="24"/>
          <w:rtl/>
        </w:rPr>
        <w:t>"</w:t>
      </w:r>
      <w:r>
        <w:rPr>
          <w:rFonts w:hint="cs"/>
          <w:rtl/>
        </w:rPr>
        <w:t xml:space="preserve">. כמו כן, במסגרת ההסכם הצהירו הצדדים, כי </w:t>
      </w:r>
      <w:r w:rsidRPr="009D0008">
        <w:rPr>
          <w:rFonts w:ascii="Century" w:hAnsi="Century" w:cs="Miriam" w:hint="cs"/>
          <w:b/>
          <w:spacing w:val="0"/>
          <w:szCs w:val="24"/>
          <w:rtl/>
        </w:rPr>
        <w:t xml:space="preserve">"ידוע להם כי גבולות המשבצת טרם נמדדו וגבולותיה </w:t>
      </w:r>
      <w:r w:rsidRPr="009D0008">
        <w:rPr>
          <w:rFonts w:ascii="Century" w:hAnsi="Century" w:cs="Miriam" w:hint="cs"/>
          <w:b/>
          <w:spacing w:val="0"/>
          <w:szCs w:val="24"/>
          <w:rtl/>
        </w:rPr>
        <w:lastRenderedPageBreak/>
        <w:t>המדוייקים טרם נקבעו סופית, ולממונה הזכות לשנותם"</w:t>
      </w:r>
      <w:r>
        <w:rPr>
          <w:rFonts w:hint="cs"/>
          <w:rtl/>
        </w:rPr>
        <w:t xml:space="preserve"> (סעיף 2.ג. להסכם ההרשאה הראשון). הסכמי הרשאה דומים נכרתו גם בשנים 1990, 1995 ו-1997. לכולם צורפה אותה מפה, שצורפה להסכם ההרשאה הראשון, ובכולם גם צוין, כי השטח מושא ההסכם עומד על 1,071 דונם. הסכם ההרשאה האחרון, משנת 1997, נחתם לתקופה בת 49 שנים, עד יום 31.3.2044. </w:t>
      </w:r>
    </w:p>
    <w:p w:rsidR="00295623" w:rsidRPr="009D0008" w:rsidRDefault="00295623" w:rsidP="00295623">
      <w:pPr>
        <w:pStyle w:val="Ruller41"/>
        <w:tabs>
          <w:tab w:val="left" w:pos="90"/>
        </w:tabs>
        <w:spacing w:line="240" w:lineRule="auto"/>
      </w:pPr>
    </w:p>
    <w:p w:rsidR="00295623" w:rsidRDefault="00295623" w:rsidP="00295623">
      <w:pPr>
        <w:pStyle w:val="Ruller41"/>
      </w:pPr>
      <w:r>
        <w:rPr>
          <w:rFonts w:hint="cs"/>
          <w:rtl/>
        </w:rPr>
        <w:t>61.</w:t>
      </w:r>
      <w:r>
        <w:rPr>
          <w:rFonts w:hint="cs"/>
          <w:rtl/>
        </w:rPr>
        <w:tab/>
        <w:t xml:space="preserve">ביום 17.1.1982, אישרה מועצת התכנון העליונה את ההפקדה של תכנית המתאר המפורטת 223, ביחס לישוב כוכב השחר (להלן: </w:t>
      </w:r>
      <w:r w:rsidRPr="00BE615E">
        <w:rPr>
          <w:rFonts w:ascii="Century" w:hAnsi="Century" w:cs="Miriam" w:hint="cs"/>
          <w:b/>
          <w:spacing w:val="0"/>
          <w:szCs w:val="24"/>
          <w:rtl/>
        </w:rPr>
        <w:t>תכנית 223</w:t>
      </w:r>
      <w:r>
        <w:rPr>
          <w:rFonts w:hint="cs"/>
          <w:rtl/>
        </w:rPr>
        <w:t>). בתקנון תכנית 223 צוין, כי שטח התכנית מתפרס על פני 1,416 דונמים. על התכנית חתום הממונה לפי ה</w:t>
      </w:r>
      <w:r w:rsidRPr="007A53FF">
        <w:rPr>
          <w:rFonts w:hint="eastAsia"/>
          <w:rtl/>
        </w:rPr>
        <w:t>צו</w:t>
      </w:r>
      <w:r w:rsidRPr="007A53FF">
        <w:rPr>
          <w:rtl/>
        </w:rPr>
        <w:t xml:space="preserve"> </w:t>
      </w:r>
      <w:r w:rsidRPr="007A53FF">
        <w:rPr>
          <w:rFonts w:hint="eastAsia"/>
          <w:rtl/>
        </w:rPr>
        <w:t>בדבר</w:t>
      </w:r>
      <w:r w:rsidRPr="007A53FF">
        <w:rPr>
          <w:rtl/>
        </w:rPr>
        <w:t xml:space="preserve"> </w:t>
      </w:r>
      <w:r w:rsidRPr="007A53FF">
        <w:rPr>
          <w:rFonts w:hint="eastAsia"/>
          <w:rtl/>
        </w:rPr>
        <w:t>מתן</w:t>
      </w:r>
      <w:r w:rsidRPr="007A53FF">
        <w:rPr>
          <w:rtl/>
        </w:rPr>
        <w:t xml:space="preserve"> </w:t>
      </w:r>
      <w:r w:rsidRPr="007A53FF">
        <w:rPr>
          <w:rFonts w:hint="eastAsia"/>
          <w:rtl/>
        </w:rPr>
        <w:t>היתרים</w:t>
      </w:r>
      <w:r w:rsidRPr="007A53FF">
        <w:rPr>
          <w:rtl/>
        </w:rPr>
        <w:t xml:space="preserve"> </w:t>
      </w:r>
      <w:r w:rsidRPr="007A53FF">
        <w:rPr>
          <w:rFonts w:hint="eastAsia"/>
          <w:rtl/>
        </w:rPr>
        <w:t>לעבודות</w:t>
      </w:r>
      <w:r w:rsidRPr="007A53FF">
        <w:rPr>
          <w:rtl/>
        </w:rPr>
        <w:t xml:space="preserve"> </w:t>
      </w:r>
      <w:r w:rsidRPr="007A53FF">
        <w:rPr>
          <w:rFonts w:hint="eastAsia"/>
          <w:rtl/>
        </w:rPr>
        <w:t>בשטחים</w:t>
      </w:r>
      <w:r w:rsidRPr="007A53FF">
        <w:rPr>
          <w:rtl/>
        </w:rPr>
        <w:t xml:space="preserve"> </w:t>
      </w:r>
      <w:r w:rsidRPr="007A53FF">
        <w:rPr>
          <w:rFonts w:hint="eastAsia"/>
          <w:rtl/>
        </w:rPr>
        <w:t>תפוסים</w:t>
      </w:r>
      <w:r w:rsidRPr="007A53FF">
        <w:rPr>
          <w:rtl/>
        </w:rPr>
        <w:t xml:space="preserve"> </w:t>
      </w:r>
      <w:r w:rsidRPr="007A53FF">
        <w:rPr>
          <w:rFonts w:hint="eastAsia"/>
          <w:rtl/>
        </w:rPr>
        <w:t>לצרכים</w:t>
      </w:r>
      <w:r w:rsidRPr="007A53FF">
        <w:rPr>
          <w:rtl/>
        </w:rPr>
        <w:t xml:space="preserve"> </w:t>
      </w:r>
      <w:r w:rsidRPr="007A53FF">
        <w:rPr>
          <w:rFonts w:hint="eastAsia"/>
          <w:rtl/>
        </w:rPr>
        <w:t>צבאיים</w:t>
      </w:r>
      <w:r w:rsidRPr="007A53FF">
        <w:rPr>
          <w:rtl/>
        </w:rPr>
        <w:t xml:space="preserve"> (</w:t>
      </w:r>
      <w:r w:rsidRPr="007A53FF">
        <w:rPr>
          <w:rFonts w:hint="eastAsia"/>
          <w:rtl/>
        </w:rPr>
        <w:t>יהודה</w:t>
      </w:r>
      <w:r w:rsidRPr="007A53FF">
        <w:rPr>
          <w:rtl/>
        </w:rPr>
        <w:t xml:space="preserve"> </w:t>
      </w:r>
      <w:r w:rsidRPr="007A53FF">
        <w:rPr>
          <w:rFonts w:hint="eastAsia"/>
          <w:rtl/>
        </w:rPr>
        <w:t>והשומרון</w:t>
      </w:r>
      <w:r w:rsidRPr="007A53FF">
        <w:rPr>
          <w:rtl/>
        </w:rPr>
        <w:t>) (</w:t>
      </w:r>
      <w:r w:rsidRPr="007A53FF">
        <w:rPr>
          <w:rFonts w:hint="eastAsia"/>
          <w:rtl/>
        </w:rPr>
        <w:t>מס</w:t>
      </w:r>
      <w:r w:rsidRPr="007A53FF">
        <w:rPr>
          <w:rtl/>
        </w:rPr>
        <w:t xml:space="preserve">' 997), </w:t>
      </w:r>
      <w:r>
        <w:rPr>
          <w:rFonts w:hint="cs"/>
          <w:rtl/>
        </w:rPr>
        <w:t>ה</w:t>
      </w:r>
      <w:r w:rsidRPr="007A53FF">
        <w:rPr>
          <w:rFonts w:hint="eastAsia"/>
          <w:rtl/>
        </w:rPr>
        <w:t>תשמ</w:t>
      </w:r>
      <w:r w:rsidRPr="007A53FF">
        <w:rPr>
          <w:rtl/>
        </w:rPr>
        <w:t>"</w:t>
      </w:r>
      <w:r w:rsidRPr="007A53FF">
        <w:rPr>
          <w:rFonts w:hint="eastAsia"/>
          <w:rtl/>
        </w:rPr>
        <w:t>ב</w:t>
      </w:r>
      <w:r w:rsidRPr="007A53FF">
        <w:rPr>
          <w:rtl/>
        </w:rPr>
        <w:t>-1982</w:t>
      </w:r>
      <w:r>
        <w:rPr>
          <w:rFonts w:hint="cs"/>
          <w:rtl/>
        </w:rPr>
        <w:t xml:space="preserve"> (להלן: </w:t>
      </w:r>
      <w:r w:rsidRPr="007A53FF">
        <w:rPr>
          <w:rFonts w:ascii="Century" w:hAnsi="Century" w:cs="Miriam" w:hint="cs"/>
          <w:b/>
          <w:spacing w:val="0"/>
          <w:szCs w:val="24"/>
          <w:rtl/>
        </w:rPr>
        <w:t>צו 997</w:t>
      </w:r>
      <w:r>
        <w:rPr>
          <w:rFonts w:hint="cs"/>
          <w:rtl/>
        </w:rPr>
        <w:t xml:space="preserve">), מר שלמה מושקוביץ, שכיהן בתפקיד זה בין השנים 2012-1982 (להלן: </w:t>
      </w:r>
      <w:r w:rsidRPr="00633035">
        <w:rPr>
          <w:rFonts w:ascii="Century" w:hAnsi="Century" w:cs="Miriam" w:hint="cs"/>
          <w:b/>
          <w:spacing w:val="0"/>
          <w:szCs w:val="24"/>
          <w:rtl/>
        </w:rPr>
        <w:t>מושקוביץ</w:t>
      </w:r>
      <w:r>
        <w:rPr>
          <w:rFonts w:hint="cs"/>
          <w:rtl/>
        </w:rPr>
        <w:t>). אעיר כבר כאן, כי סמכויות הממונה לפי צו 997, מתפרשׂות אך ורק ב</w:t>
      </w:r>
      <w:r w:rsidRPr="0085591E">
        <w:rPr>
          <w:rFonts w:ascii="Century" w:hAnsi="Century" w:cs="Miriam" w:hint="cs"/>
          <w:b/>
          <w:spacing w:val="0"/>
          <w:szCs w:val="24"/>
          <w:rtl/>
        </w:rPr>
        <w:t>"</w:t>
      </w:r>
      <w:r w:rsidRPr="0085591E">
        <w:rPr>
          <w:rFonts w:ascii="Century" w:hAnsi="Century" w:cs="Miriam" w:hint="eastAsia"/>
          <w:b/>
          <w:spacing w:val="0"/>
          <w:szCs w:val="24"/>
          <w:rtl/>
        </w:rPr>
        <w:t>שטח</w:t>
      </w:r>
      <w:r w:rsidRPr="0085591E">
        <w:rPr>
          <w:rFonts w:ascii="Century" w:hAnsi="Century" w:cs="Miriam"/>
          <w:b/>
          <w:spacing w:val="0"/>
          <w:szCs w:val="24"/>
          <w:rtl/>
        </w:rPr>
        <w:t xml:space="preserve"> </w:t>
      </w:r>
      <w:r w:rsidRPr="0085591E">
        <w:rPr>
          <w:rFonts w:ascii="Century" w:hAnsi="Century" w:cs="Miriam" w:hint="eastAsia"/>
          <w:b/>
          <w:spacing w:val="0"/>
          <w:szCs w:val="24"/>
          <w:rtl/>
        </w:rPr>
        <w:t>שנתפס</w:t>
      </w:r>
      <w:r w:rsidRPr="0085591E">
        <w:rPr>
          <w:rFonts w:ascii="Century" w:hAnsi="Century" w:cs="Miriam"/>
          <w:b/>
          <w:spacing w:val="0"/>
          <w:szCs w:val="24"/>
          <w:rtl/>
        </w:rPr>
        <w:t xml:space="preserve"> </w:t>
      </w:r>
      <w:r w:rsidRPr="0085591E">
        <w:rPr>
          <w:rFonts w:ascii="Century" w:hAnsi="Century" w:cs="Miriam" w:hint="eastAsia"/>
          <w:b/>
          <w:spacing w:val="0"/>
          <w:szCs w:val="24"/>
          <w:rtl/>
        </w:rPr>
        <w:t>על</w:t>
      </w:r>
      <w:r w:rsidRPr="0085591E">
        <w:rPr>
          <w:rFonts w:ascii="Century" w:hAnsi="Century" w:cs="Miriam"/>
          <w:b/>
          <w:spacing w:val="0"/>
          <w:szCs w:val="24"/>
          <w:rtl/>
        </w:rPr>
        <w:t xml:space="preserve"> </w:t>
      </w:r>
      <w:r w:rsidRPr="0085591E">
        <w:rPr>
          <w:rFonts w:ascii="Century" w:hAnsi="Century" w:cs="Miriam" w:hint="eastAsia"/>
          <w:b/>
          <w:spacing w:val="0"/>
          <w:szCs w:val="24"/>
          <w:rtl/>
        </w:rPr>
        <w:t>ידי</w:t>
      </w:r>
      <w:r w:rsidRPr="0085591E">
        <w:rPr>
          <w:rFonts w:ascii="Century" w:hAnsi="Century" w:cs="Miriam"/>
          <w:b/>
          <w:spacing w:val="0"/>
          <w:szCs w:val="24"/>
          <w:rtl/>
        </w:rPr>
        <w:t xml:space="preserve"> </w:t>
      </w:r>
      <w:r w:rsidRPr="0085591E">
        <w:rPr>
          <w:rFonts w:ascii="Century" w:hAnsi="Century" w:cs="Miriam" w:hint="eastAsia"/>
          <w:b/>
          <w:spacing w:val="0"/>
          <w:szCs w:val="24"/>
          <w:rtl/>
        </w:rPr>
        <w:t>מפקד</w:t>
      </w:r>
      <w:r w:rsidRPr="0085591E">
        <w:rPr>
          <w:rFonts w:ascii="Century" w:hAnsi="Century" w:cs="Miriam"/>
          <w:b/>
          <w:spacing w:val="0"/>
          <w:szCs w:val="24"/>
          <w:rtl/>
        </w:rPr>
        <w:t xml:space="preserve"> </w:t>
      </w:r>
      <w:r w:rsidRPr="0085591E">
        <w:rPr>
          <w:rFonts w:ascii="Century" w:hAnsi="Century" w:cs="Miriam" w:hint="eastAsia"/>
          <w:b/>
          <w:spacing w:val="0"/>
          <w:szCs w:val="24"/>
          <w:rtl/>
        </w:rPr>
        <w:t>כוחות</w:t>
      </w:r>
      <w:r w:rsidRPr="0085591E">
        <w:rPr>
          <w:rFonts w:ascii="Century" w:hAnsi="Century" w:cs="Miriam"/>
          <w:b/>
          <w:spacing w:val="0"/>
          <w:szCs w:val="24"/>
          <w:rtl/>
        </w:rPr>
        <w:t xml:space="preserve"> </w:t>
      </w:r>
      <w:r w:rsidRPr="0085591E">
        <w:rPr>
          <w:rFonts w:ascii="Century" w:hAnsi="Century" w:cs="Miriam" w:hint="eastAsia"/>
          <w:b/>
          <w:spacing w:val="0"/>
          <w:szCs w:val="24"/>
          <w:rtl/>
        </w:rPr>
        <w:t>צה</w:t>
      </w:r>
      <w:r w:rsidRPr="0085591E">
        <w:rPr>
          <w:rFonts w:ascii="Century" w:hAnsi="Century" w:cs="Miriam"/>
          <w:b/>
          <w:spacing w:val="0"/>
          <w:szCs w:val="24"/>
          <w:rtl/>
        </w:rPr>
        <w:t>"</w:t>
      </w:r>
      <w:r w:rsidRPr="0085591E">
        <w:rPr>
          <w:rFonts w:ascii="Century" w:hAnsi="Century" w:cs="Miriam" w:hint="eastAsia"/>
          <w:b/>
          <w:spacing w:val="0"/>
          <w:szCs w:val="24"/>
          <w:rtl/>
        </w:rPr>
        <w:t>ל</w:t>
      </w:r>
      <w:r w:rsidRPr="0085591E">
        <w:rPr>
          <w:rFonts w:ascii="Century" w:hAnsi="Century" w:cs="Miriam"/>
          <w:b/>
          <w:spacing w:val="0"/>
          <w:szCs w:val="24"/>
          <w:rtl/>
        </w:rPr>
        <w:t xml:space="preserve"> </w:t>
      </w:r>
      <w:r w:rsidRPr="0085591E">
        <w:rPr>
          <w:rFonts w:ascii="Century" w:hAnsi="Century" w:cs="Miriam" w:hint="eastAsia"/>
          <w:b/>
          <w:spacing w:val="0"/>
          <w:szCs w:val="24"/>
          <w:rtl/>
        </w:rPr>
        <w:t>באזור</w:t>
      </w:r>
      <w:r w:rsidRPr="0085591E">
        <w:rPr>
          <w:rFonts w:ascii="Century" w:hAnsi="Century" w:cs="Miriam"/>
          <w:b/>
          <w:spacing w:val="0"/>
          <w:szCs w:val="24"/>
          <w:rtl/>
        </w:rPr>
        <w:t xml:space="preserve"> </w:t>
      </w:r>
      <w:r w:rsidRPr="0085591E">
        <w:rPr>
          <w:rFonts w:ascii="Century" w:hAnsi="Century" w:cs="Miriam" w:hint="eastAsia"/>
          <w:b/>
          <w:spacing w:val="0"/>
          <w:szCs w:val="24"/>
          <w:rtl/>
        </w:rPr>
        <w:t>לצרכים</w:t>
      </w:r>
      <w:r w:rsidRPr="0085591E">
        <w:rPr>
          <w:rFonts w:ascii="Century" w:hAnsi="Century" w:cs="Miriam"/>
          <w:b/>
          <w:spacing w:val="0"/>
          <w:szCs w:val="24"/>
          <w:rtl/>
        </w:rPr>
        <w:t xml:space="preserve"> </w:t>
      </w:r>
      <w:r w:rsidRPr="0085591E">
        <w:rPr>
          <w:rFonts w:ascii="Century" w:hAnsi="Century" w:cs="Miriam" w:hint="eastAsia"/>
          <w:b/>
          <w:spacing w:val="0"/>
          <w:szCs w:val="24"/>
          <w:rtl/>
        </w:rPr>
        <w:t>צבאיים</w:t>
      </w:r>
      <w:r w:rsidRPr="0085591E">
        <w:rPr>
          <w:rFonts w:ascii="Century" w:hAnsi="Century" w:cs="Miriam" w:hint="cs"/>
          <w:b/>
          <w:spacing w:val="0"/>
          <w:szCs w:val="24"/>
          <w:rtl/>
        </w:rPr>
        <w:t>"</w:t>
      </w:r>
      <w:r>
        <w:rPr>
          <w:rFonts w:hint="cs"/>
          <w:rtl/>
        </w:rPr>
        <w:t xml:space="preserve"> (ראו הגדרת </w:t>
      </w:r>
      <w:r w:rsidRPr="0085591E">
        <w:rPr>
          <w:rFonts w:ascii="Century" w:hAnsi="Century" w:cs="Miriam" w:hint="cs"/>
          <w:b/>
          <w:spacing w:val="0"/>
          <w:szCs w:val="24"/>
          <w:rtl/>
        </w:rPr>
        <w:t>"שטח תפוס"</w:t>
      </w:r>
      <w:r>
        <w:rPr>
          <w:rFonts w:hint="cs"/>
          <w:rtl/>
        </w:rPr>
        <w:t xml:space="preserve">, בסעיף 1 לצו 997). על מפת תכנית 223 </w:t>
      </w:r>
      <w:r>
        <w:rPr>
          <w:rtl/>
        </w:rPr>
        <w:t>–</w:t>
      </w:r>
      <w:r>
        <w:rPr>
          <w:rFonts w:hint="cs"/>
          <w:rtl/>
        </w:rPr>
        <w:t xml:space="preserve"> מפה בקנה מידה של 1:2,500, עם קואורדינטו</w:t>
      </w:r>
      <w:r>
        <w:rPr>
          <w:rFonts w:hint="eastAsia"/>
          <w:rtl/>
        </w:rPr>
        <w:t>ת</w:t>
      </w:r>
      <w:r>
        <w:rPr>
          <w:rFonts w:hint="cs"/>
          <w:rtl/>
        </w:rPr>
        <w:t xml:space="preserve"> </w:t>
      </w:r>
      <w:r>
        <w:rPr>
          <w:rtl/>
        </w:rPr>
        <w:t>–</w:t>
      </w:r>
      <w:r>
        <w:rPr>
          <w:rFonts w:hint="cs"/>
          <w:rtl/>
        </w:rPr>
        <w:t xml:space="preserve"> חתומים הממונה, </w:t>
      </w:r>
      <w:r w:rsidRPr="00F14F97">
        <w:rPr>
          <w:rFonts w:ascii="Century" w:hAnsi="Century" w:hint="eastAsia"/>
          <w:rtl/>
        </w:rPr>
        <w:t>מר</w:t>
      </w:r>
      <w:r w:rsidRPr="00F14F97">
        <w:rPr>
          <w:rFonts w:ascii="Century" w:hAnsi="Century"/>
          <w:rtl/>
        </w:rPr>
        <w:t xml:space="preserve"> </w:t>
      </w:r>
      <w:r w:rsidRPr="00F14F97">
        <w:rPr>
          <w:rFonts w:ascii="Century" w:hAnsi="Century" w:hint="eastAsia"/>
          <w:rtl/>
        </w:rPr>
        <w:t>נהרי</w:t>
      </w:r>
      <w:r w:rsidRPr="00F14F97">
        <w:rPr>
          <w:rFonts w:ascii="Century" w:hAnsi="Century"/>
          <w:rtl/>
        </w:rPr>
        <w:t>,</w:t>
      </w:r>
      <w:r>
        <w:rPr>
          <w:rFonts w:hint="cs"/>
          <w:rtl/>
        </w:rPr>
        <w:t xml:space="preserve"> תחת הכותרת </w:t>
      </w:r>
      <w:r w:rsidRPr="0063160E">
        <w:rPr>
          <w:rFonts w:ascii="Century" w:hAnsi="Century" w:cs="Miriam" w:hint="cs"/>
          <w:b/>
          <w:spacing w:val="0"/>
          <w:szCs w:val="24"/>
          <w:rtl/>
        </w:rPr>
        <w:t>"בעל הקרקע"</w:t>
      </w:r>
      <w:r>
        <w:rPr>
          <w:rFonts w:hint="cs"/>
          <w:rtl/>
        </w:rPr>
        <w:t xml:space="preserve">; הממונה לפי צו 997, מר מושקוביץ, ונציג ההסתדרות הציונית </w:t>
      </w:r>
      <w:r>
        <w:rPr>
          <w:rtl/>
        </w:rPr>
        <w:t>–</w:t>
      </w:r>
      <w:r>
        <w:rPr>
          <w:rFonts w:hint="cs"/>
          <w:rtl/>
        </w:rPr>
        <w:t xml:space="preserve"> מגישת התכנית. </w:t>
      </w:r>
    </w:p>
    <w:p w:rsidR="00295623" w:rsidRPr="001B77D4" w:rsidRDefault="00295623" w:rsidP="00295623">
      <w:pPr>
        <w:pStyle w:val="Ruller4"/>
        <w:numPr>
          <w:ilvl w:val="0"/>
          <w:numId w:val="0"/>
        </w:numPr>
        <w:tabs>
          <w:tab w:val="left" w:pos="90"/>
        </w:tabs>
        <w:spacing w:line="240" w:lineRule="auto"/>
      </w:pPr>
    </w:p>
    <w:p w:rsidR="00295623" w:rsidRDefault="00295623" w:rsidP="00295623">
      <w:pPr>
        <w:pStyle w:val="Ruller41"/>
        <w:rPr>
          <w:rtl/>
        </w:rPr>
      </w:pPr>
      <w:r>
        <w:rPr>
          <w:rFonts w:hint="cs"/>
          <w:rtl/>
        </w:rPr>
        <w:t>62.</w:t>
      </w:r>
      <w:r>
        <w:rPr>
          <w:rFonts w:hint="cs"/>
          <w:rtl/>
        </w:rPr>
        <w:tab/>
        <w:t>השטח שעליו הוקם מצפה כרמים, נכלל גם הוא בשטחה של תכנית 223. לפי התשריט שצורף לתכנית, שטח זה סווג כ</w:t>
      </w:r>
      <w:r w:rsidRPr="001D4967">
        <w:rPr>
          <w:rFonts w:ascii="Century" w:hAnsi="Century" w:cs="Miriam" w:hint="cs"/>
          <w:b/>
          <w:spacing w:val="0"/>
          <w:szCs w:val="24"/>
          <w:rtl/>
        </w:rPr>
        <w:t>"שטח שייעודו ייקבע בעתיד"</w:t>
      </w:r>
      <w:r>
        <w:rPr>
          <w:rFonts w:hint="cs"/>
          <w:rtl/>
        </w:rPr>
        <w:t xml:space="preserve">, ולגביו צוין בתקנון כי </w:t>
      </w:r>
      <w:r w:rsidRPr="001D4967">
        <w:rPr>
          <w:rFonts w:ascii="Century" w:hAnsi="Century" w:cs="Miriam" w:hint="cs"/>
          <w:b/>
          <w:spacing w:val="0"/>
          <w:szCs w:val="24"/>
          <w:rtl/>
        </w:rPr>
        <w:t>"ייעודו של שטח זה ייקבע לאחר שיתבהרו אפשרויות הרחבת גבולות הישוב"</w:t>
      </w:r>
      <w:r>
        <w:rPr>
          <w:rFonts w:hint="cs"/>
          <w:rtl/>
        </w:rPr>
        <w:t>,</w:t>
      </w:r>
      <w:r w:rsidRPr="0085591E">
        <w:rPr>
          <w:rFonts w:hint="cs"/>
          <w:rtl/>
        </w:rPr>
        <w:t xml:space="preserve"> וכי</w:t>
      </w:r>
      <w:r>
        <w:rPr>
          <w:rFonts w:hint="cs"/>
          <w:rtl/>
        </w:rPr>
        <w:t xml:space="preserve"> </w:t>
      </w:r>
      <w:r w:rsidRPr="001D4967">
        <w:rPr>
          <w:rFonts w:ascii="Century" w:hAnsi="Century" w:cs="Miriam" w:hint="cs"/>
          <w:b/>
          <w:spacing w:val="0"/>
          <w:szCs w:val="24"/>
          <w:rtl/>
        </w:rPr>
        <w:t>"יעוד השטח יסוכם ע"י המוסדות המיישבים"</w:t>
      </w:r>
      <w:r>
        <w:rPr>
          <w:rFonts w:hint="cs"/>
          <w:rtl/>
        </w:rPr>
        <w:t xml:space="preserve">. </w:t>
      </w:r>
    </w:p>
    <w:p w:rsidR="00295623" w:rsidRPr="0063160E" w:rsidRDefault="00295623" w:rsidP="00295623">
      <w:pPr>
        <w:pStyle w:val="Ruller41"/>
        <w:tabs>
          <w:tab w:val="left" w:pos="90"/>
        </w:tabs>
        <w:spacing w:line="240" w:lineRule="auto"/>
      </w:pPr>
    </w:p>
    <w:p w:rsidR="00295623" w:rsidRDefault="00295623" w:rsidP="00295623">
      <w:pPr>
        <w:pStyle w:val="Ruller41"/>
        <w:rPr>
          <w:rtl/>
        </w:rPr>
      </w:pPr>
      <w:r>
        <w:rPr>
          <w:rFonts w:hint="cs"/>
          <w:rtl/>
        </w:rPr>
        <w:t>63.</w:t>
      </w:r>
      <w:r>
        <w:rPr>
          <w:rFonts w:hint="cs"/>
          <w:rtl/>
        </w:rPr>
        <w:tab/>
        <w:t xml:space="preserve">במכתב מיום 17.5.1990, שנשלח מאת מושקוביץ למהנדס מחוז ירושלים במשרד הבינוי והשיכון, נכתב, כי לאחר בדיקה נמצא כי מגרשים מסויימים שתוכננו בצדו הצפוני של כוכב השחר, מצויים </w:t>
      </w:r>
      <w:r w:rsidRPr="00C95A68">
        <w:rPr>
          <w:rFonts w:ascii="Century" w:hAnsi="Century" w:cs="Miriam" w:hint="cs"/>
          <w:b/>
          <w:spacing w:val="0"/>
          <w:szCs w:val="24"/>
          <w:rtl/>
        </w:rPr>
        <w:t>"מחוץ לגבולות התפיסה בפועל (מחוץ לגדר הישוב)"</w:t>
      </w:r>
      <w:r>
        <w:rPr>
          <w:rFonts w:hint="cs"/>
          <w:rtl/>
        </w:rPr>
        <w:t xml:space="preserve">. על כן, יש להימנע מחישוב מגרשים אלה, בגדרי הליך התכנון והבינוי, כל עוד לא שונו הגבולות על-ידי המינהל האזרחי (להלן: </w:t>
      </w:r>
      <w:r w:rsidRPr="00346265">
        <w:rPr>
          <w:rFonts w:ascii="Century" w:hAnsi="Century" w:cs="Miriam" w:hint="cs"/>
          <w:b/>
          <w:spacing w:val="0"/>
          <w:szCs w:val="24"/>
          <w:rtl/>
        </w:rPr>
        <w:t>המכתב מיום 17.5.1990</w:t>
      </w:r>
      <w:r>
        <w:rPr>
          <w:rFonts w:hint="cs"/>
          <w:rtl/>
        </w:rPr>
        <w:t xml:space="preserve">). במכתב נוסף, מיום 10.6.1990, מאת ראש ענף תשתית, רס"ן יאיר בלומנטל (להלן: </w:t>
      </w:r>
      <w:r w:rsidRPr="00C95A68">
        <w:rPr>
          <w:rFonts w:ascii="Century" w:hAnsi="Century" w:cs="Miriam" w:hint="cs"/>
          <w:b/>
          <w:spacing w:val="0"/>
          <w:szCs w:val="24"/>
          <w:rtl/>
        </w:rPr>
        <w:t>בלומנטל</w:t>
      </w:r>
      <w:r>
        <w:rPr>
          <w:rFonts w:hint="cs"/>
          <w:rtl/>
        </w:rPr>
        <w:t xml:space="preserve">), אל משרד הבינוי והשיכון, נכתב כי המגרשים הללו מצויים </w:t>
      </w:r>
      <w:r w:rsidRPr="00346265">
        <w:rPr>
          <w:rFonts w:ascii="Century" w:hAnsi="Century" w:cs="Miriam" w:hint="cs"/>
          <w:b/>
          <w:spacing w:val="0"/>
          <w:szCs w:val="24"/>
          <w:rtl/>
        </w:rPr>
        <w:t>"</w:t>
      </w:r>
      <w:r w:rsidRPr="00346265">
        <w:rPr>
          <w:rFonts w:ascii="Century" w:hAnsi="Century" w:cs="Miriam" w:hint="cs"/>
          <w:b/>
          <w:spacing w:val="0"/>
          <w:szCs w:val="24"/>
          <w:u w:val="single"/>
          <w:rtl/>
        </w:rPr>
        <w:t>מחוץ לגדר המקורית של צו התפיסה</w:t>
      </w:r>
      <w:r w:rsidRPr="00346265">
        <w:rPr>
          <w:rFonts w:ascii="Century" w:hAnsi="Century" w:cs="Miriam" w:hint="cs"/>
          <w:b/>
          <w:spacing w:val="0"/>
          <w:szCs w:val="24"/>
          <w:rtl/>
        </w:rPr>
        <w:t xml:space="preserve"> וע"כ אין כל בסיס משפטי היכול לאשר בינוי מגרשים אלו שכן צו התפיסה עפ"י </w:t>
      </w:r>
      <w:r w:rsidRPr="00D47E2E">
        <w:rPr>
          <w:rFonts w:ascii="Century" w:hAnsi="Century" w:cs="Miriam" w:hint="cs"/>
          <w:b/>
          <w:spacing w:val="0"/>
          <w:szCs w:val="24"/>
          <w:u w:val="single"/>
          <w:rtl/>
        </w:rPr>
        <w:t>מימושו בפועל</w:t>
      </w:r>
      <w:r w:rsidRPr="00346265">
        <w:rPr>
          <w:rFonts w:ascii="Century" w:hAnsi="Century" w:cs="Miriam" w:hint="cs"/>
          <w:b/>
          <w:spacing w:val="0"/>
          <w:szCs w:val="24"/>
          <w:rtl/>
        </w:rPr>
        <w:t xml:space="preserve"> לא חל על מגרשים אלו"</w:t>
      </w:r>
      <w:r>
        <w:rPr>
          <w:rFonts w:hint="cs"/>
          <w:rtl/>
        </w:rPr>
        <w:t xml:space="preserve"> (ההדגשות במקור </w:t>
      </w:r>
      <w:r>
        <w:rPr>
          <w:rtl/>
        </w:rPr>
        <w:t>–</w:t>
      </w:r>
      <w:r>
        <w:rPr>
          <w:rFonts w:hint="cs"/>
          <w:rtl/>
        </w:rPr>
        <w:t xml:space="preserve"> נ' ס'). משכך,  הוצע לגרוע מגרשים אלה מתכנית 223. במכתב זה צוין עוד, כי </w:t>
      </w:r>
      <w:r w:rsidRPr="00346265">
        <w:rPr>
          <w:rFonts w:ascii="Century" w:hAnsi="Century" w:cs="Miriam" w:hint="cs"/>
          <w:b/>
          <w:spacing w:val="0"/>
          <w:szCs w:val="24"/>
          <w:rtl/>
        </w:rPr>
        <w:t>"צו התפיסה נבחן ועומד במבחן החוקיות עפ"י התפיסה בפועל ובמקרה זה קרי הגידור"</w:t>
      </w:r>
      <w:r>
        <w:rPr>
          <w:rFonts w:hint="cs"/>
          <w:rtl/>
        </w:rPr>
        <w:t xml:space="preserve"> (להלן: </w:t>
      </w:r>
      <w:r w:rsidRPr="00346265">
        <w:rPr>
          <w:rFonts w:ascii="Century" w:hAnsi="Century" w:cs="Miriam" w:hint="cs"/>
          <w:b/>
          <w:spacing w:val="0"/>
          <w:szCs w:val="24"/>
          <w:rtl/>
        </w:rPr>
        <w:t>המכתב מיום 10.6.1990</w:t>
      </w:r>
      <w:r>
        <w:rPr>
          <w:rFonts w:hint="cs"/>
          <w:rtl/>
        </w:rPr>
        <w:t xml:space="preserve">). עניין זה, התעורר גם במכתב מיום 8.11.1994, מאת ראש מדור תכנון ומדידות במינהל האזרחי, גב' אריאלה אריש, אל החטיבה להתיישבות, שבו נכתב כי נדרש לתקן את תכנית </w:t>
      </w:r>
      <w:r>
        <w:rPr>
          <w:rFonts w:hint="cs"/>
          <w:rtl/>
        </w:rPr>
        <w:lastRenderedPageBreak/>
        <w:t xml:space="preserve">223, בדרך של גריעת המגרשים האמורים, ולבצע בהתאמה גם שינויים במפת החוזה שבין הממונה לבין ההסתדרות הציונית, </w:t>
      </w:r>
      <w:r w:rsidRPr="00D47E2E">
        <w:rPr>
          <w:rFonts w:ascii="Century" w:hAnsi="Century" w:cs="Miriam" w:hint="cs"/>
          <w:b/>
          <w:spacing w:val="0"/>
          <w:szCs w:val="24"/>
          <w:rtl/>
        </w:rPr>
        <w:t>"תוך הכנת מיפוי מתאים של הישוב עפ"י גבול התפיסה בפועל קרי הגידור הקיים"</w:t>
      </w:r>
      <w:r>
        <w:rPr>
          <w:rFonts w:hint="cs"/>
          <w:rtl/>
        </w:rPr>
        <w:t xml:space="preserve">. </w:t>
      </w:r>
    </w:p>
    <w:p w:rsidR="00295623" w:rsidRPr="00346265" w:rsidRDefault="00295623" w:rsidP="00295623">
      <w:pPr>
        <w:pStyle w:val="Ruller41"/>
        <w:tabs>
          <w:tab w:val="left" w:pos="90"/>
        </w:tabs>
        <w:spacing w:line="240" w:lineRule="auto"/>
      </w:pPr>
    </w:p>
    <w:p w:rsidR="00295623" w:rsidRDefault="00295623" w:rsidP="00295623">
      <w:pPr>
        <w:pStyle w:val="Ruller41"/>
        <w:rPr>
          <w:rtl/>
        </w:rPr>
      </w:pPr>
      <w:r>
        <w:rPr>
          <w:rFonts w:hint="cs"/>
          <w:rtl/>
        </w:rPr>
        <w:t>64.</w:t>
      </w:r>
      <w:r>
        <w:rPr>
          <w:rFonts w:hint="cs"/>
          <w:rtl/>
        </w:rPr>
        <w:tab/>
        <w:t xml:space="preserve">חרף המכתבים הנ"ל, ביום 2.10.1995 אושרה תכנית מתאר מפורטת 223/1, והיא כללה בתוכה גם את המגרשים האמורים (להלן: </w:t>
      </w:r>
      <w:r w:rsidRPr="00D47E2E">
        <w:rPr>
          <w:rFonts w:ascii="Century" w:hAnsi="Century" w:cs="Miriam" w:hint="cs"/>
          <w:b/>
          <w:spacing w:val="0"/>
          <w:szCs w:val="24"/>
          <w:rtl/>
        </w:rPr>
        <w:t>תכנית 223/1</w:t>
      </w:r>
      <w:r>
        <w:rPr>
          <w:rFonts w:hint="cs"/>
          <w:rtl/>
        </w:rPr>
        <w:t xml:space="preserve">). תכנית זו, בעיקרו של דבר, שינתה חלק מיעודי הקרקע שנקבעו בתכנית 223, ובנוסף נקבע בה, כי יתווספו 4 דונמים נוספים, אל תוך שטח התכנית (תכנית 223/1 התייחסה לשטח של 1,420 דונם, בעוד שתכנית 223 התייחסה לשטח של 1,416 דונם). אציין, כי במסגרת תכנית זו, שׁוּנה השטח שעליו הוקם לימים מצפה כרמים </w:t>
      </w:r>
      <w:r>
        <w:rPr>
          <w:rtl/>
        </w:rPr>
        <w:t>–</w:t>
      </w:r>
      <w:r>
        <w:rPr>
          <w:rFonts w:hint="cs"/>
          <w:rtl/>
        </w:rPr>
        <w:t xml:space="preserve"> לייעוד חקלאי. מכל מקום, גם לאחר אישור התכנית, </w:t>
      </w:r>
      <w:r w:rsidRPr="00843D5B">
        <w:rPr>
          <w:rFonts w:ascii="Century" w:hAnsi="Century" w:hint="eastAsia"/>
          <w:rtl/>
        </w:rPr>
        <w:t>שבה</w:t>
      </w:r>
      <w:r w:rsidRPr="00843D5B">
        <w:rPr>
          <w:rFonts w:ascii="Century" w:hAnsi="Century"/>
          <w:rtl/>
        </w:rPr>
        <w:t xml:space="preserve"> </w:t>
      </w:r>
      <w:r w:rsidRPr="00843D5B">
        <w:rPr>
          <w:rFonts w:ascii="Century" w:hAnsi="Century" w:hint="eastAsia"/>
          <w:rtl/>
        </w:rPr>
        <w:t>הגב</w:t>
      </w:r>
      <w:r w:rsidRPr="00843D5B">
        <w:rPr>
          <w:rFonts w:ascii="Century" w:hAnsi="Century"/>
          <w:rtl/>
        </w:rPr>
        <w:t xml:space="preserve">' </w:t>
      </w:r>
      <w:r w:rsidRPr="00843D5B">
        <w:rPr>
          <w:rFonts w:ascii="Century" w:hAnsi="Century" w:hint="eastAsia"/>
          <w:rtl/>
        </w:rPr>
        <w:t>אריש</w:t>
      </w:r>
      <w:r>
        <w:rPr>
          <w:rFonts w:ascii="Century" w:hAnsi="Century" w:hint="cs"/>
          <w:rtl/>
        </w:rPr>
        <w:t xml:space="preserve"> והתריעה, </w:t>
      </w:r>
      <w:r>
        <w:rPr>
          <w:rFonts w:hint="cs"/>
          <w:rtl/>
        </w:rPr>
        <w:t>במכתב מיום 7.12.1995,</w:t>
      </w:r>
      <w:r w:rsidRPr="00843D5B">
        <w:rPr>
          <w:rFonts w:ascii="Century" w:hAnsi="Century"/>
          <w:rtl/>
        </w:rPr>
        <w:t xml:space="preserve"> </w:t>
      </w:r>
      <w:r>
        <w:rPr>
          <w:rFonts w:ascii="Century" w:hAnsi="Century" w:hint="cs"/>
          <w:rtl/>
        </w:rPr>
        <w:t xml:space="preserve">כי אין לקדם </w:t>
      </w:r>
      <w:r w:rsidRPr="00843D5B">
        <w:rPr>
          <w:rFonts w:ascii="Century" w:hAnsi="Century" w:hint="eastAsia"/>
          <w:rtl/>
        </w:rPr>
        <w:t>בניה</w:t>
      </w:r>
      <w:r w:rsidRPr="00843D5B">
        <w:rPr>
          <w:rFonts w:ascii="Century" w:hAnsi="Century"/>
          <w:rtl/>
        </w:rPr>
        <w:t xml:space="preserve"> </w:t>
      </w:r>
      <w:r w:rsidRPr="00843D5B">
        <w:rPr>
          <w:rFonts w:ascii="Century" w:hAnsi="Century" w:hint="eastAsia"/>
          <w:rtl/>
        </w:rPr>
        <w:t>במגרשים</w:t>
      </w:r>
      <w:r w:rsidRPr="00843D5B">
        <w:rPr>
          <w:rFonts w:ascii="Century" w:hAnsi="Century"/>
          <w:rtl/>
        </w:rPr>
        <w:t xml:space="preserve"> </w:t>
      </w:r>
      <w:r w:rsidRPr="00843D5B">
        <w:rPr>
          <w:rFonts w:ascii="Century" w:hAnsi="Century" w:hint="eastAsia"/>
          <w:rtl/>
        </w:rPr>
        <w:t>החורגים</w:t>
      </w:r>
      <w:r w:rsidRPr="00843D5B">
        <w:rPr>
          <w:rFonts w:ascii="Century" w:hAnsi="Century"/>
          <w:rtl/>
        </w:rPr>
        <w:t xml:space="preserve"> </w:t>
      </w:r>
      <w:r w:rsidRPr="00843D5B">
        <w:rPr>
          <w:rFonts w:ascii="Century" w:hAnsi="Century" w:hint="eastAsia"/>
          <w:rtl/>
        </w:rPr>
        <w:t>מהשטח</w:t>
      </w:r>
      <w:r w:rsidRPr="00843D5B">
        <w:rPr>
          <w:rFonts w:ascii="Century" w:hAnsi="Century"/>
          <w:rtl/>
        </w:rPr>
        <w:t xml:space="preserve"> </w:t>
      </w:r>
      <w:r w:rsidRPr="00843D5B">
        <w:rPr>
          <w:rFonts w:ascii="Century" w:hAnsi="Century" w:hint="eastAsia"/>
          <w:rtl/>
        </w:rPr>
        <w:t>שנתפס</w:t>
      </w:r>
      <w:r w:rsidRPr="00843D5B">
        <w:rPr>
          <w:rFonts w:ascii="Century" w:hAnsi="Century"/>
          <w:rtl/>
        </w:rPr>
        <w:t xml:space="preserve"> </w:t>
      </w:r>
      <w:r w:rsidRPr="00843D5B">
        <w:rPr>
          <w:rFonts w:ascii="Century" w:hAnsi="Century" w:hint="eastAsia"/>
          <w:rtl/>
        </w:rPr>
        <w:t>בפועל</w:t>
      </w:r>
      <w:r>
        <w:rPr>
          <w:rFonts w:hint="cs"/>
          <w:rtl/>
        </w:rPr>
        <w:t xml:space="preserve">.   </w:t>
      </w:r>
    </w:p>
    <w:p w:rsidR="00295623" w:rsidRPr="00C95A68" w:rsidRDefault="00295623" w:rsidP="00295623">
      <w:pPr>
        <w:pStyle w:val="Ruller41"/>
        <w:tabs>
          <w:tab w:val="left" w:pos="90"/>
        </w:tabs>
        <w:spacing w:line="240" w:lineRule="auto"/>
      </w:pPr>
    </w:p>
    <w:p w:rsidR="00295623" w:rsidRDefault="00295623" w:rsidP="00295623">
      <w:pPr>
        <w:pStyle w:val="Ruller41"/>
      </w:pPr>
      <w:r>
        <w:rPr>
          <w:rFonts w:hint="cs"/>
          <w:rtl/>
        </w:rPr>
        <w:t>65.</w:t>
      </w:r>
      <w:r>
        <w:rPr>
          <w:rFonts w:hint="cs"/>
          <w:rtl/>
        </w:rPr>
        <w:tab/>
        <w:t xml:space="preserve">הורתו של הישוב מצפה כרמים, במאחז 'מעלה שלמה', אשר הוקם ללא אישור, עובר לשנת 1999, דרומית-מערבית לכוכב השחר. המאחז הוקם אמנם על אדמות מדינה, אך מחוץ לתחום תכניות המתאר 223 ו-223/1. מאחז זה כּוּנה כבר אז 'מצפה כרמים' (להלן: </w:t>
      </w:r>
      <w:r w:rsidRPr="005E15E0">
        <w:rPr>
          <w:rFonts w:ascii="Century" w:hAnsi="Century" w:cs="Miriam" w:hint="cs"/>
          <w:b/>
          <w:spacing w:val="0"/>
          <w:szCs w:val="24"/>
          <w:rtl/>
        </w:rPr>
        <w:t>מצפה כרמים הישן</w:t>
      </w:r>
      <w:r>
        <w:rPr>
          <w:rFonts w:hint="cs"/>
          <w:rtl/>
        </w:rPr>
        <w:t xml:space="preserve">). יצוין, כי בחודש אפריל 1999, נחתם הסכם הרשאה בין הממונה לבין ההסתדרות הציונית, לטובת הקמת מוסד חינוכי בשטח זה, ולשם כך אף הופקדה תכנית מתאר מפורטת (תכנית 223/3), אך זו מעולם לא קודמה מעבר לכך. </w:t>
      </w:r>
    </w:p>
    <w:p w:rsidR="00295623" w:rsidRPr="00F14F97" w:rsidRDefault="00295623" w:rsidP="00295623">
      <w:pPr>
        <w:pStyle w:val="Ruller41"/>
        <w:tabs>
          <w:tab w:val="left" w:pos="90"/>
        </w:tabs>
        <w:spacing w:line="240" w:lineRule="auto"/>
      </w:pPr>
    </w:p>
    <w:p w:rsidR="00295623" w:rsidRDefault="00295623" w:rsidP="00295623">
      <w:pPr>
        <w:pStyle w:val="Ruller41"/>
        <w:rPr>
          <w:rtl/>
        </w:rPr>
      </w:pPr>
      <w:r>
        <w:rPr>
          <w:rFonts w:hint="cs"/>
          <w:rtl/>
        </w:rPr>
        <w:t>66.</w:t>
      </w:r>
      <w:r>
        <w:rPr>
          <w:rFonts w:hint="cs"/>
          <w:rtl/>
        </w:rPr>
        <w:tab/>
        <w:t xml:space="preserve">ביום 10.10.1999, התקבלה החלטה הח/2 של ועדת השרים לענייני התיישבות (כמה ימים לאחר מכן, ביום 28.10.1999, ניתן להחלטה זו תוקף של החלטת ממשלה), שבמסגרתה הוחלט להסמיך את ראש הממשלה ושר הביטחון דאז, אהוד ברק, </w:t>
      </w:r>
      <w:r w:rsidRPr="002A7812">
        <w:rPr>
          <w:rFonts w:ascii="Century" w:hAnsi="Century" w:cs="Miriam" w:hint="cs"/>
          <w:b/>
          <w:spacing w:val="0"/>
          <w:szCs w:val="24"/>
          <w:rtl/>
        </w:rPr>
        <w:t>"לפעול על פי סמכותו ושיקול דעתו בכל הקשור לנקודות התיישבות/מאחזים מבודדים שלא ברצף לשטח מבונה של ישובים קיימים ביהודה ושומרון [...] בהתחשב ובהתבסס, בין היתר, על ההיבטים הבטחוניים והמשפטיים הרלבנטיים"</w:t>
      </w:r>
      <w:r>
        <w:rPr>
          <w:rFonts w:hint="cs"/>
          <w:rtl/>
        </w:rPr>
        <w:t>. החלטה זו שימשה פלטפורמה, למה שנודע לימים כ</w:t>
      </w:r>
      <w:r w:rsidRPr="002A7812">
        <w:rPr>
          <w:rFonts w:ascii="Century" w:hAnsi="Century" w:cs="Miriam" w:hint="cs"/>
          <w:b/>
          <w:spacing w:val="0"/>
          <w:szCs w:val="24"/>
          <w:rtl/>
        </w:rPr>
        <w:t>"הסכם המאחזים"</w:t>
      </w:r>
      <w:r>
        <w:rPr>
          <w:rFonts w:hint="cs"/>
          <w:rtl/>
        </w:rPr>
        <w:t xml:space="preserve">; הסכם בין ראש הממשלה דאז, אהוד ברק, לראשי מועצת יש"ע, שבו נקבע מעמדן של מספר נקודות התיישבות. באותה תקופה, ועל יסוד הסכם המאחזים, אושרה העתקתו של מצפה כרמים, ממיקומו הישן, </w:t>
      </w:r>
      <w:r w:rsidRPr="002A7812">
        <w:rPr>
          <w:rFonts w:ascii="Century" w:hAnsi="Century" w:cs="Miriam" w:hint="cs"/>
          <w:b/>
          <w:spacing w:val="0"/>
          <w:szCs w:val="24"/>
          <w:rtl/>
        </w:rPr>
        <w:t>"לתחום תכנית המתאר של כוכב השחר שבתוקף"</w:t>
      </w:r>
      <w:r>
        <w:rPr>
          <w:rFonts w:hint="cs"/>
          <w:rtl/>
        </w:rPr>
        <w:t xml:space="preserve">, תוך קידום הליכי תכנון במקום (זאת, כעולה משורה של מכתבים, משלהי חודש אוקטובר 1999, שצורפו כנספחים 39-37 לתצהירו של סא"ל אביעד כספי, המכהן כראש תחום תשתית במינהל </w:t>
      </w:r>
      <w:r w:rsidRPr="00B70443">
        <w:rPr>
          <w:rFonts w:hint="cs"/>
          <w:rtl/>
        </w:rPr>
        <w:t>האזרחי, החל משנת 2012, ואשר</w:t>
      </w:r>
      <w:r>
        <w:rPr>
          <w:rFonts w:hint="cs"/>
          <w:rtl/>
        </w:rPr>
        <w:t xml:space="preserve"> התייצב מטעם המדינה בהליך שהתקיים בבית המשפט המחוזי (להלן: </w:t>
      </w:r>
      <w:r w:rsidRPr="002A7812">
        <w:rPr>
          <w:rFonts w:ascii="Century" w:hAnsi="Century" w:cs="Miriam" w:hint="cs"/>
          <w:b/>
          <w:spacing w:val="0"/>
          <w:szCs w:val="24"/>
          <w:rtl/>
        </w:rPr>
        <w:t>כספי</w:t>
      </w:r>
      <w:r>
        <w:rPr>
          <w:rFonts w:hint="cs"/>
          <w:rtl/>
        </w:rPr>
        <w:t xml:space="preserve">)). לשם כך, אותר שטח המשתרע על פני כ-14.4 דונם, ממזרח לכוכב השחר, והוכנה עבורו תכנית מתאר מפורטת 223/1/5, שתכליתה </w:t>
      </w:r>
      <w:r>
        <w:rPr>
          <w:rtl/>
        </w:rPr>
        <w:t>–</w:t>
      </w:r>
      <w:r>
        <w:rPr>
          <w:rFonts w:hint="cs"/>
          <w:rtl/>
        </w:rPr>
        <w:t xml:space="preserve"> שינוי יעוד הקרקע מחקלאות למגורים (להלן: </w:t>
      </w:r>
      <w:r w:rsidRPr="006E131D">
        <w:rPr>
          <w:rFonts w:ascii="Century" w:hAnsi="Century" w:cs="Miriam" w:hint="cs"/>
          <w:b/>
          <w:spacing w:val="0"/>
          <w:szCs w:val="24"/>
          <w:rtl/>
        </w:rPr>
        <w:t>תכנית 223/1/5</w:t>
      </w:r>
      <w:r>
        <w:rPr>
          <w:rFonts w:hint="cs"/>
          <w:rtl/>
        </w:rPr>
        <w:t xml:space="preserve">). </w:t>
      </w:r>
      <w:r>
        <w:rPr>
          <w:rFonts w:hint="cs"/>
          <w:rtl/>
        </w:rPr>
        <w:lastRenderedPageBreak/>
        <w:t xml:space="preserve">אדגיש, כי תא השטח שאליו תוכנן להעתיק את מצפה כרמים, במסגרת תכנית 223/1/5, נמצא </w:t>
      </w:r>
      <w:r w:rsidRPr="00B1334A">
        <w:rPr>
          <w:rFonts w:ascii="Century" w:hAnsi="Century" w:cs="Miriam" w:hint="cs"/>
          <w:b/>
          <w:spacing w:val="0"/>
          <w:szCs w:val="24"/>
          <w:rtl/>
        </w:rPr>
        <w:t>מחוץ</w:t>
      </w:r>
      <w:r w:rsidRPr="00B1334A">
        <w:rPr>
          <w:rFonts w:hint="cs"/>
          <w:rtl/>
        </w:rPr>
        <w:t xml:space="preserve"> </w:t>
      </w:r>
      <w:r>
        <w:rPr>
          <w:rFonts w:hint="cs"/>
          <w:rtl/>
        </w:rPr>
        <w:t xml:space="preserve">לגבולות צו התפיסה וצו הסגירה, אך </w:t>
      </w:r>
      <w:r w:rsidRPr="00B35E62">
        <w:rPr>
          <w:rFonts w:ascii="Century" w:hAnsi="Century" w:cs="Miriam" w:hint="cs"/>
          <w:b/>
          <w:spacing w:val="0"/>
          <w:szCs w:val="24"/>
          <w:rtl/>
        </w:rPr>
        <w:t>בתוך</w:t>
      </w:r>
      <w:r w:rsidRPr="00B35E62">
        <w:rPr>
          <w:rFonts w:hint="cs"/>
          <w:rtl/>
        </w:rPr>
        <w:t xml:space="preserve"> </w:t>
      </w:r>
      <w:r>
        <w:rPr>
          <w:rFonts w:hint="cs"/>
          <w:rtl/>
        </w:rPr>
        <w:t>תכניות 223 ו-223/1. תכנית העתקה זו לא קודמה, משהתברר כי המיקום החדש שנבחר, נכלל בשטחו של צו סגירה לשטח אש (</w:t>
      </w:r>
      <w:r w:rsidRPr="00464FC5">
        <w:rPr>
          <w:rFonts w:ascii="Century" w:hAnsi="Century" w:cs="Miriam"/>
          <w:b/>
          <w:spacing w:val="0"/>
          <w:szCs w:val="24"/>
          <w:rtl/>
        </w:rPr>
        <w:t>"</w:t>
      </w:r>
      <w:r w:rsidRPr="00464FC5">
        <w:rPr>
          <w:rFonts w:ascii="Century" w:hAnsi="Century" w:cs="Miriam" w:hint="eastAsia"/>
          <w:b/>
          <w:spacing w:val="0"/>
          <w:szCs w:val="24"/>
          <w:rtl/>
        </w:rPr>
        <w:t>צו</w:t>
      </w:r>
      <w:r w:rsidRPr="00464FC5">
        <w:rPr>
          <w:rFonts w:ascii="Century" w:hAnsi="Century" w:cs="Miriam"/>
          <w:b/>
          <w:spacing w:val="0"/>
          <w:szCs w:val="24"/>
          <w:rtl/>
        </w:rPr>
        <w:t xml:space="preserve"> </w:t>
      </w:r>
      <w:r w:rsidRPr="00464FC5">
        <w:rPr>
          <w:rFonts w:ascii="Century" w:hAnsi="Century" w:cs="Miriam" w:hint="eastAsia"/>
          <w:b/>
          <w:spacing w:val="0"/>
          <w:szCs w:val="24"/>
          <w:rtl/>
        </w:rPr>
        <w:t>סגירת</w:t>
      </w:r>
      <w:r w:rsidRPr="00464FC5">
        <w:rPr>
          <w:rFonts w:ascii="Century" w:hAnsi="Century" w:cs="Miriam"/>
          <w:b/>
          <w:spacing w:val="0"/>
          <w:szCs w:val="24"/>
          <w:rtl/>
        </w:rPr>
        <w:t xml:space="preserve"> </w:t>
      </w:r>
      <w:r w:rsidRPr="00464FC5">
        <w:rPr>
          <w:rFonts w:ascii="Century" w:hAnsi="Century" w:cs="Miriam" w:hint="eastAsia"/>
          <w:b/>
          <w:spacing w:val="0"/>
          <w:szCs w:val="24"/>
          <w:rtl/>
        </w:rPr>
        <w:t>שטח</w:t>
      </w:r>
      <w:r w:rsidRPr="00464FC5">
        <w:rPr>
          <w:rFonts w:ascii="Century" w:hAnsi="Century" w:cs="Miriam"/>
          <w:b/>
          <w:spacing w:val="0"/>
          <w:szCs w:val="24"/>
          <w:rtl/>
        </w:rPr>
        <w:t xml:space="preserve"> </w:t>
      </w:r>
      <w:r w:rsidRPr="00464FC5">
        <w:rPr>
          <w:rFonts w:ascii="Century" w:hAnsi="Century" w:cs="Miriam" w:hint="eastAsia"/>
          <w:b/>
          <w:spacing w:val="0"/>
          <w:szCs w:val="24"/>
          <w:rtl/>
        </w:rPr>
        <w:t>מס</w:t>
      </w:r>
      <w:r w:rsidRPr="00464FC5">
        <w:rPr>
          <w:rFonts w:ascii="Century" w:hAnsi="Century" w:cs="Miriam"/>
          <w:b/>
          <w:spacing w:val="0"/>
          <w:szCs w:val="24"/>
          <w:rtl/>
        </w:rPr>
        <w:t>': 4/99/</w:t>
      </w:r>
      <w:r w:rsidRPr="00464FC5">
        <w:rPr>
          <w:rFonts w:ascii="Century" w:hAnsi="Century" w:cs="Miriam" w:hint="eastAsia"/>
          <w:b/>
          <w:spacing w:val="0"/>
          <w:szCs w:val="24"/>
          <w:rtl/>
        </w:rPr>
        <w:t>ס</w:t>
      </w:r>
      <w:r w:rsidRPr="00464FC5">
        <w:rPr>
          <w:rFonts w:ascii="Century" w:hAnsi="Century" w:cs="Miriam"/>
          <w:b/>
          <w:spacing w:val="0"/>
          <w:szCs w:val="24"/>
          <w:rtl/>
        </w:rPr>
        <w:t xml:space="preserve">', </w:t>
      </w:r>
      <w:r w:rsidRPr="00464FC5">
        <w:rPr>
          <w:rFonts w:ascii="Century" w:hAnsi="Century" w:cs="Miriam" w:hint="eastAsia"/>
          <w:b/>
          <w:spacing w:val="0"/>
          <w:szCs w:val="24"/>
          <w:rtl/>
        </w:rPr>
        <w:t>התשנ</w:t>
      </w:r>
      <w:r w:rsidRPr="00464FC5">
        <w:rPr>
          <w:rFonts w:ascii="Century" w:hAnsi="Century" w:cs="Miriam"/>
          <w:b/>
          <w:spacing w:val="0"/>
          <w:szCs w:val="24"/>
          <w:rtl/>
        </w:rPr>
        <w:t>"</w:t>
      </w:r>
      <w:r w:rsidRPr="00464FC5">
        <w:rPr>
          <w:rFonts w:ascii="Century" w:hAnsi="Century" w:cs="Miriam" w:hint="eastAsia"/>
          <w:b/>
          <w:spacing w:val="0"/>
          <w:szCs w:val="24"/>
          <w:rtl/>
        </w:rPr>
        <w:t>ט</w:t>
      </w:r>
      <w:r w:rsidRPr="00464FC5">
        <w:rPr>
          <w:rFonts w:ascii="Century" w:hAnsi="Century" w:cs="Miriam"/>
          <w:b/>
          <w:spacing w:val="0"/>
          <w:szCs w:val="24"/>
          <w:rtl/>
        </w:rPr>
        <w:t>-1999"</w:t>
      </w:r>
      <w:r w:rsidRPr="00464FC5">
        <w:rPr>
          <w:rFonts w:ascii="Century" w:hAnsi="Century"/>
          <w:rtl/>
        </w:rPr>
        <w:t xml:space="preserve"> </w:t>
      </w:r>
      <w:r>
        <w:rPr>
          <w:rFonts w:hint="cs"/>
          <w:rtl/>
        </w:rPr>
        <w:t xml:space="preserve">(להלן: </w:t>
      </w:r>
      <w:r w:rsidRPr="00B35E62">
        <w:rPr>
          <w:rFonts w:ascii="Century" w:hAnsi="Century" w:cs="Miriam" w:hint="cs"/>
          <w:b/>
          <w:spacing w:val="0"/>
          <w:szCs w:val="24"/>
          <w:rtl/>
        </w:rPr>
        <w:t>שטח האש</w:t>
      </w:r>
      <w:r>
        <w:rPr>
          <w:rFonts w:hint="cs"/>
          <w:rtl/>
        </w:rPr>
        <w:t xml:space="preserve">)). בהמשך, התקיימה ישיבה בראשות אלוף פיקוד המרכז דאז, משה יעלון (להלן: </w:t>
      </w:r>
      <w:r>
        <w:rPr>
          <w:rFonts w:ascii="Century" w:hAnsi="Century" w:cs="Miriam" w:hint="cs"/>
          <w:b/>
          <w:spacing w:val="0"/>
          <w:szCs w:val="24"/>
          <w:rtl/>
        </w:rPr>
        <w:t xml:space="preserve">אלוף פיקוד המרכז </w:t>
      </w:r>
      <w:r w:rsidRPr="001D06F7">
        <w:rPr>
          <w:rFonts w:ascii="Century" w:hAnsi="Century" w:cs="Miriam" w:hint="cs"/>
          <w:b/>
          <w:spacing w:val="0"/>
          <w:szCs w:val="24"/>
          <w:rtl/>
        </w:rPr>
        <w:t>יעלון</w:t>
      </w:r>
      <w:r>
        <w:rPr>
          <w:rFonts w:hint="cs"/>
          <w:rtl/>
        </w:rPr>
        <w:t xml:space="preserve">), ובה הובהר כי המיקום שהוצע בתכנית 223/1/5 </w:t>
      </w:r>
      <w:r>
        <w:rPr>
          <w:rtl/>
        </w:rPr>
        <w:t>–</w:t>
      </w:r>
      <w:r>
        <w:rPr>
          <w:rFonts w:hint="cs"/>
          <w:rtl/>
        </w:rPr>
        <w:t xml:space="preserve"> 'נופל' בתחומי שטח אש, בתוככי </w:t>
      </w:r>
      <w:r w:rsidRPr="00B1334A">
        <w:rPr>
          <w:rFonts w:ascii="Century" w:hAnsi="Century" w:cs="Miriam" w:hint="cs"/>
          <w:b/>
          <w:spacing w:val="0"/>
          <w:szCs w:val="24"/>
          <w:rtl/>
        </w:rPr>
        <w:t>"משפך הירי"</w:t>
      </w:r>
      <w:r>
        <w:rPr>
          <w:rFonts w:hint="cs"/>
          <w:rtl/>
        </w:rPr>
        <w:t xml:space="preserve"> של מטווחי הטנקים באזור. בישיבה זו, </w:t>
      </w:r>
      <w:r w:rsidRPr="00A27B83">
        <w:rPr>
          <w:rFonts w:hint="cs"/>
          <w:rtl/>
        </w:rPr>
        <w:t xml:space="preserve">הביע </w:t>
      </w:r>
      <w:r>
        <w:rPr>
          <w:rFonts w:hint="cs"/>
          <w:rtl/>
        </w:rPr>
        <w:t xml:space="preserve">אלוף פיקוד המרכז יעלון </w:t>
      </w:r>
      <w:r w:rsidRPr="00A27B83">
        <w:rPr>
          <w:rFonts w:hint="cs"/>
          <w:rtl/>
        </w:rPr>
        <w:t>אי</w:t>
      </w:r>
      <w:r>
        <w:rPr>
          <w:rFonts w:hint="cs"/>
          <w:rtl/>
        </w:rPr>
        <w:t>-</w:t>
      </w:r>
      <w:r w:rsidRPr="00A27B83">
        <w:rPr>
          <w:rFonts w:hint="cs"/>
          <w:rtl/>
        </w:rPr>
        <w:t>שביעות רצון מעבודת הדרג המקצועי, שבחר את המיקום</w:t>
      </w:r>
      <w:r>
        <w:rPr>
          <w:rFonts w:hint="cs"/>
          <w:rtl/>
        </w:rPr>
        <w:t xml:space="preserve">, </w:t>
      </w:r>
      <w:r w:rsidRPr="00A27B83">
        <w:rPr>
          <w:rFonts w:hint="cs"/>
          <w:rtl/>
        </w:rPr>
        <w:t xml:space="preserve">מבלי להתחשב </w:t>
      </w:r>
      <w:r>
        <w:rPr>
          <w:rFonts w:hint="cs"/>
          <w:rtl/>
        </w:rPr>
        <w:t xml:space="preserve">בקיומו של </w:t>
      </w:r>
      <w:r w:rsidRPr="00A27B83">
        <w:rPr>
          <w:rFonts w:hint="cs"/>
          <w:rtl/>
        </w:rPr>
        <w:t>שטח אש</w:t>
      </w:r>
      <w:r>
        <w:rPr>
          <w:rFonts w:hint="cs"/>
          <w:rtl/>
        </w:rPr>
        <w:t xml:space="preserve"> במקום. אי לכך, בדיון מיום 17.1.2000, סוכם כי ההליך התכנוני לגבי המיקום החדש </w:t>
      </w:r>
      <w:r>
        <w:rPr>
          <w:rtl/>
        </w:rPr>
        <w:t>–</w:t>
      </w:r>
      <w:r>
        <w:rPr>
          <w:rFonts w:hint="cs"/>
          <w:rtl/>
        </w:rPr>
        <w:t xml:space="preserve"> לא יקודם. אעיר, כי בישיבות האמורות לא הועלתה כל אפשרות, כי השטח שאותר חורג מתחומי צו התפיסה הצבאית.</w:t>
      </w:r>
    </w:p>
    <w:p w:rsidR="00295623" w:rsidRPr="00B1334A" w:rsidRDefault="00295623" w:rsidP="00295623">
      <w:pPr>
        <w:pStyle w:val="Ruller41"/>
        <w:tabs>
          <w:tab w:val="left" w:pos="90"/>
        </w:tabs>
        <w:spacing w:line="240" w:lineRule="auto"/>
      </w:pPr>
    </w:p>
    <w:p w:rsidR="00295623" w:rsidRDefault="00295623" w:rsidP="00295623">
      <w:pPr>
        <w:pStyle w:val="Ruller41"/>
        <w:rPr>
          <w:rtl/>
        </w:rPr>
      </w:pPr>
      <w:r>
        <w:rPr>
          <w:rFonts w:hint="cs"/>
          <w:rtl/>
        </w:rPr>
        <w:t>67.</w:t>
      </w:r>
      <w:r>
        <w:rPr>
          <w:rFonts w:hint="cs"/>
          <w:rtl/>
        </w:rPr>
        <w:tab/>
        <w:t xml:space="preserve">החיווי הראשון בחומר הראיות, לעליית מצפה כרמים למיקומו הנוכחי </w:t>
      </w:r>
      <w:r>
        <w:rPr>
          <w:rtl/>
        </w:rPr>
        <w:t>–</w:t>
      </w:r>
      <w:r>
        <w:rPr>
          <w:rFonts w:hint="cs"/>
          <w:rtl/>
        </w:rPr>
        <w:t xml:space="preserve"> דרומית-מזרחית לכוכב השחר, בתוך גבולות תכניות 223 ו-223/1, ובתוך גבולות שטח האש (ככל הנראה, מבלי לקבוע מסמרות, צפונה מעט לשטח שאותר לפי תכנית 223/1/5) </w:t>
      </w:r>
      <w:r>
        <w:rPr>
          <w:rtl/>
        </w:rPr>
        <w:t>–</w:t>
      </w:r>
      <w:r>
        <w:rPr>
          <w:rFonts w:hint="cs"/>
          <w:rtl/>
        </w:rPr>
        <w:t xml:space="preserve"> הוא דיווח של יחידת הפיקוח במינהל האזרחי, מיום 27.1.2000. באותו דיווח צוין, כי במקום נצפו 17 מבנים יבילים (15 קרוואנים ו-2 יבילים קטנים), אשר 9 מתוכם מאוכלסים, על-ידי 25 נפשות (7 משפחות ו-4 רווקים). עוד דוּוח, כי היבילים מחוברים לתשתיות, וכי נסללה דרך למאחז. כעולה מעדותו של אלוף פיקוד המרכז יעלון, העתקת מצפה כרמים למקומו הנוכחי, נעשתה בליווי אישי שלו. אציין, כי בית המשפט המחוזי לא הבחין, לפחות לא במפורש, בין המיקום הנוכחי של מצפה כרמים לבין המיקום הסמוך, שאותר מלכתחילה להעתקת המאחז, במסגרת תכנית 223/1/5; בעוד שחברי המשנה לנשיאה ראה להדגיש עובדה זו בחוות דעתו. כמדומני ששאלה </w:t>
      </w:r>
      <w:r w:rsidRPr="000C30A1">
        <w:rPr>
          <w:rFonts w:ascii="Century" w:hAnsi="Century" w:cs="Miriam"/>
          <w:b/>
          <w:spacing w:val="0"/>
          <w:szCs w:val="24"/>
          <w:rtl/>
        </w:rPr>
        <w:t>עובדתית</w:t>
      </w:r>
      <w:r w:rsidRPr="000C30A1">
        <w:rPr>
          <w:rFonts w:hint="cs"/>
          <w:rtl/>
        </w:rPr>
        <w:t xml:space="preserve"> </w:t>
      </w:r>
      <w:r>
        <w:rPr>
          <w:rFonts w:hint="cs"/>
          <w:rtl/>
        </w:rPr>
        <w:t xml:space="preserve">זו לא זכתה לליבון ממצה, אך מכל מקום, כפי שאפרט, אינני סבור כי נודעת לה משמעות רבה, לצורך הכרעה בהליך שלפנינו. </w:t>
      </w:r>
    </w:p>
    <w:p w:rsidR="00295623" w:rsidRPr="001103A7" w:rsidRDefault="00295623" w:rsidP="00295623">
      <w:pPr>
        <w:pStyle w:val="Ruller41"/>
        <w:tabs>
          <w:tab w:val="left" w:pos="90"/>
        </w:tabs>
        <w:spacing w:line="240" w:lineRule="auto"/>
      </w:pPr>
    </w:p>
    <w:p w:rsidR="00295623" w:rsidRDefault="00295623" w:rsidP="00295623">
      <w:pPr>
        <w:pStyle w:val="Ruller41"/>
        <w:rPr>
          <w:rtl/>
        </w:rPr>
      </w:pPr>
      <w:r>
        <w:rPr>
          <w:rFonts w:hint="cs"/>
          <w:rtl/>
        </w:rPr>
        <w:t>68.</w:t>
      </w:r>
      <w:r>
        <w:rPr>
          <w:rFonts w:hint="cs"/>
          <w:rtl/>
        </w:rPr>
        <w:tab/>
        <w:t xml:space="preserve">כך או אחרת, מחומר הראיות שהוגש בהליך דנן מתברר, כי סמוך לאחר עליית מצפה כרמים על הקרקע, החל המאחז לתפקד כישוב עצמאי, מבלי שעלה ספק כלשהו אצל הגורמים השונים במינהל האזרחי ובדרג המדיני, ביחס ל'כשרותו' של המיקום הנוכחי. העדר ספק כאמור משמיענו, כי גורמי המדינה השונים סברו שהשטח שעליו הוקם מצפה כרמים </w:t>
      </w:r>
      <w:r>
        <w:rPr>
          <w:rtl/>
        </w:rPr>
        <w:t>–</w:t>
      </w:r>
      <w:r>
        <w:rPr>
          <w:rFonts w:hint="cs"/>
          <w:rtl/>
        </w:rPr>
        <w:t xml:space="preserve"> נתפס בתפיסה צבאית, ונכלל בהסכמי ההרשאה של הממונה עם ההסתדרות הציונית. נתון זה, עולה גם מעדויותיהם של כל בעלי התפקידים שהיו שותפים להעתקת מצפה כרמים למיקומו הנוכחי: אלוף הפיקוד דאז (יעלון); הממונה דאז (נהרי); ראש תחום תשתית דאז במינהל האזרחי (</w:t>
      </w:r>
      <w:r w:rsidRPr="001D06F7">
        <w:rPr>
          <w:rFonts w:ascii="Century" w:hAnsi="Century" w:hint="cs"/>
          <w:rtl/>
        </w:rPr>
        <w:t>בלומנטל</w:t>
      </w:r>
      <w:r>
        <w:rPr>
          <w:rFonts w:hint="cs"/>
          <w:rtl/>
        </w:rPr>
        <w:t xml:space="preserve">); היועץ המשפטי לאזור </w:t>
      </w:r>
      <w:r>
        <w:rPr>
          <w:rFonts w:hint="cs"/>
          <w:rtl/>
        </w:rPr>
        <w:lastRenderedPageBreak/>
        <w:t xml:space="preserve">יהודה ושומרון דאז, עו"ד שלמה פוליטיס (להלן: </w:t>
      </w:r>
      <w:r w:rsidRPr="001D06F7">
        <w:rPr>
          <w:rFonts w:ascii="Century" w:hAnsi="Century" w:cs="Miriam" w:hint="cs"/>
          <w:b/>
          <w:spacing w:val="0"/>
          <w:szCs w:val="24"/>
          <w:rtl/>
        </w:rPr>
        <w:t>פוליטיס</w:t>
      </w:r>
      <w:r>
        <w:rPr>
          <w:rFonts w:hint="cs"/>
          <w:rtl/>
        </w:rPr>
        <w:t xml:space="preserve">); הממונה לפי צו 997 (מושקוביץ); וסגן מנהל חטיבת חוזים בחטיבה להתיישבות של ההסתדרות הציונית, מר יוסי שגב (להלן: </w:t>
      </w:r>
      <w:r w:rsidRPr="001D06F7">
        <w:rPr>
          <w:rFonts w:ascii="Century" w:hAnsi="Century" w:cs="Miriam" w:hint="cs"/>
          <w:b/>
          <w:spacing w:val="0"/>
          <w:szCs w:val="24"/>
          <w:rtl/>
        </w:rPr>
        <w:t>שגב</w:t>
      </w:r>
      <w:r>
        <w:rPr>
          <w:rFonts w:hint="cs"/>
          <w:rtl/>
        </w:rPr>
        <w:t xml:space="preserve">). נתון זה, מתיישב גם עם יתר חומרי הראיות המצויים בתיק. כך למשל, במכתבו של עוזר שר הביטחון לענייני התיישבות, מיום 6.10.2002, שעניינו סקירת 'סטטוס' של כ-100 מאחזים באיו"ש, נכלל מצפה כרמים תחת הכותרת </w:t>
      </w:r>
      <w:r w:rsidRPr="009D3FA6">
        <w:rPr>
          <w:rFonts w:ascii="Century" w:hAnsi="Century" w:cs="Miriam" w:hint="cs"/>
          <w:b/>
          <w:spacing w:val="0"/>
          <w:szCs w:val="24"/>
          <w:rtl/>
        </w:rPr>
        <w:t xml:space="preserve">"מאחזים שאושרו במהלך השנים ע"י </w:t>
      </w:r>
      <w:r>
        <w:rPr>
          <w:rFonts w:ascii="Century" w:hAnsi="Century" w:cs="Miriam" w:hint="cs"/>
          <w:b/>
          <w:spacing w:val="0"/>
          <w:szCs w:val="24"/>
          <w:rtl/>
        </w:rPr>
        <w:t>ה</w:t>
      </w:r>
      <w:r w:rsidRPr="009D3FA6">
        <w:rPr>
          <w:rFonts w:ascii="Century" w:hAnsi="Century" w:cs="Miriam" w:hint="cs"/>
          <w:b/>
          <w:spacing w:val="0"/>
          <w:szCs w:val="24"/>
          <w:rtl/>
        </w:rPr>
        <w:t>דרג המדיני והסכמים, להמשך הליכי תכנון"</w:t>
      </w:r>
      <w:r>
        <w:rPr>
          <w:rFonts w:hint="cs"/>
          <w:rtl/>
        </w:rPr>
        <w:t xml:space="preserve"> (נספח 52 לתצהיר כספי). כך גם, במסמך לשכת שר הביטחון, מחודש דצמבר 2002, שעניינו ריכוז נתונים בנושא מאחזים באיו"ש, סומן מצפה כרמים כמאחז שכבר אושר בעבר. בהמשך, במכתב מיום 9.2.2003, אישר עוזר שר הביטחון כי מצפה כרמים, וכמוהו גם ישובים נוספים, </w:t>
      </w:r>
      <w:r w:rsidRPr="005E7824">
        <w:rPr>
          <w:rFonts w:ascii="Century" w:hAnsi="Century" w:cs="Miriam"/>
          <w:b/>
          <w:spacing w:val="0"/>
          <w:szCs w:val="24"/>
          <w:rtl/>
        </w:rPr>
        <w:t>"מתפקדים כישובים עצמאיים לכל דבר ויש לנהוג בהם ככאלה לכל דבר ועניין כולל נושא תקציב וסימול הישוב"</w:t>
      </w:r>
      <w:r>
        <w:rPr>
          <w:rFonts w:hint="cs"/>
          <w:rtl/>
        </w:rPr>
        <w:t xml:space="preserve">. בנוסף, במסמך סקירה על מאחזים באיו"ש, משנת 2003, שגובש על-ידי לשכת יועמ"ש איו"ש, נכתב תחת הכותרת </w:t>
      </w:r>
      <w:r w:rsidRPr="005E7824">
        <w:rPr>
          <w:rFonts w:ascii="Century" w:hAnsi="Century" w:cs="Miriam" w:hint="cs"/>
          <w:b/>
          <w:spacing w:val="0"/>
          <w:szCs w:val="24"/>
          <w:rtl/>
        </w:rPr>
        <w:t>"הסטטוס הקרקעי"</w:t>
      </w:r>
      <w:r>
        <w:rPr>
          <w:rFonts w:hint="cs"/>
          <w:rtl/>
        </w:rPr>
        <w:t>, כי מצפה כרמים הוקם על קרקע התפוסה ב</w:t>
      </w:r>
      <w:r w:rsidRPr="005E7824">
        <w:rPr>
          <w:rFonts w:ascii="Century" w:hAnsi="Century" w:cs="Miriam" w:hint="cs"/>
          <w:b/>
          <w:spacing w:val="0"/>
          <w:szCs w:val="24"/>
          <w:rtl/>
        </w:rPr>
        <w:t>"תפיסה לצרכים צבאיים"</w:t>
      </w:r>
      <w:r>
        <w:rPr>
          <w:rFonts w:hint="cs"/>
          <w:rtl/>
        </w:rPr>
        <w:t>, בשטח שהוגדר כ</w:t>
      </w:r>
      <w:r w:rsidRPr="005E7824">
        <w:rPr>
          <w:rFonts w:ascii="Century" w:hAnsi="Century" w:cs="Miriam" w:hint="cs"/>
          <w:b/>
          <w:spacing w:val="0"/>
          <w:szCs w:val="24"/>
          <w:rtl/>
        </w:rPr>
        <w:t>"הרשאה לתכנון הסתצ"י"</w:t>
      </w:r>
      <w:r>
        <w:rPr>
          <w:rFonts w:hint="cs"/>
          <w:rtl/>
        </w:rPr>
        <w:t xml:space="preserve">. לצד זאת צוין באותו מכתב, כי השטח חורג מהתחום המוניציפאלי של כוכב השחר, בהיותו מצוי בתחומי שטח אש, ואף הוצעו פתרונות חלופיים למצב זה.  </w:t>
      </w:r>
    </w:p>
    <w:p w:rsidR="00295623" w:rsidRPr="004748DD" w:rsidRDefault="00295623" w:rsidP="00295623">
      <w:pPr>
        <w:pStyle w:val="Ruller41"/>
        <w:tabs>
          <w:tab w:val="left" w:pos="90"/>
        </w:tabs>
        <w:spacing w:line="240" w:lineRule="auto"/>
      </w:pPr>
    </w:p>
    <w:p w:rsidR="00295623" w:rsidRDefault="00295623" w:rsidP="00295623">
      <w:pPr>
        <w:pStyle w:val="Ruller41"/>
      </w:pPr>
      <w:r>
        <w:rPr>
          <w:rFonts w:hint="cs"/>
          <w:rtl/>
        </w:rPr>
        <w:t>69.</w:t>
      </w:r>
      <w:r>
        <w:rPr>
          <w:rFonts w:hint="cs"/>
          <w:rtl/>
        </w:rPr>
        <w:tab/>
        <w:t xml:space="preserve">עתה משהעובדות פרושׂות לפנינו, אציג שוב את השאלה הטעונה הכרעה בשלב זה: האם המקרקעין שעליהם הוקם מצפה כרמים נכללו בהסכמי ההרשאה? בית המשפט המחוזי השיב על שאלה זו בחיוב. הוא אמנם קבע, כי לא הוּכח ששטח זה נכלל בפועל בקרקע שנתפסה על-ידי המפקד הצבאי </w:t>
      </w:r>
      <w:r>
        <w:rPr>
          <w:rtl/>
        </w:rPr>
        <w:t>–</w:t>
      </w:r>
      <w:r>
        <w:rPr>
          <w:rFonts w:hint="cs"/>
          <w:rtl/>
        </w:rPr>
        <w:t xml:space="preserve"> דבר שהיה בו כדי לייתר את הצורך לבחון את התקיימותה של תקנת שוק (פסקה 100 לפסק דינו), אך באותה נשימה הוסיף, כי הצדדים להסכם ההרשאה סברו שהמקרקעין נכללו בשטח התפיסה. דהיינו, ש</w:t>
      </w:r>
      <w:r w:rsidRPr="00807395">
        <w:rPr>
          <w:rFonts w:ascii="Century" w:hAnsi="Century" w:cs="Miriam" w:hint="cs"/>
          <w:b/>
          <w:spacing w:val="0"/>
          <w:szCs w:val="24"/>
          <w:rtl/>
        </w:rPr>
        <w:t>"</w:t>
      </w:r>
      <w:r w:rsidRPr="00807395">
        <w:rPr>
          <w:rFonts w:ascii="Century" w:hAnsi="Century" w:cs="Miriam" w:hint="eastAsia"/>
          <w:b/>
          <w:spacing w:val="0"/>
          <w:szCs w:val="24"/>
          <w:rtl/>
        </w:rPr>
        <w:t>הסכם</w:t>
      </w:r>
      <w:r w:rsidRPr="00807395">
        <w:rPr>
          <w:rFonts w:ascii="Century" w:hAnsi="Century" w:cs="Miriam"/>
          <w:b/>
          <w:spacing w:val="0"/>
          <w:szCs w:val="24"/>
          <w:rtl/>
        </w:rPr>
        <w:t xml:space="preserve"> </w:t>
      </w:r>
      <w:r w:rsidRPr="00807395">
        <w:rPr>
          <w:rFonts w:ascii="Century" w:hAnsi="Century" w:cs="Miriam" w:hint="eastAsia"/>
          <w:b/>
          <w:spacing w:val="0"/>
          <w:szCs w:val="24"/>
          <w:rtl/>
        </w:rPr>
        <w:t>ההרשאה</w:t>
      </w:r>
      <w:r w:rsidRPr="00807395">
        <w:rPr>
          <w:rFonts w:ascii="Century" w:hAnsi="Century" w:cs="Miriam"/>
          <w:b/>
          <w:spacing w:val="0"/>
          <w:szCs w:val="24"/>
          <w:rtl/>
        </w:rPr>
        <w:t xml:space="preserve"> </w:t>
      </w:r>
      <w:r w:rsidRPr="00807395">
        <w:rPr>
          <w:rFonts w:ascii="Century" w:hAnsi="Century" w:cs="Miriam" w:hint="eastAsia"/>
          <w:b/>
          <w:spacing w:val="0"/>
          <w:szCs w:val="24"/>
          <w:rtl/>
        </w:rPr>
        <w:t>בין</w:t>
      </w:r>
      <w:r w:rsidRPr="00807395">
        <w:rPr>
          <w:rFonts w:ascii="Century" w:hAnsi="Century" w:cs="Miriam"/>
          <w:b/>
          <w:spacing w:val="0"/>
          <w:szCs w:val="24"/>
          <w:rtl/>
        </w:rPr>
        <w:t xml:space="preserve"> </w:t>
      </w:r>
      <w:r w:rsidRPr="00807395">
        <w:rPr>
          <w:rFonts w:ascii="Century" w:hAnsi="Century" w:cs="Miriam" w:hint="eastAsia"/>
          <w:b/>
          <w:spacing w:val="0"/>
          <w:szCs w:val="24"/>
          <w:rtl/>
        </w:rPr>
        <w:t>הממונה</w:t>
      </w:r>
      <w:r w:rsidRPr="00807395">
        <w:rPr>
          <w:rFonts w:ascii="Century" w:hAnsi="Century" w:cs="Miriam"/>
          <w:b/>
          <w:spacing w:val="0"/>
          <w:szCs w:val="24"/>
          <w:rtl/>
        </w:rPr>
        <w:t xml:space="preserve"> </w:t>
      </w:r>
      <w:r w:rsidRPr="00807395">
        <w:rPr>
          <w:rFonts w:ascii="Century" w:hAnsi="Century" w:cs="Miriam" w:hint="eastAsia"/>
          <w:b/>
          <w:spacing w:val="0"/>
          <w:szCs w:val="24"/>
          <w:rtl/>
        </w:rPr>
        <w:t>לבין</w:t>
      </w:r>
      <w:r w:rsidRPr="00807395">
        <w:rPr>
          <w:rFonts w:ascii="Century" w:hAnsi="Century" w:cs="Miriam"/>
          <w:b/>
          <w:spacing w:val="0"/>
          <w:szCs w:val="24"/>
          <w:rtl/>
        </w:rPr>
        <w:t xml:space="preserve"> </w:t>
      </w:r>
      <w:r w:rsidRPr="00807395">
        <w:rPr>
          <w:rFonts w:ascii="Century" w:hAnsi="Century" w:cs="Miriam" w:hint="eastAsia"/>
          <w:b/>
          <w:spacing w:val="0"/>
          <w:szCs w:val="24"/>
          <w:rtl/>
        </w:rPr>
        <w:t>ההסתדרות</w:t>
      </w:r>
      <w:r w:rsidRPr="00807395">
        <w:rPr>
          <w:rFonts w:ascii="Century" w:hAnsi="Century" w:cs="Miriam"/>
          <w:b/>
          <w:spacing w:val="0"/>
          <w:szCs w:val="24"/>
          <w:rtl/>
        </w:rPr>
        <w:t xml:space="preserve"> </w:t>
      </w:r>
      <w:r w:rsidRPr="00807395">
        <w:rPr>
          <w:rFonts w:ascii="Century" w:hAnsi="Century" w:cs="Miriam" w:hint="eastAsia"/>
          <w:b/>
          <w:spacing w:val="0"/>
          <w:szCs w:val="24"/>
          <w:rtl/>
        </w:rPr>
        <w:t>הציונית</w:t>
      </w:r>
      <w:r w:rsidRPr="00807395">
        <w:rPr>
          <w:rFonts w:ascii="Century" w:hAnsi="Century" w:cs="Miriam"/>
          <w:b/>
          <w:spacing w:val="0"/>
          <w:szCs w:val="24"/>
          <w:rtl/>
        </w:rPr>
        <w:t xml:space="preserve"> </w:t>
      </w:r>
      <w:r w:rsidRPr="00807395">
        <w:rPr>
          <w:rFonts w:ascii="Century" w:hAnsi="Century" w:cs="Miriam" w:hint="eastAsia"/>
          <w:b/>
          <w:spacing w:val="0"/>
          <w:szCs w:val="24"/>
          <w:rtl/>
        </w:rPr>
        <w:t>חל</w:t>
      </w:r>
      <w:r w:rsidRPr="00807395">
        <w:rPr>
          <w:rFonts w:ascii="Century" w:hAnsi="Century" w:cs="Miriam"/>
          <w:b/>
          <w:spacing w:val="0"/>
          <w:szCs w:val="24"/>
          <w:rtl/>
        </w:rPr>
        <w:t xml:space="preserve"> </w:t>
      </w:r>
      <w:r w:rsidRPr="00807395">
        <w:rPr>
          <w:rFonts w:ascii="Century" w:hAnsi="Century" w:cs="Miriam" w:hint="eastAsia"/>
          <w:b/>
          <w:spacing w:val="0"/>
          <w:szCs w:val="24"/>
          <w:rtl/>
        </w:rPr>
        <w:t>על</w:t>
      </w:r>
      <w:r w:rsidRPr="00807395">
        <w:rPr>
          <w:rFonts w:ascii="Century" w:hAnsi="Century" w:cs="Miriam"/>
          <w:b/>
          <w:spacing w:val="0"/>
          <w:szCs w:val="24"/>
          <w:rtl/>
        </w:rPr>
        <w:t xml:space="preserve"> </w:t>
      </w:r>
      <w:r w:rsidRPr="00807395">
        <w:rPr>
          <w:rFonts w:ascii="Century" w:hAnsi="Century" w:cs="Miriam" w:hint="eastAsia"/>
          <w:b/>
          <w:spacing w:val="0"/>
          <w:szCs w:val="24"/>
          <w:rtl/>
        </w:rPr>
        <w:t>המקרקעין</w:t>
      </w:r>
      <w:r w:rsidRPr="00807395">
        <w:rPr>
          <w:rFonts w:ascii="Century" w:hAnsi="Century" w:cs="Miriam"/>
          <w:b/>
          <w:spacing w:val="0"/>
          <w:szCs w:val="24"/>
          <w:rtl/>
        </w:rPr>
        <w:t xml:space="preserve"> </w:t>
      </w:r>
      <w:r w:rsidRPr="00807395">
        <w:rPr>
          <w:rFonts w:ascii="Century" w:hAnsi="Century" w:cs="Miriam" w:hint="eastAsia"/>
          <w:b/>
          <w:spacing w:val="0"/>
          <w:szCs w:val="24"/>
          <w:rtl/>
        </w:rPr>
        <w:t>שעליהם</w:t>
      </w:r>
      <w:r w:rsidRPr="00807395">
        <w:rPr>
          <w:rFonts w:ascii="Century" w:hAnsi="Century" w:cs="Miriam"/>
          <w:b/>
          <w:spacing w:val="0"/>
          <w:szCs w:val="24"/>
          <w:rtl/>
        </w:rPr>
        <w:t xml:space="preserve"> </w:t>
      </w:r>
      <w:r w:rsidRPr="00807395">
        <w:rPr>
          <w:rFonts w:ascii="Century" w:hAnsi="Century" w:cs="Miriam" w:hint="eastAsia"/>
          <w:b/>
          <w:spacing w:val="0"/>
          <w:szCs w:val="24"/>
          <w:rtl/>
        </w:rPr>
        <w:t>הוקמה</w:t>
      </w:r>
      <w:r w:rsidRPr="00807395">
        <w:rPr>
          <w:rFonts w:ascii="Century" w:hAnsi="Century" w:cs="Miriam"/>
          <w:b/>
          <w:spacing w:val="0"/>
          <w:szCs w:val="24"/>
          <w:rtl/>
        </w:rPr>
        <w:t xml:space="preserve"> </w:t>
      </w:r>
      <w:r w:rsidRPr="00807395">
        <w:rPr>
          <w:rFonts w:ascii="Century" w:hAnsi="Century" w:cs="Miriam" w:hint="eastAsia"/>
          <w:b/>
          <w:spacing w:val="0"/>
          <w:szCs w:val="24"/>
          <w:rtl/>
        </w:rPr>
        <w:t>מצפה</w:t>
      </w:r>
      <w:r w:rsidRPr="00807395">
        <w:rPr>
          <w:rFonts w:ascii="Century" w:hAnsi="Century" w:cs="Miriam"/>
          <w:b/>
          <w:spacing w:val="0"/>
          <w:szCs w:val="24"/>
          <w:rtl/>
        </w:rPr>
        <w:t xml:space="preserve"> </w:t>
      </w:r>
      <w:r w:rsidRPr="00807395">
        <w:rPr>
          <w:rFonts w:ascii="Century" w:hAnsi="Century" w:cs="Miriam" w:hint="eastAsia"/>
          <w:b/>
          <w:spacing w:val="0"/>
          <w:szCs w:val="24"/>
          <w:rtl/>
        </w:rPr>
        <w:t>כרמים</w:t>
      </w:r>
      <w:r w:rsidRPr="00807395">
        <w:rPr>
          <w:rFonts w:ascii="Century" w:hAnsi="Century" w:cs="Miriam" w:hint="cs"/>
          <w:b/>
          <w:spacing w:val="0"/>
          <w:szCs w:val="24"/>
          <w:rtl/>
        </w:rPr>
        <w:t>"</w:t>
      </w:r>
      <w:r>
        <w:rPr>
          <w:rFonts w:hint="cs"/>
          <w:rtl/>
        </w:rPr>
        <w:t xml:space="preserve"> (שם, פסקה 141), ומכאן הצורך לבחון את התקיימותו של ההסדר המעוגן בסעיף 5. כאמור, דעת הרוב בפסק הדין בערעור לא הכריעה בשאלה זו, וחברי המשנה לנשיאה, מטיל עתה ספק רב יותר בקביעה זו. בשונה מחברי, עמדתי היא, נוכח אמת המידה הנקוטה בידינו על-פי ההלכה הפסוקה בהליכי ערעור, כי אין מקום להתערב בקביעתו </w:t>
      </w:r>
      <w:r w:rsidRPr="00AD1D40">
        <w:rPr>
          <w:rFonts w:ascii="Century" w:hAnsi="Century" w:cs="Miriam" w:hint="cs"/>
          <w:b/>
          <w:spacing w:val="0"/>
          <w:szCs w:val="24"/>
          <w:rtl/>
        </w:rPr>
        <w:t>העובדתית</w:t>
      </w:r>
      <w:r w:rsidRPr="00AD1D40">
        <w:rPr>
          <w:rFonts w:hint="cs"/>
          <w:rtl/>
        </w:rPr>
        <w:t xml:space="preserve"> </w:t>
      </w:r>
      <w:r>
        <w:rPr>
          <w:rFonts w:hint="cs"/>
          <w:rtl/>
        </w:rPr>
        <w:t>של בית המשפט המחוזי בעניין זה. סבורני אפוא, כי בחינת מכלול הראיות מביאה למסקנה, שלפיה שטחו הנוכחי של מצפה כרמים נכלל בהסכמי ההרשאה, למן הראשון ועד לאחרון שבהם. זאת, על יסוד הטעמים שיפורטו להלן.</w:t>
      </w:r>
    </w:p>
    <w:p w:rsidR="00295623" w:rsidRDefault="00295623" w:rsidP="00295623">
      <w:pPr>
        <w:pStyle w:val="Ruller4"/>
        <w:numPr>
          <w:ilvl w:val="0"/>
          <w:numId w:val="0"/>
        </w:numPr>
        <w:tabs>
          <w:tab w:val="left" w:pos="90"/>
        </w:tabs>
        <w:spacing w:line="240" w:lineRule="auto"/>
      </w:pPr>
      <w:r>
        <w:rPr>
          <w:rFonts w:hint="cs"/>
          <w:rtl/>
        </w:rPr>
        <w:t xml:space="preserve">   </w:t>
      </w:r>
    </w:p>
    <w:p w:rsidR="00295623" w:rsidRDefault="00295623" w:rsidP="00295623">
      <w:pPr>
        <w:pStyle w:val="Ruller41"/>
        <w:rPr>
          <w:rtl/>
        </w:rPr>
      </w:pPr>
      <w:r>
        <w:rPr>
          <w:rFonts w:hint="cs"/>
          <w:rtl/>
        </w:rPr>
        <w:t>70.</w:t>
      </w:r>
      <w:r>
        <w:rPr>
          <w:rFonts w:hint="cs"/>
          <w:rtl/>
        </w:rPr>
        <w:tab/>
        <w:t xml:space="preserve">תחילה, בית המשפט המחוזי מצא את עדותו של </w:t>
      </w:r>
      <w:r w:rsidRPr="00464FC5">
        <w:rPr>
          <w:rFonts w:ascii="Century" w:hAnsi="Century" w:hint="eastAsia"/>
          <w:rtl/>
        </w:rPr>
        <w:t>נהרי</w:t>
      </w:r>
      <w:r w:rsidRPr="00FC1E52">
        <w:rPr>
          <w:rtl/>
        </w:rPr>
        <w:t xml:space="preserve"> </w:t>
      </w:r>
      <w:r>
        <w:rPr>
          <w:rFonts w:hint="cs"/>
          <w:rtl/>
        </w:rPr>
        <w:t xml:space="preserve">בהקשר זה </w:t>
      </w:r>
      <w:r>
        <w:rPr>
          <w:rtl/>
        </w:rPr>
        <w:t>–</w:t>
      </w:r>
      <w:r>
        <w:rPr>
          <w:rFonts w:hint="cs"/>
          <w:rtl/>
        </w:rPr>
        <w:t xml:space="preserve"> מהימנה וכנה. אזכיר, כי נהרי שימש באותה עת כ'ממונה' </w:t>
      </w:r>
      <w:r>
        <w:rPr>
          <w:rtl/>
        </w:rPr>
        <w:t>–</w:t>
      </w:r>
      <w:r>
        <w:rPr>
          <w:rFonts w:hint="cs"/>
          <w:rtl/>
        </w:rPr>
        <w:t xml:space="preserve"> הגורם המוסמך להקצות מקרקעין </w:t>
      </w:r>
      <w:r>
        <w:rPr>
          <w:rFonts w:hint="cs"/>
          <w:rtl/>
        </w:rPr>
        <w:lastRenderedPageBreak/>
        <w:t xml:space="preserve">באיו"ש </w:t>
      </w:r>
      <w:r>
        <w:rPr>
          <w:rtl/>
        </w:rPr>
        <w:t>–</w:t>
      </w:r>
      <w:r>
        <w:rPr>
          <w:rFonts w:hint="cs"/>
          <w:rtl/>
        </w:rPr>
        <w:t xml:space="preserve"> והוא הגורם הספציפי שחתם על הסכם ההרשאה מול ההסתדרות הציונית. לפיכך, עדותו אינה שולית בהקשר זה; היא בליבת ההכרעה. נהרי העיד כך: </w:t>
      </w:r>
    </w:p>
    <w:p w:rsidR="00295623" w:rsidRPr="009A5FD2" w:rsidRDefault="00295623" w:rsidP="00295623">
      <w:pPr>
        <w:pStyle w:val="Ruller41"/>
        <w:tabs>
          <w:tab w:val="left" w:pos="90"/>
        </w:tabs>
      </w:pPr>
    </w:p>
    <w:p w:rsidR="00295623" w:rsidRDefault="00295623" w:rsidP="00295623">
      <w:pPr>
        <w:pStyle w:val="Ruller5"/>
        <w:ind w:left="1649"/>
        <w:rPr>
          <w:rtl/>
        </w:rPr>
      </w:pPr>
      <w:r w:rsidRPr="0076692C">
        <w:rPr>
          <w:rFonts w:ascii="Century" w:hAnsi="Century" w:cs="Miriam" w:hint="cs"/>
          <w:b/>
          <w:spacing w:val="0"/>
          <w:szCs w:val="24"/>
          <w:rtl/>
        </w:rPr>
        <w:t>"מנסיוני גבולות המשבצת לא נקבעו באופן סופי על פי המפה שצורפה להסכמי ההרשאה אשר שורטטה על פי רוב ידנית ובטוש גס [...] ברור כי המפה שצורפה להסכם ההרשאה איננה מדוייקת דיה וקשה ואפילו בלתי אפשרי לתכנן או לתחום את גבולות המשבצת על פיה [...] העובדה כי גבולות מערכות התכנון שה</w:t>
      </w:r>
      <w:r>
        <w:rPr>
          <w:rFonts w:ascii="Century" w:hAnsi="Century" w:cs="Miriam" w:hint="cs"/>
          <w:b/>
          <w:spacing w:val="0"/>
          <w:szCs w:val="24"/>
          <w:rtl/>
        </w:rPr>
        <w:t xml:space="preserve">וחלו על כוכב השחר (223 ו-223/1) </w:t>
      </w:r>
      <w:r w:rsidRPr="0076692C">
        <w:rPr>
          <w:rFonts w:ascii="Century" w:hAnsi="Century" w:cs="Miriam" w:hint="cs"/>
          <w:b/>
          <w:spacing w:val="0"/>
          <w:szCs w:val="24"/>
          <w:rtl/>
        </w:rPr>
        <w:t>כללו גם את כל שכונת מצפה כרמים מלמדת על כך כי הממונה ראה בגבולות אלו את גבולות שטח המשבצת. בחתימתי על תכניות אלו התבססתי על מפות שהוכנו על ידי קמ"ט מדידות ואשר לפיהן גבולות התכניות הן גבולות המשבצת"</w:t>
      </w:r>
      <w:r>
        <w:rPr>
          <w:rFonts w:hint="cs"/>
          <w:rtl/>
        </w:rPr>
        <w:t xml:space="preserve"> (סעיפים 6-5 לתצהירו של נהרי; וראו גם עמ' 185 לפרוטוקול הדיון בבית המשפט המחוזי, שורות      14-9).</w:t>
      </w:r>
    </w:p>
    <w:p w:rsidR="00295623" w:rsidRDefault="00295623" w:rsidP="00295623">
      <w:pPr>
        <w:pStyle w:val="Ruller41"/>
        <w:tabs>
          <w:tab w:val="left" w:pos="90"/>
        </w:tabs>
      </w:pPr>
    </w:p>
    <w:p w:rsidR="00295623" w:rsidRDefault="00295623" w:rsidP="00295623">
      <w:pPr>
        <w:pStyle w:val="Ruller41"/>
        <w:rPr>
          <w:rtl/>
        </w:rPr>
      </w:pPr>
      <w:r>
        <w:rPr>
          <w:rtl/>
        </w:rPr>
        <w:tab/>
      </w:r>
      <w:r>
        <w:rPr>
          <w:rFonts w:hint="cs"/>
          <w:rtl/>
        </w:rPr>
        <w:t xml:space="preserve">בהתייחס לאמור בעדותו של נהרי, ולחקירתו על גבי דוכן העדים, ציין בית המשפט המחוזי כדברים האלה: </w:t>
      </w:r>
    </w:p>
    <w:p w:rsidR="00295623" w:rsidRPr="009A5FD2" w:rsidRDefault="00295623" w:rsidP="00295623">
      <w:pPr>
        <w:pStyle w:val="Ruller41"/>
        <w:tabs>
          <w:tab w:val="left" w:pos="90"/>
        </w:tabs>
      </w:pPr>
    </w:p>
    <w:p w:rsidR="00295623" w:rsidRDefault="00295623" w:rsidP="00295623">
      <w:pPr>
        <w:pStyle w:val="Ruller5"/>
        <w:tabs>
          <w:tab w:val="left" w:pos="90"/>
        </w:tabs>
        <w:ind w:left="1649"/>
      </w:pPr>
      <w:r w:rsidRPr="0076692C">
        <w:rPr>
          <w:rFonts w:ascii="Century" w:hAnsi="Century" w:cs="Miriam" w:hint="cs"/>
          <w:b/>
          <w:spacing w:val="0"/>
          <w:szCs w:val="24"/>
          <w:rtl/>
        </w:rPr>
        <w:t>"</w:t>
      </w:r>
      <w:r w:rsidRPr="0076692C">
        <w:rPr>
          <w:rFonts w:ascii="Century" w:hAnsi="Century" w:cs="Miriam" w:hint="eastAsia"/>
          <w:b/>
          <w:spacing w:val="0"/>
          <w:szCs w:val="24"/>
          <w:rtl/>
        </w:rPr>
        <w:t>עדותו</w:t>
      </w:r>
      <w:r w:rsidRPr="0076692C">
        <w:rPr>
          <w:rFonts w:ascii="Century" w:hAnsi="Century" w:cs="Miriam"/>
          <w:b/>
          <w:spacing w:val="0"/>
          <w:szCs w:val="24"/>
          <w:rtl/>
        </w:rPr>
        <w:t xml:space="preserve"> </w:t>
      </w:r>
      <w:r w:rsidRPr="0076692C">
        <w:rPr>
          <w:rFonts w:ascii="Century" w:hAnsi="Century" w:cs="Miriam" w:hint="eastAsia"/>
          <w:b/>
          <w:spacing w:val="0"/>
          <w:szCs w:val="24"/>
          <w:rtl/>
        </w:rPr>
        <w:t>בל</w:t>
      </w:r>
      <w:r>
        <w:rPr>
          <w:rFonts w:ascii="Century" w:hAnsi="Century" w:cs="Miriam" w:hint="cs"/>
          <w:b/>
          <w:spacing w:val="0"/>
          <w:szCs w:val="24"/>
          <w:rtl/>
        </w:rPr>
        <w:t>י</w:t>
      </w:r>
      <w:r w:rsidRPr="0076692C">
        <w:rPr>
          <w:rFonts w:ascii="Century" w:hAnsi="Century" w:cs="Miriam" w:hint="eastAsia"/>
          <w:b/>
          <w:spacing w:val="0"/>
          <w:szCs w:val="24"/>
          <w:rtl/>
        </w:rPr>
        <w:t>בת</w:t>
      </w:r>
      <w:r w:rsidRPr="0076692C">
        <w:rPr>
          <w:rFonts w:ascii="Century" w:hAnsi="Century" w:cs="Miriam"/>
          <w:b/>
          <w:spacing w:val="0"/>
          <w:szCs w:val="24"/>
          <w:rtl/>
        </w:rPr>
        <w:t xml:space="preserve"> </w:t>
      </w:r>
      <w:r w:rsidRPr="0076692C">
        <w:rPr>
          <w:rFonts w:ascii="Century" w:hAnsi="Century" w:cs="Miriam" w:hint="eastAsia"/>
          <w:b/>
          <w:spacing w:val="0"/>
          <w:szCs w:val="24"/>
          <w:rtl/>
        </w:rPr>
        <w:t>המחלוקת</w:t>
      </w:r>
      <w:r w:rsidRPr="0076692C">
        <w:rPr>
          <w:rFonts w:ascii="Century" w:hAnsi="Century" w:cs="Miriam"/>
          <w:b/>
          <w:spacing w:val="0"/>
          <w:szCs w:val="24"/>
          <w:rtl/>
        </w:rPr>
        <w:t xml:space="preserve"> </w:t>
      </w:r>
      <w:r w:rsidRPr="0076692C">
        <w:rPr>
          <w:rFonts w:ascii="Century" w:hAnsi="Century" w:cs="Miriam" w:hint="eastAsia"/>
          <w:b/>
          <w:spacing w:val="0"/>
          <w:szCs w:val="24"/>
          <w:rtl/>
        </w:rPr>
        <w:t>הייתה</w:t>
      </w:r>
      <w:r w:rsidRPr="0076692C">
        <w:rPr>
          <w:rFonts w:ascii="Century" w:hAnsi="Century" w:cs="Miriam"/>
          <w:b/>
          <w:spacing w:val="0"/>
          <w:szCs w:val="24"/>
          <w:rtl/>
        </w:rPr>
        <w:t xml:space="preserve"> </w:t>
      </w:r>
      <w:r w:rsidRPr="0076692C">
        <w:rPr>
          <w:rFonts w:ascii="Century" w:hAnsi="Century" w:cs="Miriam" w:hint="eastAsia"/>
          <w:b/>
          <w:spacing w:val="0"/>
          <w:szCs w:val="24"/>
          <w:rtl/>
        </w:rPr>
        <w:t>קוהרנטית</w:t>
      </w:r>
      <w:r w:rsidRPr="0076692C">
        <w:rPr>
          <w:rFonts w:ascii="Century" w:hAnsi="Century" w:cs="Miriam"/>
          <w:b/>
          <w:spacing w:val="0"/>
          <w:szCs w:val="24"/>
          <w:rtl/>
        </w:rPr>
        <w:t xml:space="preserve">, </w:t>
      </w:r>
      <w:r w:rsidRPr="0076692C">
        <w:rPr>
          <w:rFonts w:ascii="Century" w:hAnsi="Century" w:cs="Miriam" w:hint="eastAsia"/>
          <w:b/>
          <w:spacing w:val="0"/>
          <w:szCs w:val="24"/>
          <w:rtl/>
        </w:rPr>
        <w:t>עניינית</w:t>
      </w:r>
      <w:r w:rsidRPr="0076692C">
        <w:rPr>
          <w:rFonts w:ascii="Century" w:hAnsi="Century" w:cs="Miriam"/>
          <w:b/>
          <w:spacing w:val="0"/>
          <w:szCs w:val="24"/>
          <w:rtl/>
        </w:rPr>
        <w:t xml:space="preserve"> </w:t>
      </w:r>
      <w:r w:rsidRPr="0076692C">
        <w:rPr>
          <w:rFonts w:ascii="Century" w:hAnsi="Century" w:cs="Miriam" w:hint="eastAsia"/>
          <w:b/>
          <w:spacing w:val="0"/>
          <w:szCs w:val="24"/>
          <w:rtl/>
        </w:rPr>
        <w:t>ותואמת</w:t>
      </w:r>
      <w:r w:rsidRPr="0076692C">
        <w:rPr>
          <w:rFonts w:ascii="Century" w:hAnsi="Century" w:cs="Miriam"/>
          <w:b/>
          <w:spacing w:val="0"/>
          <w:szCs w:val="24"/>
          <w:rtl/>
        </w:rPr>
        <w:t xml:space="preserve"> </w:t>
      </w:r>
      <w:r w:rsidRPr="0076692C">
        <w:rPr>
          <w:rFonts w:ascii="Century" w:hAnsi="Century" w:cs="Miriam" w:hint="eastAsia"/>
          <w:b/>
          <w:spacing w:val="0"/>
          <w:szCs w:val="24"/>
          <w:rtl/>
        </w:rPr>
        <w:t>את</w:t>
      </w:r>
      <w:r w:rsidRPr="0076692C">
        <w:rPr>
          <w:rFonts w:ascii="Century" w:hAnsi="Century" w:cs="Miriam"/>
          <w:b/>
          <w:spacing w:val="0"/>
          <w:szCs w:val="24"/>
          <w:rtl/>
        </w:rPr>
        <w:t xml:space="preserve"> </w:t>
      </w:r>
      <w:r w:rsidRPr="0076692C">
        <w:rPr>
          <w:rFonts w:ascii="Century" w:hAnsi="Century" w:cs="Miriam" w:hint="eastAsia"/>
          <w:b/>
          <w:spacing w:val="0"/>
          <w:szCs w:val="24"/>
          <w:rtl/>
        </w:rPr>
        <w:t>הראיות</w:t>
      </w:r>
      <w:r w:rsidRPr="0076692C">
        <w:rPr>
          <w:rFonts w:ascii="Century" w:hAnsi="Century" w:cs="Miriam"/>
          <w:b/>
          <w:spacing w:val="0"/>
          <w:szCs w:val="24"/>
          <w:rtl/>
        </w:rPr>
        <w:t xml:space="preserve"> </w:t>
      </w:r>
      <w:r w:rsidRPr="0076692C">
        <w:rPr>
          <w:rFonts w:ascii="Century" w:hAnsi="Century" w:cs="Miriam" w:hint="eastAsia"/>
          <w:b/>
          <w:spacing w:val="0"/>
          <w:szCs w:val="24"/>
          <w:rtl/>
        </w:rPr>
        <w:t>האחרות</w:t>
      </w:r>
      <w:r w:rsidRPr="0076692C">
        <w:rPr>
          <w:rFonts w:ascii="Century" w:hAnsi="Century" w:cs="Miriam"/>
          <w:b/>
          <w:spacing w:val="0"/>
          <w:szCs w:val="24"/>
          <w:rtl/>
        </w:rPr>
        <w:t xml:space="preserve">. </w:t>
      </w:r>
      <w:r w:rsidRPr="0076692C">
        <w:rPr>
          <w:rFonts w:ascii="Century" w:hAnsi="Century" w:cs="Miriam" w:hint="eastAsia"/>
          <w:b/>
          <w:spacing w:val="0"/>
          <w:szCs w:val="24"/>
          <w:rtl/>
        </w:rPr>
        <w:t>התרשמתי</w:t>
      </w:r>
      <w:r w:rsidRPr="0076692C">
        <w:rPr>
          <w:rFonts w:ascii="Century" w:hAnsi="Century" w:cs="Miriam"/>
          <w:b/>
          <w:spacing w:val="0"/>
          <w:szCs w:val="24"/>
          <w:rtl/>
        </w:rPr>
        <w:t xml:space="preserve"> </w:t>
      </w:r>
      <w:r w:rsidRPr="0076692C">
        <w:rPr>
          <w:rFonts w:ascii="Century" w:hAnsi="Century" w:cs="Miriam" w:hint="eastAsia"/>
          <w:b/>
          <w:spacing w:val="0"/>
          <w:szCs w:val="24"/>
          <w:rtl/>
        </w:rPr>
        <w:t>מקפדנותו</w:t>
      </w:r>
      <w:r w:rsidRPr="0076692C">
        <w:rPr>
          <w:rFonts w:ascii="Century" w:hAnsi="Century" w:cs="Miriam"/>
          <w:b/>
          <w:spacing w:val="0"/>
          <w:szCs w:val="24"/>
          <w:rtl/>
        </w:rPr>
        <w:t xml:space="preserve"> </w:t>
      </w:r>
      <w:r w:rsidRPr="0076692C">
        <w:rPr>
          <w:rFonts w:ascii="Century" w:hAnsi="Century" w:cs="Miriam" w:hint="eastAsia"/>
          <w:b/>
          <w:spacing w:val="0"/>
          <w:szCs w:val="24"/>
          <w:rtl/>
        </w:rPr>
        <w:t>ודקדקנותו</w:t>
      </w:r>
      <w:r w:rsidRPr="0076692C">
        <w:rPr>
          <w:rFonts w:ascii="Century" w:hAnsi="Century" w:cs="Miriam"/>
          <w:b/>
          <w:spacing w:val="0"/>
          <w:szCs w:val="24"/>
          <w:rtl/>
        </w:rPr>
        <w:t xml:space="preserve">, </w:t>
      </w:r>
      <w:r w:rsidRPr="0076692C">
        <w:rPr>
          <w:rFonts w:ascii="Century" w:hAnsi="Century" w:cs="Miriam" w:hint="eastAsia"/>
          <w:b/>
          <w:spacing w:val="0"/>
          <w:szCs w:val="24"/>
          <w:rtl/>
        </w:rPr>
        <w:t>שתומכות</w:t>
      </w:r>
      <w:r w:rsidRPr="0076692C">
        <w:rPr>
          <w:rFonts w:ascii="Century" w:hAnsi="Century" w:cs="Miriam"/>
          <w:b/>
          <w:spacing w:val="0"/>
          <w:szCs w:val="24"/>
          <w:rtl/>
        </w:rPr>
        <w:t xml:space="preserve"> </w:t>
      </w:r>
      <w:r w:rsidRPr="0076692C">
        <w:rPr>
          <w:rFonts w:ascii="Century" w:hAnsi="Century" w:cs="Miriam" w:hint="eastAsia"/>
          <w:b/>
          <w:spacing w:val="0"/>
          <w:szCs w:val="24"/>
          <w:rtl/>
        </w:rPr>
        <w:t>לדעתי</w:t>
      </w:r>
      <w:r w:rsidRPr="0076692C">
        <w:rPr>
          <w:rFonts w:ascii="Century" w:hAnsi="Century" w:cs="Miriam"/>
          <w:b/>
          <w:spacing w:val="0"/>
          <w:szCs w:val="24"/>
          <w:rtl/>
        </w:rPr>
        <w:t xml:space="preserve">, </w:t>
      </w:r>
      <w:r w:rsidRPr="0076692C">
        <w:rPr>
          <w:rFonts w:ascii="Century" w:hAnsi="Century" w:cs="Miriam" w:hint="eastAsia"/>
          <w:b/>
          <w:spacing w:val="0"/>
          <w:szCs w:val="24"/>
          <w:rtl/>
        </w:rPr>
        <w:t>בגרסתו</w:t>
      </w:r>
      <w:r w:rsidRPr="0076692C">
        <w:rPr>
          <w:rFonts w:ascii="Century" w:hAnsi="Century" w:cs="Miriam"/>
          <w:b/>
          <w:spacing w:val="0"/>
          <w:szCs w:val="24"/>
          <w:rtl/>
        </w:rPr>
        <w:t xml:space="preserve"> </w:t>
      </w:r>
      <w:r w:rsidRPr="0076692C">
        <w:rPr>
          <w:rFonts w:ascii="Century" w:hAnsi="Century" w:cs="Miriam" w:hint="eastAsia"/>
          <w:b/>
          <w:spacing w:val="0"/>
          <w:szCs w:val="24"/>
          <w:rtl/>
        </w:rPr>
        <w:t>כי</w:t>
      </w:r>
      <w:r w:rsidRPr="0076692C">
        <w:rPr>
          <w:rFonts w:ascii="Century" w:hAnsi="Century" w:cs="Miriam"/>
          <w:b/>
          <w:spacing w:val="0"/>
          <w:szCs w:val="24"/>
          <w:rtl/>
        </w:rPr>
        <w:t xml:space="preserve"> </w:t>
      </w:r>
      <w:r w:rsidRPr="0076692C">
        <w:rPr>
          <w:rFonts w:ascii="Century" w:hAnsi="Century" w:cs="Miriam" w:hint="eastAsia"/>
          <w:b/>
          <w:spacing w:val="0"/>
          <w:szCs w:val="24"/>
          <w:rtl/>
        </w:rPr>
        <w:t>לא</w:t>
      </w:r>
      <w:r w:rsidRPr="0076692C">
        <w:rPr>
          <w:rFonts w:ascii="Century" w:hAnsi="Century" w:cs="Miriam"/>
          <w:b/>
          <w:spacing w:val="0"/>
          <w:szCs w:val="24"/>
          <w:rtl/>
        </w:rPr>
        <w:t xml:space="preserve"> </w:t>
      </w:r>
      <w:r w:rsidRPr="0076692C">
        <w:rPr>
          <w:rFonts w:ascii="Century" w:hAnsi="Century" w:cs="Miriam" w:hint="eastAsia"/>
          <w:b/>
          <w:spacing w:val="0"/>
          <w:szCs w:val="24"/>
          <w:rtl/>
        </w:rPr>
        <w:t>היה</w:t>
      </w:r>
      <w:r w:rsidRPr="0076692C">
        <w:rPr>
          <w:rFonts w:ascii="Century" w:hAnsi="Century" w:cs="Miriam"/>
          <w:b/>
          <w:spacing w:val="0"/>
          <w:szCs w:val="24"/>
          <w:rtl/>
        </w:rPr>
        <w:t xml:space="preserve"> </w:t>
      </w:r>
      <w:r w:rsidRPr="0076692C">
        <w:rPr>
          <w:rFonts w:ascii="Century" w:hAnsi="Century" w:cs="Miriam" w:hint="eastAsia"/>
          <w:b/>
          <w:spacing w:val="0"/>
          <w:szCs w:val="24"/>
          <w:rtl/>
        </w:rPr>
        <w:t>מוכן</w:t>
      </w:r>
      <w:r w:rsidRPr="0076692C">
        <w:rPr>
          <w:rFonts w:ascii="Century" w:hAnsi="Century" w:cs="Miriam"/>
          <w:b/>
          <w:spacing w:val="0"/>
          <w:szCs w:val="24"/>
          <w:rtl/>
        </w:rPr>
        <w:t xml:space="preserve"> </w:t>
      </w:r>
      <w:r w:rsidRPr="0076692C">
        <w:rPr>
          <w:rFonts w:ascii="Century" w:hAnsi="Century" w:cs="Miriam" w:hint="eastAsia"/>
          <w:b/>
          <w:spacing w:val="0"/>
          <w:szCs w:val="24"/>
          <w:rtl/>
        </w:rPr>
        <w:t>להסתפק</w:t>
      </w:r>
      <w:r w:rsidRPr="0076692C">
        <w:rPr>
          <w:rFonts w:ascii="Century" w:hAnsi="Century" w:cs="Miriam"/>
          <w:b/>
          <w:spacing w:val="0"/>
          <w:szCs w:val="24"/>
          <w:rtl/>
        </w:rPr>
        <w:t xml:space="preserve"> </w:t>
      </w:r>
      <w:r w:rsidRPr="0076692C">
        <w:rPr>
          <w:rFonts w:ascii="Century" w:hAnsi="Century" w:cs="Miriam" w:hint="eastAsia"/>
          <w:b/>
          <w:spacing w:val="0"/>
          <w:szCs w:val="24"/>
          <w:rtl/>
        </w:rPr>
        <w:t>בתשריט</w:t>
      </w:r>
      <w:r w:rsidRPr="0076692C">
        <w:rPr>
          <w:rFonts w:ascii="Century" w:hAnsi="Century" w:cs="Miriam"/>
          <w:b/>
          <w:spacing w:val="0"/>
          <w:szCs w:val="24"/>
          <w:rtl/>
        </w:rPr>
        <w:t xml:space="preserve"> </w:t>
      </w:r>
      <w:r w:rsidRPr="0076692C">
        <w:rPr>
          <w:rFonts w:ascii="Century" w:hAnsi="Century" w:cs="Miriam" w:hint="eastAsia"/>
          <w:b/>
          <w:spacing w:val="0"/>
          <w:szCs w:val="24"/>
          <w:rtl/>
        </w:rPr>
        <w:t>שצורף</w:t>
      </w:r>
      <w:r w:rsidRPr="0076692C">
        <w:rPr>
          <w:rFonts w:ascii="Century" w:hAnsi="Century" w:cs="Miriam"/>
          <w:b/>
          <w:spacing w:val="0"/>
          <w:szCs w:val="24"/>
          <w:rtl/>
        </w:rPr>
        <w:t xml:space="preserve"> </w:t>
      </w:r>
      <w:r w:rsidRPr="0076692C">
        <w:rPr>
          <w:rFonts w:ascii="Century" w:hAnsi="Century" w:cs="Miriam" w:hint="eastAsia"/>
          <w:b/>
          <w:spacing w:val="0"/>
          <w:szCs w:val="24"/>
          <w:rtl/>
        </w:rPr>
        <w:t>להסכם</w:t>
      </w:r>
      <w:r w:rsidRPr="0076692C">
        <w:rPr>
          <w:rFonts w:ascii="Century" w:hAnsi="Century" w:cs="Miriam"/>
          <w:b/>
          <w:spacing w:val="0"/>
          <w:szCs w:val="24"/>
          <w:rtl/>
        </w:rPr>
        <w:t xml:space="preserve"> </w:t>
      </w:r>
      <w:r w:rsidRPr="0076692C">
        <w:rPr>
          <w:rFonts w:ascii="Century" w:hAnsi="Century" w:cs="Miriam" w:hint="eastAsia"/>
          <w:b/>
          <w:spacing w:val="0"/>
          <w:szCs w:val="24"/>
          <w:rtl/>
        </w:rPr>
        <w:t>ולכן</w:t>
      </w:r>
      <w:r w:rsidRPr="0076692C">
        <w:rPr>
          <w:rFonts w:ascii="Century" w:hAnsi="Century" w:cs="Miriam"/>
          <w:b/>
          <w:spacing w:val="0"/>
          <w:szCs w:val="24"/>
          <w:rtl/>
        </w:rPr>
        <w:t xml:space="preserve"> </w:t>
      </w:r>
      <w:r w:rsidRPr="0076692C">
        <w:rPr>
          <w:rFonts w:ascii="Century" w:hAnsi="Century" w:cs="Miriam" w:hint="eastAsia"/>
          <w:b/>
          <w:spacing w:val="0"/>
          <w:szCs w:val="24"/>
          <w:rtl/>
        </w:rPr>
        <w:t>עמד</w:t>
      </w:r>
      <w:r w:rsidRPr="0076692C">
        <w:rPr>
          <w:rFonts w:ascii="Century" w:hAnsi="Century" w:cs="Miriam"/>
          <w:b/>
          <w:spacing w:val="0"/>
          <w:szCs w:val="24"/>
          <w:rtl/>
        </w:rPr>
        <w:t xml:space="preserve"> </w:t>
      </w:r>
      <w:r w:rsidRPr="0076692C">
        <w:rPr>
          <w:rFonts w:ascii="Century" w:hAnsi="Century" w:cs="Miriam" w:hint="eastAsia"/>
          <w:b/>
          <w:spacing w:val="0"/>
          <w:szCs w:val="24"/>
          <w:rtl/>
        </w:rPr>
        <w:t>על</w:t>
      </w:r>
      <w:r w:rsidRPr="0076692C">
        <w:rPr>
          <w:rFonts w:ascii="Century" w:hAnsi="Century" w:cs="Miriam"/>
          <w:b/>
          <w:spacing w:val="0"/>
          <w:szCs w:val="24"/>
          <w:rtl/>
        </w:rPr>
        <w:t xml:space="preserve"> </w:t>
      </w:r>
      <w:r w:rsidRPr="0076692C">
        <w:rPr>
          <w:rFonts w:ascii="Century" w:hAnsi="Century" w:cs="Miriam" w:hint="eastAsia"/>
          <w:b/>
          <w:spacing w:val="0"/>
          <w:szCs w:val="24"/>
          <w:rtl/>
        </w:rPr>
        <w:t>הכנת</w:t>
      </w:r>
      <w:r w:rsidRPr="0076692C">
        <w:rPr>
          <w:rFonts w:ascii="Century" w:hAnsi="Century" w:cs="Miriam"/>
          <w:b/>
          <w:spacing w:val="0"/>
          <w:szCs w:val="24"/>
          <w:rtl/>
        </w:rPr>
        <w:t xml:space="preserve"> </w:t>
      </w:r>
      <w:r w:rsidRPr="0076692C">
        <w:rPr>
          <w:rFonts w:ascii="Century" w:hAnsi="Century" w:cs="Miriam" w:hint="eastAsia"/>
          <w:b/>
          <w:spacing w:val="0"/>
          <w:szCs w:val="24"/>
          <w:rtl/>
        </w:rPr>
        <w:t>מדידה</w:t>
      </w:r>
      <w:r w:rsidRPr="0076692C">
        <w:rPr>
          <w:rFonts w:ascii="Century" w:hAnsi="Century" w:cs="Miriam"/>
          <w:b/>
          <w:spacing w:val="0"/>
          <w:szCs w:val="24"/>
          <w:rtl/>
        </w:rPr>
        <w:t xml:space="preserve"> </w:t>
      </w:r>
      <w:r w:rsidRPr="0076692C">
        <w:rPr>
          <w:rFonts w:ascii="Century" w:hAnsi="Century" w:cs="Miriam" w:hint="eastAsia"/>
          <w:b/>
          <w:spacing w:val="0"/>
          <w:szCs w:val="24"/>
          <w:rtl/>
        </w:rPr>
        <w:t>אחרת</w:t>
      </w:r>
      <w:r w:rsidRPr="0076692C">
        <w:rPr>
          <w:rFonts w:ascii="Century" w:hAnsi="Century" w:cs="Miriam"/>
          <w:b/>
          <w:spacing w:val="0"/>
          <w:szCs w:val="24"/>
          <w:rtl/>
        </w:rPr>
        <w:t xml:space="preserve">. </w:t>
      </w:r>
      <w:r w:rsidRPr="0076692C">
        <w:rPr>
          <w:rFonts w:ascii="Century" w:hAnsi="Century" w:cs="Miriam" w:hint="eastAsia"/>
          <w:b/>
          <w:spacing w:val="0"/>
          <w:szCs w:val="24"/>
          <w:rtl/>
        </w:rPr>
        <w:t>עוד</w:t>
      </w:r>
      <w:r w:rsidRPr="0076692C">
        <w:rPr>
          <w:rFonts w:ascii="Century" w:hAnsi="Century" w:cs="Miriam"/>
          <w:b/>
          <w:spacing w:val="0"/>
          <w:szCs w:val="24"/>
          <w:rtl/>
        </w:rPr>
        <w:t xml:space="preserve"> </w:t>
      </w:r>
      <w:r w:rsidRPr="0076692C">
        <w:rPr>
          <w:rFonts w:ascii="Century" w:hAnsi="Century" w:cs="Miriam" w:hint="eastAsia"/>
          <w:b/>
          <w:spacing w:val="0"/>
          <w:szCs w:val="24"/>
          <w:rtl/>
        </w:rPr>
        <w:t>שוכנעתי</w:t>
      </w:r>
      <w:r w:rsidRPr="0076692C">
        <w:rPr>
          <w:rFonts w:ascii="Century" w:hAnsi="Century" w:cs="Miriam"/>
          <w:b/>
          <w:spacing w:val="0"/>
          <w:szCs w:val="24"/>
          <w:rtl/>
        </w:rPr>
        <w:t xml:space="preserve"> </w:t>
      </w:r>
      <w:r w:rsidRPr="0076692C">
        <w:rPr>
          <w:rFonts w:ascii="Century" w:hAnsi="Century" w:cs="Miriam" w:hint="eastAsia"/>
          <w:b/>
          <w:spacing w:val="0"/>
          <w:szCs w:val="24"/>
          <w:rtl/>
        </w:rPr>
        <w:t>כי</w:t>
      </w:r>
      <w:r w:rsidRPr="0076692C">
        <w:rPr>
          <w:rFonts w:ascii="Century" w:hAnsi="Century" w:cs="Miriam"/>
          <w:b/>
          <w:spacing w:val="0"/>
          <w:szCs w:val="24"/>
          <w:rtl/>
        </w:rPr>
        <w:t xml:space="preserve"> </w:t>
      </w:r>
      <w:r w:rsidRPr="0076692C">
        <w:rPr>
          <w:rFonts w:ascii="Century" w:hAnsi="Century" w:cs="Miriam" w:hint="eastAsia"/>
          <w:b/>
          <w:spacing w:val="0"/>
          <w:szCs w:val="24"/>
          <w:rtl/>
        </w:rPr>
        <w:t>מר</w:t>
      </w:r>
      <w:r w:rsidRPr="0076692C">
        <w:rPr>
          <w:rFonts w:ascii="Century" w:hAnsi="Century" w:cs="Miriam"/>
          <w:b/>
          <w:spacing w:val="0"/>
          <w:szCs w:val="24"/>
          <w:rtl/>
        </w:rPr>
        <w:t xml:space="preserve"> </w:t>
      </w:r>
      <w:r w:rsidRPr="0076692C">
        <w:rPr>
          <w:rFonts w:ascii="Century" w:hAnsi="Century" w:cs="Miriam" w:hint="eastAsia"/>
          <w:b/>
          <w:spacing w:val="0"/>
          <w:szCs w:val="24"/>
          <w:rtl/>
        </w:rPr>
        <w:t>נהרי</w:t>
      </w:r>
      <w:r w:rsidRPr="0076692C">
        <w:rPr>
          <w:rFonts w:ascii="Century" w:hAnsi="Century" w:cs="Miriam"/>
          <w:b/>
          <w:spacing w:val="0"/>
          <w:szCs w:val="24"/>
          <w:rtl/>
        </w:rPr>
        <w:t xml:space="preserve"> </w:t>
      </w:r>
      <w:r w:rsidRPr="0076692C">
        <w:rPr>
          <w:rFonts w:ascii="Century" w:hAnsi="Century" w:cs="Miriam" w:hint="eastAsia"/>
          <w:b/>
          <w:spacing w:val="0"/>
          <w:szCs w:val="24"/>
          <w:rtl/>
        </w:rPr>
        <w:t>לא</w:t>
      </w:r>
      <w:r w:rsidRPr="0076692C">
        <w:rPr>
          <w:rFonts w:ascii="Century" w:hAnsi="Century" w:cs="Miriam"/>
          <w:b/>
          <w:spacing w:val="0"/>
          <w:szCs w:val="24"/>
          <w:rtl/>
        </w:rPr>
        <w:t xml:space="preserve"> </w:t>
      </w:r>
      <w:r w:rsidRPr="0076692C">
        <w:rPr>
          <w:rFonts w:ascii="Century" w:hAnsi="Century" w:cs="Miriam" w:hint="eastAsia"/>
          <w:b/>
          <w:spacing w:val="0"/>
          <w:szCs w:val="24"/>
          <w:rtl/>
        </w:rPr>
        <w:t>היה</w:t>
      </w:r>
      <w:r w:rsidRPr="0076692C">
        <w:rPr>
          <w:rFonts w:ascii="Century" w:hAnsi="Century" w:cs="Miriam"/>
          <w:b/>
          <w:spacing w:val="0"/>
          <w:szCs w:val="24"/>
          <w:rtl/>
        </w:rPr>
        <w:t xml:space="preserve"> </w:t>
      </w:r>
      <w:r w:rsidRPr="0076692C">
        <w:rPr>
          <w:rFonts w:ascii="Century" w:hAnsi="Century" w:cs="Miriam" w:hint="eastAsia"/>
          <w:b/>
          <w:spacing w:val="0"/>
          <w:szCs w:val="24"/>
          <w:rtl/>
        </w:rPr>
        <w:t>מרפה</w:t>
      </w:r>
      <w:r w:rsidRPr="0076692C">
        <w:rPr>
          <w:rFonts w:ascii="Century" w:hAnsi="Century" w:cs="Miriam"/>
          <w:b/>
          <w:spacing w:val="0"/>
          <w:szCs w:val="24"/>
          <w:rtl/>
        </w:rPr>
        <w:t xml:space="preserve"> </w:t>
      </w:r>
      <w:r w:rsidRPr="0076692C">
        <w:rPr>
          <w:rFonts w:ascii="Century" w:hAnsi="Century" w:cs="Miriam" w:hint="eastAsia"/>
          <w:b/>
          <w:spacing w:val="0"/>
          <w:szCs w:val="24"/>
          <w:rtl/>
        </w:rPr>
        <w:t>עד</w:t>
      </w:r>
      <w:r w:rsidRPr="0076692C">
        <w:rPr>
          <w:rFonts w:ascii="Century" w:hAnsi="Century" w:cs="Miriam"/>
          <w:b/>
          <w:spacing w:val="0"/>
          <w:szCs w:val="24"/>
          <w:rtl/>
        </w:rPr>
        <w:t xml:space="preserve"> </w:t>
      </w:r>
      <w:r w:rsidRPr="0076692C">
        <w:rPr>
          <w:rFonts w:ascii="Century" w:hAnsi="Century" w:cs="Miriam" w:hint="eastAsia"/>
          <w:b/>
          <w:spacing w:val="0"/>
          <w:szCs w:val="24"/>
          <w:rtl/>
        </w:rPr>
        <w:t>לקבלת</w:t>
      </w:r>
      <w:r w:rsidRPr="0076692C">
        <w:rPr>
          <w:rFonts w:ascii="Century" w:hAnsi="Century" w:cs="Miriam"/>
          <w:b/>
          <w:spacing w:val="0"/>
          <w:szCs w:val="24"/>
          <w:rtl/>
        </w:rPr>
        <w:t xml:space="preserve"> </w:t>
      </w:r>
      <w:r w:rsidRPr="0076692C">
        <w:rPr>
          <w:rFonts w:ascii="Century" w:hAnsi="Century" w:cs="Miriam" w:hint="eastAsia"/>
          <w:b/>
          <w:spacing w:val="0"/>
          <w:szCs w:val="24"/>
          <w:rtl/>
        </w:rPr>
        <w:t>מפה</w:t>
      </w:r>
      <w:r w:rsidRPr="0076692C">
        <w:rPr>
          <w:rFonts w:ascii="Century" w:hAnsi="Century" w:cs="Miriam"/>
          <w:b/>
          <w:spacing w:val="0"/>
          <w:szCs w:val="24"/>
          <w:rtl/>
        </w:rPr>
        <w:t xml:space="preserve"> </w:t>
      </w:r>
      <w:r w:rsidRPr="0076692C">
        <w:rPr>
          <w:rFonts w:ascii="Century" w:hAnsi="Century" w:cs="Miriam" w:hint="eastAsia"/>
          <w:b/>
          <w:spacing w:val="0"/>
          <w:szCs w:val="24"/>
          <w:rtl/>
        </w:rPr>
        <w:t>כזו</w:t>
      </w:r>
      <w:r w:rsidRPr="0076692C">
        <w:rPr>
          <w:rFonts w:ascii="Century" w:hAnsi="Century" w:cs="Miriam"/>
          <w:b/>
          <w:spacing w:val="0"/>
          <w:szCs w:val="24"/>
          <w:rtl/>
        </w:rPr>
        <w:t xml:space="preserve"> </w:t>
      </w:r>
      <w:r w:rsidRPr="0076692C">
        <w:rPr>
          <w:rFonts w:ascii="Century" w:hAnsi="Century" w:cs="Miriam" w:hint="eastAsia"/>
          <w:b/>
          <w:spacing w:val="0"/>
          <w:szCs w:val="24"/>
          <w:rtl/>
        </w:rPr>
        <w:t>ועל</w:t>
      </w:r>
      <w:r w:rsidRPr="0076692C">
        <w:rPr>
          <w:rFonts w:ascii="Century" w:hAnsi="Century" w:cs="Miriam"/>
          <w:b/>
          <w:spacing w:val="0"/>
          <w:szCs w:val="24"/>
          <w:rtl/>
        </w:rPr>
        <w:t>-</w:t>
      </w:r>
      <w:r w:rsidRPr="0076692C">
        <w:rPr>
          <w:rFonts w:ascii="Century" w:hAnsi="Century" w:cs="Miriam" w:hint="eastAsia"/>
          <w:b/>
          <w:spacing w:val="0"/>
          <w:szCs w:val="24"/>
          <w:rtl/>
        </w:rPr>
        <w:t>כן</w:t>
      </w:r>
      <w:r w:rsidRPr="0076692C">
        <w:rPr>
          <w:rFonts w:ascii="Century" w:hAnsi="Century" w:cs="Miriam"/>
          <w:b/>
          <w:spacing w:val="0"/>
          <w:szCs w:val="24"/>
          <w:rtl/>
        </w:rPr>
        <w:t xml:space="preserve">, </w:t>
      </w:r>
      <w:r w:rsidRPr="0076692C">
        <w:rPr>
          <w:rFonts w:ascii="Century" w:hAnsi="Century" w:cs="Miriam" w:hint="eastAsia"/>
          <w:b/>
          <w:spacing w:val="0"/>
          <w:szCs w:val="24"/>
          <w:rtl/>
        </w:rPr>
        <w:t>יש</w:t>
      </w:r>
      <w:r w:rsidRPr="0076692C">
        <w:rPr>
          <w:rFonts w:ascii="Century" w:hAnsi="Century" w:cs="Miriam"/>
          <w:b/>
          <w:spacing w:val="0"/>
          <w:szCs w:val="24"/>
          <w:rtl/>
        </w:rPr>
        <w:t xml:space="preserve"> </w:t>
      </w:r>
      <w:r w:rsidRPr="0076692C">
        <w:rPr>
          <w:rFonts w:ascii="Century" w:hAnsi="Century" w:cs="Miriam" w:hint="eastAsia"/>
          <w:b/>
          <w:spacing w:val="0"/>
          <w:szCs w:val="24"/>
          <w:rtl/>
        </w:rPr>
        <w:t>לקבל</w:t>
      </w:r>
      <w:r w:rsidRPr="0076692C">
        <w:rPr>
          <w:rFonts w:ascii="Century" w:hAnsi="Century" w:cs="Miriam"/>
          <w:b/>
          <w:spacing w:val="0"/>
          <w:szCs w:val="24"/>
          <w:rtl/>
        </w:rPr>
        <w:t xml:space="preserve"> </w:t>
      </w:r>
      <w:r w:rsidRPr="0076692C">
        <w:rPr>
          <w:rFonts w:ascii="Century" w:hAnsi="Century" w:cs="Miriam" w:hint="eastAsia"/>
          <w:b/>
          <w:spacing w:val="0"/>
          <w:szCs w:val="24"/>
          <w:rtl/>
        </w:rPr>
        <w:t>את</w:t>
      </w:r>
      <w:r w:rsidRPr="0076692C">
        <w:rPr>
          <w:rFonts w:ascii="Century" w:hAnsi="Century" w:cs="Miriam"/>
          <w:b/>
          <w:spacing w:val="0"/>
          <w:szCs w:val="24"/>
          <w:rtl/>
        </w:rPr>
        <w:t xml:space="preserve"> </w:t>
      </w:r>
      <w:r w:rsidRPr="0076692C">
        <w:rPr>
          <w:rFonts w:ascii="Century" w:hAnsi="Century" w:cs="Miriam" w:hint="eastAsia"/>
          <w:b/>
          <w:spacing w:val="0"/>
          <w:szCs w:val="24"/>
          <w:rtl/>
        </w:rPr>
        <w:t>גרסתו</w:t>
      </w:r>
      <w:r w:rsidRPr="0076692C">
        <w:rPr>
          <w:rFonts w:ascii="Century" w:hAnsi="Century" w:cs="Miriam"/>
          <w:b/>
          <w:spacing w:val="0"/>
          <w:szCs w:val="24"/>
          <w:rtl/>
        </w:rPr>
        <w:t xml:space="preserve">, </w:t>
      </w:r>
      <w:r w:rsidRPr="0076692C">
        <w:rPr>
          <w:rFonts w:ascii="Century" w:hAnsi="Century" w:cs="Miriam" w:hint="eastAsia"/>
          <w:b/>
          <w:spacing w:val="0"/>
          <w:szCs w:val="24"/>
          <w:rtl/>
        </w:rPr>
        <w:t>כי</w:t>
      </w:r>
      <w:r w:rsidRPr="0076692C">
        <w:rPr>
          <w:rFonts w:ascii="Century" w:hAnsi="Century" w:cs="Miriam"/>
          <w:b/>
          <w:spacing w:val="0"/>
          <w:szCs w:val="24"/>
          <w:rtl/>
        </w:rPr>
        <w:t xml:space="preserve"> </w:t>
      </w:r>
      <w:r w:rsidRPr="0076692C">
        <w:rPr>
          <w:rFonts w:ascii="Century" w:hAnsi="Century" w:cs="Miriam" w:hint="eastAsia"/>
          <w:b/>
          <w:spacing w:val="0"/>
          <w:szCs w:val="24"/>
          <w:rtl/>
        </w:rPr>
        <w:t>המפה</w:t>
      </w:r>
      <w:r w:rsidRPr="0076692C">
        <w:rPr>
          <w:rFonts w:ascii="Century" w:hAnsi="Century" w:cs="Miriam"/>
          <w:b/>
          <w:spacing w:val="0"/>
          <w:szCs w:val="24"/>
          <w:rtl/>
        </w:rPr>
        <w:t xml:space="preserve"> </w:t>
      </w:r>
      <w:r w:rsidRPr="0076692C">
        <w:rPr>
          <w:rFonts w:ascii="Century" w:hAnsi="Century" w:cs="Miriam" w:hint="eastAsia"/>
          <w:b/>
          <w:spacing w:val="0"/>
          <w:szCs w:val="24"/>
          <w:rtl/>
        </w:rPr>
        <w:t>המאוחרת</w:t>
      </w:r>
      <w:r w:rsidRPr="0076692C">
        <w:rPr>
          <w:rFonts w:ascii="Century" w:hAnsi="Century" w:cs="Miriam"/>
          <w:b/>
          <w:spacing w:val="0"/>
          <w:szCs w:val="24"/>
          <w:rtl/>
        </w:rPr>
        <w:t xml:space="preserve"> </w:t>
      </w:r>
      <w:r w:rsidRPr="0076692C">
        <w:rPr>
          <w:rFonts w:ascii="Century" w:hAnsi="Century" w:cs="Miriam" w:hint="eastAsia"/>
          <w:b/>
          <w:spacing w:val="0"/>
          <w:szCs w:val="24"/>
          <w:rtl/>
        </w:rPr>
        <w:t>שקיבל</w:t>
      </w:r>
      <w:r w:rsidRPr="0076692C">
        <w:rPr>
          <w:rFonts w:ascii="Century" w:hAnsi="Century" w:cs="Miriam"/>
          <w:b/>
          <w:spacing w:val="0"/>
          <w:szCs w:val="24"/>
          <w:rtl/>
        </w:rPr>
        <w:t xml:space="preserve"> </w:t>
      </w:r>
      <w:r w:rsidRPr="0076692C">
        <w:rPr>
          <w:rFonts w:ascii="Century" w:hAnsi="Century" w:cs="Miriam" w:hint="eastAsia"/>
          <w:b/>
          <w:spacing w:val="0"/>
          <w:szCs w:val="24"/>
          <w:rtl/>
        </w:rPr>
        <w:t>היא</w:t>
      </w:r>
      <w:r w:rsidRPr="0076692C">
        <w:rPr>
          <w:rFonts w:ascii="Century" w:hAnsi="Century" w:cs="Miriam"/>
          <w:b/>
          <w:spacing w:val="0"/>
          <w:szCs w:val="24"/>
          <w:rtl/>
        </w:rPr>
        <w:t xml:space="preserve"> </w:t>
      </w:r>
      <w:r w:rsidRPr="0076692C">
        <w:rPr>
          <w:rFonts w:ascii="Century" w:hAnsi="Century" w:cs="Miriam" w:hint="eastAsia"/>
          <w:b/>
          <w:spacing w:val="0"/>
          <w:szCs w:val="24"/>
          <w:rtl/>
        </w:rPr>
        <w:t>תשריט</w:t>
      </w:r>
      <w:r w:rsidRPr="0076692C">
        <w:rPr>
          <w:rFonts w:ascii="Century" w:hAnsi="Century" w:cs="Miriam"/>
          <w:b/>
          <w:spacing w:val="0"/>
          <w:szCs w:val="24"/>
          <w:rtl/>
        </w:rPr>
        <w:t xml:space="preserve"> </w:t>
      </w:r>
      <w:r w:rsidRPr="0076692C">
        <w:rPr>
          <w:rFonts w:ascii="Century" w:hAnsi="Century" w:cs="Miriam" w:hint="eastAsia"/>
          <w:b/>
          <w:spacing w:val="0"/>
          <w:szCs w:val="24"/>
          <w:rtl/>
        </w:rPr>
        <w:t>לתכנית</w:t>
      </w:r>
      <w:r w:rsidRPr="0076692C">
        <w:rPr>
          <w:rFonts w:ascii="Century" w:hAnsi="Century" w:cs="Miriam"/>
          <w:b/>
          <w:spacing w:val="0"/>
          <w:szCs w:val="24"/>
          <w:rtl/>
        </w:rPr>
        <w:t xml:space="preserve"> 223 </w:t>
      </w:r>
      <w:r w:rsidRPr="0076692C">
        <w:rPr>
          <w:rFonts w:ascii="Century" w:hAnsi="Century" w:cs="Miriam" w:hint="eastAsia"/>
          <w:b/>
          <w:spacing w:val="0"/>
          <w:szCs w:val="24"/>
          <w:rtl/>
        </w:rPr>
        <w:t>ועל</w:t>
      </w:r>
      <w:r w:rsidRPr="0076692C">
        <w:rPr>
          <w:rFonts w:ascii="Century" w:hAnsi="Century" w:cs="Miriam"/>
          <w:b/>
          <w:spacing w:val="0"/>
          <w:szCs w:val="24"/>
          <w:rtl/>
        </w:rPr>
        <w:t xml:space="preserve"> </w:t>
      </w:r>
      <w:r w:rsidRPr="0076692C">
        <w:rPr>
          <w:rFonts w:ascii="Century" w:hAnsi="Century" w:cs="Miriam" w:hint="eastAsia"/>
          <w:b/>
          <w:spacing w:val="0"/>
          <w:szCs w:val="24"/>
          <w:rtl/>
        </w:rPr>
        <w:t>יסודה</w:t>
      </w:r>
      <w:r w:rsidRPr="0076692C">
        <w:rPr>
          <w:rFonts w:ascii="Century" w:hAnsi="Century" w:cs="Miriam"/>
          <w:b/>
          <w:spacing w:val="0"/>
          <w:szCs w:val="24"/>
          <w:rtl/>
        </w:rPr>
        <w:t xml:space="preserve"> </w:t>
      </w:r>
      <w:r w:rsidRPr="0076692C">
        <w:rPr>
          <w:rFonts w:ascii="Century" w:hAnsi="Century" w:cs="Miriam" w:hint="eastAsia"/>
          <w:b/>
          <w:spacing w:val="0"/>
          <w:szCs w:val="24"/>
          <w:rtl/>
        </w:rPr>
        <w:t>יש</w:t>
      </w:r>
      <w:r w:rsidRPr="0076692C">
        <w:rPr>
          <w:rFonts w:ascii="Century" w:hAnsi="Century" w:cs="Miriam"/>
          <w:b/>
          <w:spacing w:val="0"/>
          <w:szCs w:val="24"/>
          <w:rtl/>
        </w:rPr>
        <w:t xml:space="preserve"> </w:t>
      </w:r>
      <w:r w:rsidRPr="0076692C">
        <w:rPr>
          <w:rFonts w:ascii="Century" w:hAnsi="Century" w:cs="Miriam" w:hint="eastAsia"/>
          <w:b/>
          <w:spacing w:val="0"/>
          <w:szCs w:val="24"/>
          <w:rtl/>
        </w:rPr>
        <w:t>לקבוע</w:t>
      </w:r>
      <w:r w:rsidRPr="0076692C">
        <w:rPr>
          <w:rFonts w:ascii="Century" w:hAnsi="Century" w:cs="Miriam"/>
          <w:b/>
          <w:spacing w:val="0"/>
          <w:szCs w:val="24"/>
          <w:rtl/>
        </w:rPr>
        <w:t xml:space="preserve"> </w:t>
      </w:r>
      <w:r w:rsidRPr="0076692C">
        <w:rPr>
          <w:rFonts w:ascii="Century" w:hAnsi="Century" w:cs="Miriam" w:hint="eastAsia"/>
          <w:b/>
          <w:spacing w:val="0"/>
          <w:szCs w:val="24"/>
          <w:rtl/>
        </w:rPr>
        <w:t>את</w:t>
      </w:r>
      <w:r w:rsidRPr="0076692C">
        <w:rPr>
          <w:rFonts w:ascii="Century" w:hAnsi="Century" w:cs="Miriam"/>
          <w:b/>
          <w:spacing w:val="0"/>
          <w:szCs w:val="24"/>
          <w:rtl/>
        </w:rPr>
        <w:t xml:space="preserve"> </w:t>
      </w:r>
      <w:r w:rsidRPr="0076692C">
        <w:rPr>
          <w:rFonts w:ascii="Century" w:hAnsi="Century" w:cs="Miriam" w:hint="eastAsia"/>
          <w:b/>
          <w:spacing w:val="0"/>
          <w:szCs w:val="24"/>
          <w:rtl/>
        </w:rPr>
        <w:t>הקצאת</w:t>
      </w:r>
      <w:r w:rsidRPr="0076692C">
        <w:rPr>
          <w:rFonts w:ascii="Century" w:hAnsi="Century" w:cs="Miriam"/>
          <w:b/>
          <w:spacing w:val="0"/>
          <w:szCs w:val="24"/>
          <w:rtl/>
        </w:rPr>
        <w:t xml:space="preserve"> </w:t>
      </w:r>
      <w:r w:rsidRPr="0076692C">
        <w:rPr>
          <w:rFonts w:ascii="Century" w:hAnsi="Century" w:cs="Miriam" w:hint="eastAsia"/>
          <w:b/>
          <w:spacing w:val="0"/>
          <w:szCs w:val="24"/>
          <w:rtl/>
        </w:rPr>
        <w:t>השטח</w:t>
      </w:r>
      <w:r w:rsidRPr="0076692C">
        <w:rPr>
          <w:rFonts w:ascii="Century" w:hAnsi="Century" w:cs="Miriam"/>
          <w:b/>
          <w:spacing w:val="0"/>
          <w:szCs w:val="24"/>
          <w:rtl/>
        </w:rPr>
        <w:t xml:space="preserve"> </w:t>
      </w:r>
      <w:r w:rsidRPr="0076692C">
        <w:rPr>
          <w:rFonts w:ascii="Century" w:hAnsi="Century" w:cs="Miriam" w:hint="eastAsia"/>
          <w:b/>
          <w:spacing w:val="0"/>
          <w:szCs w:val="24"/>
          <w:rtl/>
        </w:rPr>
        <w:t>להסתדרות</w:t>
      </w:r>
      <w:r w:rsidRPr="0076692C">
        <w:rPr>
          <w:rFonts w:ascii="Century" w:hAnsi="Century" w:cs="Miriam"/>
          <w:b/>
          <w:spacing w:val="0"/>
          <w:szCs w:val="24"/>
          <w:rtl/>
        </w:rPr>
        <w:t xml:space="preserve"> </w:t>
      </w:r>
      <w:r w:rsidRPr="0076692C">
        <w:rPr>
          <w:rFonts w:ascii="Century" w:hAnsi="Century" w:cs="Miriam" w:hint="eastAsia"/>
          <w:b/>
          <w:spacing w:val="0"/>
          <w:szCs w:val="24"/>
          <w:rtl/>
        </w:rPr>
        <w:t>הציונית</w:t>
      </w:r>
      <w:r w:rsidRPr="0076692C">
        <w:rPr>
          <w:rFonts w:ascii="Century" w:hAnsi="Century" w:cs="Miriam"/>
          <w:b/>
          <w:spacing w:val="0"/>
          <w:szCs w:val="24"/>
          <w:rtl/>
        </w:rPr>
        <w:t xml:space="preserve"> </w:t>
      </w:r>
      <w:r w:rsidRPr="0076692C">
        <w:rPr>
          <w:rFonts w:ascii="Century" w:hAnsi="Century" w:cs="Miriam" w:hint="eastAsia"/>
          <w:b/>
          <w:spacing w:val="0"/>
          <w:szCs w:val="24"/>
          <w:rtl/>
        </w:rPr>
        <w:t>לפי</w:t>
      </w:r>
      <w:r w:rsidRPr="0076692C">
        <w:rPr>
          <w:rFonts w:ascii="Century" w:hAnsi="Century" w:cs="Miriam"/>
          <w:b/>
          <w:spacing w:val="0"/>
          <w:szCs w:val="24"/>
          <w:rtl/>
        </w:rPr>
        <w:t xml:space="preserve"> </w:t>
      </w:r>
      <w:r w:rsidRPr="0076692C">
        <w:rPr>
          <w:rFonts w:ascii="Century" w:hAnsi="Century" w:cs="Miriam" w:hint="eastAsia"/>
          <w:b/>
          <w:spacing w:val="0"/>
          <w:szCs w:val="24"/>
          <w:rtl/>
        </w:rPr>
        <w:t>הסכם</w:t>
      </w:r>
      <w:r w:rsidRPr="0076692C">
        <w:rPr>
          <w:rFonts w:ascii="Century" w:hAnsi="Century" w:cs="Miriam"/>
          <w:b/>
          <w:spacing w:val="0"/>
          <w:szCs w:val="24"/>
          <w:rtl/>
        </w:rPr>
        <w:t xml:space="preserve"> </w:t>
      </w:r>
      <w:r w:rsidRPr="0076692C">
        <w:rPr>
          <w:rFonts w:ascii="Century" w:hAnsi="Century" w:cs="Miriam" w:hint="eastAsia"/>
          <w:b/>
          <w:spacing w:val="0"/>
          <w:szCs w:val="24"/>
          <w:rtl/>
        </w:rPr>
        <w:t>ההרשאה</w:t>
      </w:r>
      <w:r w:rsidRPr="0076692C">
        <w:rPr>
          <w:rFonts w:ascii="Century" w:hAnsi="Century" w:cs="Miriam"/>
          <w:b/>
          <w:spacing w:val="0"/>
          <w:szCs w:val="24"/>
          <w:rtl/>
        </w:rPr>
        <w:t xml:space="preserve">, </w:t>
      </w:r>
      <w:r w:rsidRPr="0076692C">
        <w:rPr>
          <w:rFonts w:ascii="Century" w:hAnsi="Century" w:cs="Miriam" w:hint="eastAsia"/>
          <w:b/>
          <w:spacing w:val="0"/>
          <w:szCs w:val="24"/>
          <w:rtl/>
        </w:rPr>
        <w:t>וגם</w:t>
      </w:r>
      <w:r w:rsidRPr="0076692C">
        <w:rPr>
          <w:rFonts w:ascii="Century" w:hAnsi="Century" w:cs="Miriam"/>
          <w:b/>
          <w:spacing w:val="0"/>
          <w:szCs w:val="24"/>
          <w:rtl/>
        </w:rPr>
        <w:t xml:space="preserve"> </w:t>
      </w:r>
      <w:r w:rsidRPr="0076692C">
        <w:rPr>
          <w:rFonts w:ascii="Century" w:hAnsi="Century" w:cs="Miriam" w:hint="eastAsia"/>
          <w:b/>
          <w:spacing w:val="0"/>
          <w:szCs w:val="24"/>
          <w:rtl/>
        </w:rPr>
        <w:t>אם</w:t>
      </w:r>
      <w:r w:rsidRPr="0076692C">
        <w:rPr>
          <w:rFonts w:ascii="Century" w:hAnsi="Century" w:cs="Miriam"/>
          <w:b/>
          <w:spacing w:val="0"/>
          <w:szCs w:val="24"/>
          <w:rtl/>
        </w:rPr>
        <w:t xml:space="preserve"> </w:t>
      </w:r>
      <w:r w:rsidRPr="0076692C">
        <w:rPr>
          <w:rFonts w:ascii="Century" w:hAnsi="Century" w:cs="Miriam" w:hint="eastAsia"/>
          <w:b/>
          <w:spacing w:val="0"/>
          <w:szCs w:val="24"/>
          <w:rtl/>
        </w:rPr>
        <w:t>עדותו</w:t>
      </w:r>
      <w:r w:rsidRPr="0076692C">
        <w:rPr>
          <w:rFonts w:ascii="Century" w:hAnsi="Century" w:cs="Miriam"/>
          <w:b/>
          <w:spacing w:val="0"/>
          <w:szCs w:val="24"/>
          <w:rtl/>
        </w:rPr>
        <w:t xml:space="preserve"> </w:t>
      </w:r>
      <w:r w:rsidRPr="0076692C">
        <w:rPr>
          <w:rFonts w:ascii="Century" w:hAnsi="Century" w:cs="Miriam" w:hint="eastAsia"/>
          <w:b/>
          <w:spacing w:val="0"/>
          <w:szCs w:val="24"/>
          <w:rtl/>
        </w:rPr>
        <w:t>ככלל</w:t>
      </w:r>
      <w:r w:rsidRPr="0076692C">
        <w:rPr>
          <w:rFonts w:ascii="Century" w:hAnsi="Century" w:cs="Miriam"/>
          <w:b/>
          <w:spacing w:val="0"/>
          <w:szCs w:val="24"/>
          <w:rtl/>
        </w:rPr>
        <w:t xml:space="preserve"> </w:t>
      </w:r>
      <w:r w:rsidRPr="0076692C">
        <w:rPr>
          <w:rFonts w:ascii="Century" w:hAnsi="Century" w:cs="Miriam" w:hint="eastAsia"/>
          <w:b/>
          <w:spacing w:val="0"/>
          <w:szCs w:val="24"/>
          <w:rtl/>
        </w:rPr>
        <w:t>לא</w:t>
      </w:r>
      <w:r w:rsidRPr="0076692C">
        <w:rPr>
          <w:rFonts w:ascii="Century" w:hAnsi="Century" w:cs="Miriam"/>
          <w:b/>
          <w:spacing w:val="0"/>
          <w:szCs w:val="24"/>
          <w:rtl/>
        </w:rPr>
        <w:t xml:space="preserve"> </w:t>
      </w:r>
      <w:r w:rsidRPr="0076692C">
        <w:rPr>
          <w:rFonts w:ascii="Century" w:hAnsi="Century" w:cs="Miriam" w:hint="eastAsia"/>
          <w:b/>
          <w:spacing w:val="0"/>
          <w:szCs w:val="24"/>
          <w:rtl/>
        </w:rPr>
        <w:t>הייתה</w:t>
      </w:r>
      <w:r w:rsidRPr="0076692C">
        <w:rPr>
          <w:rFonts w:ascii="Century" w:hAnsi="Century" w:cs="Miriam"/>
          <w:b/>
          <w:spacing w:val="0"/>
          <w:szCs w:val="24"/>
          <w:rtl/>
        </w:rPr>
        <w:t xml:space="preserve"> </w:t>
      </w:r>
      <w:r w:rsidRPr="0076692C">
        <w:rPr>
          <w:rFonts w:ascii="Century" w:hAnsi="Century" w:cs="Miriam" w:hint="eastAsia"/>
          <w:b/>
          <w:spacing w:val="0"/>
          <w:szCs w:val="24"/>
          <w:rtl/>
        </w:rPr>
        <w:t>נטולת</w:t>
      </w:r>
      <w:r w:rsidRPr="0076692C">
        <w:rPr>
          <w:rFonts w:ascii="Century" w:hAnsi="Century" w:cs="Miriam"/>
          <w:b/>
          <w:spacing w:val="0"/>
          <w:szCs w:val="24"/>
          <w:rtl/>
        </w:rPr>
        <w:t xml:space="preserve"> </w:t>
      </w:r>
      <w:r w:rsidRPr="0076692C">
        <w:rPr>
          <w:rFonts w:ascii="Century" w:hAnsi="Century" w:cs="Miriam" w:hint="eastAsia"/>
          <w:b/>
          <w:spacing w:val="0"/>
          <w:szCs w:val="24"/>
          <w:rtl/>
        </w:rPr>
        <w:t>קשיים</w:t>
      </w:r>
      <w:r w:rsidRPr="0076692C">
        <w:rPr>
          <w:rFonts w:ascii="Century" w:hAnsi="Century" w:cs="Miriam" w:hint="cs"/>
          <w:b/>
          <w:spacing w:val="0"/>
          <w:szCs w:val="24"/>
          <w:rtl/>
        </w:rPr>
        <w:t xml:space="preserve">" </w:t>
      </w:r>
      <w:r>
        <w:rPr>
          <w:rFonts w:hint="cs"/>
          <w:rtl/>
        </w:rPr>
        <w:t>(פסקה 134 לפסק הדין).</w:t>
      </w:r>
    </w:p>
    <w:p w:rsidR="00295623" w:rsidRDefault="00295623" w:rsidP="00295623">
      <w:pPr>
        <w:pStyle w:val="Ruller4"/>
        <w:numPr>
          <w:ilvl w:val="0"/>
          <w:numId w:val="0"/>
        </w:numPr>
        <w:tabs>
          <w:tab w:val="left" w:pos="90"/>
        </w:tabs>
      </w:pPr>
    </w:p>
    <w:p w:rsidR="00295623" w:rsidRDefault="00295623" w:rsidP="00295623">
      <w:pPr>
        <w:pStyle w:val="Ruller41"/>
        <w:rPr>
          <w:rtl/>
        </w:rPr>
      </w:pPr>
      <w:r>
        <w:rPr>
          <w:rFonts w:hint="cs"/>
          <w:rtl/>
        </w:rPr>
        <w:t>71.</w:t>
      </w:r>
      <w:r>
        <w:rPr>
          <w:rFonts w:hint="cs"/>
          <w:rtl/>
        </w:rPr>
        <w:tab/>
        <w:t>עדותו של נהרי מתיישבת היטב עם האמור בסעיף 2.ג. להסכמי ההרשאה, הקובע כי גבולות שטח ההקצאה עשויים להשתנות בעתיד (</w:t>
      </w:r>
      <w:r w:rsidRPr="00F66BE6">
        <w:rPr>
          <w:rFonts w:ascii="Century" w:hAnsi="Century" w:cs="Miriam" w:hint="cs"/>
          <w:b/>
          <w:spacing w:val="0"/>
          <w:szCs w:val="24"/>
          <w:rtl/>
        </w:rPr>
        <w:t>"גבולות המשב</w:t>
      </w:r>
      <w:r>
        <w:rPr>
          <w:rFonts w:ascii="Century" w:hAnsi="Century" w:cs="Miriam" w:hint="cs"/>
          <w:b/>
          <w:spacing w:val="0"/>
          <w:szCs w:val="24"/>
          <w:rtl/>
        </w:rPr>
        <w:t>צת טרם נמדדו וג</w:t>
      </w:r>
      <w:r w:rsidRPr="00F66BE6">
        <w:rPr>
          <w:rFonts w:ascii="Century" w:hAnsi="Century" w:cs="Miriam" w:hint="cs"/>
          <w:b/>
          <w:spacing w:val="0"/>
          <w:szCs w:val="24"/>
          <w:rtl/>
        </w:rPr>
        <w:t>בולותיה המדויקים טרם נקב</w:t>
      </w:r>
      <w:r w:rsidRPr="00633035">
        <w:rPr>
          <w:rFonts w:ascii="Century" w:hAnsi="Century" w:cs="Miriam" w:hint="cs"/>
          <w:b/>
          <w:spacing w:val="0"/>
          <w:szCs w:val="24"/>
          <w:rtl/>
        </w:rPr>
        <w:t>עו</w:t>
      </w:r>
      <w:r w:rsidRPr="00F66BE6">
        <w:rPr>
          <w:rFonts w:ascii="Century" w:hAnsi="Century" w:cs="Miriam" w:hint="cs"/>
          <w:b/>
          <w:spacing w:val="0"/>
          <w:szCs w:val="24"/>
          <w:rtl/>
        </w:rPr>
        <w:t xml:space="preserve"> סופית"</w:t>
      </w:r>
      <w:r>
        <w:rPr>
          <w:rFonts w:hint="cs"/>
          <w:rtl/>
        </w:rPr>
        <w:t xml:space="preserve">). מלבד נהרי, העידו גם גורמים נוספים, שהיו מעורבים כולם בהעתקת מצפה כרמים, ובאישור תכניות 223 ו-223/1. גם מעדויות אלה עולה, כי הקונספציה שהיתה מקובלת על כלל הגורמים, היא ששטחו של מצפה כרמים נכלל בשטח שהוקצה בהסכם ההרשאה, אשר הוא בתורו </w:t>
      </w:r>
      <w:r>
        <w:rPr>
          <w:rtl/>
        </w:rPr>
        <w:t>–</w:t>
      </w:r>
      <w:r>
        <w:rPr>
          <w:rFonts w:hint="cs"/>
          <w:rtl/>
        </w:rPr>
        <w:t xml:space="preserve"> נכלל בשטח התפיסה (בפועל). שאם לא כן, כך לפי עדויות העדים, לא ניתן היה לאשר את התכניות הסטטוטוריות, ולא היה עולה בדעתו של מאן-דהוא להעתיק את מצפה כרמים למיקום זה. בהקשר זה, שותף אני לעמדה שהביע חברי השופט </w:t>
      </w:r>
      <w:r w:rsidRPr="00AD1D40">
        <w:rPr>
          <w:rFonts w:ascii="Century" w:hAnsi="Century" w:cs="Miriam" w:hint="cs"/>
          <w:b/>
          <w:spacing w:val="0"/>
          <w:szCs w:val="24"/>
          <w:rtl/>
        </w:rPr>
        <w:t>הנדל</w:t>
      </w:r>
      <w:r>
        <w:rPr>
          <w:rFonts w:hint="cs"/>
          <w:rtl/>
        </w:rPr>
        <w:t xml:space="preserve">, בפסק הדין בערעור (שם, פסקה 2), כי אין מקום להתערב בממצאיו העובדתיים של בית המשפט המחוזי </w:t>
      </w:r>
      <w:r>
        <w:rPr>
          <w:rtl/>
        </w:rPr>
        <w:t>–</w:t>
      </w:r>
      <w:r>
        <w:rPr>
          <w:rFonts w:hint="cs"/>
          <w:rtl/>
        </w:rPr>
        <w:t xml:space="preserve"> ממצאים שנסמכו על שמיעת עדויות ישירות, באופן בלתי-אמצעי, והערכת מהימנותן (יש לציין: חברתי הנשיאה </w:t>
      </w:r>
      <w:r w:rsidRPr="005954C6">
        <w:rPr>
          <w:rFonts w:ascii="Century" w:hAnsi="Century" w:cs="Miriam" w:hint="cs"/>
          <w:b/>
          <w:spacing w:val="0"/>
          <w:szCs w:val="24"/>
          <w:rtl/>
        </w:rPr>
        <w:t>חיות</w:t>
      </w:r>
      <w:r w:rsidRPr="005954C6">
        <w:rPr>
          <w:rFonts w:hint="cs"/>
          <w:rtl/>
        </w:rPr>
        <w:t xml:space="preserve"> </w:t>
      </w:r>
      <w:r>
        <w:rPr>
          <w:rFonts w:hint="cs"/>
          <w:rtl/>
        </w:rPr>
        <w:t xml:space="preserve">לא קבעה, בפסק הדין בערעור, כי יש להתערב בעניין זה בפסק הדין </w:t>
      </w:r>
      <w:r>
        <w:rPr>
          <w:rFonts w:hint="cs"/>
          <w:rtl/>
        </w:rPr>
        <w:lastRenderedPageBreak/>
        <w:t xml:space="preserve">של בית המשפט המחוזי, ואף חברי, המשנה לנשיאה </w:t>
      </w:r>
      <w:r w:rsidRPr="005954C6">
        <w:rPr>
          <w:rFonts w:ascii="Century" w:hAnsi="Century" w:cs="Miriam" w:hint="cs"/>
          <w:b/>
          <w:spacing w:val="0"/>
          <w:szCs w:val="24"/>
          <w:rtl/>
        </w:rPr>
        <w:t>פוגלמן</w:t>
      </w:r>
      <w:r>
        <w:rPr>
          <w:rFonts w:hint="cs"/>
          <w:rtl/>
        </w:rPr>
        <w:t xml:space="preserve">, אמנם נחרץ יותר בחוות דעתו, אך קבע לבסוף כי הוא </w:t>
      </w:r>
      <w:r w:rsidRPr="00AD1D40">
        <w:rPr>
          <w:rFonts w:ascii="Century" w:hAnsi="Century" w:cs="Miriam" w:hint="cs"/>
          <w:b/>
          <w:spacing w:val="0"/>
          <w:szCs w:val="24"/>
          <w:rtl/>
        </w:rPr>
        <w:t>"מוכן להניח"</w:t>
      </w:r>
      <w:r>
        <w:rPr>
          <w:rFonts w:hint="cs"/>
          <w:rtl/>
        </w:rPr>
        <w:t xml:space="preserve"> שהסכמי ההרשאה התייחסו גם למקרקעין דנן). </w:t>
      </w:r>
    </w:p>
    <w:p w:rsidR="00295623" w:rsidRPr="00017F7F" w:rsidRDefault="00295623" w:rsidP="00295623">
      <w:pPr>
        <w:pStyle w:val="Ruller41"/>
        <w:tabs>
          <w:tab w:val="left" w:pos="90"/>
        </w:tabs>
        <w:spacing w:line="240" w:lineRule="auto"/>
      </w:pPr>
    </w:p>
    <w:p w:rsidR="00295623" w:rsidRDefault="00295623" w:rsidP="00295623">
      <w:pPr>
        <w:pStyle w:val="Ruller41"/>
        <w:rPr>
          <w:rtl/>
        </w:rPr>
      </w:pPr>
      <w:r>
        <w:rPr>
          <w:rFonts w:hint="cs"/>
          <w:rtl/>
        </w:rPr>
        <w:t>72.</w:t>
      </w:r>
      <w:r>
        <w:rPr>
          <w:rFonts w:hint="cs"/>
          <w:rtl/>
        </w:rPr>
        <w:tab/>
        <w:t xml:space="preserve">נקודה נוספת </w:t>
      </w:r>
      <w:r>
        <w:rPr>
          <w:rtl/>
        </w:rPr>
        <w:t>–</w:t>
      </w:r>
      <w:r>
        <w:rPr>
          <w:rFonts w:hint="cs"/>
          <w:rtl/>
        </w:rPr>
        <w:t xml:space="preserve"> בחוות דעתו, דוחה חברי המשנה לנשיאה את הטענה, כי מפת צו הסגירה, שצורפה להסכמי ההרשאה לא היתה ברורה דיה. זאת, לדבריו, נוכח התיאור המדויק של היקף השטח שנסגר, ושל פירוט הבעלויות בו, במכתב הדיווח על אודות צו הסגירה, מיום 29.12.1975 (פסקה 71 לחוות דעתו). דא עקא, לדידי, השאלה איננה אם בעת שנסגר השטח, בפברואר 1975 (או במועד הדיווח על כך </w:t>
      </w:r>
      <w:r>
        <w:rPr>
          <w:rtl/>
        </w:rPr>
        <w:t>–</w:t>
      </w:r>
      <w:r>
        <w:rPr>
          <w:rFonts w:hint="cs"/>
          <w:rtl/>
        </w:rPr>
        <w:t xml:space="preserve"> בדצמבר 1975), היקפו המדויק או המשוער היה ידוע לממונה. השאלה שעלינו לשאול היא, אם בעת כריתת הסכם ההרשאה הראשון, במהלך שנת 1981, ובמועדי כריתת הסכמי ההרשאה שבאו אחריו, שיקפה המפה שצורפה להסכמים אלה, את כוונת הצדדים לגבי השטח שהוקצה להסתדרות הציונית, אם לאו. ודוק, להסכמי ההרשאה לא צורף צו הסגירה עצמו או מכתב הדיווח המפורט על אודותיו. אמנם, צורפה לו מפה כלשהי, שדמתה לזו של צו הסגירה (דומה, אך לא זהה), אך מפה זו נערכה ללא קנה מידה, מבלעדי סימון קואורדינטו</w:t>
      </w:r>
      <w:r>
        <w:rPr>
          <w:rFonts w:hint="eastAsia"/>
          <w:rtl/>
        </w:rPr>
        <w:t>ת</w:t>
      </w:r>
      <w:r>
        <w:rPr>
          <w:rFonts w:hint="cs"/>
          <w:rtl/>
        </w:rPr>
        <w:t>, והשרטוט על גביה נעשה ב</w:t>
      </w:r>
      <w:r w:rsidRPr="001B098D">
        <w:rPr>
          <w:rFonts w:hint="eastAsia"/>
          <w:rtl/>
        </w:rPr>
        <w:t>מַצְבֵּעַ</w:t>
      </w:r>
      <w:r>
        <w:rPr>
          <w:rFonts w:hint="cs"/>
          <w:rtl/>
        </w:rPr>
        <w:t xml:space="preserve"> גס (על כך שמפות הסגירה והתפיסה היו </w:t>
      </w:r>
      <w:r w:rsidRPr="00F57C0D">
        <w:rPr>
          <w:rFonts w:ascii="Century" w:hAnsi="Century" w:cs="Miriam" w:hint="cs"/>
          <w:b/>
          <w:spacing w:val="0"/>
          <w:szCs w:val="24"/>
          <w:rtl/>
        </w:rPr>
        <w:t>"מאוד לא מדויקות"</w:t>
      </w:r>
      <w:r>
        <w:rPr>
          <w:rFonts w:hint="cs"/>
          <w:rtl/>
        </w:rPr>
        <w:t xml:space="preserve"> העיד גם כספי, מטעם המדינה </w:t>
      </w:r>
      <w:r>
        <w:rPr>
          <w:rtl/>
        </w:rPr>
        <w:t>–</w:t>
      </w:r>
      <w:r>
        <w:rPr>
          <w:rFonts w:hint="cs"/>
          <w:rtl/>
        </w:rPr>
        <w:t xml:space="preserve"> עמ' 214, שורה 30; ועמ' 217, שורה 5-4, לפרוטוקול הדיון בבית המשפט המחוזי). </w:t>
      </w:r>
    </w:p>
    <w:p w:rsidR="00295623" w:rsidRPr="009D36A4" w:rsidRDefault="00295623" w:rsidP="00295623">
      <w:pPr>
        <w:pStyle w:val="Ruller41"/>
        <w:tabs>
          <w:tab w:val="left" w:pos="90"/>
        </w:tabs>
        <w:spacing w:line="240" w:lineRule="auto"/>
      </w:pPr>
    </w:p>
    <w:p w:rsidR="00295623" w:rsidRDefault="00295623" w:rsidP="00295623">
      <w:pPr>
        <w:pStyle w:val="Ruller41"/>
        <w:rPr>
          <w:rtl/>
        </w:rPr>
      </w:pPr>
      <w:r>
        <w:rPr>
          <w:rFonts w:hint="cs"/>
          <w:rtl/>
        </w:rPr>
        <w:t>73.</w:t>
      </w:r>
      <w:r>
        <w:rPr>
          <w:rFonts w:hint="cs"/>
          <w:rtl/>
        </w:rPr>
        <w:tab/>
        <w:t xml:space="preserve">על כך יש להוסיף, כי מחומר הראיות שבתיק עולה, כי באותה עת שלטה התפיסה (המחשבתית) שלפיה התפיסה (הפיסית) אינה תחומה לגבולות השטח שסומן במפת התפיסה (או הסגירה), כי אם לשטח שנתפס </w:t>
      </w:r>
      <w:r w:rsidRPr="00814D59">
        <w:rPr>
          <w:rFonts w:ascii="Century" w:hAnsi="Century" w:cs="Miriam" w:hint="cs"/>
          <w:b/>
          <w:spacing w:val="0"/>
          <w:szCs w:val="24"/>
          <w:rtl/>
        </w:rPr>
        <w:t>בפועל</w:t>
      </w:r>
      <w:r>
        <w:rPr>
          <w:rFonts w:hint="cs"/>
          <w:rtl/>
        </w:rPr>
        <w:t xml:space="preserve">. חברי דוחה אמנם את טענת התפיסה בפועל, משום שלגישתו, לא היה כל </w:t>
      </w:r>
      <w:r w:rsidRPr="009D36A4">
        <w:rPr>
          <w:rFonts w:ascii="Century" w:hAnsi="Century" w:cs="Miriam" w:hint="cs"/>
          <w:b/>
          <w:spacing w:val="0"/>
          <w:szCs w:val="24"/>
          <w:rtl/>
        </w:rPr>
        <w:t>"צורך דחוף"</w:t>
      </w:r>
      <w:r>
        <w:rPr>
          <w:rFonts w:hint="cs"/>
          <w:rtl/>
        </w:rPr>
        <w:t xml:space="preserve"> בתפיסה ללא צו. מכאן, שאין להניח כי שטח של מאות דונמים נתפס, מבלי שכל ההוראות שצורפו לצו התפיסה קוימו כהלכתן (פרסום התפיסה, הודעה לבעלי הזכויות, הודעה למוכתרים, וכיוצא באלה). ברם, לגישתי, תורף העניין איננו בכך, כלל ועיקר. השאלה איננה אם נפלו פגמים בדרך התפיסה, וכיצד היה ראוי לפעול. השאלה שאותה עלינו לשאול עצמנו עתה, היא מה סברו הנפשות הפועלות </w:t>
      </w:r>
      <w:r w:rsidRPr="00E930B1">
        <w:rPr>
          <w:rFonts w:ascii="Century" w:hAnsi="Century" w:cs="Miriam" w:hint="eastAsia"/>
          <w:b/>
          <w:spacing w:val="0"/>
          <w:szCs w:val="24"/>
          <w:rtl/>
        </w:rPr>
        <w:t>בזמן</w:t>
      </w:r>
      <w:r w:rsidRPr="00E930B1">
        <w:rPr>
          <w:rFonts w:ascii="Century" w:hAnsi="Century" w:cs="Miriam"/>
          <w:b/>
          <w:spacing w:val="0"/>
          <w:szCs w:val="24"/>
          <w:rtl/>
        </w:rPr>
        <w:t xml:space="preserve"> </w:t>
      </w:r>
      <w:r w:rsidRPr="00E930B1">
        <w:rPr>
          <w:rFonts w:ascii="Century" w:hAnsi="Century" w:cs="Miriam" w:hint="eastAsia"/>
          <w:b/>
          <w:spacing w:val="0"/>
          <w:szCs w:val="24"/>
          <w:rtl/>
        </w:rPr>
        <w:t>אמת</w:t>
      </w:r>
      <w:r>
        <w:rPr>
          <w:rFonts w:hint="cs"/>
          <w:rtl/>
        </w:rPr>
        <w:t xml:space="preserve">, לגבי היקף השטח שנתפס. התשובה לשאלה זו, כעולה בבירור מחומר הראיות, היא כי סברת כל הגורמים היתה, לאורך השנים, ששטח התפיסה הצבאית הוא זה </w:t>
      </w:r>
      <w:r w:rsidRPr="00245FCD">
        <w:rPr>
          <w:rFonts w:ascii="Century" w:hAnsi="Century" w:cs="Miriam" w:hint="eastAsia"/>
          <w:b/>
          <w:spacing w:val="0"/>
          <w:szCs w:val="24"/>
          <w:rtl/>
        </w:rPr>
        <w:t>שנתפס</w:t>
      </w:r>
      <w:r w:rsidRPr="00245FCD">
        <w:rPr>
          <w:rFonts w:ascii="Century" w:hAnsi="Century" w:cs="Miriam"/>
          <w:b/>
          <w:spacing w:val="0"/>
          <w:szCs w:val="24"/>
          <w:rtl/>
        </w:rPr>
        <w:t xml:space="preserve"> </w:t>
      </w:r>
      <w:r w:rsidRPr="00245FCD">
        <w:rPr>
          <w:rFonts w:ascii="Century" w:hAnsi="Century" w:cs="Miriam" w:hint="eastAsia"/>
          <w:b/>
          <w:spacing w:val="0"/>
          <w:szCs w:val="24"/>
          <w:rtl/>
        </w:rPr>
        <w:t>בפועל</w:t>
      </w:r>
      <w:r>
        <w:rPr>
          <w:rFonts w:hint="cs"/>
          <w:rtl/>
        </w:rPr>
        <w:t xml:space="preserve">, ולאו דווקא תא השטח המסוים שסומן במפות. כך, במכתב מיום 17.5.1990, ציין הממונה לפי צו 997 (מושקוביץ) כי קיים קושי בכך שמגרשים מסוימים, בצפון כוכב השחר, נמצאים </w:t>
      </w:r>
      <w:r w:rsidRPr="00245FCD">
        <w:rPr>
          <w:rFonts w:ascii="Century" w:hAnsi="Century" w:cs="Miriam"/>
          <w:b/>
          <w:spacing w:val="0"/>
          <w:szCs w:val="24"/>
          <w:rtl/>
        </w:rPr>
        <w:t>"</w:t>
      </w:r>
      <w:r w:rsidRPr="00245FCD">
        <w:rPr>
          <w:rFonts w:ascii="Century" w:hAnsi="Century" w:cs="Miriam" w:hint="eastAsia"/>
          <w:b/>
          <w:spacing w:val="0"/>
          <w:szCs w:val="24"/>
          <w:rtl/>
        </w:rPr>
        <w:t>מחוץ</w:t>
      </w:r>
      <w:r w:rsidRPr="00245FCD">
        <w:rPr>
          <w:rFonts w:ascii="Century" w:hAnsi="Century" w:cs="Miriam"/>
          <w:b/>
          <w:spacing w:val="0"/>
          <w:szCs w:val="24"/>
          <w:rtl/>
        </w:rPr>
        <w:t xml:space="preserve"> </w:t>
      </w:r>
      <w:r w:rsidRPr="00245FCD">
        <w:rPr>
          <w:rFonts w:ascii="Century" w:hAnsi="Century" w:cs="Miriam" w:hint="eastAsia"/>
          <w:b/>
          <w:spacing w:val="0"/>
          <w:szCs w:val="24"/>
          <w:rtl/>
        </w:rPr>
        <w:t>לגבולות</w:t>
      </w:r>
      <w:r w:rsidRPr="00245FCD">
        <w:rPr>
          <w:rFonts w:ascii="Century" w:hAnsi="Century" w:cs="Miriam"/>
          <w:b/>
          <w:spacing w:val="0"/>
          <w:szCs w:val="24"/>
          <w:rtl/>
        </w:rPr>
        <w:t xml:space="preserve"> </w:t>
      </w:r>
      <w:r w:rsidRPr="00245FCD">
        <w:rPr>
          <w:rFonts w:ascii="Century" w:hAnsi="Century" w:cs="Miriam" w:hint="eastAsia"/>
          <w:b/>
          <w:spacing w:val="0"/>
          <w:szCs w:val="24"/>
          <w:rtl/>
        </w:rPr>
        <w:t>התפיסה</w:t>
      </w:r>
      <w:r w:rsidRPr="00245FCD">
        <w:rPr>
          <w:rFonts w:ascii="Century" w:hAnsi="Century" w:cs="Miriam"/>
          <w:b/>
          <w:spacing w:val="0"/>
          <w:szCs w:val="24"/>
          <w:rtl/>
        </w:rPr>
        <w:t xml:space="preserve"> </w:t>
      </w:r>
      <w:r w:rsidRPr="00245FCD">
        <w:rPr>
          <w:rFonts w:ascii="Century" w:hAnsi="Century" w:cs="Miriam" w:hint="eastAsia"/>
          <w:b/>
          <w:spacing w:val="0"/>
          <w:szCs w:val="24"/>
          <w:u w:val="single"/>
          <w:rtl/>
        </w:rPr>
        <w:t>בפועל</w:t>
      </w:r>
      <w:r w:rsidRPr="00245FCD">
        <w:rPr>
          <w:rFonts w:ascii="Century" w:hAnsi="Century" w:cs="Miriam"/>
          <w:b/>
          <w:spacing w:val="0"/>
          <w:szCs w:val="24"/>
          <w:rtl/>
        </w:rPr>
        <w:t xml:space="preserve"> (</w:t>
      </w:r>
      <w:r w:rsidRPr="00245FCD">
        <w:rPr>
          <w:rFonts w:ascii="Century" w:hAnsi="Century" w:cs="Miriam" w:hint="eastAsia"/>
          <w:b/>
          <w:spacing w:val="0"/>
          <w:szCs w:val="24"/>
          <w:rtl/>
        </w:rPr>
        <w:t>מחוץ</w:t>
      </w:r>
      <w:r w:rsidRPr="00245FCD">
        <w:rPr>
          <w:rFonts w:ascii="Century" w:hAnsi="Century" w:cs="Miriam"/>
          <w:b/>
          <w:spacing w:val="0"/>
          <w:szCs w:val="24"/>
          <w:rtl/>
        </w:rPr>
        <w:t xml:space="preserve"> </w:t>
      </w:r>
      <w:r w:rsidRPr="00245FCD">
        <w:rPr>
          <w:rFonts w:ascii="Century" w:hAnsi="Century" w:cs="Miriam" w:hint="eastAsia"/>
          <w:b/>
          <w:spacing w:val="0"/>
          <w:szCs w:val="24"/>
          <w:rtl/>
        </w:rPr>
        <w:t>לגדר</w:t>
      </w:r>
      <w:r w:rsidRPr="00245FCD">
        <w:rPr>
          <w:rFonts w:ascii="Century" w:hAnsi="Century" w:cs="Miriam"/>
          <w:b/>
          <w:spacing w:val="0"/>
          <w:szCs w:val="24"/>
          <w:rtl/>
        </w:rPr>
        <w:t xml:space="preserve"> </w:t>
      </w:r>
      <w:r w:rsidRPr="00245FCD">
        <w:rPr>
          <w:rFonts w:ascii="Century" w:hAnsi="Century" w:cs="Miriam" w:hint="eastAsia"/>
          <w:b/>
          <w:spacing w:val="0"/>
          <w:szCs w:val="24"/>
          <w:rtl/>
        </w:rPr>
        <w:t>הישוב</w:t>
      </w:r>
      <w:r w:rsidRPr="00245FCD">
        <w:rPr>
          <w:rFonts w:ascii="Century" w:hAnsi="Century" w:cs="Miriam"/>
          <w:b/>
          <w:spacing w:val="0"/>
          <w:szCs w:val="24"/>
          <w:rtl/>
        </w:rPr>
        <w:t>)"</w:t>
      </w:r>
      <w:r>
        <w:rPr>
          <w:rFonts w:hint="cs"/>
          <w:rtl/>
        </w:rPr>
        <w:t xml:space="preserve">; במכתב אחר מיום 10.6.1990, ציין בלומנטל, כי </w:t>
      </w:r>
      <w:r w:rsidRPr="00245FCD">
        <w:rPr>
          <w:rFonts w:ascii="Century" w:hAnsi="Century" w:cs="Miriam"/>
          <w:b/>
          <w:spacing w:val="0"/>
          <w:szCs w:val="24"/>
          <w:rtl/>
        </w:rPr>
        <w:t>"</w:t>
      </w:r>
      <w:r w:rsidRPr="00245FCD">
        <w:rPr>
          <w:rFonts w:ascii="Century" w:hAnsi="Century" w:cs="Miriam" w:hint="eastAsia"/>
          <w:b/>
          <w:spacing w:val="0"/>
          <w:szCs w:val="24"/>
          <w:rtl/>
        </w:rPr>
        <w:t>אין</w:t>
      </w:r>
      <w:r w:rsidRPr="00245FCD">
        <w:rPr>
          <w:rFonts w:ascii="Century" w:hAnsi="Century" w:cs="Miriam"/>
          <w:b/>
          <w:spacing w:val="0"/>
          <w:szCs w:val="24"/>
          <w:rtl/>
        </w:rPr>
        <w:t xml:space="preserve"> </w:t>
      </w:r>
      <w:r w:rsidRPr="00245FCD">
        <w:rPr>
          <w:rFonts w:ascii="Century" w:hAnsi="Century" w:cs="Miriam" w:hint="eastAsia"/>
          <w:b/>
          <w:spacing w:val="0"/>
          <w:szCs w:val="24"/>
          <w:rtl/>
        </w:rPr>
        <w:t>כל</w:t>
      </w:r>
      <w:r w:rsidRPr="00245FCD">
        <w:rPr>
          <w:rFonts w:ascii="Century" w:hAnsi="Century" w:cs="Miriam"/>
          <w:b/>
          <w:spacing w:val="0"/>
          <w:szCs w:val="24"/>
          <w:rtl/>
        </w:rPr>
        <w:t xml:space="preserve"> </w:t>
      </w:r>
      <w:r w:rsidRPr="00245FCD">
        <w:rPr>
          <w:rFonts w:ascii="Century" w:hAnsi="Century" w:cs="Miriam" w:hint="eastAsia"/>
          <w:b/>
          <w:spacing w:val="0"/>
          <w:szCs w:val="24"/>
          <w:rtl/>
        </w:rPr>
        <w:t>בסיס</w:t>
      </w:r>
      <w:r w:rsidRPr="00245FCD">
        <w:rPr>
          <w:rFonts w:ascii="Century" w:hAnsi="Century" w:cs="Miriam"/>
          <w:b/>
          <w:spacing w:val="0"/>
          <w:szCs w:val="24"/>
          <w:rtl/>
        </w:rPr>
        <w:t xml:space="preserve"> </w:t>
      </w:r>
      <w:r w:rsidRPr="00245FCD">
        <w:rPr>
          <w:rFonts w:ascii="Century" w:hAnsi="Century" w:cs="Miriam" w:hint="eastAsia"/>
          <w:b/>
          <w:spacing w:val="0"/>
          <w:szCs w:val="24"/>
          <w:rtl/>
        </w:rPr>
        <w:t>משפטי</w:t>
      </w:r>
      <w:r w:rsidRPr="00245FCD">
        <w:rPr>
          <w:rFonts w:ascii="Century" w:hAnsi="Century" w:cs="Miriam"/>
          <w:b/>
          <w:spacing w:val="0"/>
          <w:szCs w:val="24"/>
          <w:rtl/>
        </w:rPr>
        <w:t xml:space="preserve"> </w:t>
      </w:r>
      <w:r w:rsidRPr="00245FCD">
        <w:rPr>
          <w:rFonts w:ascii="Century" w:hAnsi="Century" w:cs="Miriam" w:hint="eastAsia"/>
          <w:b/>
          <w:spacing w:val="0"/>
          <w:szCs w:val="24"/>
          <w:rtl/>
        </w:rPr>
        <w:t>היכול</w:t>
      </w:r>
      <w:r w:rsidRPr="00245FCD">
        <w:rPr>
          <w:rFonts w:ascii="Century" w:hAnsi="Century" w:cs="Miriam"/>
          <w:b/>
          <w:spacing w:val="0"/>
          <w:szCs w:val="24"/>
          <w:rtl/>
        </w:rPr>
        <w:t xml:space="preserve"> </w:t>
      </w:r>
      <w:r w:rsidRPr="00245FCD">
        <w:rPr>
          <w:rFonts w:ascii="Century" w:hAnsi="Century" w:cs="Miriam" w:hint="eastAsia"/>
          <w:b/>
          <w:spacing w:val="0"/>
          <w:szCs w:val="24"/>
          <w:rtl/>
        </w:rPr>
        <w:t>לאשר</w:t>
      </w:r>
      <w:r w:rsidRPr="00245FCD">
        <w:rPr>
          <w:rFonts w:ascii="Century" w:hAnsi="Century" w:cs="Miriam"/>
          <w:b/>
          <w:spacing w:val="0"/>
          <w:szCs w:val="24"/>
          <w:rtl/>
        </w:rPr>
        <w:t xml:space="preserve"> </w:t>
      </w:r>
      <w:r w:rsidRPr="00245FCD">
        <w:rPr>
          <w:rFonts w:ascii="Century" w:hAnsi="Century" w:cs="Miriam" w:hint="eastAsia"/>
          <w:b/>
          <w:spacing w:val="0"/>
          <w:szCs w:val="24"/>
          <w:rtl/>
        </w:rPr>
        <w:t>בינוי</w:t>
      </w:r>
      <w:r w:rsidRPr="00245FCD">
        <w:rPr>
          <w:rFonts w:ascii="Century" w:hAnsi="Century" w:cs="Miriam"/>
          <w:b/>
          <w:spacing w:val="0"/>
          <w:szCs w:val="24"/>
          <w:rtl/>
        </w:rPr>
        <w:t xml:space="preserve"> </w:t>
      </w:r>
      <w:r w:rsidRPr="00245FCD">
        <w:rPr>
          <w:rFonts w:ascii="Century" w:hAnsi="Century" w:cs="Miriam" w:hint="eastAsia"/>
          <w:b/>
          <w:spacing w:val="0"/>
          <w:szCs w:val="24"/>
          <w:rtl/>
        </w:rPr>
        <w:t>מגרשים</w:t>
      </w:r>
      <w:r w:rsidRPr="00245FCD">
        <w:rPr>
          <w:rFonts w:ascii="Century" w:hAnsi="Century" w:cs="Miriam"/>
          <w:b/>
          <w:spacing w:val="0"/>
          <w:szCs w:val="24"/>
          <w:rtl/>
        </w:rPr>
        <w:t xml:space="preserve"> </w:t>
      </w:r>
      <w:r w:rsidRPr="00245FCD">
        <w:rPr>
          <w:rFonts w:ascii="Century" w:hAnsi="Century" w:cs="Miriam" w:hint="eastAsia"/>
          <w:b/>
          <w:spacing w:val="0"/>
          <w:szCs w:val="24"/>
          <w:rtl/>
        </w:rPr>
        <w:t>אלו</w:t>
      </w:r>
      <w:r w:rsidRPr="00245FCD">
        <w:rPr>
          <w:rFonts w:ascii="Century" w:hAnsi="Century" w:cs="Miriam"/>
          <w:b/>
          <w:spacing w:val="0"/>
          <w:szCs w:val="24"/>
          <w:rtl/>
        </w:rPr>
        <w:t xml:space="preserve"> </w:t>
      </w:r>
      <w:r w:rsidRPr="00245FCD">
        <w:rPr>
          <w:rFonts w:ascii="Century" w:hAnsi="Century" w:cs="Miriam" w:hint="eastAsia"/>
          <w:b/>
          <w:spacing w:val="0"/>
          <w:szCs w:val="24"/>
          <w:rtl/>
        </w:rPr>
        <w:t>שכן</w:t>
      </w:r>
      <w:r w:rsidRPr="00245FCD">
        <w:rPr>
          <w:rFonts w:ascii="Century" w:hAnsi="Century" w:cs="Miriam"/>
          <w:b/>
          <w:spacing w:val="0"/>
          <w:szCs w:val="24"/>
          <w:rtl/>
        </w:rPr>
        <w:t xml:space="preserve"> </w:t>
      </w:r>
      <w:r w:rsidRPr="00245FCD">
        <w:rPr>
          <w:rFonts w:ascii="Century" w:hAnsi="Century" w:cs="Miriam" w:hint="eastAsia"/>
          <w:b/>
          <w:spacing w:val="0"/>
          <w:szCs w:val="24"/>
          <w:rtl/>
        </w:rPr>
        <w:t>צו</w:t>
      </w:r>
      <w:r w:rsidRPr="00245FCD">
        <w:rPr>
          <w:rFonts w:ascii="Century" w:hAnsi="Century" w:cs="Miriam"/>
          <w:b/>
          <w:spacing w:val="0"/>
          <w:szCs w:val="24"/>
          <w:rtl/>
        </w:rPr>
        <w:t xml:space="preserve"> </w:t>
      </w:r>
      <w:r w:rsidRPr="00245FCD">
        <w:rPr>
          <w:rFonts w:ascii="Century" w:hAnsi="Century" w:cs="Miriam" w:hint="eastAsia"/>
          <w:b/>
          <w:spacing w:val="0"/>
          <w:szCs w:val="24"/>
          <w:rtl/>
        </w:rPr>
        <w:t>התפיסה</w:t>
      </w:r>
      <w:r w:rsidRPr="00245FCD">
        <w:rPr>
          <w:rFonts w:ascii="Century" w:hAnsi="Century" w:cs="Miriam"/>
          <w:b/>
          <w:spacing w:val="0"/>
          <w:szCs w:val="24"/>
          <w:rtl/>
        </w:rPr>
        <w:t xml:space="preserve"> </w:t>
      </w:r>
      <w:r w:rsidRPr="00245FCD">
        <w:rPr>
          <w:rFonts w:ascii="Century" w:hAnsi="Century" w:cs="Miriam" w:hint="eastAsia"/>
          <w:b/>
          <w:spacing w:val="0"/>
          <w:szCs w:val="24"/>
          <w:rtl/>
        </w:rPr>
        <w:t>עפ</w:t>
      </w:r>
      <w:r w:rsidRPr="00245FCD">
        <w:rPr>
          <w:rFonts w:ascii="Century" w:hAnsi="Century" w:cs="Miriam"/>
          <w:b/>
          <w:spacing w:val="0"/>
          <w:szCs w:val="24"/>
          <w:rtl/>
        </w:rPr>
        <w:t>"</w:t>
      </w:r>
      <w:r w:rsidRPr="00245FCD">
        <w:rPr>
          <w:rFonts w:ascii="Century" w:hAnsi="Century" w:cs="Miriam" w:hint="eastAsia"/>
          <w:b/>
          <w:spacing w:val="0"/>
          <w:szCs w:val="24"/>
          <w:rtl/>
        </w:rPr>
        <w:t>י</w:t>
      </w:r>
      <w:r w:rsidRPr="00245FCD">
        <w:rPr>
          <w:rFonts w:ascii="Century" w:hAnsi="Century" w:cs="Miriam"/>
          <w:b/>
          <w:spacing w:val="0"/>
          <w:szCs w:val="24"/>
          <w:rtl/>
        </w:rPr>
        <w:t xml:space="preserve"> </w:t>
      </w:r>
      <w:r w:rsidRPr="00245FCD">
        <w:rPr>
          <w:rFonts w:ascii="Century" w:hAnsi="Century" w:cs="Miriam" w:hint="eastAsia"/>
          <w:b/>
          <w:spacing w:val="0"/>
          <w:szCs w:val="24"/>
          <w:u w:val="single"/>
          <w:rtl/>
        </w:rPr>
        <w:t>מימושו</w:t>
      </w:r>
      <w:r w:rsidRPr="00245FCD">
        <w:rPr>
          <w:rFonts w:ascii="Century" w:hAnsi="Century" w:cs="Miriam"/>
          <w:b/>
          <w:spacing w:val="0"/>
          <w:szCs w:val="24"/>
          <w:u w:val="single"/>
          <w:rtl/>
        </w:rPr>
        <w:t xml:space="preserve"> </w:t>
      </w:r>
      <w:r w:rsidRPr="00245FCD">
        <w:rPr>
          <w:rFonts w:ascii="Century" w:hAnsi="Century" w:cs="Miriam" w:hint="eastAsia"/>
          <w:b/>
          <w:spacing w:val="0"/>
          <w:szCs w:val="24"/>
          <w:u w:val="single"/>
          <w:rtl/>
        </w:rPr>
        <w:t>בפועל</w:t>
      </w:r>
      <w:r w:rsidRPr="00245FCD">
        <w:rPr>
          <w:rFonts w:ascii="Century" w:hAnsi="Century" w:cs="Miriam"/>
          <w:b/>
          <w:spacing w:val="0"/>
          <w:szCs w:val="24"/>
          <w:rtl/>
        </w:rPr>
        <w:t xml:space="preserve"> </w:t>
      </w:r>
      <w:r w:rsidRPr="00245FCD">
        <w:rPr>
          <w:rFonts w:ascii="Century" w:hAnsi="Century" w:cs="Miriam" w:hint="eastAsia"/>
          <w:b/>
          <w:spacing w:val="0"/>
          <w:szCs w:val="24"/>
          <w:rtl/>
        </w:rPr>
        <w:t>לא</w:t>
      </w:r>
      <w:r w:rsidRPr="00245FCD">
        <w:rPr>
          <w:rFonts w:ascii="Century" w:hAnsi="Century" w:cs="Miriam"/>
          <w:b/>
          <w:spacing w:val="0"/>
          <w:szCs w:val="24"/>
          <w:rtl/>
        </w:rPr>
        <w:t xml:space="preserve"> </w:t>
      </w:r>
      <w:r w:rsidRPr="00245FCD">
        <w:rPr>
          <w:rFonts w:ascii="Century" w:hAnsi="Century" w:cs="Miriam" w:hint="eastAsia"/>
          <w:b/>
          <w:spacing w:val="0"/>
          <w:szCs w:val="24"/>
          <w:rtl/>
        </w:rPr>
        <w:t>חל</w:t>
      </w:r>
      <w:r w:rsidRPr="00245FCD">
        <w:rPr>
          <w:rFonts w:ascii="Century" w:hAnsi="Century" w:cs="Miriam"/>
          <w:b/>
          <w:spacing w:val="0"/>
          <w:szCs w:val="24"/>
          <w:rtl/>
        </w:rPr>
        <w:t xml:space="preserve"> </w:t>
      </w:r>
      <w:r w:rsidRPr="00245FCD">
        <w:rPr>
          <w:rFonts w:ascii="Century" w:hAnsi="Century" w:cs="Miriam" w:hint="eastAsia"/>
          <w:b/>
          <w:spacing w:val="0"/>
          <w:szCs w:val="24"/>
          <w:rtl/>
        </w:rPr>
        <w:t>על</w:t>
      </w:r>
      <w:r w:rsidRPr="00245FCD">
        <w:rPr>
          <w:rFonts w:ascii="Century" w:hAnsi="Century" w:cs="Miriam"/>
          <w:b/>
          <w:spacing w:val="0"/>
          <w:szCs w:val="24"/>
          <w:rtl/>
        </w:rPr>
        <w:t xml:space="preserve"> </w:t>
      </w:r>
      <w:r w:rsidRPr="00245FCD">
        <w:rPr>
          <w:rFonts w:ascii="Century" w:hAnsi="Century" w:cs="Miriam" w:hint="eastAsia"/>
          <w:b/>
          <w:spacing w:val="0"/>
          <w:szCs w:val="24"/>
          <w:rtl/>
        </w:rPr>
        <w:t>מגרשים</w:t>
      </w:r>
      <w:r w:rsidRPr="00245FCD">
        <w:rPr>
          <w:rFonts w:ascii="Century" w:hAnsi="Century" w:cs="Miriam"/>
          <w:b/>
          <w:spacing w:val="0"/>
          <w:szCs w:val="24"/>
          <w:rtl/>
        </w:rPr>
        <w:t xml:space="preserve"> </w:t>
      </w:r>
      <w:r w:rsidRPr="00245FCD">
        <w:rPr>
          <w:rFonts w:ascii="Century" w:hAnsi="Century" w:cs="Miriam" w:hint="eastAsia"/>
          <w:b/>
          <w:spacing w:val="0"/>
          <w:szCs w:val="24"/>
          <w:rtl/>
        </w:rPr>
        <w:lastRenderedPageBreak/>
        <w:t>אלו</w:t>
      </w:r>
      <w:r w:rsidRPr="00245FCD">
        <w:rPr>
          <w:rFonts w:ascii="Century" w:hAnsi="Century" w:cs="Miriam"/>
          <w:b/>
          <w:spacing w:val="0"/>
          <w:szCs w:val="24"/>
          <w:rtl/>
        </w:rPr>
        <w:t>"</w:t>
      </w:r>
      <w:r>
        <w:rPr>
          <w:rFonts w:hint="cs"/>
          <w:rtl/>
        </w:rPr>
        <w:t xml:space="preserve">, וכן כי: </w:t>
      </w:r>
      <w:r w:rsidRPr="00245FCD">
        <w:rPr>
          <w:rFonts w:ascii="Century" w:hAnsi="Century" w:cs="Miriam"/>
          <w:b/>
          <w:spacing w:val="0"/>
          <w:szCs w:val="24"/>
          <w:rtl/>
        </w:rPr>
        <w:t>"</w:t>
      </w:r>
      <w:r w:rsidRPr="00245FCD">
        <w:rPr>
          <w:rFonts w:ascii="Century" w:hAnsi="Century" w:cs="Miriam" w:hint="eastAsia"/>
          <w:b/>
          <w:spacing w:val="0"/>
          <w:szCs w:val="24"/>
          <w:rtl/>
        </w:rPr>
        <w:t>צו</w:t>
      </w:r>
      <w:r w:rsidRPr="00245FCD">
        <w:rPr>
          <w:rFonts w:ascii="Century" w:hAnsi="Century" w:cs="Miriam"/>
          <w:b/>
          <w:spacing w:val="0"/>
          <w:szCs w:val="24"/>
          <w:rtl/>
        </w:rPr>
        <w:t xml:space="preserve"> </w:t>
      </w:r>
      <w:r w:rsidRPr="00245FCD">
        <w:rPr>
          <w:rFonts w:ascii="Century" w:hAnsi="Century" w:cs="Miriam" w:hint="eastAsia"/>
          <w:b/>
          <w:spacing w:val="0"/>
          <w:szCs w:val="24"/>
          <w:rtl/>
        </w:rPr>
        <w:t>התפיסה</w:t>
      </w:r>
      <w:r w:rsidRPr="00245FCD">
        <w:rPr>
          <w:rFonts w:ascii="Century" w:hAnsi="Century" w:cs="Miriam"/>
          <w:b/>
          <w:spacing w:val="0"/>
          <w:szCs w:val="24"/>
          <w:rtl/>
        </w:rPr>
        <w:t xml:space="preserve"> </w:t>
      </w:r>
      <w:r w:rsidRPr="00245FCD">
        <w:rPr>
          <w:rFonts w:ascii="Century" w:hAnsi="Century" w:cs="Miriam" w:hint="eastAsia"/>
          <w:b/>
          <w:spacing w:val="0"/>
          <w:szCs w:val="24"/>
          <w:rtl/>
        </w:rPr>
        <w:t>נבחן</w:t>
      </w:r>
      <w:r w:rsidRPr="00245FCD">
        <w:rPr>
          <w:rFonts w:ascii="Century" w:hAnsi="Century" w:cs="Miriam"/>
          <w:b/>
          <w:spacing w:val="0"/>
          <w:szCs w:val="24"/>
          <w:rtl/>
        </w:rPr>
        <w:t xml:space="preserve"> </w:t>
      </w:r>
      <w:r w:rsidRPr="00245FCD">
        <w:rPr>
          <w:rFonts w:ascii="Century" w:hAnsi="Century" w:cs="Miriam" w:hint="eastAsia"/>
          <w:b/>
          <w:spacing w:val="0"/>
          <w:szCs w:val="24"/>
          <w:rtl/>
        </w:rPr>
        <w:t>ועומד</w:t>
      </w:r>
      <w:r w:rsidRPr="00245FCD">
        <w:rPr>
          <w:rFonts w:ascii="Century" w:hAnsi="Century" w:cs="Miriam"/>
          <w:b/>
          <w:spacing w:val="0"/>
          <w:szCs w:val="24"/>
          <w:rtl/>
        </w:rPr>
        <w:t xml:space="preserve"> </w:t>
      </w:r>
      <w:r w:rsidRPr="00245FCD">
        <w:rPr>
          <w:rFonts w:ascii="Century" w:hAnsi="Century" w:cs="Miriam" w:hint="eastAsia"/>
          <w:b/>
          <w:spacing w:val="0"/>
          <w:szCs w:val="24"/>
          <w:rtl/>
        </w:rPr>
        <w:t>במבחן</w:t>
      </w:r>
      <w:r w:rsidRPr="00245FCD">
        <w:rPr>
          <w:rFonts w:ascii="Century" w:hAnsi="Century" w:cs="Miriam"/>
          <w:b/>
          <w:spacing w:val="0"/>
          <w:szCs w:val="24"/>
          <w:rtl/>
        </w:rPr>
        <w:t xml:space="preserve"> </w:t>
      </w:r>
      <w:r w:rsidRPr="00245FCD">
        <w:rPr>
          <w:rFonts w:ascii="Century" w:hAnsi="Century" w:cs="Miriam" w:hint="eastAsia"/>
          <w:b/>
          <w:spacing w:val="0"/>
          <w:szCs w:val="24"/>
          <w:rtl/>
        </w:rPr>
        <w:t>החוקיות</w:t>
      </w:r>
      <w:r w:rsidRPr="00245FCD">
        <w:rPr>
          <w:rFonts w:ascii="Century" w:hAnsi="Century" w:cs="Miriam"/>
          <w:b/>
          <w:spacing w:val="0"/>
          <w:szCs w:val="24"/>
          <w:rtl/>
        </w:rPr>
        <w:t xml:space="preserve"> </w:t>
      </w:r>
      <w:r w:rsidRPr="00245FCD">
        <w:rPr>
          <w:rFonts w:ascii="Century" w:hAnsi="Century" w:cs="Miriam" w:hint="eastAsia"/>
          <w:b/>
          <w:spacing w:val="0"/>
          <w:szCs w:val="24"/>
          <w:u w:val="single"/>
          <w:rtl/>
        </w:rPr>
        <w:t>עפ</w:t>
      </w:r>
      <w:r w:rsidRPr="00245FCD">
        <w:rPr>
          <w:rFonts w:ascii="Century" w:hAnsi="Century" w:cs="Miriam"/>
          <w:b/>
          <w:spacing w:val="0"/>
          <w:szCs w:val="24"/>
          <w:u w:val="single"/>
          <w:rtl/>
        </w:rPr>
        <w:t>"</w:t>
      </w:r>
      <w:r w:rsidRPr="00245FCD">
        <w:rPr>
          <w:rFonts w:ascii="Century" w:hAnsi="Century" w:cs="Miriam" w:hint="eastAsia"/>
          <w:b/>
          <w:spacing w:val="0"/>
          <w:szCs w:val="24"/>
          <w:u w:val="single"/>
          <w:rtl/>
        </w:rPr>
        <w:t>י</w:t>
      </w:r>
      <w:r w:rsidRPr="00245FCD">
        <w:rPr>
          <w:rFonts w:ascii="Century" w:hAnsi="Century" w:cs="Miriam"/>
          <w:b/>
          <w:spacing w:val="0"/>
          <w:szCs w:val="24"/>
          <w:u w:val="single"/>
          <w:rtl/>
        </w:rPr>
        <w:t xml:space="preserve"> </w:t>
      </w:r>
      <w:r w:rsidRPr="00245FCD">
        <w:rPr>
          <w:rFonts w:ascii="Century" w:hAnsi="Century" w:cs="Miriam" w:hint="eastAsia"/>
          <w:b/>
          <w:spacing w:val="0"/>
          <w:szCs w:val="24"/>
          <w:u w:val="single"/>
          <w:rtl/>
        </w:rPr>
        <w:t>התפיסה</w:t>
      </w:r>
      <w:r w:rsidRPr="00245FCD">
        <w:rPr>
          <w:rFonts w:ascii="Century" w:hAnsi="Century" w:cs="Miriam"/>
          <w:b/>
          <w:spacing w:val="0"/>
          <w:szCs w:val="24"/>
          <w:u w:val="single"/>
          <w:rtl/>
        </w:rPr>
        <w:t xml:space="preserve"> </w:t>
      </w:r>
      <w:r w:rsidRPr="00245FCD">
        <w:rPr>
          <w:rFonts w:ascii="Century" w:hAnsi="Century" w:cs="Miriam" w:hint="eastAsia"/>
          <w:b/>
          <w:spacing w:val="0"/>
          <w:szCs w:val="24"/>
          <w:u w:val="single"/>
          <w:rtl/>
        </w:rPr>
        <w:t>בפועל</w:t>
      </w:r>
      <w:r w:rsidRPr="00245FCD">
        <w:rPr>
          <w:rFonts w:ascii="Century" w:hAnsi="Century" w:cs="Miriam"/>
          <w:b/>
          <w:spacing w:val="0"/>
          <w:szCs w:val="24"/>
          <w:rtl/>
        </w:rPr>
        <w:t xml:space="preserve"> </w:t>
      </w:r>
      <w:r w:rsidRPr="00245FCD">
        <w:rPr>
          <w:rFonts w:ascii="Century" w:hAnsi="Century" w:cs="Miriam" w:hint="eastAsia"/>
          <w:b/>
          <w:spacing w:val="0"/>
          <w:szCs w:val="24"/>
          <w:rtl/>
        </w:rPr>
        <w:t>ובמקרה</w:t>
      </w:r>
      <w:r w:rsidRPr="00245FCD">
        <w:rPr>
          <w:rFonts w:ascii="Century" w:hAnsi="Century" w:cs="Miriam"/>
          <w:b/>
          <w:spacing w:val="0"/>
          <w:szCs w:val="24"/>
          <w:rtl/>
        </w:rPr>
        <w:t xml:space="preserve"> </w:t>
      </w:r>
      <w:r w:rsidRPr="00245FCD">
        <w:rPr>
          <w:rFonts w:ascii="Century" w:hAnsi="Century" w:cs="Miriam" w:hint="eastAsia"/>
          <w:b/>
          <w:spacing w:val="0"/>
          <w:szCs w:val="24"/>
          <w:rtl/>
        </w:rPr>
        <w:t>זה</w:t>
      </w:r>
      <w:r w:rsidRPr="00245FCD">
        <w:rPr>
          <w:rFonts w:ascii="Century" w:hAnsi="Century" w:cs="Miriam"/>
          <w:b/>
          <w:spacing w:val="0"/>
          <w:szCs w:val="24"/>
          <w:rtl/>
        </w:rPr>
        <w:t xml:space="preserve"> </w:t>
      </w:r>
      <w:r w:rsidRPr="00245FCD">
        <w:rPr>
          <w:rFonts w:ascii="Century" w:hAnsi="Century" w:cs="Miriam" w:hint="eastAsia"/>
          <w:b/>
          <w:spacing w:val="0"/>
          <w:szCs w:val="24"/>
          <w:rtl/>
        </w:rPr>
        <w:t>קרי</w:t>
      </w:r>
      <w:r w:rsidRPr="00245FCD">
        <w:rPr>
          <w:rFonts w:ascii="Century" w:hAnsi="Century" w:cs="Miriam"/>
          <w:b/>
          <w:spacing w:val="0"/>
          <w:szCs w:val="24"/>
          <w:rtl/>
        </w:rPr>
        <w:t xml:space="preserve"> </w:t>
      </w:r>
      <w:r w:rsidRPr="00245FCD">
        <w:rPr>
          <w:rFonts w:ascii="Century" w:hAnsi="Century" w:cs="Miriam" w:hint="eastAsia"/>
          <w:b/>
          <w:spacing w:val="0"/>
          <w:szCs w:val="24"/>
          <w:rtl/>
        </w:rPr>
        <w:t>הגידור</w:t>
      </w:r>
      <w:r w:rsidRPr="00245FCD">
        <w:rPr>
          <w:rFonts w:ascii="Century" w:hAnsi="Century" w:cs="Miriam"/>
          <w:b/>
          <w:spacing w:val="0"/>
          <w:szCs w:val="24"/>
          <w:rtl/>
        </w:rPr>
        <w:t>"</w:t>
      </w:r>
      <w:r>
        <w:rPr>
          <w:rFonts w:hint="cs"/>
          <w:rtl/>
        </w:rPr>
        <w:t xml:space="preserve">; כך גם עולה ממכתב מיום 8.11.1994, של ראש תחום מדידות (גב' אריאלה ארוש), שבו נכתב כי נדרש לערוך התאמות במפת הסכם ההרשאה, </w:t>
      </w:r>
      <w:r w:rsidRPr="00245FCD">
        <w:rPr>
          <w:rFonts w:ascii="Century" w:hAnsi="Century" w:cs="Miriam"/>
          <w:b/>
          <w:spacing w:val="0"/>
          <w:szCs w:val="24"/>
          <w:rtl/>
        </w:rPr>
        <w:t>"</w:t>
      </w:r>
      <w:r w:rsidRPr="00245FCD">
        <w:rPr>
          <w:rFonts w:ascii="Century" w:hAnsi="Century" w:cs="Miriam" w:hint="eastAsia"/>
          <w:b/>
          <w:spacing w:val="0"/>
          <w:szCs w:val="24"/>
          <w:rtl/>
        </w:rPr>
        <w:t>עפ</w:t>
      </w:r>
      <w:r w:rsidRPr="00245FCD">
        <w:rPr>
          <w:rFonts w:ascii="Century" w:hAnsi="Century" w:cs="Miriam"/>
          <w:b/>
          <w:spacing w:val="0"/>
          <w:szCs w:val="24"/>
          <w:rtl/>
        </w:rPr>
        <w:t>"</w:t>
      </w:r>
      <w:r w:rsidRPr="00245FCD">
        <w:rPr>
          <w:rFonts w:ascii="Century" w:hAnsi="Century" w:cs="Miriam" w:hint="eastAsia"/>
          <w:b/>
          <w:spacing w:val="0"/>
          <w:szCs w:val="24"/>
          <w:rtl/>
        </w:rPr>
        <w:t>י</w:t>
      </w:r>
      <w:r w:rsidRPr="00245FCD">
        <w:rPr>
          <w:rFonts w:ascii="Century" w:hAnsi="Century" w:cs="Miriam"/>
          <w:b/>
          <w:spacing w:val="0"/>
          <w:szCs w:val="24"/>
          <w:rtl/>
        </w:rPr>
        <w:t xml:space="preserve"> </w:t>
      </w:r>
      <w:r w:rsidRPr="00245FCD">
        <w:rPr>
          <w:rFonts w:ascii="Century" w:hAnsi="Century" w:cs="Miriam" w:hint="eastAsia"/>
          <w:b/>
          <w:spacing w:val="0"/>
          <w:szCs w:val="24"/>
          <w:rtl/>
        </w:rPr>
        <w:t>גבול</w:t>
      </w:r>
      <w:r w:rsidRPr="00245FCD">
        <w:rPr>
          <w:rFonts w:ascii="Century" w:hAnsi="Century" w:cs="Miriam"/>
          <w:b/>
          <w:spacing w:val="0"/>
          <w:szCs w:val="24"/>
          <w:rtl/>
        </w:rPr>
        <w:t xml:space="preserve"> </w:t>
      </w:r>
      <w:r w:rsidRPr="00245FCD">
        <w:rPr>
          <w:rFonts w:ascii="Century" w:hAnsi="Century" w:cs="Miriam" w:hint="eastAsia"/>
          <w:b/>
          <w:spacing w:val="0"/>
          <w:szCs w:val="24"/>
          <w:u w:val="single"/>
          <w:rtl/>
        </w:rPr>
        <w:t>התפיסה</w:t>
      </w:r>
      <w:r w:rsidRPr="00245FCD">
        <w:rPr>
          <w:rFonts w:ascii="Century" w:hAnsi="Century" w:cs="Miriam"/>
          <w:b/>
          <w:spacing w:val="0"/>
          <w:szCs w:val="24"/>
          <w:u w:val="single"/>
          <w:rtl/>
        </w:rPr>
        <w:t xml:space="preserve"> </w:t>
      </w:r>
      <w:r w:rsidRPr="00245FCD">
        <w:rPr>
          <w:rFonts w:ascii="Century" w:hAnsi="Century" w:cs="Miriam" w:hint="eastAsia"/>
          <w:b/>
          <w:spacing w:val="0"/>
          <w:szCs w:val="24"/>
          <w:u w:val="single"/>
          <w:rtl/>
        </w:rPr>
        <w:t>בפועל</w:t>
      </w:r>
      <w:r w:rsidRPr="00245FCD">
        <w:rPr>
          <w:rFonts w:ascii="Century" w:hAnsi="Century" w:cs="Miriam"/>
          <w:b/>
          <w:spacing w:val="0"/>
          <w:szCs w:val="24"/>
          <w:rtl/>
        </w:rPr>
        <w:t xml:space="preserve"> </w:t>
      </w:r>
      <w:r w:rsidRPr="00245FCD">
        <w:rPr>
          <w:rFonts w:ascii="Century" w:hAnsi="Century" w:cs="Miriam" w:hint="eastAsia"/>
          <w:b/>
          <w:spacing w:val="0"/>
          <w:szCs w:val="24"/>
          <w:rtl/>
        </w:rPr>
        <w:t>קרי</w:t>
      </w:r>
      <w:r w:rsidRPr="00245FCD">
        <w:rPr>
          <w:rFonts w:ascii="Century" w:hAnsi="Century" w:cs="Miriam"/>
          <w:b/>
          <w:spacing w:val="0"/>
          <w:szCs w:val="24"/>
          <w:rtl/>
        </w:rPr>
        <w:t xml:space="preserve"> </w:t>
      </w:r>
      <w:r w:rsidRPr="00245FCD">
        <w:rPr>
          <w:rFonts w:ascii="Century" w:hAnsi="Century" w:cs="Miriam" w:hint="eastAsia"/>
          <w:b/>
          <w:spacing w:val="0"/>
          <w:szCs w:val="24"/>
          <w:rtl/>
        </w:rPr>
        <w:t>הגידור</w:t>
      </w:r>
      <w:r w:rsidRPr="00245FCD">
        <w:rPr>
          <w:rFonts w:ascii="Century" w:hAnsi="Century" w:cs="Miriam"/>
          <w:b/>
          <w:spacing w:val="0"/>
          <w:szCs w:val="24"/>
          <w:rtl/>
        </w:rPr>
        <w:t xml:space="preserve"> </w:t>
      </w:r>
      <w:r w:rsidRPr="00245FCD">
        <w:rPr>
          <w:rFonts w:ascii="Century" w:hAnsi="Century" w:cs="Miriam" w:hint="eastAsia"/>
          <w:b/>
          <w:spacing w:val="0"/>
          <w:szCs w:val="24"/>
          <w:rtl/>
        </w:rPr>
        <w:t>הקיים</w:t>
      </w:r>
      <w:r w:rsidRPr="00245FCD">
        <w:rPr>
          <w:rFonts w:ascii="Century" w:hAnsi="Century" w:cs="Miriam"/>
          <w:b/>
          <w:spacing w:val="0"/>
          <w:szCs w:val="24"/>
          <w:rtl/>
        </w:rPr>
        <w:t>"</w:t>
      </w:r>
      <w:r>
        <w:rPr>
          <w:rFonts w:hint="cs"/>
          <w:rtl/>
        </w:rPr>
        <w:t xml:space="preserve">. כאמור, הדברים עולים גם מן העדויות שנשמעו בבית המשפט המחוזי, מפי בעלי התפקידים הרלבנטיים במועדי ההתרחשויות (ראו, למשל: עדות מושקוביץ, בעמ' 75, שורות 27-20 לפרוטוקול הדיון). על רקע האמור, אינני שותף למשקל הרב שאותו מייחס חברי, לעובדה כי מפת צו הסגירה צורפה להסכמי ההרשאה, שנכרתו מעת לעת (פסקה 76 לחוות דעתו). זאת, שכן הצדדים להסכם ההרשאה ממילא, בשום שלב, לא ראו מפה זו, כתוחמת במדויק, אף לא באופן גס, את שטח ההרשאה; למפה זו, כך נראה, לא יוחסה חשיבות של ממש בשום שלב, וניתן ללמוד זאת גם מכך שהמפה שצורפה היתה של צו </w:t>
      </w:r>
      <w:r w:rsidRPr="00245FCD">
        <w:rPr>
          <w:rFonts w:ascii="Century" w:hAnsi="Century" w:cs="Miriam" w:hint="eastAsia"/>
          <w:b/>
          <w:spacing w:val="0"/>
          <w:szCs w:val="24"/>
          <w:rtl/>
        </w:rPr>
        <w:t>הסגירה</w:t>
      </w:r>
      <w:r w:rsidRPr="00D16BF4">
        <w:rPr>
          <w:rFonts w:hint="cs"/>
          <w:rtl/>
        </w:rPr>
        <w:t xml:space="preserve"> </w:t>
      </w:r>
      <w:r>
        <w:rPr>
          <w:rFonts w:hint="cs"/>
          <w:rtl/>
        </w:rPr>
        <w:t xml:space="preserve">ולא של צו </w:t>
      </w:r>
      <w:r w:rsidRPr="00245FCD">
        <w:rPr>
          <w:rFonts w:ascii="Century" w:hAnsi="Century" w:cs="Miriam" w:hint="eastAsia"/>
          <w:b/>
          <w:spacing w:val="0"/>
          <w:szCs w:val="24"/>
          <w:rtl/>
        </w:rPr>
        <w:t>התפיסה</w:t>
      </w:r>
      <w:r w:rsidRPr="00D16BF4">
        <w:rPr>
          <w:rFonts w:hint="cs"/>
          <w:rtl/>
        </w:rPr>
        <w:t xml:space="preserve"> </w:t>
      </w:r>
      <w:r>
        <w:rPr>
          <w:rFonts w:hint="cs"/>
          <w:rtl/>
        </w:rPr>
        <w:t xml:space="preserve">(שביניהן קיים פער שלמעלה מ-200 דונם). מכל מקום, גם אם ניתן היה להכין ולצרף מפה חדשה ומדויקת, למצער להסכמי ההרשאה שנכרתו ברבות השנים, אינני סבור כי </w:t>
      </w:r>
      <w:r w:rsidRPr="00245FCD">
        <w:rPr>
          <w:rFonts w:ascii="Century" w:hAnsi="Century" w:cs="Miriam"/>
          <w:b/>
          <w:spacing w:val="0"/>
          <w:szCs w:val="24"/>
          <w:rtl/>
        </w:rPr>
        <w:t>"</w:t>
      </w:r>
      <w:r w:rsidRPr="00245FCD">
        <w:rPr>
          <w:rFonts w:ascii="Century" w:hAnsi="Century" w:cs="Miriam" w:hint="eastAsia"/>
          <w:b/>
          <w:spacing w:val="0"/>
          <w:szCs w:val="24"/>
          <w:rtl/>
        </w:rPr>
        <w:t>ליקוי</w:t>
      </w:r>
      <w:r w:rsidRPr="00245FCD">
        <w:rPr>
          <w:rFonts w:ascii="Century" w:hAnsi="Century" w:cs="Miriam"/>
          <w:b/>
          <w:spacing w:val="0"/>
          <w:szCs w:val="24"/>
          <w:rtl/>
        </w:rPr>
        <w:t xml:space="preserve"> </w:t>
      </w:r>
      <w:r w:rsidRPr="00245FCD">
        <w:rPr>
          <w:rFonts w:ascii="Century" w:hAnsi="Century" w:cs="Miriam" w:hint="eastAsia"/>
          <w:b/>
          <w:spacing w:val="0"/>
          <w:szCs w:val="24"/>
          <w:rtl/>
        </w:rPr>
        <w:t>טכני</w:t>
      </w:r>
      <w:r w:rsidRPr="00245FCD">
        <w:rPr>
          <w:rFonts w:ascii="Century" w:hAnsi="Century" w:cs="Miriam"/>
          <w:b/>
          <w:spacing w:val="0"/>
          <w:szCs w:val="24"/>
          <w:rtl/>
        </w:rPr>
        <w:t xml:space="preserve"> </w:t>
      </w:r>
      <w:r w:rsidRPr="00245FCD">
        <w:rPr>
          <w:rFonts w:ascii="Century" w:hAnsi="Century" w:cs="Miriam" w:hint="eastAsia"/>
          <w:b/>
          <w:spacing w:val="0"/>
          <w:szCs w:val="24"/>
          <w:rtl/>
        </w:rPr>
        <w:t>כזה</w:t>
      </w:r>
      <w:r w:rsidRPr="00245FCD">
        <w:rPr>
          <w:rFonts w:ascii="Century" w:hAnsi="Century" w:cs="Miriam"/>
          <w:b/>
          <w:spacing w:val="0"/>
          <w:szCs w:val="24"/>
          <w:rtl/>
        </w:rPr>
        <w:t xml:space="preserve">, </w:t>
      </w:r>
      <w:r w:rsidRPr="00245FCD">
        <w:rPr>
          <w:rFonts w:ascii="Century" w:hAnsi="Century" w:cs="Miriam" w:hint="eastAsia"/>
          <w:b/>
          <w:spacing w:val="0"/>
          <w:szCs w:val="24"/>
          <w:rtl/>
        </w:rPr>
        <w:t>בשכפול</w:t>
      </w:r>
      <w:r w:rsidRPr="00245FCD">
        <w:rPr>
          <w:rFonts w:ascii="Century" w:hAnsi="Century" w:cs="Miriam"/>
          <w:b/>
          <w:spacing w:val="0"/>
          <w:szCs w:val="24"/>
          <w:rtl/>
        </w:rPr>
        <w:t xml:space="preserve"> </w:t>
      </w:r>
      <w:r w:rsidRPr="00245FCD">
        <w:rPr>
          <w:rFonts w:ascii="Century" w:hAnsi="Century" w:cs="Miriam" w:hint="eastAsia"/>
          <w:b/>
          <w:spacing w:val="0"/>
          <w:szCs w:val="24"/>
          <w:rtl/>
        </w:rPr>
        <w:t>הסכם</w:t>
      </w:r>
      <w:r w:rsidRPr="00245FCD">
        <w:rPr>
          <w:rFonts w:ascii="Century" w:hAnsi="Century" w:cs="Miriam"/>
          <w:b/>
          <w:spacing w:val="0"/>
          <w:szCs w:val="24"/>
          <w:rtl/>
        </w:rPr>
        <w:t xml:space="preserve"> </w:t>
      </w:r>
      <w:r w:rsidRPr="00245FCD">
        <w:rPr>
          <w:rFonts w:ascii="Century" w:hAnsi="Century" w:cs="Miriam" w:hint="eastAsia"/>
          <w:b/>
          <w:spacing w:val="0"/>
          <w:szCs w:val="24"/>
          <w:rtl/>
        </w:rPr>
        <w:t>קודם</w:t>
      </w:r>
      <w:r w:rsidRPr="00245FCD">
        <w:rPr>
          <w:rFonts w:ascii="Century" w:hAnsi="Century" w:cs="Miriam"/>
          <w:b/>
          <w:spacing w:val="0"/>
          <w:szCs w:val="24"/>
          <w:rtl/>
        </w:rPr>
        <w:t xml:space="preserve"> </w:t>
      </w:r>
      <w:r w:rsidRPr="00245FCD">
        <w:rPr>
          <w:rFonts w:ascii="Century" w:hAnsi="Century" w:cs="Miriam" w:hint="eastAsia"/>
          <w:b/>
          <w:spacing w:val="0"/>
          <w:szCs w:val="24"/>
          <w:rtl/>
        </w:rPr>
        <w:t>וחתימה</w:t>
      </w:r>
      <w:r w:rsidRPr="00245FCD">
        <w:rPr>
          <w:rFonts w:ascii="Century" w:hAnsi="Century" w:cs="Miriam"/>
          <w:b/>
          <w:spacing w:val="0"/>
          <w:szCs w:val="24"/>
          <w:rtl/>
        </w:rPr>
        <w:t xml:space="preserve"> </w:t>
      </w:r>
      <w:r w:rsidRPr="00245FCD">
        <w:rPr>
          <w:rFonts w:ascii="Century" w:hAnsi="Century" w:cs="Miriam" w:hint="eastAsia"/>
          <w:b/>
          <w:spacing w:val="0"/>
          <w:szCs w:val="24"/>
          <w:rtl/>
        </w:rPr>
        <w:t>עליו</w:t>
      </w:r>
      <w:r w:rsidRPr="00245FCD">
        <w:rPr>
          <w:rFonts w:ascii="Century" w:hAnsi="Century" w:cs="Miriam"/>
          <w:b/>
          <w:spacing w:val="0"/>
          <w:szCs w:val="24"/>
          <w:rtl/>
        </w:rPr>
        <w:t xml:space="preserve"> </w:t>
      </w:r>
      <w:r w:rsidRPr="00245FCD">
        <w:rPr>
          <w:rFonts w:ascii="Century" w:hAnsi="Century" w:cs="Miriam" w:hint="eastAsia"/>
          <w:b/>
          <w:spacing w:val="0"/>
          <w:szCs w:val="24"/>
          <w:rtl/>
        </w:rPr>
        <w:t>מחדש</w:t>
      </w:r>
      <w:r w:rsidRPr="00245FCD">
        <w:rPr>
          <w:rFonts w:ascii="Century" w:hAnsi="Century" w:cs="Miriam"/>
          <w:b/>
          <w:spacing w:val="0"/>
          <w:szCs w:val="24"/>
          <w:rtl/>
        </w:rPr>
        <w:t xml:space="preserve">, </w:t>
      </w:r>
      <w:r w:rsidRPr="00245FCD">
        <w:rPr>
          <w:rFonts w:ascii="Century" w:hAnsi="Century" w:cs="Miriam" w:hint="eastAsia"/>
          <w:b/>
          <w:spacing w:val="0"/>
          <w:szCs w:val="24"/>
          <w:rtl/>
        </w:rPr>
        <w:t>מצביע</w:t>
      </w:r>
      <w:r w:rsidRPr="00245FCD">
        <w:rPr>
          <w:rFonts w:ascii="Century" w:hAnsi="Century" w:cs="Miriam"/>
          <w:b/>
          <w:spacing w:val="0"/>
          <w:szCs w:val="24"/>
          <w:rtl/>
        </w:rPr>
        <w:t xml:space="preserve"> </w:t>
      </w:r>
      <w:r w:rsidRPr="00245FCD">
        <w:rPr>
          <w:rFonts w:ascii="Century" w:hAnsi="Century" w:cs="Miriam" w:hint="eastAsia"/>
          <w:b/>
          <w:spacing w:val="0"/>
          <w:szCs w:val="24"/>
          <w:rtl/>
        </w:rPr>
        <w:t>על</w:t>
      </w:r>
      <w:r w:rsidRPr="00245FCD">
        <w:rPr>
          <w:rFonts w:ascii="Century" w:hAnsi="Century" w:cs="Miriam"/>
          <w:b/>
          <w:spacing w:val="0"/>
          <w:szCs w:val="24"/>
          <w:rtl/>
        </w:rPr>
        <w:t xml:space="preserve"> </w:t>
      </w:r>
      <w:r w:rsidRPr="00245FCD">
        <w:rPr>
          <w:rFonts w:ascii="Century" w:hAnsi="Century" w:cs="Miriam" w:hint="eastAsia"/>
          <w:b/>
          <w:spacing w:val="0"/>
          <w:szCs w:val="24"/>
          <w:rtl/>
        </w:rPr>
        <w:t>משהו</w:t>
      </w:r>
      <w:r w:rsidRPr="00245FCD">
        <w:rPr>
          <w:rFonts w:ascii="Century" w:hAnsi="Century" w:cs="Miriam"/>
          <w:b/>
          <w:spacing w:val="0"/>
          <w:szCs w:val="24"/>
          <w:rtl/>
        </w:rPr>
        <w:t xml:space="preserve"> </w:t>
      </w:r>
      <w:r w:rsidRPr="00245FCD">
        <w:rPr>
          <w:rFonts w:ascii="Century" w:hAnsi="Century" w:cs="Miriam" w:hint="eastAsia"/>
          <w:b/>
          <w:spacing w:val="0"/>
          <w:szCs w:val="24"/>
          <w:rtl/>
        </w:rPr>
        <w:t>אחר</w:t>
      </w:r>
      <w:r w:rsidRPr="00245FCD">
        <w:rPr>
          <w:rFonts w:ascii="Century" w:hAnsi="Century" w:cs="Miriam"/>
          <w:b/>
          <w:spacing w:val="0"/>
          <w:szCs w:val="24"/>
          <w:rtl/>
        </w:rPr>
        <w:t xml:space="preserve"> </w:t>
      </w:r>
      <w:r w:rsidRPr="00245FCD">
        <w:rPr>
          <w:rFonts w:ascii="Century" w:hAnsi="Century" w:cs="Miriam" w:hint="eastAsia"/>
          <w:b/>
          <w:spacing w:val="0"/>
          <w:szCs w:val="24"/>
          <w:rtl/>
        </w:rPr>
        <w:t>מלבד</w:t>
      </w:r>
      <w:r w:rsidRPr="00245FCD">
        <w:rPr>
          <w:rFonts w:ascii="Century" w:hAnsi="Century" w:cs="Miriam"/>
          <w:b/>
          <w:spacing w:val="0"/>
          <w:szCs w:val="24"/>
          <w:rtl/>
        </w:rPr>
        <w:t xml:space="preserve"> </w:t>
      </w:r>
      <w:r w:rsidRPr="00245FCD">
        <w:rPr>
          <w:rFonts w:ascii="Century" w:hAnsi="Century" w:cs="Miriam" w:hint="eastAsia"/>
          <w:b/>
          <w:spacing w:val="0"/>
          <w:szCs w:val="24"/>
          <w:rtl/>
        </w:rPr>
        <w:t>טעות</w:t>
      </w:r>
      <w:r w:rsidRPr="00245FCD">
        <w:rPr>
          <w:rFonts w:ascii="Century" w:hAnsi="Century" w:cs="Miriam"/>
          <w:b/>
          <w:spacing w:val="0"/>
          <w:szCs w:val="24"/>
          <w:rtl/>
        </w:rPr>
        <w:t xml:space="preserve"> </w:t>
      </w:r>
      <w:r w:rsidRPr="00245FCD">
        <w:rPr>
          <w:rFonts w:ascii="Century" w:hAnsi="Century" w:cs="Miriam" w:hint="eastAsia"/>
          <w:b/>
          <w:spacing w:val="0"/>
          <w:szCs w:val="24"/>
          <w:rtl/>
        </w:rPr>
        <w:t>שבהיסח</w:t>
      </w:r>
      <w:r w:rsidRPr="00245FCD">
        <w:rPr>
          <w:rFonts w:ascii="Century" w:hAnsi="Century" w:cs="Miriam"/>
          <w:b/>
          <w:spacing w:val="0"/>
          <w:szCs w:val="24"/>
          <w:rtl/>
        </w:rPr>
        <w:t xml:space="preserve"> </w:t>
      </w:r>
      <w:r w:rsidRPr="00245FCD">
        <w:rPr>
          <w:rFonts w:ascii="Century" w:hAnsi="Century" w:cs="Miriam" w:hint="eastAsia"/>
          <w:b/>
          <w:spacing w:val="0"/>
          <w:szCs w:val="24"/>
          <w:rtl/>
        </w:rPr>
        <w:t>הדעת</w:t>
      </w:r>
      <w:r w:rsidRPr="00245FCD">
        <w:rPr>
          <w:rFonts w:ascii="Century" w:hAnsi="Century" w:cs="Miriam"/>
          <w:b/>
          <w:spacing w:val="0"/>
          <w:szCs w:val="24"/>
          <w:rtl/>
        </w:rPr>
        <w:t>"</w:t>
      </w:r>
      <w:r w:rsidRPr="00D2194F">
        <w:rPr>
          <w:rtl/>
        </w:rPr>
        <w:t xml:space="preserve"> </w:t>
      </w:r>
      <w:r>
        <w:rPr>
          <w:rFonts w:hint="cs"/>
          <w:rtl/>
        </w:rPr>
        <w:t xml:space="preserve">(פסקה 139 לפסק הדין של בית המשפט המחוזי). </w:t>
      </w:r>
    </w:p>
    <w:p w:rsidR="00295623" w:rsidRPr="001E71A3" w:rsidRDefault="00295623" w:rsidP="00295623">
      <w:pPr>
        <w:pStyle w:val="Ruller41"/>
        <w:tabs>
          <w:tab w:val="left" w:pos="90"/>
        </w:tabs>
        <w:spacing w:line="240" w:lineRule="auto"/>
      </w:pPr>
    </w:p>
    <w:p w:rsidR="00295623" w:rsidRDefault="00295623" w:rsidP="00295623">
      <w:pPr>
        <w:pStyle w:val="Ruller41"/>
        <w:rPr>
          <w:rtl/>
        </w:rPr>
      </w:pPr>
      <w:r>
        <w:rPr>
          <w:rFonts w:hint="cs"/>
          <w:rtl/>
        </w:rPr>
        <w:t>74.</w:t>
      </w:r>
      <w:r>
        <w:rPr>
          <w:rFonts w:hint="cs"/>
          <w:rtl/>
        </w:rPr>
        <w:tab/>
        <w:t xml:space="preserve">עוד אציין, כי העמדה שלפיה סמכותו של המפקד הצבאי לתפוס שטח, יפה גם ללא צו או מפה </w:t>
      </w:r>
      <w:r>
        <w:rPr>
          <w:rtl/>
        </w:rPr>
        <w:t>–</w:t>
      </w:r>
      <w:r>
        <w:rPr>
          <w:rFonts w:hint="cs"/>
          <w:rtl/>
        </w:rPr>
        <w:t xml:space="preserve"> אינה חדשה עמנו, ואף שנמתחה עליה ביקורת, ניתן לראות כי יו</w:t>
      </w:r>
      <w:r w:rsidRPr="00B51E77">
        <w:rPr>
          <w:rtl/>
        </w:rPr>
        <w:t>שׂ</w:t>
      </w:r>
      <w:r>
        <w:rPr>
          <w:rFonts w:hint="cs"/>
          <w:rtl/>
        </w:rPr>
        <w:t xml:space="preserve">מה גם במקרים אחרים (ראו למשל: בג"ץ 469/83 </w:t>
      </w:r>
      <w:r w:rsidRPr="001E71A3">
        <w:rPr>
          <w:rFonts w:ascii="Century" w:hAnsi="Century" w:cs="Miriam" w:hint="cs"/>
          <w:b/>
          <w:spacing w:val="0"/>
          <w:szCs w:val="24"/>
          <w:rtl/>
        </w:rPr>
        <w:t>חברת האוטובוסים המאוחדת הלאומית חברון בע"מ נ' שר הביטחון</w:t>
      </w:r>
      <w:r>
        <w:rPr>
          <w:rFonts w:hint="cs"/>
          <w:rtl/>
        </w:rPr>
        <w:t xml:space="preserve"> (1.4.1992)). חברי מציין, כי קשה להלום תוצאה שלפיה הממונה ביקש להרחיב את שטח התפיסה בדרך של הקצאת שטח להסתדרות הציונית </w:t>
      </w:r>
      <w:r>
        <w:rPr>
          <w:rtl/>
        </w:rPr>
        <w:t>–</w:t>
      </w:r>
      <w:r>
        <w:rPr>
          <w:rFonts w:hint="cs"/>
          <w:rtl/>
        </w:rPr>
        <w:t xml:space="preserve"> החורג במאות דונמים ממפת צו התפיסה, בעוד שעולה בבירור, כי כוונת המפקד הצבאי בהוצאת צו התפיסה, היתה להביא דווקא לצמצום השטח התפוס, מ- 1,070 דונם ל-850 דונם. ואולם, גישה זו אינה מתיישבת עם העובדה, כי תכניות 223 ו-223/1, אושרו על-ידי כלל הגורמים במינהל האזרחי </w:t>
      </w:r>
      <w:r>
        <w:rPr>
          <w:rtl/>
        </w:rPr>
        <w:t>–</w:t>
      </w:r>
      <w:r>
        <w:rPr>
          <w:rFonts w:hint="cs"/>
          <w:rtl/>
        </w:rPr>
        <w:t xml:space="preserve"> כולל הממונה עצמו </w:t>
      </w:r>
      <w:r>
        <w:rPr>
          <w:rtl/>
        </w:rPr>
        <w:t>–</w:t>
      </w:r>
      <w:r>
        <w:rPr>
          <w:rFonts w:hint="cs"/>
          <w:rtl/>
        </w:rPr>
        <w:t xml:space="preserve"> ולכך אתייחס עתה.</w:t>
      </w:r>
    </w:p>
    <w:p w:rsidR="00295623" w:rsidRPr="00BE23BE" w:rsidRDefault="00295623" w:rsidP="00295623">
      <w:pPr>
        <w:pStyle w:val="Ruller41"/>
        <w:tabs>
          <w:tab w:val="left" w:pos="90"/>
        </w:tabs>
        <w:spacing w:line="240" w:lineRule="auto"/>
      </w:pPr>
    </w:p>
    <w:p w:rsidR="00295623" w:rsidRDefault="00295623" w:rsidP="00295623">
      <w:pPr>
        <w:pStyle w:val="Ruller41"/>
        <w:rPr>
          <w:rtl/>
        </w:rPr>
      </w:pPr>
      <w:r>
        <w:rPr>
          <w:rFonts w:hint="cs"/>
          <w:rtl/>
        </w:rPr>
        <w:t>75.</w:t>
      </w:r>
      <w:r>
        <w:rPr>
          <w:rFonts w:hint="cs"/>
          <w:rtl/>
        </w:rPr>
        <w:tab/>
        <w:t xml:space="preserve">אישור תכנית 223 בשנת 1983, ואישור תכנית 223/1 בשנת 1995, מהווים ראיה מובהקת, ולטעמי אף חותכת, לאומד דעתם אז, של הגורמים שחתמו במו-ידיהם על תכניות אלה </w:t>
      </w:r>
      <w:r>
        <w:rPr>
          <w:rtl/>
        </w:rPr>
        <w:t>–</w:t>
      </w:r>
      <w:r>
        <w:rPr>
          <w:rFonts w:hint="cs"/>
          <w:rtl/>
        </w:rPr>
        <w:t xml:space="preserve"> נהרי, מושקוביץ ונציגי ההסתדרות הציונית </w:t>
      </w:r>
      <w:r>
        <w:rPr>
          <w:rtl/>
        </w:rPr>
        <w:t>–</w:t>
      </w:r>
      <w:r>
        <w:rPr>
          <w:rFonts w:hint="cs"/>
          <w:rtl/>
        </w:rPr>
        <w:t xml:space="preserve"> לגבי היקף השטח שנתפס בתפיסה צבאית, ואף לא ניתן לסבור אחרת. כידוע, צו 997, עוסק אך ורק בשטח הנתון לתפיסה צבאית. ממילא, אלמלא ההנחה כי השטח האמור </w:t>
      </w:r>
      <w:r w:rsidRPr="00E930B1">
        <w:rPr>
          <w:rFonts w:ascii="Century" w:hAnsi="Century" w:cs="Miriam" w:hint="eastAsia"/>
          <w:b/>
          <w:spacing w:val="0"/>
          <w:szCs w:val="24"/>
          <w:rtl/>
        </w:rPr>
        <w:t>נתפס</w:t>
      </w:r>
      <w:r w:rsidRPr="00B47CAF">
        <w:rPr>
          <w:rtl/>
        </w:rPr>
        <w:t xml:space="preserve"> </w:t>
      </w:r>
      <w:r>
        <w:rPr>
          <w:rFonts w:hint="cs"/>
          <w:rtl/>
        </w:rPr>
        <w:t xml:space="preserve">על-ידי המפקד הצבאי, לא היו הגורמים האמורים מאשרים את התכניות הנ"ל, על-פי צו זה. באחת הפרשות צוין, כי </w:t>
      </w:r>
      <w:r w:rsidRPr="004A34C1">
        <w:rPr>
          <w:rFonts w:ascii="Century" w:hAnsi="Century" w:cs="Miriam"/>
          <w:b/>
          <w:spacing w:val="0"/>
          <w:szCs w:val="24"/>
          <w:rtl/>
        </w:rPr>
        <w:t>"</w:t>
      </w:r>
      <w:r w:rsidRPr="004A34C1">
        <w:rPr>
          <w:rFonts w:ascii="Century" w:hAnsi="Century" w:cs="Miriam" w:hint="eastAsia"/>
          <w:b/>
          <w:spacing w:val="0"/>
          <w:szCs w:val="24"/>
          <w:rtl/>
        </w:rPr>
        <w:t>מעצם</w:t>
      </w:r>
      <w:r w:rsidRPr="004A34C1">
        <w:rPr>
          <w:rFonts w:ascii="Century" w:hAnsi="Century" w:cs="Miriam"/>
          <w:b/>
          <w:spacing w:val="0"/>
          <w:szCs w:val="24"/>
          <w:rtl/>
        </w:rPr>
        <w:t xml:space="preserve"> </w:t>
      </w:r>
      <w:r w:rsidRPr="004A34C1">
        <w:rPr>
          <w:rFonts w:ascii="Century" w:hAnsi="Century" w:cs="Miriam" w:hint="eastAsia"/>
          <w:b/>
          <w:spacing w:val="0"/>
          <w:szCs w:val="24"/>
          <w:rtl/>
        </w:rPr>
        <w:t>הכללת</w:t>
      </w:r>
      <w:r w:rsidRPr="004A34C1">
        <w:rPr>
          <w:rFonts w:ascii="Century" w:hAnsi="Century" w:cs="Miriam"/>
          <w:b/>
          <w:spacing w:val="0"/>
          <w:szCs w:val="24"/>
          <w:rtl/>
        </w:rPr>
        <w:t xml:space="preserve"> </w:t>
      </w:r>
      <w:r w:rsidRPr="004A34C1">
        <w:rPr>
          <w:rFonts w:ascii="Century" w:hAnsi="Century" w:cs="Miriam" w:hint="eastAsia"/>
          <w:b/>
          <w:spacing w:val="0"/>
          <w:szCs w:val="24"/>
          <w:rtl/>
        </w:rPr>
        <w:t>השטח</w:t>
      </w:r>
      <w:r w:rsidRPr="004A34C1">
        <w:rPr>
          <w:rFonts w:ascii="Century" w:hAnsi="Century" w:cs="Miriam"/>
          <w:b/>
          <w:spacing w:val="0"/>
          <w:szCs w:val="24"/>
          <w:rtl/>
        </w:rPr>
        <w:t xml:space="preserve"> </w:t>
      </w:r>
      <w:r w:rsidRPr="004A34C1">
        <w:rPr>
          <w:rFonts w:ascii="Century" w:hAnsi="Century" w:cs="Miriam" w:hint="eastAsia"/>
          <w:b/>
          <w:spacing w:val="0"/>
          <w:szCs w:val="24"/>
          <w:rtl/>
        </w:rPr>
        <w:t>בתחומי</w:t>
      </w:r>
      <w:r w:rsidRPr="004A34C1">
        <w:rPr>
          <w:rFonts w:ascii="Century" w:hAnsi="Century" w:cs="Miriam"/>
          <w:b/>
          <w:spacing w:val="0"/>
          <w:szCs w:val="24"/>
          <w:rtl/>
        </w:rPr>
        <w:t xml:space="preserve"> </w:t>
      </w:r>
      <w:r w:rsidRPr="004A34C1">
        <w:rPr>
          <w:rFonts w:ascii="Century" w:hAnsi="Century" w:cs="Miriam" w:hint="eastAsia"/>
          <w:b/>
          <w:spacing w:val="0"/>
          <w:szCs w:val="24"/>
          <w:rtl/>
        </w:rPr>
        <w:t>מערכת</w:t>
      </w:r>
      <w:r w:rsidRPr="004A34C1">
        <w:rPr>
          <w:rFonts w:ascii="Century" w:hAnsi="Century" w:cs="Miriam"/>
          <w:b/>
          <w:spacing w:val="0"/>
          <w:szCs w:val="24"/>
          <w:rtl/>
        </w:rPr>
        <w:t xml:space="preserve"> </w:t>
      </w:r>
      <w:r w:rsidRPr="004A34C1">
        <w:rPr>
          <w:rFonts w:ascii="Century" w:hAnsi="Century" w:cs="Miriam" w:hint="eastAsia"/>
          <w:b/>
          <w:spacing w:val="0"/>
          <w:szCs w:val="24"/>
          <w:rtl/>
        </w:rPr>
        <w:t>ההנחיות</w:t>
      </w:r>
      <w:r w:rsidRPr="004A34C1">
        <w:rPr>
          <w:rFonts w:ascii="Century" w:hAnsi="Century" w:cs="Miriam"/>
          <w:b/>
          <w:spacing w:val="0"/>
          <w:szCs w:val="24"/>
          <w:rtl/>
        </w:rPr>
        <w:t xml:space="preserve"> </w:t>
      </w:r>
      <w:r w:rsidRPr="004A34C1">
        <w:rPr>
          <w:rFonts w:ascii="Century" w:hAnsi="Century" w:cs="Miriam" w:hint="eastAsia"/>
          <w:b/>
          <w:spacing w:val="0"/>
          <w:szCs w:val="24"/>
          <w:rtl/>
        </w:rPr>
        <w:t>האמורה</w:t>
      </w:r>
      <w:r w:rsidRPr="004A34C1">
        <w:rPr>
          <w:rFonts w:ascii="Century" w:hAnsi="Century" w:cs="Miriam"/>
          <w:b/>
          <w:spacing w:val="0"/>
          <w:szCs w:val="24"/>
          <w:rtl/>
        </w:rPr>
        <w:t xml:space="preserve">, </w:t>
      </w:r>
      <w:r w:rsidRPr="004A34C1">
        <w:rPr>
          <w:rFonts w:ascii="Century" w:hAnsi="Century" w:cs="Miriam" w:hint="eastAsia"/>
          <w:b/>
          <w:spacing w:val="0"/>
          <w:szCs w:val="24"/>
          <w:rtl/>
        </w:rPr>
        <w:t>ניתן</w:t>
      </w:r>
      <w:r w:rsidRPr="004A34C1">
        <w:rPr>
          <w:rFonts w:ascii="Century" w:hAnsi="Century" w:cs="Miriam"/>
          <w:b/>
          <w:spacing w:val="0"/>
          <w:szCs w:val="24"/>
          <w:rtl/>
        </w:rPr>
        <w:t xml:space="preserve"> </w:t>
      </w:r>
      <w:r w:rsidRPr="004A34C1">
        <w:rPr>
          <w:rFonts w:ascii="Century" w:hAnsi="Century" w:cs="Miriam" w:hint="eastAsia"/>
          <w:b/>
          <w:spacing w:val="0"/>
          <w:szCs w:val="24"/>
          <w:rtl/>
        </w:rPr>
        <w:t>ללמוד</w:t>
      </w:r>
      <w:r w:rsidRPr="004A34C1">
        <w:rPr>
          <w:rFonts w:ascii="Century" w:hAnsi="Century" w:cs="Miriam"/>
          <w:b/>
          <w:spacing w:val="0"/>
          <w:szCs w:val="24"/>
          <w:rtl/>
        </w:rPr>
        <w:t xml:space="preserve"> </w:t>
      </w:r>
      <w:r w:rsidRPr="004A34C1">
        <w:rPr>
          <w:rFonts w:ascii="Century" w:hAnsi="Century" w:cs="Miriam" w:hint="eastAsia"/>
          <w:b/>
          <w:spacing w:val="0"/>
          <w:szCs w:val="24"/>
          <w:rtl/>
        </w:rPr>
        <w:t>כי</w:t>
      </w:r>
      <w:r w:rsidRPr="004A34C1">
        <w:rPr>
          <w:rFonts w:ascii="Century" w:hAnsi="Century" w:cs="Miriam"/>
          <w:b/>
          <w:spacing w:val="0"/>
          <w:szCs w:val="24"/>
          <w:rtl/>
        </w:rPr>
        <w:t xml:space="preserve"> </w:t>
      </w:r>
      <w:r w:rsidRPr="004A34C1">
        <w:rPr>
          <w:rFonts w:ascii="Century" w:hAnsi="Century" w:cs="Miriam" w:hint="eastAsia"/>
          <w:b/>
          <w:spacing w:val="0"/>
          <w:szCs w:val="24"/>
          <w:rtl/>
        </w:rPr>
        <w:t>מתכנני</w:t>
      </w:r>
      <w:r w:rsidRPr="004A34C1">
        <w:rPr>
          <w:rFonts w:ascii="Century" w:hAnsi="Century" w:cs="Miriam"/>
          <w:b/>
          <w:spacing w:val="0"/>
          <w:szCs w:val="24"/>
          <w:rtl/>
        </w:rPr>
        <w:t xml:space="preserve"> </w:t>
      </w:r>
      <w:r w:rsidRPr="004A34C1">
        <w:rPr>
          <w:rFonts w:ascii="Century" w:hAnsi="Century" w:cs="Miriam" w:hint="eastAsia"/>
          <w:b/>
          <w:spacing w:val="0"/>
          <w:szCs w:val="24"/>
          <w:rtl/>
        </w:rPr>
        <w:t>היישוב</w:t>
      </w:r>
      <w:r w:rsidRPr="004A34C1">
        <w:rPr>
          <w:rFonts w:ascii="Century" w:hAnsi="Century" w:cs="Miriam"/>
          <w:b/>
          <w:spacing w:val="0"/>
          <w:szCs w:val="24"/>
          <w:rtl/>
        </w:rPr>
        <w:t xml:space="preserve"> </w:t>
      </w:r>
      <w:r w:rsidRPr="004A34C1">
        <w:rPr>
          <w:rFonts w:ascii="Century" w:hAnsi="Century" w:cs="Miriam" w:hint="eastAsia"/>
          <w:b/>
          <w:spacing w:val="0"/>
          <w:szCs w:val="24"/>
          <w:rtl/>
        </w:rPr>
        <w:t>ראו</w:t>
      </w:r>
      <w:r w:rsidRPr="004A34C1">
        <w:rPr>
          <w:rFonts w:ascii="Century" w:hAnsi="Century" w:cs="Miriam"/>
          <w:b/>
          <w:spacing w:val="0"/>
          <w:szCs w:val="24"/>
          <w:rtl/>
        </w:rPr>
        <w:t xml:space="preserve"> </w:t>
      </w:r>
      <w:r w:rsidRPr="004A34C1">
        <w:rPr>
          <w:rFonts w:ascii="Century" w:hAnsi="Century" w:cs="Miriam" w:hint="eastAsia"/>
          <w:b/>
          <w:spacing w:val="0"/>
          <w:szCs w:val="24"/>
          <w:rtl/>
        </w:rPr>
        <w:t>בקרקע</w:t>
      </w:r>
      <w:r w:rsidRPr="004A34C1">
        <w:rPr>
          <w:rFonts w:ascii="Century" w:hAnsi="Century" w:cs="Miriam"/>
          <w:b/>
          <w:spacing w:val="0"/>
          <w:szCs w:val="24"/>
          <w:rtl/>
        </w:rPr>
        <w:t xml:space="preserve"> </w:t>
      </w:r>
      <w:r w:rsidRPr="004A34C1">
        <w:rPr>
          <w:rFonts w:ascii="Century" w:hAnsi="Century" w:cs="Miriam" w:hint="eastAsia"/>
          <w:b/>
          <w:spacing w:val="0"/>
          <w:szCs w:val="24"/>
          <w:rtl/>
        </w:rPr>
        <w:t>שבמחלוקת</w:t>
      </w:r>
      <w:r w:rsidRPr="004A34C1">
        <w:rPr>
          <w:rFonts w:ascii="Century" w:hAnsi="Century" w:cs="Miriam"/>
          <w:b/>
          <w:spacing w:val="0"/>
          <w:szCs w:val="24"/>
          <w:rtl/>
        </w:rPr>
        <w:t xml:space="preserve"> </w:t>
      </w:r>
      <w:r w:rsidRPr="004A34C1">
        <w:rPr>
          <w:rFonts w:ascii="Century" w:hAnsi="Century" w:cs="Miriam" w:hint="eastAsia"/>
          <w:b/>
          <w:spacing w:val="0"/>
          <w:szCs w:val="24"/>
          <w:rtl/>
        </w:rPr>
        <w:t>כחלק</w:t>
      </w:r>
      <w:r w:rsidRPr="004A34C1">
        <w:rPr>
          <w:rFonts w:ascii="Century" w:hAnsi="Century" w:cs="Miriam"/>
          <w:b/>
          <w:spacing w:val="0"/>
          <w:szCs w:val="24"/>
          <w:rtl/>
        </w:rPr>
        <w:t xml:space="preserve"> </w:t>
      </w:r>
      <w:r w:rsidRPr="004A34C1">
        <w:rPr>
          <w:rFonts w:ascii="Century" w:hAnsi="Century" w:cs="Miriam" w:hint="eastAsia"/>
          <w:b/>
          <w:spacing w:val="0"/>
          <w:szCs w:val="24"/>
          <w:rtl/>
        </w:rPr>
        <w:t>מהיישוב</w:t>
      </w:r>
      <w:r w:rsidRPr="004A34C1">
        <w:rPr>
          <w:rFonts w:ascii="Century" w:hAnsi="Century" w:cs="Miriam"/>
          <w:b/>
          <w:spacing w:val="0"/>
          <w:szCs w:val="24"/>
          <w:rtl/>
        </w:rPr>
        <w:t>"</w:t>
      </w:r>
      <w:r>
        <w:rPr>
          <w:rFonts w:hint="cs"/>
          <w:rtl/>
        </w:rPr>
        <w:t xml:space="preserve"> (</w:t>
      </w:r>
      <w:r w:rsidRPr="000E3BB5">
        <w:rPr>
          <w:rFonts w:hint="eastAsia"/>
          <w:rtl/>
        </w:rPr>
        <w:t>בג</w:t>
      </w:r>
      <w:r w:rsidRPr="000E3BB5">
        <w:rPr>
          <w:rtl/>
        </w:rPr>
        <w:t>"</w:t>
      </w:r>
      <w:r w:rsidRPr="000E3BB5">
        <w:rPr>
          <w:rFonts w:hint="eastAsia"/>
          <w:rtl/>
        </w:rPr>
        <w:t>ץ</w:t>
      </w:r>
      <w:r w:rsidRPr="000E3BB5">
        <w:rPr>
          <w:rtl/>
        </w:rPr>
        <w:t xml:space="preserve"> 9669/10 </w:t>
      </w:r>
      <w:r w:rsidRPr="004A34C1">
        <w:rPr>
          <w:rFonts w:ascii="Century" w:hAnsi="Century" w:cs="Miriam" w:hint="eastAsia"/>
          <w:b/>
          <w:spacing w:val="0"/>
          <w:szCs w:val="24"/>
          <w:rtl/>
        </w:rPr>
        <w:t>קאסם</w:t>
      </w:r>
      <w:r w:rsidRPr="004A34C1">
        <w:rPr>
          <w:rFonts w:ascii="Century" w:hAnsi="Century" w:cs="Miriam"/>
          <w:b/>
          <w:spacing w:val="0"/>
          <w:szCs w:val="24"/>
          <w:rtl/>
        </w:rPr>
        <w:t xml:space="preserve"> </w:t>
      </w:r>
      <w:r w:rsidRPr="004A34C1">
        <w:rPr>
          <w:rFonts w:ascii="Century" w:hAnsi="Century" w:cs="Miriam" w:hint="eastAsia"/>
          <w:b/>
          <w:spacing w:val="0"/>
          <w:szCs w:val="24"/>
          <w:rtl/>
        </w:rPr>
        <w:t>נ</w:t>
      </w:r>
      <w:r w:rsidRPr="004A34C1">
        <w:rPr>
          <w:rFonts w:ascii="Century" w:hAnsi="Century" w:cs="Miriam"/>
          <w:b/>
          <w:spacing w:val="0"/>
          <w:szCs w:val="24"/>
          <w:rtl/>
        </w:rPr>
        <w:t xml:space="preserve">' </w:t>
      </w:r>
      <w:r w:rsidRPr="004A34C1">
        <w:rPr>
          <w:rFonts w:ascii="Century" w:hAnsi="Century" w:cs="Miriam" w:hint="eastAsia"/>
          <w:b/>
          <w:spacing w:val="0"/>
          <w:szCs w:val="24"/>
          <w:rtl/>
        </w:rPr>
        <w:t>שר</w:t>
      </w:r>
      <w:r w:rsidRPr="004A34C1">
        <w:rPr>
          <w:rFonts w:ascii="Century" w:hAnsi="Century" w:cs="Miriam"/>
          <w:b/>
          <w:spacing w:val="0"/>
          <w:szCs w:val="24"/>
          <w:rtl/>
        </w:rPr>
        <w:t xml:space="preserve"> </w:t>
      </w:r>
      <w:r w:rsidRPr="004A34C1">
        <w:rPr>
          <w:rFonts w:ascii="Century" w:hAnsi="Century" w:cs="Miriam" w:hint="eastAsia"/>
          <w:b/>
          <w:spacing w:val="0"/>
          <w:szCs w:val="24"/>
          <w:rtl/>
        </w:rPr>
        <w:t>הביטחון</w:t>
      </w:r>
      <w:r w:rsidRPr="000E3BB5">
        <w:rPr>
          <w:rtl/>
        </w:rPr>
        <w:t xml:space="preserve">, </w:t>
      </w:r>
      <w:r w:rsidRPr="000E3BB5">
        <w:rPr>
          <w:rFonts w:hint="eastAsia"/>
          <w:rtl/>
        </w:rPr>
        <w:lastRenderedPageBreak/>
        <w:t>פסקה</w:t>
      </w:r>
      <w:r w:rsidRPr="000E3BB5">
        <w:rPr>
          <w:rtl/>
        </w:rPr>
        <w:t xml:space="preserve"> 10 </w:t>
      </w:r>
      <w:r>
        <w:rPr>
          <w:rFonts w:hint="cs"/>
          <w:rtl/>
        </w:rPr>
        <w:t xml:space="preserve">לפסק הדין של המשנָה לנשיא (כתוארה אז) </w:t>
      </w:r>
      <w:r w:rsidRPr="000E3BB5">
        <w:rPr>
          <w:rFonts w:ascii="Century" w:hAnsi="Century" w:cs="Miriam" w:hint="cs"/>
          <w:b/>
          <w:spacing w:val="0"/>
          <w:szCs w:val="24"/>
          <w:rtl/>
        </w:rPr>
        <w:t>מ' נאור</w:t>
      </w:r>
      <w:r w:rsidRPr="000E3BB5">
        <w:rPr>
          <w:rtl/>
        </w:rPr>
        <w:t xml:space="preserve"> </w:t>
      </w:r>
      <w:r>
        <w:rPr>
          <w:rFonts w:hint="cs"/>
          <w:rtl/>
        </w:rPr>
        <w:t xml:space="preserve">(בדעת מיעוט) </w:t>
      </w:r>
      <w:r w:rsidRPr="000E3BB5">
        <w:rPr>
          <w:rtl/>
        </w:rPr>
        <w:t>(8.9.2014)</w:t>
      </w:r>
      <w:r>
        <w:rPr>
          <w:rFonts w:hint="cs"/>
          <w:rtl/>
        </w:rPr>
        <w:t xml:space="preserve">). דברים אלה יפים גם לענייננו </w:t>
      </w:r>
      <w:r>
        <w:rPr>
          <w:rtl/>
        </w:rPr>
        <w:t>–</w:t>
      </w:r>
      <w:r>
        <w:rPr>
          <w:rFonts w:hint="cs"/>
          <w:rtl/>
        </w:rPr>
        <w:t xml:space="preserve"> וביתר שאת, שכן הם עולים בקנה אחד עם עדויותיהם של הגורמים שקידמו את המהלכים התכנוניים. כך הצהיר מושקוביץ בהקשר זה: </w:t>
      </w:r>
      <w:r w:rsidRPr="004A34C1">
        <w:rPr>
          <w:rFonts w:ascii="Century" w:hAnsi="Century" w:cs="Miriam" w:hint="cs"/>
          <w:b/>
          <w:spacing w:val="0"/>
          <w:szCs w:val="24"/>
          <w:rtl/>
        </w:rPr>
        <w:t xml:space="preserve">"באותה שעה, כל הגורמים המקצועיים הרלוונטיים סברו כי מדובר בקרקע תפוסה בתפיסה צבאית </w:t>
      </w:r>
      <w:r w:rsidRPr="004A34C1">
        <w:rPr>
          <w:rFonts w:ascii="Century" w:hAnsi="Century"/>
          <w:rtl/>
        </w:rPr>
        <w:t>–</w:t>
      </w:r>
      <w:r w:rsidRPr="004A34C1">
        <w:rPr>
          <w:rFonts w:ascii="Century" w:hAnsi="Century" w:cs="Miriam" w:hint="cs"/>
          <w:b/>
          <w:spacing w:val="0"/>
          <w:szCs w:val="24"/>
          <w:rtl/>
        </w:rPr>
        <w:t xml:space="preserve"> אחרת לא היו נדונות תכניות על הקרקע מכוח צו 997; לא היה ניתן לתכנית אישור הממונה על הרכוש הממשלתי על בסיס עמדת תחום תשתית (באותה עת </w:t>
      </w:r>
      <w:r w:rsidRPr="004A34C1">
        <w:rPr>
          <w:rFonts w:ascii="Century" w:hAnsi="Century"/>
          <w:rtl/>
        </w:rPr>
        <w:t>–</w:t>
      </w:r>
      <w:r w:rsidRPr="004A34C1">
        <w:rPr>
          <w:rFonts w:ascii="Century" w:hAnsi="Century" w:cs="Miriam" w:hint="cs"/>
          <w:b/>
          <w:spacing w:val="0"/>
          <w:szCs w:val="24"/>
          <w:rtl/>
        </w:rPr>
        <w:t xml:space="preserve"> ענף תשתית); לא הייתי חותם על התכנית; וממילא היא לא היתה מאושרת"</w:t>
      </w:r>
      <w:r>
        <w:rPr>
          <w:rFonts w:hint="cs"/>
          <w:rtl/>
        </w:rPr>
        <w:t xml:space="preserve"> (סעיף 8 לתצהירו; כך העיד גם פוליטיס, בסעיף 11 לתצהירו; וכך העיד גם בלומנטל, בסעיף 7 לתצהירו). ודוק: אין עוררין על כך שלתכניות 223 ו-223/1, צורפו מפות </w:t>
      </w:r>
      <w:r w:rsidRPr="006533F5">
        <w:rPr>
          <w:rFonts w:ascii="Century" w:hAnsi="Century" w:cs="Miriam" w:hint="cs"/>
          <w:b/>
          <w:spacing w:val="0"/>
          <w:szCs w:val="24"/>
          <w:rtl/>
        </w:rPr>
        <w:t>מדויקות</w:t>
      </w:r>
      <w:r>
        <w:rPr>
          <w:rFonts w:hint="cs"/>
          <w:rtl/>
        </w:rPr>
        <w:t xml:space="preserve">, דהיינו, שבעת החתימה על תכניות אלה </w:t>
      </w:r>
      <w:r>
        <w:rPr>
          <w:rtl/>
        </w:rPr>
        <w:t>–</w:t>
      </w:r>
      <w:r>
        <w:rPr>
          <w:rFonts w:hint="cs"/>
          <w:rtl/>
        </w:rPr>
        <w:t xml:space="preserve"> לא היה מקום לספק מהו השטח שנכלל בהן, וזאת בניגוד למפה שצורפה להסכם ההרשאה (כשלמצער שאלת ה'דיוק' של מפה זו </w:t>
      </w:r>
      <w:r>
        <w:rPr>
          <w:rtl/>
        </w:rPr>
        <w:t>–</w:t>
      </w:r>
      <w:r>
        <w:rPr>
          <w:rFonts w:hint="cs"/>
          <w:rtl/>
        </w:rPr>
        <w:t xml:space="preserve"> שנויה במחלוקת). נראה אפוא, כי האישור שניתן לתכניות 223 ו-223/1, ובפרט חתימת הממונים השונים ונציגי ההסתדרות הציונית, מכרסמים בעמדתו ההחלטית של חברי המשנה לנשיאה.</w:t>
      </w:r>
    </w:p>
    <w:p w:rsidR="00295623" w:rsidRPr="00EF2728" w:rsidRDefault="00295623" w:rsidP="00295623">
      <w:pPr>
        <w:pStyle w:val="Ruller41"/>
        <w:tabs>
          <w:tab w:val="left" w:pos="90"/>
        </w:tabs>
        <w:spacing w:line="240" w:lineRule="auto"/>
      </w:pPr>
    </w:p>
    <w:p w:rsidR="00295623" w:rsidRDefault="00295623" w:rsidP="00295623">
      <w:pPr>
        <w:pStyle w:val="Ruller41"/>
      </w:pPr>
      <w:r>
        <w:rPr>
          <w:rFonts w:hint="cs"/>
          <w:rtl/>
        </w:rPr>
        <w:t>76.</w:t>
      </w:r>
      <w:r>
        <w:rPr>
          <w:rFonts w:hint="cs"/>
          <w:rtl/>
        </w:rPr>
        <w:tab/>
        <w:t xml:space="preserve">זאת ועוד, התנהגות הצדדים עד לשנת 2011 </w:t>
      </w:r>
      <w:r>
        <w:rPr>
          <w:rtl/>
        </w:rPr>
        <w:t>–</w:t>
      </w:r>
      <w:r>
        <w:rPr>
          <w:rFonts w:hint="cs"/>
          <w:rtl/>
        </w:rPr>
        <w:t xml:space="preserve"> מועד הגשת העתירה </w:t>
      </w:r>
      <w:r>
        <w:rPr>
          <w:rtl/>
        </w:rPr>
        <w:t>–</w:t>
      </w:r>
      <w:r>
        <w:rPr>
          <w:rFonts w:hint="cs"/>
          <w:rtl/>
        </w:rPr>
        <w:t xml:space="preserve"> מסייעת גם היא לחשוף את כוונתם המקורית של הצדדים להסכמי ההרשאה (</w:t>
      </w:r>
      <w:r w:rsidRPr="00AF35E9">
        <w:rPr>
          <w:rFonts w:hint="eastAsia"/>
          <w:rtl/>
        </w:rPr>
        <w:t>רע</w:t>
      </w:r>
      <w:r w:rsidRPr="00AF35E9">
        <w:rPr>
          <w:rtl/>
        </w:rPr>
        <w:t>"</w:t>
      </w:r>
      <w:r w:rsidRPr="00AF35E9">
        <w:rPr>
          <w:rFonts w:hint="eastAsia"/>
          <w:rtl/>
        </w:rPr>
        <w:t>א</w:t>
      </w:r>
      <w:r w:rsidRPr="00AF35E9">
        <w:rPr>
          <w:rtl/>
        </w:rPr>
        <w:t xml:space="preserve"> 3961/10 </w:t>
      </w:r>
      <w:r w:rsidRPr="00AF35E9">
        <w:rPr>
          <w:rFonts w:ascii="Century" w:hAnsi="Century" w:cs="Miriam" w:hint="eastAsia"/>
          <w:b/>
          <w:spacing w:val="0"/>
          <w:szCs w:val="24"/>
          <w:rtl/>
        </w:rPr>
        <w:t>המוסד</w:t>
      </w:r>
      <w:r w:rsidRPr="00AF35E9">
        <w:rPr>
          <w:rFonts w:ascii="Century" w:hAnsi="Century" w:cs="Miriam"/>
          <w:b/>
          <w:spacing w:val="0"/>
          <w:szCs w:val="24"/>
          <w:rtl/>
        </w:rPr>
        <w:t xml:space="preserve"> </w:t>
      </w:r>
      <w:r w:rsidRPr="00AF35E9">
        <w:rPr>
          <w:rFonts w:ascii="Century" w:hAnsi="Century" w:cs="Miriam" w:hint="eastAsia"/>
          <w:b/>
          <w:spacing w:val="0"/>
          <w:szCs w:val="24"/>
          <w:rtl/>
        </w:rPr>
        <w:t>לביטוח</w:t>
      </w:r>
      <w:r w:rsidRPr="00AF35E9">
        <w:rPr>
          <w:rFonts w:ascii="Century" w:hAnsi="Century" w:cs="Miriam"/>
          <w:b/>
          <w:spacing w:val="0"/>
          <w:szCs w:val="24"/>
          <w:rtl/>
        </w:rPr>
        <w:t xml:space="preserve"> </w:t>
      </w:r>
      <w:r w:rsidRPr="00AF35E9">
        <w:rPr>
          <w:rFonts w:ascii="Century" w:hAnsi="Century" w:cs="Miriam" w:hint="eastAsia"/>
          <w:b/>
          <w:spacing w:val="0"/>
          <w:szCs w:val="24"/>
          <w:rtl/>
        </w:rPr>
        <w:t>לאומי</w:t>
      </w:r>
      <w:r w:rsidRPr="00AF35E9">
        <w:rPr>
          <w:rFonts w:ascii="Century" w:hAnsi="Century" w:cs="Miriam"/>
          <w:b/>
          <w:spacing w:val="0"/>
          <w:szCs w:val="24"/>
          <w:rtl/>
        </w:rPr>
        <w:t xml:space="preserve"> </w:t>
      </w:r>
      <w:r w:rsidRPr="00AF35E9">
        <w:rPr>
          <w:rFonts w:ascii="Century" w:hAnsi="Century" w:cs="Miriam" w:hint="eastAsia"/>
          <w:b/>
          <w:spacing w:val="0"/>
          <w:szCs w:val="24"/>
          <w:rtl/>
        </w:rPr>
        <w:t>נ</w:t>
      </w:r>
      <w:r w:rsidRPr="00AF35E9">
        <w:rPr>
          <w:rFonts w:ascii="Century" w:hAnsi="Century" w:cs="Miriam"/>
          <w:b/>
          <w:spacing w:val="0"/>
          <w:szCs w:val="24"/>
          <w:rtl/>
        </w:rPr>
        <w:t xml:space="preserve">' </w:t>
      </w:r>
      <w:r w:rsidRPr="00AF35E9">
        <w:rPr>
          <w:rFonts w:ascii="Century" w:hAnsi="Century" w:cs="Miriam" w:hint="eastAsia"/>
          <w:b/>
          <w:spacing w:val="0"/>
          <w:szCs w:val="24"/>
          <w:rtl/>
        </w:rPr>
        <w:t>סהר</w:t>
      </w:r>
      <w:r w:rsidRPr="00AF35E9">
        <w:rPr>
          <w:rFonts w:ascii="Century" w:hAnsi="Century" w:cs="Miriam"/>
          <w:b/>
          <w:spacing w:val="0"/>
          <w:szCs w:val="24"/>
          <w:rtl/>
        </w:rPr>
        <w:t xml:space="preserve"> </w:t>
      </w:r>
      <w:r w:rsidRPr="00AF35E9">
        <w:rPr>
          <w:rFonts w:ascii="Century" w:hAnsi="Century" w:cs="Miriam" w:hint="eastAsia"/>
          <w:b/>
          <w:spacing w:val="0"/>
          <w:szCs w:val="24"/>
          <w:rtl/>
        </w:rPr>
        <w:t>חברה</w:t>
      </w:r>
      <w:r w:rsidRPr="00AF35E9">
        <w:rPr>
          <w:rFonts w:ascii="Century" w:hAnsi="Century" w:cs="Miriam"/>
          <w:b/>
          <w:spacing w:val="0"/>
          <w:szCs w:val="24"/>
          <w:rtl/>
        </w:rPr>
        <w:t xml:space="preserve"> </w:t>
      </w:r>
      <w:r w:rsidRPr="00AF35E9">
        <w:rPr>
          <w:rFonts w:ascii="Century" w:hAnsi="Century" w:cs="Miriam" w:hint="eastAsia"/>
          <w:b/>
          <w:spacing w:val="0"/>
          <w:szCs w:val="24"/>
          <w:rtl/>
        </w:rPr>
        <w:t>לתביעות</w:t>
      </w:r>
      <w:r w:rsidRPr="00AF35E9">
        <w:rPr>
          <w:rFonts w:ascii="Century" w:hAnsi="Century" w:cs="Miriam"/>
          <w:b/>
          <w:spacing w:val="0"/>
          <w:szCs w:val="24"/>
          <w:rtl/>
        </w:rPr>
        <w:t xml:space="preserve"> </w:t>
      </w:r>
      <w:r w:rsidRPr="00AF35E9">
        <w:rPr>
          <w:rFonts w:ascii="Century" w:hAnsi="Century" w:cs="Miriam" w:hint="eastAsia"/>
          <w:b/>
          <w:spacing w:val="0"/>
          <w:szCs w:val="24"/>
          <w:rtl/>
        </w:rPr>
        <w:t>בע</w:t>
      </w:r>
      <w:r w:rsidRPr="00AF35E9">
        <w:rPr>
          <w:rFonts w:ascii="Century" w:hAnsi="Century" w:cs="Miriam"/>
          <w:b/>
          <w:spacing w:val="0"/>
          <w:szCs w:val="24"/>
          <w:rtl/>
        </w:rPr>
        <w:t>"</w:t>
      </w:r>
      <w:r w:rsidRPr="00AF35E9">
        <w:rPr>
          <w:rFonts w:ascii="Century" w:hAnsi="Century" w:cs="Miriam" w:hint="eastAsia"/>
          <w:b/>
          <w:spacing w:val="0"/>
          <w:szCs w:val="24"/>
          <w:rtl/>
        </w:rPr>
        <w:t>מ</w:t>
      </w:r>
      <w:r w:rsidRPr="00AF35E9">
        <w:rPr>
          <w:rFonts w:ascii="Century" w:hAnsi="Century" w:cs="Miriam"/>
          <w:b/>
          <w:spacing w:val="0"/>
          <w:szCs w:val="24"/>
          <w:rtl/>
        </w:rPr>
        <w:t xml:space="preserve"> </w:t>
      </w:r>
      <w:r w:rsidRPr="00AF35E9">
        <w:rPr>
          <w:rFonts w:ascii="Century" w:hAnsi="Century" w:cs="Miriam" w:hint="eastAsia"/>
          <w:b/>
          <w:spacing w:val="0"/>
          <w:szCs w:val="24"/>
          <w:rtl/>
        </w:rPr>
        <w:t>מגדל</w:t>
      </w:r>
      <w:r w:rsidRPr="00AF35E9">
        <w:rPr>
          <w:rFonts w:ascii="Century" w:hAnsi="Century" w:cs="Miriam"/>
          <w:b/>
          <w:spacing w:val="0"/>
          <w:szCs w:val="24"/>
          <w:rtl/>
        </w:rPr>
        <w:t xml:space="preserve"> </w:t>
      </w:r>
      <w:r w:rsidRPr="00AF35E9">
        <w:rPr>
          <w:rFonts w:ascii="Century" w:hAnsi="Century" w:cs="Miriam" w:hint="eastAsia"/>
          <w:b/>
          <w:spacing w:val="0"/>
          <w:szCs w:val="24"/>
          <w:rtl/>
        </w:rPr>
        <w:t>חברה</w:t>
      </w:r>
      <w:r w:rsidRPr="00AF35E9">
        <w:rPr>
          <w:rFonts w:ascii="Century" w:hAnsi="Century" w:cs="Miriam"/>
          <w:b/>
          <w:spacing w:val="0"/>
          <w:szCs w:val="24"/>
          <w:rtl/>
        </w:rPr>
        <w:t xml:space="preserve"> </w:t>
      </w:r>
      <w:r w:rsidRPr="00AF35E9">
        <w:rPr>
          <w:rFonts w:ascii="Century" w:hAnsi="Century" w:cs="Miriam" w:hint="eastAsia"/>
          <w:b/>
          <w:spacing w:val="0"/>
          <w:szCs w:val="24"/>
          <w:rtl/>
        </w:rPr>
        <w:t>לביטוח</w:t>
      </w:r>
      <w:r w:rsidRPr="00AF35E9">
        <w:rPr>
          <w:rFonts w:ascii="Century" w:hAnsi="Century" w:cs="Miriam"/>
          <w:b/>
          <w:spacing w:val="0"/>
          <w:szCs w:val="24"/>
          <w:rtl/>
        </w:rPr>
        <w:t xml:space="preserve"> </w:t>
      </w:r>
      <w:r w:rsidRPr="00AF35E9">
        <w:rPr>
          <w:rFonts w:ascii="Century" w:hAnsi="Century" w:cs="Miriam" w:hint="eastAsia"/>
          <w:b/>
          <w:spacing w:val="0"/>
          <w:szCs w:val="24"/>
          <w:rtl/>
        </w:rPr>
        <w:t>בע</w:t>
      </w:r>
      <w:r w:rsidRPr="00AF35E9">
        <w:rPr>
          <w:rFonts w:ascii="Century" w:hAnsi="Century" w:cs="Miriam"/>
          <w:b/>
          <w:spacing w:val="0"/>
          <w:szCs w:val="24"/>
          <w:rtl/>
        </w:rPr>
        <w:t>"</w:t>
      </w:r>
      <w:r w:rsidRPr="00AF35E9">
        <w:rPr>
          <w:rFonts w:ascii="Century" w:hAnsi="Century" w:cs="Miriam" w:hint="eastAsia"/>
          <w:b/>
          <w:spacing w:val="0"/>
          <w:szCs w:val="24"/>
          <w:rtl/>
        </w:rPr>
        <w:t>מ</w:t>
      </w:r>
      <w:r w:rsidRPr="00AF35E9">
        <w:rPr>
          <w:rtl/>
        </w:rPr>
        <w:t xml:space="preserve">, </w:t>
      </w:r>
      <w:r>
        <w:rPr>
          <w:rFonts w:hint="cs"/>
          <w:rtl/>
        </w:rPr>
        <w:t xml:space="preserve">פסקה 33 (26.2.2012)). כאמור לעיל, העתקת מצפה כרמים ממקומו הישן למקומו הנוכחי, נועדה למטרה אחת ברורה </w:t>
      </w:r>
      <w:r>
        <w:rPr>
          <w:rtl/>
        </w:rPr>
        <w:t>–</w:t>
      </w:r>
      <w:r>
        <w:rPr>
          <w:rFonts w:hint="cs"/>
          <w:rtl/>
        </w:rPr>
        <w:t xml:space="preserve"> להביא להסדרתו. </w:t>
      </w:r>
      <w:r w:rsidRPr="00B70443">
        <w:rPr>
          <w:rFonts w:hint="cs"/>
          <w:rtl/>
        </w:rPr>
        <w:t>באותו שלב, ואף קודם לכן, הפרשי השטח שבין מפות התפיסה והסגירה, לבין מפות התכניות</w:t>
      </w:r>
      <w:r>
        <w:rPr>
          <w:rFonts w:hint="cs"/>
          <w:rtl/>
        </w:rPr>
        <w:t xml:space="preserve"> </w:t>
      </w:r>
      <w:r>
        <w:rPr>
          <w:rtl/>
        </w:rPr>
        <w:t>–</w:t>
      </w:r>
      <w:r>
        <w:rPr>
          <w:rFonts w:hint="cs"/>
          <w:rtl/>
        </w:rPr>
        <w:t xml:space="preserve"> היו גלויים וידועים. ועדיין, אף על-פי כן, הועתק הישוב למקומו הנוכחי. הא למדנו, שבעת העתקת הישוב, לא היה ספק בלב גורמי המינהל האזרחי ונציגי ההסתדרות הציונית, כי המקרקעין נכללים בשטח שהוקצה כדת וכדין. התנהגות זו מעידה, לדידי, על כוונתם המקורית של הצדדים בהסכמי ההרשאה, ובפרט בהסכם האחרון, שנכרת שנתיים קודם לכן </w:t>
      </w:r>
      <w:r>
        <w:rPr>
          <w:rtl/>
        </w:rPr>
        <w:t>–</w:t>
      </w:r>
      <w:r>
        <w:rPr>
          <w:rFonts w:hint="cs"/>
          <w:rtl/>
        </w:rPr>
        <w:t xml:space="preserve"> במהלך שנת 1997. </w:t>
      </w:r>
    </w:p>
    <w:p w:rsidR="00295623" w:rsidRDefault="00295623" w:rsidP="00295623">
      <w:pPr>
        <w:pStyle w:val="Ruller4"/>
        <w:numPr>
          <w:ilvl w:val="0"/>
          <w:numId w:val="0"/>
        </w:numPr>
        <w:tabs>
          <w:tab w:val="left" w:pos="90"/>
        </w:tabs>
        <w:spacing w:line="240" w:lineRule="auto"/>
      </w:pPr>
      <w:r>
        <w:rPr>
          <w:rFonts w:hint="cs"/>
          <w:rtl/>
        </w:rPr>
        <w:t xml:space="preserve"> </w:t>
      </w:r>
    </w:p>
    <w:p w:rsidR="00295623" w:rsidRDefault="00295623" w:rsidP="00295623">
      <w:pPr>
        <w:pStyle w:val="Ruller41"/>
        <w:rPr>
          <w:rtl/>
        </w:rPr>
      </w:pPr>
      <w:r>
        <w:rPr>
          <w:rFonts w:hint="cs"/>
          <w:rtl/>
        </w:rPr>
        <w:t>77.</w:t>
      </w:r>
      <w:r>
        <w:rPr>
          <w:rFonts w:hint="cs"/>
          <w:rtl/>
        </w:rPr>
        <w:tab/>
        <w:t xml:space="preserve">לעניין זה אוסיף, כי אני שותף לגישתו של חברי השופט </w:t>
      </w:r>
      <w:r w:rsidRPr="00913959">
        <w:rPr>
          <w:rFonts w:ascii="Century" w:hAnsi="Century" w:cs="Miriam" w:hint="cs"/>
          <w:b/>
          <w:spacing w:val="0"/>
          <w:szCs w:val="24"/>
          <w:rtl/>
        </w:rPr>
        <w:t>הנדל</w:t>
      </w:r>
      <w:r>
        <w:rPr>
          <w:rFonts w:hint="cs"/>
          <w:rtl/>
        </w:rPr>
        <w:t xml:space="preserve"> בפסק הדין בערעור, שלפיה, הסכם ההרשאה הרלבנטי לבחינת השאלה אם המקרקעין נכללו ב'עסקה', הוא זה שנחתם בשנת 1997. זאת, שכן הסכם זה, הוא שחל בעת העתקת מצפה כרמים למקומו הנוכחי (שם, פסקאות 7-3 לחוות דעתו). במועד כריתת הסכם זה, כבר הוחלו שתי תכניות סטטוטוריות על המקרקעין, שבהן נכללו גם המקרקעין דנן. בנוסף, החתימה על הסכם 1997, אף היתה סמוכה בזמן למועד שבו הועתק מצפה כרמים בשנת 1999 למקומו הנוכחי </w:t>
      </w:r>
      <w:r>
        <w:rPr>
          <w:rtl/>
        </w:rPr>
        <w:t>–</w:t>
      </w:r>
      <w:r>
        <w:rPr>
          <w:rFonts w:hint="cs"/>
          <w:rtl/>
        </w:rPr>
        <w:t xml:space="preserve"> מועד שבו נעלה מכל ספק כי גורמי המדינה לא סברו שהשטח חורג מגבולות התפיסה. כאמור, העתקת הישוב נעשתה לשם הסדרתו (כך למשל, אלוף </w:t>
      </w:r>
      <w:r>
        <w:rPr>
          <w:rFonts w:hint="cs"/>
          <w:rtl/>
        </w:rPr>
        <w:lastRenderedPageBreak/>
        <w:t xml:space="preserve">פיקוד מרכז דאז, מ' יעלון, העיד, כי בדיונים בראשותו, לא הועלתה כל טענה כי המקרקעין מצויים מחוץ לגבולות התפיסה </w:t>
      </w:r>
      <w:r>
        <w:rPr>
          <w:rtl/>
        </w:rPr>
        <w:t>–</w:t>
      </w:r>
      <w:r>
        <w:rPr>
          <w:rFonts w:hint="cs"/>
          <w:rtl/>
        </w:rPr>
        <w:t xml:space="preserve"> עמ' 20, שורה 2-1 לפרוטוקול הדיון). כל זאת, מבלי שבפרק הזמן שבין הסכם 1997, לבין העתקת הישוב בשנת 1999, אירע 'מהפך תפיסתי' כלשהו לגבי מעמד הקרקע.</w:t>
      </w:r>
    </w:p>
    <w:p w:rsidR="00295623" w:rsidRPr="00980C3A" w:rsidRDefault="00295623" w:rsidP="00295623">
      <w:pPr>
        <w:pStyle w:val="Ruller41"/>
        <w:tabs>
          <w:tab w:val="left" w:pos="90"/>
        </w:tabs>
        <w:spacing w:line="240" w:lineRule="auto"/>
      </w:pPr>
    </w:p>
    <w:p w:rsidR="00295623" w:rsidRDefault="00295623" w:rsidP="00295623">
      <w:pPr>
        <w:pStyle w:val="Ruller41"/>
        <w:rPr>
          <w:rtl/>
        </w:rPr>
      </w:pPr>
      <w:r>
        <w:rPr>
          <w:rFonts w:hint="cs"/>
          <w:rtl/>
        </w:rPr>
        <w:t>78.</w:t>
      </w:r>
      <w:r>
        <w:rPr>
          <w:rFonts w:hint="cs"/>
          <w:rtl/>
        </w:rPr>
        <w:tab/>
        <w:t xml:space="preserve">לבסוף, כפי שציין חברי השופט </w:t>
      </w:r>
      <w:r w:rsidRPr="008654F0">
        <w:rPr>
          <w:rFonts w:ascii="Century" w:hAnsi="Century" w:cs="Miriam" w:hint="cs"/>
          <w:b/>
          <w:spacing w:val="0"/>
          <w:szCs w:val="24"/>
          <w:rtl/>
        </w:rPr>
        <w:t>הנדל</w:t>
      </w:r>
      <w:r>
        <w:rPr>
          <w:rFonts w:hint="cs"/>
          <w:rtl/>
        </w:rPr>
        <w:t xml:space="preserve"> בפסק הדין בערעור, הצדדים להסכם ההרשאה </w:t>
      </w:r>
      <w:r>
        <w:rPr>
          <w:rtl/>
        </w:rPr>
        <w:t>–</w:t>
      </w:r>
      <w:r>
        <w:rPr>
          <w:rFonts w:hint="cs"/>
          <w:rtl/>
        </w:rPr>
        <w:t xml:space="preserve"> הממונה מזה, וההסתדרות הציונית מזה </w:t>
      </w:r>
      <w:r>
        <w:rPr>
          <w:rtl/>
        </w:rPr>
        <w:t>–</w:t>
      </w:r>
      <w:r>
        <w:rPr>
          <w:rFonts w:hint="cs"/>
          <w:rtl/>
        </w:rPr>
        <w:t xml:space="preserve"> לא היו חלוקים בשאלת פרשנותו; לדעת שניהם, הסכמי ההרשאה כללו גם את מקרקעי מצפה כרמים. זו גם עמדתה העדכנית של המדינה בהליך שלפנינו. השאלה היא אפוא, אם ניתן לסתור את עמדתם </w:t>
      </w:r>
      <w:r w:rsidRPr="008654F0">
        <w:rPr>
          <w:rFonts w:ascii="Century" w:hAnsi="Century" w:cs="Miriam" w:hint="cs"/>
          <w:b/>
          <w:spacing w:val="0"/>
          <w:szCs w:val="24"/>
          <w:rtl/>
        </w:rPr>
        <w:t>המשותפת</w:t>
      </w:r>
      <w:r w:rsidRPr="005954C6">
        <w:rPr>
          <w:rFonts w:hint="cs"/>
          <w:rtl/>
        </w:rPr>
        <w:t xml:space="preserve"> </w:t>
      </w:r>
      <w:r>
        <w:rPr>
          <w:rFonts w:hint="cs"/>
          <w:rtl/>
        </w:rPr>
        <w:t xml:space="preserve">של הצדדים לחוזה, המקבלת חיזוק משמעותי מעדויותיהם של הנוגעים בדבר, המעידים על אשר אירע 'בזמן אמת', ושאמינותן נקבעה זה מכבר, על-ידי בית המשפט ששמע את הראיות מכלי ראשון, באופן בלתי-אמצעי, וזאת רק בשל האופן שבו צוין היקף השטח בחוזה, ובמפה שצורפה אליו. סבורני, לאחר שקילת מכלול הנתונים </w:t>
      </w:r>
      <w:r>
        <w:rPr>
          <w:rtl/>
        </w:rPr>
        <w:t>–</w:t>
      </w:r>
      <w:r>
        <w:rPr>
          <w:rFonts w:hint="cs"/>
          <w:rtl/>
        </w:rPr>
        <w:t xml:space="preserve"> כי כזאת אין לעשות.   </w:t>
      </w:r>
    </w:p>
    <w:p w:rsidR="00295623" w:rsidRPr="005954C6" w:rsidRDefault="00295623" w:rsidP="00295623">
      <w:pPr>
        <w:pStyle w:val="Ruller41"/>
        <w:tabs>
          <w:tab w:val="left" w:pos="90"/>
        </w:tabs>
        <w:spacing w:line="240" w:lineRule="auto"/>
      </w:pPr>
    </w:p>
    <w:p w:rsidR="00295623" w:rsidRDefault="00295623" w:rsidP="00295623">
      <w:pPr>
        <w:pStyle w:val="Ruller41"/>
        <w:rPr>
          <w:rtl/>
        </w:rPr>
      </w:pPr>
      <w:r>
        <w:rPr>
          <w:rFonts w:hint="cs"/>
          <w:rtl/>
        </w:rPr>
        <w:t>79.</w:t>
      </w:r>
      <w:r>
        <w:rPr>
          <w:rFonts w:hint="cs"/>
          <w:rtl/>
        </w:rPr>
        <w:tab/>
        <w:t xml:space="preserve">סיכומה של נקודה זו </w:t>
      </w:r>
      <w:r>
        <w:rPr>
          <w:rtl/>
        </w:rPr>
        <w:t>–</w:t>
      </w:r>
      <w:r>
        <w:rPr>
          <w:rFonts w:hint="cs"/>
          <w:rtl/>
        </w:rPr>
        <w:t xml:space="preserve"> שני הצדדים להסכם ההרשאה סברו, במועדי ההתרחשויות, כי השטח שנכלל בהסכמי ההרשאה הוא זה שנתפס בפועל, ולא זה שסומן במפה שצורפה להסכם. עוד עולה, כי הצדדים הנ"ל סברו, גם אם בדיעבד התברר שטעו, כי השטח שנתפס בפועל כלל גם את מיקומו הנוכחי של מצפה כרמים. עובדה זו נלמדת מהעדר המסוימות של המפה שצורפה להסכמי ההרשאה; מהוראות הסכמי ההרשאה המאפשרות שינוי של גבולות המשבצת; מחתימת הגורמים השונים במינהל האזרחי על התכניות הסטטוטוריות שכללו שטח זה; ומעצם התנהגותם של כלל הגורמים הנוגעים בדבר, לאורך השנים, ובפרט העתקתו של מצפה כרמים, לצורך הסדרתו </w:t>
      </w:r>
      <w:r>
        <w:rPr>
          <w:rtl/>
        </w:rPr>
        <w:t>–</w:t>
      </w:r>
      <w:r>
        <w:rPr>
          <w:rFonts w:hint="cs"/>
          <w:rtl/>
        </w:rPr>
        <w:t xml:space="preserve"> למקומו הנוכחי. עובדה זו נתמכת גם בעדויות שנשמעו בבית המשפט המחוזי. מסקנת הדברים היא אפוא, כי המקרקעין שעליהם הוקם מצפה כרמים, נכללו בהסכמי ההרשאה, ומשכך, ה'עסקה' התייחסה גם לשטח זה.</w:t>
      </w:r>
    </w:p>
    <w:p w:rsidR="00295623" w:rsidRDefault="00295623" w:rsidP="00295623">
      <w:pPr>
        <w:pStyle w:val="Ruller41"/>
        <w:tabs>
          <w:tab w:val="left" w:pos="90"/>
        </w:tabs>
        <w:spacing w:line="240" w:lineRule="auto"/>
        <w:rPr>
          <w:rtl/>
        </w:rPr>
      </w:pPr>
    </w:p>
    <w:p w:rsidR="00295623" w:rsidRPr="00E44DA5" w:rsidRDefault="00295623" w:rsidP="00295623">
      <w:pPr>
        <w:pStyle w:val="Ruller41"/>
        <w:tabs>
          <w:tab w:val="left" w:pos="90"/>
        </w:tabs>
        <w:rPr>
          <w:rFonts w:ascii="Century" w:hAnsi="Century" w:cs="Miriam"/>
          <w:b/>
          <w:spacing w:val="0"/>
          <w:szCs w:val="24"/>
        </w:rPr>
      </w:pPr>
      <w:r w:rsidRPr="00E44DA5">
        <w:rPr>
          <w:rFonts w:ascii="Century" w:hAnsi="Century" w:cs="Miriam" w:hint="cs"/>
          <w:b/>
          <w:spacing w:val="0"/>
          <w:szCs w:val="24"/>
          <w:rtl/>
        </w:rPr>
        <w:t>'רכוש ממשלתי'</w:t>
      </w:r>
    </w:p>
    <w:p w:rsidR="00295623" w:rsidRDefault="00295623" w:rsidP="00295623">
      <w:pPr>
        <w:pStyle w:val="Ruller41"/>
        <w:rPr>
          <w:rtl/>
        </w:rPr>
      </w:pPr>
      <w:r>
        <w:rPr>
          <w:rFonts w:hint="cs"/>
          <w:rtl/>
        </w:rPr>
        <w:t>80.</w:t>
      </w:r>
      <w:r>
        <w:rPr>
          <w:rFonts w:hint="cs"/>
          <w:rtl/>
        </w:rPr>
        <w:tab/>
        <w:t xml:space="preserve">ההסדר שבסעיף 5, מתייחס לעסקה שנעשתה בנכס אשר הממונה </w:t>
      </w:r>
      <w:r w:rsidRPr="004D7BDE">
        <w:rPr>
          <w:rFonts w:ascii="Century" w:hAnsi="Century" w:cs="Miriam" w:hint="cs"/>
          <w:b/>
          <w:spacing w:val="0"/>
          <w:szCs w:val="24"/>
          <w:rtl/>
        </w:rPr>
        <w:t xml:space="preserve">"חשבו בשעת </w:t>
      </w:r>
      <w:r>
        <w:rPr>
          <w:rFonts w:ascii="Century" w:hAnsi="Century" w:cs="Miriam" w:hint="cs"/>
          <w:b/>
          <w:spacing w:val="0"/>
          <w:szCs w:val="24"/>
          <w:rtl/>
        </w:rPr>
        <w:t>ה</w:t>
      </w:r>
      <w:r w:rsidRPr="004D7BDE">
        <w:rPr>
          <w:rFonts w:ascii="Century" w:hAnsi="Century" w:cs="Miriam" w:hint="cs"/>
          <w:b/>
          <w:spacing w:val="0"/>
          <w:szCs w:val="24"/>
          <w:rtl/>
        </w:rPr>
        <w:t>עסקה לרכוש ממשלתי"</w:t>
      </w:r>
      <w:r>
        <w:rPr>
          <w:rFonts w:hint="cs"/>
          <w:rtl/>
        </w:rPr>
        <w:t xml:space="preserve">. בענייננו-אנו, דעתי היא כי הסכמי ההרשאה </w:t>
      </w:r>
      <w:r>
        <w:rPr>
          <w:rtl/>
        </w:rPr>
        <w:t>–</w:t>
      </w:r>
      <w:r>
        <w:rPr>
          <w:rFonts w:hint="cs"/>
          <w:rtl/>
        </w:rPr>
        <w:t xml:space="preserve"> הלוא הם ה'עסקה' בנדון דידן </w:t>
      </w:r>
      <w:r>
        <w:rPr>
          <w:rtl/>
        </w:rPr>
        <w:t>–</w:t>
      </w:r>
      <w:r>
        <w:rPr>
          <w:rFonts w:hint="cs"/>
          <w:rtl/>
        </w:rPr>
        <w:t xml:space="preserve"> התייחסו גם לקרקע שעליה הוקם מצפה כרמים, משום שהממונה 'חשב' כי קרקע זו נתפסה על-ידי המפקד הצבאי. מכאן עולה השאלה, אם קרקע מסוג זה חוסה תחת ההסדר המעוגן בסעיף 5. כפי שציינתי לעיל, הקצאת קרקע שנתפסה בתפיסה צבאית, לטובת הקמת ישוב אזרחי, היתה פרקטיקה מקובלת בשנים הראשונות שלאחר מלחמת ששת הימים (עד בג"ץ 'אלון מורה', והחלטות הממשלה שבאו </w:t>
      </w:r>
      <w:r>
        <w:rPr>
          <w:rFonts w:hint="cs"/>
          <w:rtl/>
        </w:rPr>
        <w:lastRenderedPageBreak/>
        <w:t xml:space="preserve">בעקבותיו). משמעות הדבר היא, שיש לבחון אם קיים טעם טוב להבחין בין סוגי הקרקעות, לעניין תחולת סעיף 5, ועל כך </w:t>
      </w:r>
      <w:r>
        <w:rPr>
          <w:rtl/>
        </w:rPr>
        <w:t>–</w:t>
      </w:r>
      <w:r>
        <w:rPr>
          <w:rFonts w:hint="cs"/>
          <w:rtl/>
        </w:rPr>
        <w:t xml:space="preserve"> בהמשך. אפתח אפוא בהצגת ההגדרות שנקבעו בצו, ומשם אפנה להוראות רלבנטיות נוספות. סעיף 1 לצו מגדיר מהו </w:t>
      </w:r>
      <w:r w:rsidRPr="00920113">
        <w:rPr>
          <w:rFonts w:ascii="Century" w:hAnsi="Century" w:cs="Miriam" w:hint="cs"/>
          <w:b/>
          <w:spacing w:val="0"/>
          <w:szCs w:val="24"/>
          <w:rtl/>
        </w:rPr>
        <w:t>"רכוש"</w:t>
      </w:r>
      <w:r>
        <w:rPr>
          <w:rFonts w:hint="cs"/>
          <w:rtl/>
        </w:rPr>
        <w:t xml:space="preserve"> ומהו </w:t>
      </w:r>
      <w:r w:rsidRPr="00920113">
        <w:rPr>
          <w:rFonts w:ascii="Century" w:hAnsi="Century" w:cs="Miriam" w:hint="cs"/>
          <w:b/>
          <w:spacing w:val="0"/>
          <w:szCs w:val="24"/>
          <w:rtl/>
        </w:rPr>
        <w:t>"רכוש ממשלתי"</w:t>
      </w:r>
      <w:r>
        <w:rPr>
          <w:rFonts w:hint="cs"/>
          <w:rtl/>
        </w:rPr>
        <w:t xml:space="preserve">: </w:t>
      </w:r>
    </w:p>
    <w:p w:rsidR="00295623" w:rsidRDefault="00295623" w:rsidP="00295623">
      <w:pPr>
        <w:pStyle w:val="Ruller41"/>
        <w:tabs>
          <w:tab w:val="left" w:pos="90"/>
        </w:tabs>
        <w:spacing w:line="240" w:lineRule="auto"/>
        <w:rPr>
          <w:rtl/>
        </w:rPr>
      </w:pPr>
    </w:p>
    <w:p w:rsidR="00295623" w:rsidRPr="0076218D" w:rsidRDefault="00295623" w:rsidP="00295623">
      <w:pPr>
        <w:pStyle w:val="Ruller5"/>
        <w:tabs>
          <w:tab w:val="left" w:pos="90"/>
        </w:tabs>
        <w:ind w:left="1649"/>
        <w:rPr>
          <w:rFonts w:ascii="Century" w:hAnsi="Century" w:cs="Miriam"/>
          <w:b/>
          <w:spacing w:val="0"/>
          <w:szCs w:val="24"/>
          <w:rtl/>
        </w:rPr>
      </w:pPr>
      <w:r w:rsidRPr="0076218D">
        <w:rPr>
          <w:rFonts w:ascii="Century" w:hAnsi="Century" w:cs="Miriam" w:hint="cs"/>
          <w:b/>
          <w:spacing w:val="0"/>
          <w:szCs w:val="24"/>
          <w:rtl/>
        </w:rPr>
        <w:t xml:space="preserve">'רכוש' </w:t>
      </w:r>
      <w:r w:rsidRPr="00AD4860">
        <w:rPr>
          <w:rFonts w:ascii="Century" w:hAnsi="Century"/>
          <w:rtl/>
        </w:rPr>
        <w:t>–</w:t>
      </w:r>
      <w:r w:rsidRPr="0076218D">
        <w:rPr>
          <w:rFonts w:ascii="Century" w:hAnsi="Century" w:cs="Miriam" w:hint="cs"/>
          <w:b/>
          <w:spacing w:val="0"/>
          <w:szCs w:val="24"/>
          <w:rtl/>
        </w:rPr>
        <w:t xml:space="preserve"> </w:t>
      </w:r>
      <w:r w:rsidRPr="0076218D">
        <w:rPr>
          <w:rFonts w:ascii="Century" w:hAnsi="Century" w:cs="Miriam" w:hint="eastAsia"/>
          <w:b/>
          <w:spacing w:val="0"/>
          <w:szCs w:val="24"/>
          <w:rtl/>
        </w:rPr>
        <w:t>רכוש</w:t>
      </w:r>
      <w:r w:rsidRPr="0076218D">
        <w:rPr>
          <w:rFonts w:ascii="Century" w:hAnsi="Century" w:cs="Miriam"/>
          <w:b/>
          <w:spacing w:val="0"/>
          <w:szCs w:val="24"/>
          <w:rtl/>
        </w:rPr>
        <w:t xml:space="preserve"> </w:t>
      </w:r>
      <w:r w:rsidRPr="0076218D">
        <w:rPr>
          <w:rFonts w:ascii="Century" w:hAnsi="Century" w:cs="Miriam" w:hint="eastAsia"/>
          <w:b/>
          <w:spacing w:val="0"/>
          <w:szCs w:val="24"/>
          <w:rtl/>
        </w:rPr>
        <w:t>דניידי</w:t>
      </w:r>
      <w:r w:rsidRPr="0076218D">
        <w:rPr>
          <w:rFonts w:ascii="Century" w:hAnsi="Century" w:cs="Miriam"/>
          <w:b/>
          <w:spacing w:val="0"/>
          <w:szCs w:val="24"/>
          <w:rtl/>
        </w:rPr>
        <w:t xml:space="preserve"> </w:t>
      </w:r>
      <w:r w:rsidRPr="0076218D">
        <w:rPr>
          <w:rFonts w:ascii="Century" w:hAnsi="Century" w:cs="Miriam" w:hint="eastAsia"/>
          <w:b/>
          <w:spacing w:val="0"/>
          <w:szCs w:val="24"/>
          <w:rtl/>
        </w:rPr>
        <w:t>או</w:t>
      </w:r>
      <w:r w:rsidRPr="0076218D">
        <w:rPr>
          <w:rFonts w:ascii="Century" w:hAnsi="Century" w:cs="Miriam"/>
          <w:b/>
          <w:spacing w:val="0"/>
          <w:szCs w:val="24"/>
          <w:rtl/>
        </w:rPr>
        <w:t xml:space="preserve"> </w:t>
      </w:r>
      <w:r w:rsidRPr="0076218D">
        <w:rPr>
          <w:rFonts w:ascii="Century" w:hAnsi="Century" w:cs="Miriam" w:hint="eastAsia"/>
          <w:b/>
          <w:spacing w:val="0"/>
          <w:szCs w:val="24"/>
          <w:rtl/>
        </w:rPr>
        <w:t>דלא</w:t>
      </w:r>
      <w:r w:rsidRPr="0076218D">
        <w:rPr>
          <w:rFonts w:ascii="Century" w:hAnsi="Century" w:cs="Miriam"/>
          <w:b/>
          <w:spacing w:val="0"/>
          <w:szCs w:val="24"/>
          <w:rtl/>
        </w:rPr>
        <w:t>-</w:t>
      </w:r>
      <w:r w:rsidRPr="0076218D">
        <w:rPr>
          <w:rFonts w:ascii="Century" w:hAnsi="Century" w:cs="Miriam" w:hint="eastAsia"/>
          <w:b/>
          <w:spacing w:val="0"/>
          <w:szCs w:val="24"/>
          <w:rtl/>
        </w:rPr>
        <w:t>ניידי</w:t>
      </w:r>
      <w:r w:rsidRPr="0076218D">
        <w:rPr>
          <w:rFonts w:ascii="Century" w:hAnsi="Century" w:cs="Miriam"/>
          <w:b/>
          <w:spacing w:val="0"/>
          <w:szCs w:val="24"/>
          <w:rtl/>
        </w:rPr>
        <w:t xml:space="preserve">, </w:t>
      </w:r>
      <w:r w:rsidRPr="0076218D">
        <w:rPr>
          <w:rFonts w:ascii="Century" w:hAnsi="Century" w:cs="Miriam" w:hint="eastAsia"/>
          <w:b/>
          <w:spacing w:val="0"/>
          <w:szCs w:val="24"/>
          <w:rtl/>
        </w:rPr>
        <w:t>לרבות</w:t>
      </w:r>
      <w:r w:rsidRPr="0076218D">
        <w:rPr>
          <w:rFonts w:ascii="Century" w:hAnsi="Century" w:cs="Miriam"/>
          <w:b/>
          <w:spacing w:val="0"/>
          <w:szCs w:val="24"/>
          <w:rtl/>
        </w:rPr>
        <w:t xml:space="preserve"> </w:t>
      </w:r>
      <w:r w:rsidRPr="0076218D">
        <w:rPr>
          <w:rFonts w:ascii="Century" w:hAnsi="Century" w:cs="Miriam" w:hint="eastAsia"/>
          <w:b/>
          <w:spacing w:val="0"/>
          <w:szCs w:val="24"/>
          <w:rtl/>
        </w:rPr>
        <w:t>כספים</w:t>
      </w:r>
      <w:r w:rsidRPr="0076218D">
        <w:rPr>
          <w:rFonts w:ascii="Century" w:hAnsi="Century" w:cs="Miriam"/>
          <w:b/>
          <w:spacing w:val="0"/>
          <w:szCs w:val="24"/>
          <w:rtl/>
        </w:rPr>
        <w:t xml:space="preserve">, </w:t>
      </w:r>
      <w:r w:rsidRPr="0076218D">
        <w:rPr>
          <w:rFonts w:ascii="Century" w:hAnsi="Century" w:cs="Miriam" w:hint="eastAsia"/>
          <w:b/>
          <w:spacing w:val="0"/>
          <w:szCs w:val="24"/>
          <w:rtl/>
        </w:rPr>
        <w:t>חשבונות</w:t>
      </w:r>
      <w:r w:rsidRPr="0076218D">
        <w:rPr>
          <w:rFonts w:ascii="Century" w:hAnsi="Century" w:cs="Miriam"/>
          <w:b/>
          <w:spacing w:val="0"/>
          <w:szCs w:val="24"/>
          <w:rtl/>
        </w:rPr>
        <w:t xml:space="preserve"> </w:t>
      </w:r>
      <w:r w:rsidRPr="0076218D">
        <w:rPr>
          <w:rFonts w:ascii="Century" w:hAnsi="Century" w:cs="Miriam" w:hint="eastAsia"/>
          <w:b/>
          <w:spacing w:val="0"/>
          <w:szCs w:val="24"/>
          <w:rtl/>
        </w:rPr>
        <w:t>בנקים</w:t>
      </w:r>
      <w:r w:rsidRPr="0076218D">
        <w:rPr>
          <w:rFonts w:ascii="Century" w:hAnsi="Century" w:cs="Miriam"/>
          <w:b/>
          <w:spacing w:val="0"/>
          <w:szCs w:val="24"/>
          <w:rtl/>
        </w:rPr>
        <w:t xml:space="preserve">, </w:t>
      </w:r>
      <w:r w:rsidRPr="0076218D">
        <w:rPr>
          <w:rFonts w:ascii="Century" w:hAnsi="Century" w:cs="Miriam" w:hint="eastAsia"/>
          <w:b/>
          <w:spacing w:val="0"/>
          <w:szCs w:val="24"/>
          <w:rtl/>
        </w:rPr>
        <w:t>כלי</w:t>
      </w:r>
      <w:r w:rsidRPr="0076218D">
        <w:rPr>
          <w:rFonts w:ascii="Century" w:hAnsi="Century" w:cs="Miriam"/>
          <w:b/>
          <w:spacing w:val="0"/>
          <w:szCs w:val="24"/>
          <w:rtl/>
        </w:rPr>
        <w:t>-</w:t>
      </w:r>
      <w:r w:rsidRPr="0076218D">
        <w:rPr>
          <w:rFonts w:ascii="Century" w:hAnsi="Century" w:cs="Miriam" w:hint="eastAsia"/>
          <w:b/>
          <w:spacing w:val="0"/>
          <w:szCs w:val="24"/>
          <w:rtl/>
        </w:rPr>
        <w:t>רכב</w:t>
      </w:r>
      <w:r w:rsidRPr="0076218D">
        <w:rPr>
          <w:rFonts w:ascii="Century" w:hAnsi="Century" w:cs="Miriam"/>
          <w:b/>
          <w:spacing w:val="0"/>
          <w:szCs w:val="24"/>
          <w:rtl/>
        </w:rPr>
        <w:t xml:space="preserve">, </w:t>
      </w:r>
      <w:r w:rsidRPr="0076218D">
        <w:rPr>
          <w:rFonts w:ascii="Century" w:hAnsi="Century" w:cs="Miriam" w:hint="eastAsia"/>
          <w:b/>
          <w:spacing w:val="0"/>
          <w:szCs w:val="24"/>
          <w:rtl/>
        </w:rPr>
        <w:t>כלי</w:t>
      </w:r>
      <w:r w:rsidRPr="0076218D">
        <w:rPr>
          <w:rFonts w:ascii="Century" w:hAnsi="Century" w:cs="Miriam"/>
          <w:b/>
          <w:spacing w:val="0"/>
          <w:szCs w:val="24"/>
          <w:rtl/>
        </w:rPr>
        <w:t xml:space="preserve"> </w:t>
      </w:r>
      <w:r w:rsidRPr="0076218D">
        <w:rPr>
          <w:rFonts w:ascii="Century" w:hAnsi="Century" w:cs="Miriam" w:hint="eastAsia"/>
          <w:b/>
          <w:spacing w:val="0"/>
          <w:szCs w:val="24"/>
          <w:rtl/>
        </w:rPr>
        <w:t>תחבורה</w:t>
      </w:r>
      <w:r w:rsidRPr="0076218D">
        <w:rPr>
          <w:rFonts w:ascii="Century" w:hAnsi="Century" w:cs="Miriam"/>
          <w:b/>
          <w:spacing w:val="0"/>
          <w:szCs w:val="24"/>
          <w:rtl/>
        </w:rPr>
        <w:t xml:space="preserve">, </w:t>
      </w:r>
      <w:r w:rsidRPr="0076218D">
        <w:rPr>
          <w:rFonts w:ascii="Century" w:hAnsi="Century" w:cs="Miriam" w:hint="eastAsia"/>
          <w:b/>
          <w:spacing w:val="0"/>
          <w:szCs w:val="24"/>
          <w:rtl/>
        </w:rPr>
        <w:t>ציוד</w:t>
      </w:r>
      <w:r w:rsidRPr="0076218D">
        <w:rPr>
          <w:rFonts w:ascii="Century" w:hAnsi="Century" w:cs="Miriam"/>
          <w:b/>
          <w:spacing w:val="0"/>
          <w:szCs w:val="24"/>
          <w:rtl/>
        </w:rPr>
        <w:t xml:space="preserve"> </w:t>
      </w:r>
      <w:r w:rsidRPr="0076218D">
        <w:rPr>
          <w:rFonts w:ascii="Century" w:hAnsi="Century" w:cs="Miriam" w:hint="eastAsia"/>
          <w:b/>
          <w:spacing w:val="0"/>
          <w:szCs w:val="24"/>
          <w:rtl/>
        </w:rPr>
        <w:t>אזרחי</w:t>
      </w:r>
      <w:r w:rsidRPr="0076218D">
        <w:rPr>
          <w:rFonts w:ascii="Century" w:hAnsi="Century" w:cs="Miriam"/>
          <w:b/>
          <w:spacing w:val="0"/>
          <w:szCs w:val="24"/>
          <w:rtl/>
        </w:rPr>
        <w:t xml:space="preserve">, </w:t>
      </w:r>
      <w:r w:rsidRPr="0076218D">
        <w:rPr>
          <w:rFonts w:ascii="Century" w:hAnsi="Century" w:cs="Miriam" w:hint="eastAsia"/>
          <w:b/>
          <w:spacing w:val="0"/>
          <w:szCs w:val="24"/>
          <w:rtl/>
        </w:rPr>
        <w:t>מחצבים</w:t>
      </w:r>
      <w:r w:rsidRPr="0076218D">
        <w:rPr>
          <w:rFonts w:ascii="Century" w:hAnsi="Century" w:cs="Miriam"/>
          <w:b/>
          <w:spacing w:val="0"/>
          <w:szCs w:val="24"/>
          <w:rtl/>
        </w:rPr>
        <w:t xml:space="preserve">, </w:t>
      </w:r>
      <w:r w:rsidRPr="0076218D">
        <w:rPr>
          <w:rFonts w:ascii="Century" w:hAnsi="Century" w:cs="Miriam" w:hint="eastAsia"/>
          <w:b/>
          <w:spacing w:val="0"/>
          <w:szCs w:val="24"/>
          <w:rtl/>
        </w:rPr>
        <w:t>זכויות</w:t>
      </w:r>
      <w:r w:rsidRPr="0076218D">
        <w:rPr>
          <w:rFonts w:ascii="Century" w:hAnsi="Century" w:cs="Miriam"/>
          <w:b/>
          <w:spacing w:val="0"/>
          <w:szCs w:val="24"/>
          <w:rtl/>
        </w:rPr>
        <w:t xml:space="preserve"> </w:t>
      </w:r>
      <w:r w:rsidRPr="0076218D">
        <w:rPr>
          <w:rFonts w:ascii="Century" w:hAnsi="Century" w:cs="Miriam" w:hint="eastAsia"/>
          <w:b/>
          <w:spacing w:val="0"/>
          <w:szCs w:val="24"/>
          <w:rtl/>
        </w:rPr>
        <w:t>במחצבים</w:t>
      </w:r>
      <w:r w:rsidRPr="0076218D">
        <w:rPr>
          <w:rFonts w:ascii="Century" w:hAnsi="Century" w:cs="Miriam"/>
          <w:b/>
          <w:spacing w:val="0"/>
          <w:szCs w:val="24"/>
          <w:rtl/>
        </w:rPr>
        <w:t xml:space="preserve">, </w:t>
      </w:r>
      <w:r w:rsidRPr="0076218D">
        <w:rPr>
          <w:rFonts w:ascii="Century" w:hAnsi="Century" w:cs="Miriam" w:hint="eastAsia"/>
          <w:b/>
          <w:spacing w:val="0"/>
          <w:szCs w:val="24"/>
          <w:rtl/>
        </w:rPr>
        <w:t>זכויות</w:t>
      </w:r>
      <w:r w:rsidRPr="0076218D">
        <w:rPr>
          <w:rFonts w:ascii="Century" w:hAnsi="Century" w:cs="Miriam"/>
          <w:b/>
          <w:spacing w:val="0"/>
          <w:szCs w:val="24"/>
          <w:rtl/>
        </w:rPr>
        <w:t xml:space="preserve"> </w:t>
      </w:r>
      <w:r w:rsidRPr="0076218D">
        <w:rPr>
          <w:rFonts w:ascii="Century" w:hAnsi="Century" w:cs="Miriam" w:hint="eastAsia"/>
          <w:b/>
          <w:spacing w:val="0"/>
          <w:szCs w:val="24"/>
          <w:rtl/>
        </w:rPr>
        <w:t>בתאגיד</w:t>
      </w:r>
      <w:r w:rsidRPr="0076218D">
        <w:rPr>
          <w:rFonts w:ascii="Century" w:hAnsi="Century" w:cs="Miriam"/>
          <w:b/>
          <w:spacing w:val="0"/>
          <w:szCs w:val="24"/>
          <w:rtl/>
        </w:rPr>
        <w:t xml:space="preserve">, </w:t>
      </w:r>
      <w:r w:rsidRPr="0076218D">
        <w:rPr>
          <w:rFonts w:ascii="Century" w:hAnsi="Century" w:cs="Miriam" w:hint="eastAsia"/>
          <w:b/>
          <w:spacing w:val="0"/>
          <w:szCs w:val="24"/>
          <w:rtl/>
        </w:rPr>
        <w:t>הכנסה</w:t>
      </w:r>
      <w:r w:rsidRPr="0076218D">
        <w:rPr>
          <w:rFonts w:ascii="Century" w:hAnsi="Century" w:cs="Miriam"/>
          <w:b/>
          <w:spacing w:val="0"/>
          <w:szCs w:val="24"/>
          <w:rtl/>
        </w:rPr>
        <w:t xml:space="preserve">, </w:t>
      </w:r>
      <w:r w:rsidRPr="0076218D">
        <w:rPr>
          <w:rFonts w:ascii="Century" w:hAnsi="Century" w:cs="Miriam" w:hint="eastAsia"/>
          <w:b/>
          <w:spacing w:val="0"/>
          <w:szCs w:val="24"/>
          <w:rtl/>
        </w:rPr>
        <w:t>תמלוג</w:t>
      </w:r>
      <w:r w:rsidRPr="0076218D">
        <w:rPr>
          <w:rFonts w:ascii="Century" w:hAnsi="Century" w:cs="Miriam"/>
          <w:b/>
          <w:spacing w:val="0"/>
          <w:szCs w:val="24"/>
          <w:rtl/>
        </w:rPr>
        <w:t xml:space="preserve">, </w:t>
      </w:r>
      <w:r w:rsidRPr="0076218D">
        <w:rPr>
          <w:rFonts w:ascii="Century" w:hAnsi="Century" w:cs="Miriam" w:hint="eastAsia"/>
          <w:b/>
          <w:spacing w:val="0"/>
          <w:szCs w:val="24"/>
          <w:rtl/>
        </w:rPr>
        <w:t>זכויות</w:t>
      </w:r>
      <w:r w:rsidRPr="0076218D">
        <w:rPr>
          <w:rFonts w:ascii="Century" w:hAnsi="Century" w:cs="Miriam"/>
          <w:b/>
          <w:spacing w:val="0"/>
          <w:szCs w:val="24"/>
          <w:rtl/>
        </w:rPr>
        <w:t xml:space="preserve"> </w:t>
      </w:r>
      <w:r w:rsidRPr="0076218D">
        <w:rPr>
          <w:rFonts w:ascii="Century" w:hAnsi="Century" w:cs="Miriam" w:hint="eastAsia"/>
          <w:b/>
          <w:spacing w:val="0"/>
          <w:szCs w:val="24"/>
          <w:rtl/>
        </w:rPr>
        <w:t>להגנה</w:t>
      </w:r>
      <w:r w:rsidRPr="0076218D">
        <w:rPr>
          <w:rFonts w:ascii="Century" w:hAnsi="Century" w:cs="Miriam"/>
          <w:b/>
          <w:spacing w:val="0"/>
          <w:szCs w:val="24"/>
          <w:rtl/>
        </w:rPr>
        <w:t xml:space="preserve"> </w:t>
      </w:r>
      <w:r w:rsidRPr="0076218D">
        <w:rPr>
          <w:rFonts w:ascii="Century" w:hAnsi="Century" w:cs="Miriam" w:hint="eastAsia"/>
          <w:b/>
          <w:spacing w:val="0"/>
          <w:szCs w:val="24"/>
          <w:rtl/>
        </w:rPr>
        <w:t>או</w:t>
      </w:r>
      <w:r w:rsidRPr="0076218D">
        <w:rPr>
          <w:rFonts w:ascii="Century" w:hAnsi="Century" w:cs="Miriam"/>
          <w:b/>
          <w:spacing w:val="0"/>
          <w:szCs w:val="24"/>
          <w:rtl/>
        </w:rPr>
        <w:t xml:space="preserve"> </w:t>
      </w:r>
      <w:r w:rsidRPr="0076218D">
        <w:rPr>
          <w:rFonts w:ascii="Century" w:hAnsi="Century" w:cs="Miriam" w:hint="eastAsia"/>
          <w:b/>
          <w:spacing w:val="0"/>
          <w:szCs w:val="24"/>
          <w:rtl/>
        </w:rPr>
        <w:t>לתמלוג</w:t>
      </w:r>
      <w:r w:rsidRPr="0076218D">
        <w:rPr>
          <w:rFonts w:ascii="Century" w:hAnsi="Century" w:cs="Miriam"/>
          <w:b/>
          <w:spacing w:val="0"/>
          <w:szCs w:val="24"/>
          <w:rtl/>
        </w:rPr>
        <w:t xml:space="preserve">, </w:t>
      </w:r>
      <w:r w:rsidRPr="0076218D">
        <w:rPr>
          <w:rFonts w:ascii="Century" w:hAnsi="Century" w:cs="Miriam" w:hint="eastAsia"/>
          <w:b/>
          <w:spacing w:val="0"/>
          <w:szCs w:val="24"/>
          <w:rtl/>
        </w:rPr>
        <w:t>או</w:t>
      </w:r>
      <w:r w:rsidRPr="0076218D">
        <w:rPr>
          <w:rFonts w:ascii="Century" w:hAnsi="Century" w:cs="Miriam"/>
          <w:b/>
          <w:spacing w:val="0"/>
          <w:szCs w:val="24"/>
          <w:rtl/>
        </w:rPr>
        <w:t xml:space="preserve"> </w:t>
      </w:r>
      <w:r w:rsidRPr="0076218D">
        <w:rPr>
          <w:rFonts w:ascii="Century" w:hAnsi="Century" w:cs="Miriam" w:hint="eastAsia"/>
          <w:b/>
          <w:spacing w:val="0"/>
          <w:szCs w:val="24"/>
          <w:rtl/>
        </w:rPr>
        <w:t>כל</w:t>
      </w:r>
      <w:r w:rsidRPr="0076218D">
        <w:rPr>
          <w:rFonts w:ascii="Century" w:hAnsi="Century" w:cs="Miriam"/>
          <w:b/>
          <w:spacing w:val="0"/>
          <w:szCs w:val="24"/>
          <w:rtl/>
        </w:rPr>
        <w:t xml:space="preserve"> </w:t>
      </w:r>
      <w:r w:rsidRPr="0076218D">
        <w:rPr>
          <w:rFonts w:ascii="Century" w:hAnsi="Century" w:cs="Miriam" w:hint="eastAsia"/>
          <w:b/>
          <w:spacing w:val="0"/>
          <w:szCs w:val="24"/>
          <w:rtl/>
        </w:rPr>
        <w:t>זכות</w:t>
      </w:r>
      <w:r w:rsidRPr="0076218D">
        <w:rPr>
          <w:rFonts w:ascii="Century" w:hAnsi="Century" w:cs="Miriam"/>
          <w:b/>
          <w:spacing w:val="0"/>
          <w:szCs w:val="24"/>
          <w:rtl/>
        </w:rPr>
        <w:t xml:space="preserve"> </w:t>
      </w:r>
      <w:r w:rsidRPr="0076218D">
        <w:rPr>
          <w:rFonts w:ascii="Century" w:hAnsi="Century" w:cs="Miriam" w:hint="eastAsia"/>
          <w:b/>
          <w:spacing w:val="0"/>
          <w:szCs w:val="24"/>
          <w:rtl/>
        </w:rPr>
        <w:t>אחרת</w:t>
      </w:r>
      <w:r w:rsidRPr="0076218D">
        <w:rPr>
          <w:rFonts w:ascii="Century" w:hAnsi="Century" w:cs="Miriam"/>
          <w:b/>
          <w:spacing w:val="0"/>
          <w:szCs w:val="24"/>
          <w:rtl/>
        </w:rPr>
        <w:t xml:space="preserve">, </w:t>
      </w:r>
      <w:r w:rsidRPr="0076218D">
        <w:rPr>
          <w:rFonts w:ascii="Century" w:hAnsi="Century" w:cs="Miriam" w:hint="eastAsia"/>
          <w:b/>
          <w:spacing w:val="0"/>
          <w:szCs w:val="24"/>
          <w:rtl/>
        </w:rPr>
        <w:t>מוחזקת</w:t>
      </w:r>
      <w:r w:rsidRPr="0076218D">
        <w:rPr>
          <w:rFonts w:ascii="Century" w:hAnsi="Century" w:cs="Miriam"/>
          <w:b/>
          <w:spacing w:val="0"/>
          <w:szCs w:val="24"/>
          <w:rtl/>
        </w:rPr>
        <w:t xml:space="preserve"> </w:t>
      </w:r>
      <w:r w:rsidRPr="0076218D">
        <w:rPr>
          <w:rFonts w:ascii="Century" w:hAnsi="Century" w:cs="Miriam" w:hint="eastAsia"/>
          <w:b/>
          <w:spacing w:val="0"/>
          <w:szCs w:val="24"/>
          <w:rtl/>
        </w:rPr>
        <w:t>או</w:t>
      </w:r>
      <w:r w:rsidRPr="0076218D">
        <w:rPr>
          <w:rFonts w:ascii="Century" w:hAnsi="Century" w:cs="Miriam"/>
          <w:b/>
          <w:spacing w:val="0"/>
          <w:szCs w:val="24"/>
          <w:rtl/>
        </w:rPr>
        <w:t xml:space="preserve"> </w:t>
      </w:r>
      <w:r w:rsidRPr="0076218D">
        <w:rPr>
          <w:rFonts w:ascii="Century" w:hAnsi="Century" w:cs="Miriam" w:hint="eastAsia"/>
          <w:b/>
          <w:spacing w:val="0"/>
          <w:szCs w:val="24"/>
          <w:rtl/>
        </w:rPr>
        <w:t>ראויה</w:t>
      </w:r>
      <w:r w:rsidRPr="0076218D">
        <w:rPr>
          <w:rFonts w:ascii="Century" w:hAnsi="Century" w:cs="Miriam"/>
          <w:b/>
          <w:spacing w:val="0"/>
          <w:szCs w:val="24"/>
          <w:rtl/>
        </w:rPr>
        <w:t>.</w:t>
      </w:r>
    </w:p>
    <w:p w:rsidR="00295623" w:rsidRDefault="00295623" w:rsidP="00295623">
      <w:pPr>
        <w:pStyle w:val="Ruller5"/>
        <w:tabs>
          <w:tab w:val="left" w:pos="90"/>
        </w:tabs>
        <w:ind w:left="1649"/>
        <w:rPr>
          <w:rtl/>
        </w:rPr>
      </w:pPr>
    </w:p>
    <w:p w:rsidR="00295623" w:rsidRPr="00920113" w:rsidRDefault="00295623" w:rsidP="00295623">
      <w:pPr>
        <w:pStyle w:val="Ruller5"/>
        <w:tabs>
          <w:tab w:val="left" w:pos="90"/>
        </w:tabs>
        <w:ind w:left="1649"/>
        <w:rPr>
          <w:rFonts w:ascii="Century" w:hAnsi="Century" w:cs="Miriam"/>
          <w:b/>
          <w:spacing w:val="0"/>
          <w:szCs w:val="24"/>
        </w:rPr>
      </w:pPr>
      <w:r>
        <w:rPr>
          <w:rStyle w:val="default"/>
          <w:rFonts w:ascii="Century" w:hAnsi="Century" w:cs="Miriam" w:hint="cs"/>
          <w:b/>
          <w:spacing w:val="0"/>
          <w:szCs w:val="24"/>
          <w:rtl/>
        </w:rPr>
        <w:t>'</w:t>
      </w:r>
      <w:r w:rsidRPr="00920113">
        <w:rPr>
          <w:rStyle w:val="default"/>
          <w:rFonts w:ascii="Century" w:hAnsi="Century" w:cs="Miriam"/>
          <w:b/>
          <w:spacing w:val="0"/>
          <w:szCs w:val="24"/>
          <w:rtl/>
        </w:rPr>
        <w:t>רכוש ממשלתי</w:t>
      </w:r>
      <w:r>
        <w:rPr>
          <w:rStyle w:val="default"/>
          <w:rFonts w:ascii="Century" w:hAnsi="Century" w:cs="Miriam" w:hint="cs"/>
          <w:b/>
          <w:spacing w:val="0"/>
          <w:szCs w:val="24"/>
          <w:rtl/>
        </w:rPr>
        <w:t>'</w:t>
      </w:r>
      <w:r w:rsidRPr="00920113">
        <w:rPr>
          <w:rStyle w:val="default"/>
          <w:rFonts w:ascii="Century" w:hAnsi="Century" w:cs="Miriam"/>
          <w:b/>
          <w:spacing w:val="0"/>
          <w:szCs w:val="24"/>
          <w:rtl/>
        </w:rPr>
        <w:t xml:space="preserve"> </w:t>
      </w:r>
      <w:r w:rsidRPr="00920113">
        <w:rPr>
          <w:rStyle w:val="default"/>
          <w:rFonts w:ascii="Century" w:hAnsi="Century"/>
          <w:rtl/>
        </w:rPr>
        <w:t>–</w:t>
      </w:r>
    </w:p>
    <w:p w:rsidR="00295623" w:rsidRDefault="00295623" w:rsidP="00295623">
      <w:pPr>
        <w:pStyle w:val="Ruller5"/>
        <w:tabs>
          <w:tab w:val="left" w:pos="90"/>
        </w:tabs>
        <w:ind w:left="1649"/>
        <w:rPr>
          <w:rStyle w:val="default"/>
          <w:rFonts w:ascii="Century" w:hAnsi="Century" w:cs="Miriam"/>
          <w:b/>
          <w:spacing w:val="0"/>
          <w:szCs w:val="24"/>
          <w:rtl/>
        </w:rPr>
      </w:pPr>
      <w:r w:rsidRPr="00920113">
        <w:rPr>
          <w:rStyle w:val="default"/>
          <w:rFonts w:ascii="Century" w:hAnsi="Century" w:cs="Miriam"/>
          <w:b/>
          <w:spacing w:val="0"/>
          <w:szCs w:val="24"/>
          <w:rtl/>
        </w:rPr>
        <w:t>(1)   רכוש אשר ביום הקובע או לאחריו שייך, רשום על שם, או מוקנה לאחד מאלה:</w:t>
      </w:r>
    </w:p>
    <w:p w:rsidR="00295623" w:rsidRPr="00920113" w:rsidRDefault="00295623" w:rsidP="00295623">
      <w:pPr>
        <w:pStyle w:val="Ruller5"/>
        <w:tabs>
          <w:tab w:val="left" w:pos="90"/>
        </w:tabs>
        <w:ind w:left="1649"/>
        <w:rPr>
          <w:rFonts w:ascii="Century" w:hAnsi="Century" w:cs="Miriam"/>
          <w:b/>
          <w:spacing w:val="0"/>
          <w:szCs w:val="24"/>
          <w:rtl/>
        </w:rPr>
      </w:pPr>
    </w:p>
    <w:p w:rsidR="00295623" w:rsidRPr="00920113" w:rsidRDefault="00295623" w:rsidP="00295623">
      <w:pPr>
        <w:pStyle w:val="Ruller5"/>
        <w:tabs>
          <w:tab w:val="left" w:pos="90"/>
        </w:tabs>
        <w:ind w:left="1649"/>
        <w:rPr>
          <w:rFonts w:ascii="Century" w:hAnsi="Century" w:cs="Miriam"/>
          <w:b/>
          <w:spacing w:val="0"/>
          <w:szCs w:val="24"/>
          <w:rtl/>
        </w:rPr>
      </w:pPr>
      <w:r w:rsidRPr="00920113">
        <w:rPr>
          <w:rStyle w:val="default"/>
          <w:rFonts w:ascii="Century" w:hAnsi="Century" w:cs="Miriam"/>
          <w:b/>
          <w:spacing w:val="0"/>
          <w:szCs w:val="24"/>
          <w:rtl/>
        </w:rPr>
        <w:t>(א)   למדינת אוייב;</w:t>
      </w:r>
    </w:p>
    <w:p w:rsidR="00295623" w:rsidRDefault="00295623" w:rsidP="00295623">
      <w:pPr>
        <w:pStyle w:val="Ruller5"/>
        <w:tabs>
          <w:tab w:val="left" w:pos="90"/>
        </w:tabs>
        <w:ind w:left="1649"/>
        <w:rPr>
          <w:rStyle w:val="default"/>
          <w:rFonts w:ascii="Century" w:hAnsi="Century" w:cs="Miriam"/>
          <w:b/>
          <w:spacing w:val="0"/>
          <w:sz w:val="24"/>
          <w:szCs w:val="24"/>
          <w:rtl/>
        </w:rPr>
      </w:pPr>
      <w:r w:rsidRPr="00920113">
        <w:rPr>
          <w:rStyle w:val="default"/>
          <w:rFonts w:ascii="Century" w:hAnsi="Century" w:cs="Miriam"/>
          <w:b/>
          <w:spacing w:val="0"/>
          <w:szCs w:val="24"/>
          <w:rtl/>
        </w:rPr>
        <w:t>(ב)   לתאגיד אשר למדינת אוייב זכות כלשהיא בו, בין במישרין ובין בעקיפין, בין שיש עמה שליטה ובין שאין עמה שליטה;</w:t>
      </w:r>
      <w:r>
        <w:rPr>
          <w:rStyle w:val="default"/>
          <w:rFonts w:ascii="Century" w:hAnsi="Century" w:cs="Miriam" w:hint="cs"/>
          <w:b/>
          <w:spacing w:val="0"/>
          <w:szCs w:val="24"/>
          <w:rtl/>
        </w:rPr>
        <w:t xml:space="preserve"> </w:t>
      </w:r>
      <w:r w:rsidRPr="00920113">
        <w:rPr>
          <w:rStyle w:val="default"/>
          <w:rFonts w:ascii="Century" w:hAnsi="Century" w:cs="Miriam"/>
          <w:b/>
          <w:spacing w:val="0"/>
          <w:szCs w:val="24"/>
          <w:rtl/>
        </w:rPr>
        <w:t>או רכוש שאחד מהם היה שותף בו;</w:t>
      </w:r>
    </w:p>
    <w:p w:rsidR="00295623" w:rsidRPr="00920113" w:rsidRDefault="00295623" w:rsidP="00295623">
      <w:pPr>
        <w:pStyle w:val="Ruller5"/>
        <w:tabs>
          <w:tab w:val="left" w:pos="90"/>
        </w:tabs>
        <w:ind w:left="0"/>
        <w:rPr>
          <w:rFonts w:ascii="Century" w:hAnsi="Century" w:cs="Miriam"/>
          <w:b/>
          <w:spacing w:val="0"/>
          <w:szCs w:val="24"/>
          <w:rtl/>
        </w:rPr>
      </w:pPr>
    </w:p>
    <w:p w:rsidR="00295623" w:rsidRDefault="00295623" w:rsidP="00295623">
      <w:pPr>
        <w:pStyle w:val="Ruller5"/>
        <w:tabs>
          <w:tab w:val="left" w:pos="90"/>
        </w:tabs>
        <w:ind w:left="1649"/>
        <w:rPr>
          <w:rStyle w:val="default"/>
          <w:rFonts w:ascii="Century" w:hAnsi="Century" w:cs="Miriam"/>
          <w:b/>
          <w:spacing w:val="0"/>
          <w:szCs w:val="24"/>
          <w:rtl/>
        </w:rPr>
      </w:pPr>
      <w:r w:rsidRPr="00920113">
        <w:rPr>
          <w:rStyle w:val="default"/>
          <w:rFonts w:ascii="Century" w:hAnsi="Century" w:cs="Miriam"/>
          <w:b/>
          <w:spacing w:val="0"/>
          <w:szCs w:val="24"/>
          <w:rtl/>
        </w:rPr>
        <w:t>(2)   מקרקעין שנרכשו לצרכי ציבור על פי כל דין או תחיקת בטחון, על ידי רשות מרשויות צה"ל ועבור רשות מרשויות צה"ל שאינה רשות מקומית או ועדה מקומית לתכנון ולבניה;</w:t>
      </w:r>
    </w:p>
    <w:p w:rsidR="00295623" w:rsidRPr="00920113" w:rsidRDefault="00295623" w:rsidP="00295623">
      <w:pPr>
        <w:pStyle w:val="Ruller5"/>
        <w:tabs>
          <w:tab w:val="left" w:pos="90"/>
        </w:tabs>
        <w:ind w:left="1649"/>
        <w:rPr>
          <w:rFonts w:ascii="Century" w:hAnsi="Century" w:cs="Miriam"/>
          <w:b/>
          <w:spacing w:val="0"/>
          <w:szCs w:val="24"/>
          <w:rtl/>
        </w:rPr>
      </w:pPr>
    </w:p>
    <w:p w:rsidR="00295623" w:rsidRPr="00920113" w:rsidRDefault="00295623" w:rsidP="00295623">
      <w:pPr>
        <w:pStyle w:val="Ruller5"/>
        <w:tabs>
          <w:tab w:val="left" w:pos="90"/>
        </w:tabs>
        <w:ind w:left="1649"/>
        <w:rPr>
          <w:rFonts w:ascii="Century" w:hAnsi="Century" w:cs="Miriam"/>
          <w:b/>
          <w:spacing w:val="0"/>
          <w:szCs w:val="24"/>
          <w:rtl/>
        </w:rPr>
      </w:pPr>
      <w:r w:rsidRPr="00920113">
        <w:rPr>
          <w:rStyle w:val="default"/>
          <w:rFonts w:ascii="Century" w:hAnsi="Century" w:cs="Miriam"/>
          <w:b/>
          <w:spacing w:val="0"/>
          <w:szCs w:val="24"/>
          <w:rtl/>
        </w:rPr>
        <w:t>(3)   רכוש שבעליו ביקש מאת הממונה לנהל אותו והממונה קיבל עליו את ניהולו</w:t>
      </w:r>
      <w:r>
        <w:rPr>
          <w:rFonts w:ascii="Century" w:hAnsi="Century" w:cs="Miriam" w:hint="cs"/>
          <w:b/>
          <w:spacing w:val="0"/>
          <w:szCs w:val="24"/>
          <w:rtl/>
        </w:rPr>
        <w:t>"</w:t>
      </w:r>
      <w:r w:rsidRPr="00C35F06">
        <w:rPr>
          <w:rFonts w:ascii="Century" w:hAnsi="Century"/>
          <w:rtl/>
        </w:rPr>
        <w:t>.</w:t>
      </w:r>
    </w:p>
    <w:p w:rsidR="00295623" w:rsidRDefault="00295623" w:rsidP="00295623">
      <w:pPr>
        <w:pStyle w:val="Ruller4"/>
        <w:numPr>
          <w:ilvl w:val="0"/>
          <w:numId w:val="0"/>
        </w:numPr>
        <w:tabs>
          <w:tab w:val="left" w:pos="90"/>
        </w:tabs>
      </w:pPr>
      <w:r>
        <w:rPr>
          <w:rtl/>
        </w:rPr>
        <w:tab/>
      </w:r>
    </w:p>
    <w:p w:rsidR="00295623" w:rsidRDefault="00295623" w:rsidP="00295623">
      <w:pPr>
        <w:pStyle w:val="Ruller41"/>
        <w:rPr>
          <w:rtl/>
        </w:rPr>
      </w:pPr>
      <w:r>
        <w:rPr>
          <w:rFonts w:hint="cs"/>
          <w:rtl/>
        </w:rPr>
        <w:t>81.</w:t>
      </w:r>
      <w:r>
        <w:rPr>
          <w:rFonts w:hint="cs"/>
          <w:rtl/>
        </w:rPr>
        <w:tab/>
        <w:t xml:space="preserve">הגדרת </w:t>
      </w:r>
      <w:r w:rsidRPr="006C5FA2">
        <w:rPr>
          <w:rFonts w:ascii="Century" w:hAnsi="Century" w:cs="Miriam" w:hint="cs"/>
          <w:b/>
          <w:spacing w:val="0"/>
          <w:szCs w:val="24"/>
          <w:rtl/>
        </w:rPr>
        <w:t>"רכוש"</w:t>
      </w:r>
      <w:r w:rsidRPr="006C5FA2">
        <w:rPr>
          <w:rFonts w:hint="cs"/>
          <w:rtl/>
        </w:rPr>
        <w:t xml:space="preserve"> </w:t>
      </w:r>
      <w:r>
        <w:rPr>
          <w:rFonts w:hint="cs"/>
          <w:rtl/>
        </w:rPr>
        <w:t xml:space="preserve">רחבה דיה, ויש בה כדי לכלול גם זכויות שהוקצו בקרקע שנתפסה בתפיסה צבאית. כידוע, צו תפיסה לצרכים צבאיים מקנה למפקד הצבאי, באופן זמני, את זכויות </w:t>
      </w:r>
      <w:r w:rsidRPr="00AD4860">
        <w:rPr>
          <w:rFonts w:ascii="Century" w:hAnsi="Century" w:cs="Miriam" w:hint="cs"/>
          <w:b/>
          <w:spacing w:val="0"/>
          <w:szCs w:val="24"/>
          <w:rtl/>
        </w:rPr>
        <w:t>השימוש והחזקה</w:t>
      </w:r>
      <w:r>
        <w:rPr>
          <w:rFonts w:hint="cs"/>
          <w:rtl/>
        </w:rPr>
        <w:t xml:space="preserve"> במקרקעין שנתפסו על-ידו (ראו: עניין </w:t>
      </w:r>
      <w:r w:rsidRPr="00AD4860">
        <w:rPr>
          <w:rFonts w:ascii="Century" w:hAnsi="Century" w:cs="Miriam" w:hint="cs"/>
          <w:b/>
          <w:spacing w:val="0"/>
          <w:szCs w:val="24"/>
          <w:rtl/>
        </w:rPr>
        <w:t>איוב</w:t>
      </w:r>
      <w:r>
        <w:rPr>
          <w:rFonts w:hint="cs"/>
          <w:rtl/>
        </w:rPr>
        <w:t xml:space="preserve">, עמוד 130; בג"ץ 285/81 </w:t>
      </w:r>
      <w:r w:rsidRPr="002A7135">
        <w:rPr>
          <w:rFonts w:ascii="Century" w:hAnsi="Century" w:cs="Miriam" w:hint="cs"/>
          <w:b/>
          <w:spacing w:val="0"/>
          <w:szCs w:val="24"/>
          <w:rtl/>
        </w:rPr>
        <w:t>אל נאזר נ' מפקד יהודה ושומרון</w:t>
      </w:r>
      <w:r>
        <w:rPr>
          <w:rFonts w:hint="cs"/>
          <w:rtl/>
        </w:rPr>
        <w:t xml:space="preserve">, פ"ד לו(1) 701, 704 (1982)). זכויות אלה נכללות גם הן, כאמור, בהגדרת </w:t>
      </w:r>
      <w:r w:rsidRPr="006C5FA2">
        <w:rPr>
          <w:rFonts w:ascii="Century" w:hAnsi="Century" w:cs="Miriam" w:hint="cs"/>
          <w:b/>
          <w:spacing w:val="0"/>
          <w:szCs w:val="24"/>
          <w:rtl/>
        </w:rPr>
        <w:t>"רכוש"</w:t>
      </w:r>
      <w:r>
        <w:rPr>
          <w:rFonts w:hint="cs"/>
          <w:rtl/>
        </w:rPr>
        <w:t xml:space="preserve">, המשתרעת על פני </w:t>
      </w:r>
      <w:r w:rsidRPr="006C5FA2">
        <w:rPr>
          <w:rFonts w:ascii="Century" w:hAnsi="Century" w:cs="Miriam" w:hint="cs"/>
          <w:b/>
          <w:spacing w:val="0"/>
          <w:szCs w:val="24"/>
          <w:rtl/>
        </w:rPr>
        <w:t>"כל זכות אחרת, מוחזקת או ראויה"</w:t>
      </w:r>
      <w:r>
        <w:rPr>
          <w:rFonts w:hint="cs"/>
          <w:rtl/>
        </w:rPr>
        <w:t xml:space="preserve">. </w:t>
      </w:r>
    </w:p>
    <w:p w:rsidR="00295623" w:rsidRPr="00214BC3" w:rsidRDefault="00295623" w:rsidP="00295623">
      <w:pPr>
        <w:pStyle w:val="Ruller41"/>
        <w:tabs>
          <w:tab w:val="left" w:pos="90"/>
        </w:tabs>
        <w:spacing w:line="240" w:lineRule="auto"/>
      </w:pPr>
    </w:p>
    <w:p w:rsidR="00295623" w:rsidRDefault="00295623" w:rsidP="00295623">
      <w:pPr>
        <w:pStyle w:val="Ruller41"/>
      </w:pPr>
      <w:r>
        <w:rPr>
          <w:rFonts w:hint="cs"/>
          <w:rtl/>
        </w:rPr>
        <w:t>82.</w:t>
      </w:r>
      <w:r>
        <w:rPr>
          <w:rFonts w:hint="cs"/>
          <w:rtl/>
        </w:rPr>
        <w:tab/>
        <w:t xml:space="preserve">כאן המקום לציין, כי בחוות דעתו, עמד חברי המשנה לנשיאה על הבדלים מסוימים בין הסדרי תקנת השוק בדין הישראלי, לבין ההסדר שבסעיף 5, אשר נובעים מהמצב המשפטי המיוחד שלגביו חל ההסדר האחרון </w:t>
      </w:r>
      <w:r>
        <w:rPr>
          <w:rtl/>
        </w:rPr>
        <w:t>–</w:t>
      </w:r>
      <w:r>
        <w:rPr>
          <w:rFonts w:hint="cs"/>
          <w:rtl/>
        </w:rPr>
        <w:t xml:space="preserve"> שטח הנתון לתפיסה לוחמתית. חברי ציין, כי בניגוד להסדרים האחרים, סעיף 5 חל בשטח שהזכויות בו, מעצם טיבן, הן זמניות, עד לסיום התפיסה הלוחמתית בלבד; כפועל יוצא מכך, אין בכוחו של סעיף 5 להעביר זכויות בעלות, כי אם זכויות פחותות מכך </w:t>
      </w:r>
      <w:r>
        <w:rPr>
          <w:rtl/>
        </w:rPr>
        <w:t>–</w:t>
      </w:r>
      <w:r>
        <w:rPr>
          <w:rFonts w:hint="cs"/>
          <w:rtl/>
        </w:rPr>
        <w:t xml:space="preserve"> בהתאם לסוג העסקה שערך הממונה (פסקה 46 לחוות דעתו). בהקשר זה אציין, כי גם בשטחי ישראל, תקנת השוק עשויה לחול ביחס לזכויות שאינן מסוג בעלות, ואשר אופיָן </w:t>
      </w:r>
      <w:r>
        <w:rPr>
          <w:rtl/>
        </w:rPr>
        <w:t>–</w:t>
      </w:r>
      <w:r>
        <w:rPr>
          <w:rFonts w:hint="cs"/>
          <w:rtl/>
        </w:rPr>
        <w:t xml:space="preserve"> זמני בלבד (ראו: סעיף 17(ב) לחוק נכסי נפקדים; עניין </w:t>
      </w:r>
      <w:r w:rsidRPr="00BC54ED">
        <w:rPr>
          <w:rFonts w:ascii="Century" w:hAnsi="Century" w:cs="Miriam" w:hint="cs"/>
          <w:b/>
          <w:spacing w:val="0"/>
          <w:szCs w:val="24"/>
          <w:rtl/>
        </w:rPr>
        <w:t>פיאד</w:t>
      </w:r>
      <w:r>
        <w:rPr>
          <w:rFonts w:hint="cs"/>
          <w:rtl/>
        </w:rPr>
        <w:t xml:space="preserve">, עמ' 436;  עניין </w:t>
      </w:r>
      <w:r w:rsidRPr="00214BC3">
        <w:rPr>
          <w:rFonts w:ascii="Century" w:hAnsi="Century" w:cs="Miriam" w:hint="cs"/>
          <w:b/>
          <w:spacing w:val="0"/>
          <w:szCs w:val="24"/>
          <w:rtl/>
        </w:rPr>
        <w:t>חוות מקורה</w:t>
      </w:r>
      <w:r>
        <w:rPr>
          <w:rFonts w:hint="cs"/>
          <w:rtl/>
        </w:rPr>
        <w:t xml:space="preserve">, עמ' 23, שם נפסק </w:t>
      </w:r>
      <w:r>
        <w:rPr>
          <w:rFonts w:hint="cs"/>
          <w:rtl/>
        </w:rPr>
        <w:lastRenderedPageBreak/>
        <w:t>כי</w:t>
      </w:r>
      <w:r>
        <w:rPr>
          <w:rFonts w:ascii="Century" w:hAnsi="Century" w:cs="Miriam" w:hint="cs"/>
          <w:b/>
          <w:spacing w:val="0"/>
          <w:szCs w:val="24"/>
          <w:rtl/>
        </w:rPr>
        <w:t xml:space="preserve"> "סעיף 10 </w:t>
      </w:r>
      <w:r w:rsidRPr="00214BC3">
        <w:rPr>
          <w:rFonts w:ascii="Century" w:hAnsi="Century" w:cs="Miriam"/>
          <w:b/>
          <w:spacing w:val="0"/>
          <w:szCs w:val="24"/>
          <w:rtl/>
        </w:rPr>
        <w:t>עוסק ברכישת זכות במקרקעין, ותחולתו איננה מוגבלת להעברת זכות הבעלות המלאה. הסעיף חל גם ביחס לזכויות קנייניות פחותות, כגון חכירה או שכירות, ובהתאם לכך מתאפשרים סוגים שונים של תמור</w:t>
      </w:r>
      <w:r>
        <w:rPr>
          <w:rFonts w:ascii="Century" w:hAnsi="Century" w:cs="Miriam" w:hint="cs"/>
          <w:b/>
          <w:spacing w:val="0"/>
          <w:szCs w:val="24"/>
          <w:rtl/>
        </w:rPr>
        <w:t>ה. סעיף 17 ע</w:t>
      </w:r>
      <w:r w:rsidRPr="00214BC3">
        <w:rPr>
          <w:rFonts w:ascii="Century" w:hAnsi="Century" w:cs="Miriam"/>
          <w:b/>
          <w:spacing w:val="0"/>
          <w:szCs w:val="24"/>
          <w:rtl/>
        </w:rPr>
        <w:t xml:space="preserve">ניינו </w:t>
      </w:r>
      <w:r>
        <w:rPr>
          <w:rFonts w:ascii="Century" w:hAnsi="Century" w:cs="Miriam" w:hint="cs"/>
          <w:b/>
          <w:spacing w:val="0"/>
          <w:szCs w:val="24"/>
          <w:rtl/>
        </w:rPr>
        <w:t>'</w:t>
      </w:r>
      <w:r w:rsidRPr="00214BC3">
        <w:rPr>
          <w:rFonts w:ascii="Century" w:hAnsi="Century" w:cs="Miriam"/>
          <w:b/>
          <w:spacing w:val="0"/>
          <w:szCs w:val="24"/>
          <w:rtl/>
        </w:rPr>
        <w:t>עסקה</w:t>
      </w:r>
      <w:r>
        <w:rPr>
          <w:rFonts w:ascii="Century" w:hAnsi="Century" w:cs="Miriam" w:hint="cs"/>
          <w:b/>
          <w:spacing w:val="0"/>
          <w:szCs w:val="24"/>
          <w:rtl/>
        </w:rPr>
        <w:t>'</w:t>
      </w:r>
      <w:r w:rsidRPr="00214BC3">
        <w:rPr>
          <w:rFonts w:ascii="Century" w:hAnsi="Century" w:cs="Miriam"/>
          <w:b/>
          <w:spacing w:val="0"/>
          <w:szCs w:val="24"/>
          <w:rtl/>
        </w:rPr>
        <w:t xml:space="preserve"> בנכס; גם זה מונח שאיננו מוגבל להעברת זכות הבעלות, כי אם מקיף זכויות קנייניות שונו</w:t>
      </w:r>
      <w:r w:rsidRPr="00214BC3">
        <w:rPr>
          <w:rFonts w:ascii="Century" w:hAnsi="Century" w:cs="Miriam" w:hint="cs"/>
          <w:b/>
          <w:spacing w:val="0"/>
          <w:szCs w:val="24"/>
          <w:rtl/>
        </w:rPr>
        <w:t>ת"</w:t>
      </w:r>
      <w:r>
        <w:rPr>
          <w:rFonts w:ascii="Century" w:hAnsi="Century" w:hint="cs"/>
          <w:rtl/>
        </w:rPr>
        <w:t>)</w:t>
      </w:r>
      <w:r w:rsidRPr="00214BC3">
        <w:rPr>
          <w:rFonts w:ascii="Century" w:hAnsi="Century" w:hint="cs"/>
          <w:rtl/>
        </w:rPr>
        <w:t>.</w:t>
      </w:r>
      <w:r>
        <w:rPr>
          <w:rFonts w:ascii="Century" w:hAnsi="Century" w:hint="cs"/>
          <w:rtl/>
        </w:rPr>
        <w:t xml:space="preserve"> אשר לשאלה שמעורר חברי: אם בעסקה החוסה תחת סעיף 5, רשאי הממונה להאריך את תוקפה בהמשך, או להוסיף ולהתקשר על-פיה בהסכמי הרשאה נוספים, בתום תקופת ההתקשרות, אף לאחר שהובהר כי זו נעשתה בשוגג, ביחס לקרקע פלסטינית פרטית </w:t>
      </w:r>
      <w:r>
        <w:rPr>
          <w:rFonts w:ascii="Century" w:hAnsi="Century"/>
          <w:rtl/>
        </w:rPr>
        <w:t>–</w:t>
      </w:r>
      <w:r>
        <w:rPr>
          <w:rFonts w:ascii="Century" w:hAnsi="Century" w:hint="cs"/>
          <w:rtl/>
        </w:rPr>
        <w:t xml:space="preserve"> סבורני ששאלה זו אינה טעונה הכרעה בנסיבות ענייננו (כזכור, בעניין דנן 'מועד התפוגה' של הסכם ההרשאה האחרון, משנת 1997, חל רק בשנת 2044), והצדדים אף לא התייחסו לעניין זה באופן מסודר וממצה. כשלעצמי, אני נוטה לדעה כי על שאלה זו יש להשיב </w:t>
      </w:r>
      <w:r>
        <w:rPr>
          <w:rFonts w:ascii="Century" w:hAnsi="Century"/>
          <w:rtl/>
        </w:rPr>
        <w:t>–</w:t>
      </w:r>
      <w:r>
        <w:rPr>
          <w:rFonts w:ascii="Century" w:hAnsi="Century" w:hint="cs"/>
          <w:rtl/>
        </w:rPr>
        <w:t xml:space="preserve"> בחיוב. הסיווג המשפטי של ההקצאות החוזיות באיו"ש, נגזר מאופי ההחזקה בשטח זה. הקושי שעליו מצביע חברי, איננו מיוחד להסדר הפרטני שבסעיף 5; הוא נגזר משאלה רחבה וכללית יותר, הקשורה לעצם הקמת ישובי-קבע ביהודה ושומרון.</w:t>
      </w:r>
      <w:r>
        <w:rPr>
          <w:rFonts w:hint="cs"/>
          <w:rtl/>
        </w:rPr>
        <w:t xml:space="preserve"> על כגון דא כבר נפסק: </w:t>
      </w:r>
    </w:p>
    <w:p w:rsidR="00295623" w:rsidRDefault="00295623" w:rsidP="00295623">
      <w:pPr>
        <w:pStyle w:val="Ruller4"/>
        <w:numPr>
          <w:ilvl w:val="0"/>
          <w:numId w:val="0"/>
        </w:numPr>
        <w:tabs>
          <w:tab w:val="left" w:pos="90"/>
        </w:tabs>
        <w:rPr>
          <w:rtl/>
        </w:rPr>
      </w:pPr>
    </w:p>
    <w:p w:rsidR="00295623" w:rsidRDefault="00295623" w:rsidP="00295623">
      <w:pPr>
        <w:pStyle w:val="Ruller5"/>
        <w:tabs>
          <w:tab w:val="left" w:pos="90"/>
        </w:tabs>
        <w:ind w:left="1649"/>
        <w:rPr>
          <w:rtl/>
        </w:rPr>
      </w:pPr>
      <w:r w:rsidRPr="00F4159E">
        <w:rPr>
          <w:rFonts w:ascii="Century" w:hAnsi="Century" w:cs="Miriam" w:hint="cs"/>
          <w:b/>
          <w:spacing w:val="0"/>
          <w:szCs w:val="24"/>
          <w:rtl/>
        </w:rPr>
        <w:t>"</w:t>
      </w:r>
      <w:r w:rsidRPr="00F4159E">
        <w:rPr>
          <w:rFonts w:ascii="Century" w:hAnsi="Century" w:cs="Miriam" w:hint="eastAsia"/>
          <w:b/>
          <w:spacing w:val="0"/>
          <w:szCs w:val="24"/>
          <w:rtl/>
        </w:rPr>
        <w:t>שואל</w:t>
      </w:r>
      <w:r w:rsidRPr="00F4159E">
        <w:rPr>
          <w:rFonts w:ascii="Century" w:hAnsi="Century" w:cs="Miriam"/>
          <w:b/>
          <w:spacing w:val="0"/>
          <w:szCs w:val="24"/>
          <w:rtl/>
        </w:rPr>
        <w:t xml:space="preserve"> </w:t>
      </w:r>
      <w:r w:rsidRPr="00F4159E">
        <w:rPr>
          <w:rFonts w:ascii="Century" w:hAnsi="Century" w:cs="Miriam" w:hint="eastAsia"/>
          <w:b/>
          <w:spacing w:val="0"/>
          <w:szCs w:val="24"/>
          <w:rtl/>
        </w:rPr>
        <w:t>מר</w:t>
      </w:r>
      <w:r w:rsidRPr="00F4159E">
        <w:rPr>
          <w:rFonts w:ascii="Century" w:hAnsi="Century" w:cs="Miriam"/>
          <w:b/>
          <w:spacing w:val="0"/>
          <w:szCs w:val="24"/>
          <w:rtl/>
        </w:rPr>
        <w:t xml:space="preserve"> </w:t>
      </w:r>
      <w:r w:rsidRPr="00F4159E">
        <w:rPr>
          <w:rFonts w:ascii="Century" w:hAnsi="Century" w:cs="Miriam" w:hint="eastAsia"/>
          <w:b/>
          <w:spacing w:val="0"/>
          <w:szCs w:val="24"/>
          <w:rtl/>
        </w:rPr>
        <w:t>חורי</w:t>
      </w:r>
      <w:r w:rsidRPr="00F4159E">
        <w:rPr>
          <w:rFonts w:ascii="Century" w:hAnsi="Century" w:cs="Miriam"/>
          <w:b/>
          <w:spacing w:val="0"/>
          <w:szCs w:val="24"/>
          <w:rtl/>
        </w:rPr>
        <w:t xml:space="preserve">: </w:t>
      </w:r>
      <w:r w:rsidRPr="00F4159E">
        <w:rPr>
          <w:rFonts w:ascii="Century" w:hAnsi="Century" w:cs="Miriam" w:hint="eastAsia"/>
          <w:b/>
          <w:spacing w:val="0"/>
          <w:szCs w:val="24"/>
          <w:rtl/>
        </w:rPr>
        <w:t>כיצד</w:t>
      </w:r>
      <w:r w:rsidRPr="00F4159E">
        <w:rPr>
          <w:rFonts w:ascii="Century" w:hAnsi="Century" w:cs="Miriam"/>
          <w:b/>
          <w:spacing w:val="0"/>
          <w:szCs w:val="24"/>
          <w:rtl/>
        </w:rPr>
        <w:t xml:space="preserve"> </w:t>
      </w:r>
      <w:r w:rsidRPr="00F4159E">
        <w:rPr>
          <w:rFonts w:ascii="Century" w:hAnsi="Century" w:cs="Miriam" w:hint="eastAsia"/>
          <w:b/>
          <w:spacing w:val="0"/>
          <w:szCs w:val="24"/>
          <w:rtl/>
        </w:rPr>
        <w:t>ניתן</w:t>
      </w:r>
      <w:r w:rsidRPr="00F4159E">
        <w:rPr>
          <w:rFonts w:ascii="Century" w:hAnsi="Century" w:cs="Miriam"/>
          <w:b/>
          <w:spacing w:val="0"/>
          <w:szCs w:val="24"/>
          <w:rtl/>
        </w:rPr>
        <w:t xml:space="preserve"> </w:t>
      </w:r>
      <w:r w:rsidRPr="00F4159E">
        <w:rPr>
          <w:rFonts w:ascii="Century" w:hAnsi="Century" w:cs="Miriam" w:hint="eastAsia"/>
          <w:b/>
          <w:spacing w:val="0"/>
          <w:szCs w:val="24"/>
          <w:rtl/>
        </w:rPr>
        <w:t>להקים</w:t>
      </w:r>
      <w:r w:rsidRPr="00F4159E">
        <w:rPr>
          <w:rFonts w:ascii="Century" w:hAnsi="Century" w:cs="Miriam"/>
          <w:b/>
          <w:spacing w:val="0"/>
          <w:szCs w:val="24"/>
          <w:rtl/>
        </w:rPr>
        <w:t xml:space="preserve"> </w:t>
      </w:r>
      <w:r w:rsidRPr="00F4159E">
        <w:rPr>
          <w:rFonts w:ascii="Century" w:hAnsi="Century" w:cs="Miriam" w:hint="eastAsia"/>
          <w:b/>
          <w:spacing w:val="0"/>
          <w:szCs w:val="24"/>
          <w:rtl/>
        </w:rPr>
        <w:t>ישוב</w:t>
      </w:r>
      <w:r w:rsidRPr="00F4159E">
        <w:rPr>
          <w:rFonts w:ascii="Century" w:hAnsi="Century" w:cs="Miriam"/>
          <w:b/>
          <w:spacing w:val="0"/>
          <w:szCs w:val="24"/>
          <w:rtl/>
        </w:rPr>
        <w:t xml:space="preserve"> </w:t>
      </w:r>
      <w:r w:rsidRPr="00F4159E">
        <w:rPr>
          <w:rFonts w:ascii="Century" w:hAnsi="Century" w:cs="Miriam" w:hint="eastAsia"/>
          <w:b/>
          <w:spacing w:val="0"/>
          <w:szCs w:val="24"/>
          <w:rtl/>
        </w:rPr>
        <w:t>של</w:t>
      </w:r>
      <w:r w:rsidRPr="00F4159E">
        <w:rPr>
          <w:rFonts w:ascii="Century" w:hAnsi="Century" w:cs="Miriam"/>
          <w:b/>
          <w:spacing w:val="0"/>
          <w:szCs w:val="24"/>
          <w:rtl/>
        </w:rPr>
        <w:t xml:space="preserve"> </w:t>
      </w:r>
      <w:r w:rsidRPr="00F4159E">
        <w:rPr>
          <w:rFonts w:ascii="Century" w:hAnsi="Century" w:cs="Miriam" w:hint="eastAsia"/>
          <w:b/>
          <w:spacing w:val="0"/>
          <w:szCs w:val="24"/>
          <w:rtl/>
        </w:rPr>
        <w:t>קבע</w:t>
      </w:r>
      <w:r w:rsidRPr="00F4159E">
        <w:rPr>
          <w:rFonts w:ascii="Century" w:hAnsi="Century" w:cs="Miriam"/>
          <w:b/>
          <w:spacing w:val="0"/>
          <w:szCs w:val="24"/>
          <w:rtl/>
        </w:rPr>
        <w:t xml:space="preserve"> </w:t>
      </w:r>
      <w:r w:rsidRPr="00F4159E">
        <w:rPr>
          <w:rFonts w:ascii="Century" w:hAnsi="Century" w:cs="Miriam" w:hint="eastAsia"/>
          <w:b/>
          <w:spacing w:val="0"/>
          <w:szCs w:val="24"/>
          <w:rtl/>
        </w:rPr>
        <w:t>על</w:t>
      </w:r>
      <w:r w:rsidRPr="00F4159E">
        <w:rPr>
          <w:rFonts w:ascii="Century" w:hAnsi="Century" w:cs="Miriam"/>
          <w:b/>
          <w:spacing w:val="0"/>
          <w:szCs w:val="24"/>
          <w:rtl/>
        </w:rPr>
        <w:t xml:space="preserve"> </w:t>
      </w:r>
      <w:r w:rsidRPr="00F4159E">
        <w:rPr>
          <w:rFonts w:ascii="Century" w:hAnsi="Century" w:cs="Miriam" w:hint="eastAsia"/>
          <w:b/>
          <w:spacing w:val="0"/>
          <w:szCs w:val="24"/>
          <w:rtl/>
        </w:rPr>
        <w:t>אדמה</w:t>
      </w:r>
      <w:r w:rsidRPr="00F4159E">
        <w:rPr>
          <w:rFonts w:ascii="Century" w:hAnsi="Century" w:cs="Miriam"/>
          <w:b/>
          <w:spacing w:val="0"/>
          <w:szCs w:val="24"/>
          <w:rtl/>
        </w:rPr>
        <w:t xml:space="preserve"> </w:t>
      </w:r>
      <w:r w:rsidRPr="00F4159E">
        <w:rPr>
          <w:rFonts w:ascii="Century" w:hAnsi="Century" w:cs="Miriam" w:hint="eastAsia"/>
          <w:b/>
          <w:spacing w:val="0"/>
          <w:szCs w:val="24"/>
          <w:rtl/>
        </w:rPr>
        <w:t>אשר</w:t>
      </w:r>
      <w:r w:rsidRPr="00F4159E">
        <w:rPr>
          <w:rFonts w:ascii="Century" w:hAnsi="Century" w:cs="Miriam"/>
          <w:b/>
          <w:spacing w:val="0"/>
          <w:szCs w:val="24"/>
          <w:rtl/>
        </w:rPr>
        <w:t xml:space="preserve"> </w:t>
      </w:r>
      <w:r w:rsidRPr="00F4159E">
        <w:rPr>
          <w:rFonts w:ascii="Century" w:hAnsi="Century" w:cs="Miriam" w:hint="eastAsia"/>
          <w:b/>
          <w:spacing w:val="0"/>
          <w:szCs w:val="24"/>
          <w:rtl/>
        </w:rPr>
        <w:t>נתפסה</w:t>
      </w:r>
      <w:r w:rsidRPr="00F4159E">
        <w:rPr>
          <w:rFonts w:ascii="Century" w:hAnsi="Century" w:cs="Miriam"/>
          <w:b/>
          <w:spacing w:val="0"/>
          <w:szCs w:val="24"/>
          <w:rtl/>
        </w:rPr>
        <w:t xml:space="preserve"> </w:t>
      </w:r>
      <w:r w:rsidRPr="00F4159E">
        <w:rPr>
          <w:rFonts w:ascii="Century" w:hAnsi="Century" w:cs="Miriam" w:hint="eastAsia"/>
          <w:b/>
          <w:spacing w:val="0"/>
          <w:szCs w:val="24"/>
          <w:rtl/>
        </w:rPr>
        <w:t>רק</w:t>
      </w:r>
      <w:r w:rsidRPr="00F4159E">
        <w:rPr>
          <w:rFonts w:ascii="Century" w:hAnsi="Century" w:cs="Miriam"/>
          <w:b/>
          <w:spacing w:val="0"/>
          <w:szCs w:val="24"/>
          <w:rtl/>
        </w:rPr>
        <w:t xml:space="preserve"> </w:t>
      </w:r>
      <w:r w:rsidRPr="00F4159E">
        <w:rPr>
          <w:rFonts w:ascii="Century" w:hAnsi="Century" w:cs="Miriam" w:hint="eastAsia"/>
          <w:b/>
          <w:spacing w:val="0"/>
          <w:szCs w:val="24"/>
          <w:rtl/>
        </w:rPr>
        <w:t>לשם</w:t>
      </w:r>
      <w:r w:rsidRPr="00F4159E">
        <w:rPr>
          <w:rFonts w:ascii="Century" w:hAnsi="Century" w:cs="Miriam"/>
          <w:b/>
          <w:spacing w:val="0"/>
          <w:szCs w:val="24"/>
          <w:rtl/>
        </w:rPr>
        <w:t xml:space="preserve"> </w:t>
      </w:r>
      <w:r w:rsidRPr="00F4159E">
        <w:rPr>
          <w:rFonts w:ascii="Century" w:hAnsi="Century" w:cs="Miriam" w:hint="eastAsia"/>
          <w:b/>
          <w:spacing w:val="0"/>
          <w:szCs w:val="24"/>
          <w:rtl/>
        </w:rPr>
        <w:t>שימוש</w:t>
      </w:r>
      <w:r w:rsidRPr="00F4159E">
        <w:rPr>
          <w:rFonts w:ascii="Century" w:hAnsi="Century" w:cs="Miriam"/>
          <w:b/>
          <w:spacing w:val="0"/>
          <w:szCs w:val="24"/>
          <w:rtl/>
        </w:rPr>
        <w:t xml:space="preserve"> </w:t>
      </w:r>
      <w:r w:rsidRPr="00F4159E">
        <w:rPr>
          <w:rFonts w:ascii="Century" w:hAnsi="Century" w:cs="Miriam" w:hint="eastAsia"/>
          <w:b/>
          <w:spacing w:val="0"/>
          <w:szCs w:val="24"/>
          <w:rtl/>
        </w:rPr>
        <w:t>זמני</w:t>
      </w:r>
      <w:r w:rsidRPr="00F4159E">
        <w:rPr>
          <w:rFonts w:ascii="Century" w:hAnsi="Century" w:cs="Miriam"/>
          <w:b/>
          <w:spacing w:val="0"/>
          <w:szCs w:val="24"/>
          <w:rtl/>
        </w:rPr>
        <w:t xml:space="preserve">? </w:t>
      </w:r>
      <w:r w:rsidRPr="00F4159E">
        <w:rPr>
          <w:rFonts w:ascii="Century" w:hAnsi="Century" w:cs="Miriam" w:hint="eastAsia"/>
          <w:b/>
          <w:spacing w:val="0"/>
          <w:szCs w:val="24"/>
          <w:rtl/>
        </w:rPr>
        <w:t>זו</w:t>
      </w:r>
      <w:r w:rsidRPr="00F4159E">
        <w:rPr>
          <w:rFonts w:ascii="Century" w:hAnsi="Century" w:cs="Miriam"/>
          <w:b/>
          <w:spacing w:val="0"/>
          <w:szCs w:val="24"/>
          <w:rtl/>
        </w:rPr>
        <w:t xml:space="preserve"> </w:t>
      </w:r>
      <w:r w:rsidRPr="00F4159E">
        <w:rPr>
          <w:rFonts w:ascii="Century" w:hAnsi="Century" w:cs="Miriam" w:hint="eastAsia"/>
          <w:b/>
          <w:spacing w:val="0"/>
          <w:szCs w:val="24"/>
          <w:rtl/>
        </w:rPr>
        <w:t>שאלה</w:t>
      </w:r>
      <w:r w:rsidRPr="00F4159E">
        <w:rPr>
          <w:rFonts w:ascii="Century" w:hAnsi="Century" w:cs="Miriam"/>
          <w:b/>
          <w:spacing w:val="0"/>
          <w:szCs w:val="24"/>
          <w:rtl/>
        </w:rPr>
        <w:t xml:space="preserve"> </w:t>
      </w:r>
      <w:r w:rsidRPr="00F4159E">
        <w:rPr>
          <w:rFonts w:ascii="Century" w:hAnsi="Century" w:cs="Miriam" w:hint="eastAsia"/>
          <w:b/>
          <w:spacing w:val="0"/>
          <w:szCs w:val="24"/>
          <w:rtl/>
        </w:rPr>
        <w:t>נכבדה</w:t>
      </w:r>
      <w:r w:rsidRPr="00F4159E">
        <w:rPr>
          <w:rFonts w:ascii="Century" w:hAnsi="Century" w:cs="Miriam"/>
          <w:b/>
          <w:spacing w:val="0"/>
          <w:szCs w:val="24"/>
          <w:rtl/>
        </w:rPr>
        <w:t xml:space="preserve">. </w:t>
      </w:r>
      <w:r w:rsidRPr="00F4159E">
        <w:rPr>
          <w:rFonts w:ascii="Century" w:hAnsi="Century" w:cs="Miriam" w:hint="eastAsia"/>
          <w:b/>
          <w:spacing w:val="0"/>
          <w:szCs w:val="24"/>
          <w:rtl/>
        </w:rPr>
        <w:t>אבל</w:t>
      </w:r>
      <w:r w:rsidRPr="00F4159E">
        <w:rPr>
          <w:rFonts w:ascii="Century" w:hAnsi="Century" w:cs="Miriam"/>
          <w:b/>
          <w:spacing w:val="0"/>
          <w:szCs w:val="24"/>
          <w:rtl/>
        </w:rPr>
        <w:t xml:space="preserve"> </w:t>
      </w:r>
      <w:r w:rsidRPr="00F4159E">
        <w:rPr>
          <w:rFonts w:ascii="Century" w:hAnsi="Century" w:cs="Miriam" w:hint="eastAsia"/>
          <w:b/>
          <w:spacing w:val="0"/>
          <w:szCs w:val="24"/>
          <w:rtl/>
        </w:rPr>
        <w:t>נראית</w:t>
      </w:r>
      <w:r w:rsidRPr="00F4159E">
        <w:rPr>
          <w:rFonts w:ascii="Century" w:hAnsi="Century" w:cs="Miriam"/>
          <w:b/>
          <w:spacing w:val="0"/>
          <w:szCs w:val="24"/>
          <w:rtl/>
        </w:rPr>
        <w:t xml:space="preserve"> </w:t>
      </w:r>
      <w:r w:rsidRPr="00F4159E">
        <w:rPr>
          <w:rFonts w:ascii="Century" w:hAnsi="Century" w:cs="Miriam" w:hint="eastAsia"/>
          <w:b/>
          <w:spacing w:val="0"/>
          <w:szCs w:val="24"/>
          <w:rtl/>
        </w:rPr>
        <w:t>לי</w:t>
      </w:r>
      <w:r w:rsidRPr="00F4159E">
        <w:rPr>
          <w:rFonts w:ascii="Century" w:hAnsi="Century" w:cs="Miriam"/>
          <w:b/>
          <w:spacing w:val="0"/>
          <w:szCs w:val="24"/>
          <w:rtl/>
        </w:rPr>
        <w:t xml:space="preserve"> </w:t>
      </w:r>
      <w:r w:rsidRPr="00F4159E">
        <w:rPr>
          <w:rFonts w:ascii="Century" w:hAnsi="Century" w:cs="Miriam" w:hint="eastAsia"/>
          <w:b/>
          <w:spacing w:val="0"/>
          <w:szCs w:val="24"/>
          <w:rtl/>
        </w:rPr>
        <w:t>תשובתו</w:t>
      </w:r>
      <w:r w:rsidRPr="00F4159E">
        <w:rPr>
          <w:rFonts w:ascii="Century" w:hAnsi="Century" w:cs="Miriam"/>
          <w:b/>
          <w:spacing w:val="0"/>
          <w:szCs w:val="24"/>
          <w:rtl/>
        </w:rPr>
        <w:t xml:space="preserve"> </w:t>
      </w:r>
      <w:r w:rsidRPr="00F4159E">
        <w:rPr>
          <w:rFonts w:ascii="Century" w:hAnsi="Century" w:cs="Miriam" w:hint="eastAsia"/>
          <w:b/>
          <w:spacing w:val="0"/>
          <w:szCs w:val="24"/>
          <w:rtl/>
        </w:rPr>
        <w:t>של</w:t>
      </w:r>
      <w:r w:rsidRPr="00F4159E">
        <w:rPr>
          <w:rFonts w:ascii="Century" w:hAnsi="Century" w:cs="Miriam"/>
          <w:b/>
          <w:spacing w:val="0"/>
          <w:szCs w:val="24"/>
          <w:rtl/>
        </w:rPr>
        <w:t xml:space="preserve"> </w:t>
      </w:r>
      <w:r w:rsidRPr="00F4159E">
        <w:rPr>
          <w:rFonts w:ascii="Century" w:hAnsi="Century" w:cs="Miriam" w:hint="eastAsia"/>
          <w:b/>
          <w:spacing w:val="0"/>
          <w:szCs w:val="24"/>
          <w:rtl/>
        </w:rPr>
        <w:t>מר</w:t>
      </w:r>
      <w:r w:rsidRPr="00F4159E">
        <w:rPr>
          <w:rFonts w:ascii="Century" w:hAnsi="Century" w:cs="Miriam"/>
          <w:b/>
          <w:spacing w:val="0"/>
          <w:szCs w:val="24"/>
          <w:rtl/>
        </w:rPr>
        <w:t xml:space="preserve"> </w:t>
      </w:r>
      <w:r w:rsidRPr="00F4159E">
        <w:rPr>
          <w:rFonts w:ascii="Century" w:hAnsi="Century" w:cs="Miriam" w:hint="eastAsia"/>
          <w:b/>
          <w:spacing w:val="0"/>
          <w:szCs w:val="24"/>
          <w:rtl/>
        </w:rPr>
        <w:t>בך</w:t>
      </w:r>
      <w:r w:rsidRPr="00F4159E">
        <w:rPr>
          <w:rFonts w:ascii="Century" w:hAnsi="Century" w:cs="Miriam"/>
          <w:b/>
          <w:spacing w:val="0"/>
          <w:szCs w:val="24"/>
          <w:rtl/>
        </w:rPr>
        <w:t xml:space="preserve"> </w:t>
      </w:r>
      <w:r w:rsidRPr="00F4159E">
        <w:rPr>
          <w:rFonts w:ascii="Century" w:hAnsi="Century" w:cs="Miriam" w:hint="eastAsia"/>
          <w:b/>
          <w:spacing w:val="0"/>
          <w:szCs w:val="24"/>
          <w:rtl/>
        </w:rPr>
        <w:t>שהיישוב</w:t>
      </w:r>
      <w:r w:rsidRPr="00F4159E">
        <w:rPr>
          <w:rFonts w:ascii="Century" w:hAnsi="Century" w:cs="Miriam"/>
          <w:b/>
          <w:spacing w:val="0"/>
          <w:szCs w:val="24"/>
          <w:rtl/>
        </w:rPr>
        <w:t xml:space="preserve"> </w:t>
      </w:r>
      <w:r w:rsidRPr="00F4159E">
        <w:rPr>
          <w:rFonts w:ascii="Century" w:hAnsi="Century" w:cs="Miriam" w:hint="eastAsia"/>
          <w:b/>
          <w:spacing w:val="0"/>
          <w:szCs w:val="24"/>
          <w:rtl/>
        </w:rPr>
        <w:t>האזרחי</w:t>
      </w:r>
      <w:r w:rsidRPr="00F4159E">
        <w:rPr>
          <w:rFonts w:ascii="Century" w:hAnsi="Century" w:cs="Miriam"/>
          <w:b/>
          <w:spacing w:val="0"/>
          <w:szCs w:val="24"/>
          <w:rtl/>
        </w:rPr>
        <w:t xml:space="preserve"> </w:t>
      </w:r>
      <w:r w:rsidRPr="00F4159E">
        <w:rPr>
          <w:rFonts w:ascii="Century" w:hAnsi="Century" w:cs="Miriam" w:hint="eastAsia"/>
          <w:b/>
          <w:spacing w:val="0"/>
          <w:szCs w:val="24"/>
          <w:rtl/>
        </w:rPr>
        <w:t>יוכל</w:t>
      </w:r>
      <w:r w:rsidRPr="00F4159E">
        <w:rPr>
          <w:rFonts w:ascii="Century" w:hAnsi="Century" w:cs="Miriam"/>
          <w:b/>
          <w:spacing w:val="0"/>
          <w:szCs w:val="24"/>
          <w:rtl/>
        </w:rPr>
        <w:t xml:space="preserve"> </w:t>
      </w:r>
      <w:r w:rsidRPr="00F4159E">
        <w:rPr>
          <w:rFonts w:ascii="Century" w:hAnsi="Century" w:cs="Miriam" w:hint="eastAsia"/>
          <w:b/>
          <w:spacing w:val="0"/>
          <w:szCs w:val="24"/>
          <w:rtl/>
        </w:rPr>
        <w:t>להתקיים</w:t>
      </w:r>
      <w:r w:rsidRPr="00F4159E">
        <w:rPr>
          <w:rFonts w:ascii="Century" w:hAnsi="Century" w:cs="Miriam"/>
          <w:b/>
          <w:spacing w:val="0"/>
          <w:szCs w:val="24"/>
          <w:rtl/>
        </w:rPr>
        <w:t xml:space="preserve"> </w:t>
      </w:r>
      <w:r w:rsidRPr="00F4159E">
        <w:rPr>
          <w:rFonts w:ascii="Century" w:hAnsi="Century" w:cs="Miriam" w:hint="eastAsia"/>
          <w:b/>
          <w:spacing w:val="0"/>
          <w:szCs w:val="24"/>
          <w:rtl/>
        </w:rPr>
        <w:t>באותו</w:t>
      </w:r>
      <w:r w:rsidRPr="00F4159E">
        <w:rPr>
          <w:rFonts w:ascii="Century" w:hAnsi="Century" w:cs="Miriam"/>
          <w:b/>
          <w:spacing w:val="0"/>
          <w:szCs w:val="24"/>
          <w:rtl/>
        </w:rPr>
        <w:t xml:space="preserve"> </w:t>
      </w:r>
      <w:r w:rsidRPr="00F4159E">
        <w:rPr>
          <w:rFonts w:ascii="Century" w:hAnsi="Century" w:cs="Miriam" w:hint="eastAsia"/>
          <w:b/>
          <w:spacing w:val="0"/>
          <w:szCs w:val="24"/>
          <w:rtl/>
        </w:rPr>
        <w:t>מקום</w:t>
      </w:r>
      <w:r w:rsidRPr="00F4159E">
        <w:rPr>
          <w:rFonts w:ascii="Century" w:hAnsi="Century" w:cs="Miriam"/>
          <w:b/>
          <w:spacing w:val="0"/>
          <w:szCs w:val="24"/>
          <w:rtl/>
        </w:rPr>
        <w:t xml:space="preserve"> </w:t>
      </w:r>
      <w:r w:rsidRPr="00F4159E">
        <w:rPr>
          <w:rFonts w:ascii="Century" w:hAnsi="Century" w:cs="Miriam" w:hint="eastAsia"/>
          <w:b/>
          <w:spacing w:val="0"/>
          <w:szCs w:val="24"/>
          <w:rtl/>
        </w:rPr>
        <w:t>רק</w:t>
      </w:r>
      <w:r w:rsidRPr="00F4159E">
        <w:rPr>
          <w:rFonts w:ascii="Century" w:hAnsi="Century" w:cs="Miriam"/>
          <w:b/>
          <w:spacing w:val="0"/>
          <w:szCs w:val="24"/>
          <w:rtl/>
        </w:rPr>
        <w:t xml:space="preserve"> </w:t>
      </w:r>
      <w:r w:rsidRPr="00F4159E">
        <w:rPr>
          <w:rFonts w:ascii="Century" w:hAnsi="Century" w:cs="Miriam" w:hint="eastAsia"/>
          <w:b/>
          <w:spacing w:val="0"/>
          <w:szCs w:val="24"/>
          <w:rtl/>
        </w:rPr>
        <w:t>כל</w:t>
      </w:r>
      <w:r w:rsidRPr="00F4159E">
        <w:rPr>
          <w:rFonts w:ascii="Century" w:hAnsi="Century" w:cs="Miriam"/>
          <w:b/>
          <w:spacing w:val="0"/>
          <w:szCs w:val="24"/>
          <w:rtl/>
        </w:rPr>
        <w:t xml:space="preserve"> </w:t>
      </w:r>
      <w:r w:rsidRPr="00F4159E">
        <w:rPr>
          <w:rFonts w:ascii="Century" w:hAnsi="Century" w:cs="Miriam" w:hint="eastAsia"/>
          <w:b/>
          <w:spacing w:val="0"/>
          <w:szCs w:val="24"/>
          <w:rtl/>
        </w:rPr>
        <w:t>עוד</w:t>
      </w:r>
      <w:r w:rsidRPr="00F4159E">
        <w:rPr>
          <w:rFonts w:ascii="Century" w:hAnsi="Century" w:cs="Miriam"/>
          <w:b/>
          <w:spacing w:val="0"/>
          <w:szCs w:val="24"/>
          <w:rtl/>
        </w:rPr>
        <w:t xml:space="preserve"> </w:t>
      </w:r>
      <w:r w:rsidRPr="00F4159E">
        <w:rPr>
          <w:rFonts w:ascii="Century" w:hAnsi="Century" w:cs="Miriam" w:hint="eastAsia"/>
          <w:b/>
          <w:spacing w:val="0"/>
          <w:szCs w:val="24"/>
          <w:rtl/>
        </w:rPr>
        <w:t>מחזיק</w:t>
      </w:r>
      <w:r w:rsidRPr="00F4159E">
        <w:rPr>
          <w:rFonts w:ascii="Century" w:hAnsi="Century" w:cs="Miriam"/>
          <w:b/>
          <w:spacing w:val="0"/>
          <w:szCs w:val="24"/>
          <w:rtl/>
        </w:rPr>
        <w:t xml:space="preserve"> </w:t>
      </w:r>
      <w:r w:rsidRPr="00F4159E">
        <w:rPr>
          <w:rFonts w:ascii="Century" w:hAnsi="Century" w:cs="Miriam" w:hint="eastAsia"/>
          <w:b/>
          <w:spacing w:val="0"/>
          <w:szCs w:val="24"/>
          <w:rtl/>
        </w:rPr>
        <w:t>צה</w:t>
      </w:r>
      <w:r w:rsidRPr="00F4159E">
        <w:rPr>
          <w:rFonts w:ascii="Century" w:hAnsi="Century" w:cs="Miriam"/>
          <w:b/>
          <w:spacing w:val="0"/>
          <w:szCs w:val="24"/>
          <w:rtl/>
        </w:rPr>
        <w:t>"</w:t>
      </w:r>
      <w:r w:rsidRPr="00F4159E">
        <w:rPr>
          <w:rFonts w:ascii="Century" w:hAnsi="Century" w:cs="Miriam" w:hint="eastAsia"/>
          <w:b/>
          <w:spacing w:val="0"/>
          <w:szCs w:val="24"/>
          <w:rtl/>
        </w:rPr>
        <w:t>ל</w:t>
      </w:r>
      <w:r w:rsidRPr="00F4159E">
        <w:rPr>
          <w:rFonts w:ascii="Century" w:hAnsi="Century" w:cs="Miriam"/>
          <w:b/>
          <w:spacing w:val="0"/>
          <w:szCs w:val="24"/>
          <w:rtl/>
        </w:rPr>
        <w:t xml:space="preserve"> </w:t>
      </w:r>
      <w:r w:rsidRPr="00F4159E">
        <w:rPr>
          <w:rFonts w:ascii="Century" w:hAnsi="Century" w:cs="Miriam" w:hint="eastAsia"/>
          <w:b/>
          <w:spacing w:val="0"/>
          <w:szCs w:val="24"/>
          <w:rtl/>
        </w:rPr>
        <w:t>בשטח</w:t>
      </w:r>
      <w:r w:rsidRPr="00F4159E">
        <w:rPr>
          <w:rFonts w:ascii="Century" w:hAnsi="Century" w:cs="Miriam"/>
          <w:b/>
          <w:spacing w:val="0"/>
          <w:szCs w:val="24"/>
          <w:rtl/>
        </w:rPr>
        <w:t xml:space="preserve"> </w:t>
      </w:r>
      <w:r w:rsidRPr="00F4159E">
        <w:rPr>
          <w:rFonts w:ascii="Century" w:hAnsi="Century" w:cs="Miriam" w:hint="eastAsia"/>
          <w:b/>
          <w:spacing w:val="0"/>
          <w:szCs w:val="24"/>
          <w:rtl/>
        </w:rPr>
        <w:t>בתוקף</w:t>
      </w:r>
      <w:r w:rsidRPr="00F4159E">
        <w:rPr>
          <w:rFonts w:ascii="Century" w:hAnsi="Century" w:cs="Miriam"/>
          <w:b/>
          <w:spacing w:val="0"/>
          <w:szCs w:val="24"/>
          <w:rtl/>
        </w:rPr>
        <w:t xml:space="preserve"> </w:t>
      </w:r>
      <w:r w:rsidRPr="00F4159E">
        <w:rPr>
          <w:rFonts w:ascii="Century" w:hAnsi="Century" w:cs="Miriam" w:hint="eastAsia"/>
          <w:b/>
          <w:spacing w:val="0"/>
          <w:szCs w:val="24"/>
          <w:rtl/>
        </w:rPr>
        <w:t>צו</w:t>
      </w:r>
      <w:r w:rsidRPr="00F4159E">
        <w:rPr>
          <w:rFonts w:ascii="Century" w:hAnsi="Century" w:cs="Miriam"/>
          <w:b/>
          <w:spacing w:val="0"/>
          <w:szCs w:val="24"/>
          <w:rtl/>
        </w:rPr>
        <w:t xml:space="preserve"> </w:t>
      </w:r>
      <w:r w:rsidRPr="00F4159E">
        <w:rPr>
          <w:rFonts w:ascii="Century" w:hAnsi="Century" w:cs="Miriam" w:hint="eastAsia"/>
          <w:b/>
          <w:spacing w:val="0"/>
          <w:szCs w:val="24"/>
          <w:rtl/>
        </w:rPr>
        <w:t>התפיסה</w:t>
      </w:r>
      <w:r w:rsidRPr="00F4159E">
        <w:rPr>
          <w:rFonts w:ascii="Century" w:hAnsi="Century" w:cs="Miriam"/>
          <w:b/>
          <w:spacing w:val="0"/>
          <w:szCs w:val="24"/>
          <w:rtl/>
        </w:rPr>
        <w:t xml:space="preserve">. </w:t>
      </w:r>
      <w:r w:rsidRPr="00F4159E">
        <w:rPr>
          <w:rFonts w:ascii="Century" w:hAnsi="Century" w:cs="Miriam" w:hint="eastAsia"/>
          <w:b/>
          <w:spacing w:val="0"/>
          <w:szCs w:val="24"/>
          <w:rtl/>
        </w:rPr>
        <w:t>החזקה</w:t>
      </w:r>
      <w:r w:rsidRPr="00F4159E">
        <w:rPr>
          <w:rFonts w:ascii="Century" w:hAnsi="Century" w:cs="Miriam"/>
          <w:b/>
          <w:spacing w:val="0"/>
          <w:szCs w:val="24"/>
          <w:rtl/>
        </w:rPr>
        <w:t xml:space="preserve"> </w:t>
      </w:r>
      <w:r w:rsidRPr="00F4159E">
        <w:rPr>
          <w:rFonts w:ascii="Century" w:hAnsi="Century" w:cs="Miriam" w:hint="eastAsia"/>
          <w:b/>
          <w:spacing w:val="0"/>
          <w:szCs w:val="24"/>
          <w:rtl/>
        </w:rPr>
        <w:t>זו</w:t>
      </w:r>
      <w:r w:rsidRPr="00F4159E">
        <w:rPr>
          <w:rFonts w:ascii="Century" w:hAnsi="Century" w:cs="Miriam"/>
          <w:b/>
          <w:spacing w:val="0"/>
          <w:szCs w:val="24"/>
          <w:rtl/>
        </w:rPr>
        <w:t xml:space="preserve"> </w:t>
      </w:r>
      <w:r w:rsidRPr="00F4159E">
        <w:rPr>
          <w:rFonts w:ascii="Century" w:hAnsi="Century" w:cs="Miriam" w:hint="eastAsia"/>
          <w:b/>
          <w:spacing w:val="0"/>
          <w:szCs w:val="24"/>
          <w:rtl/>
        </w:rPr>
        <w:t>עצמה</w:t>
      </w:r>
      <w:r w:rsidRPr="00F4159E">
        <w:rPr>
          <w:rFonts w:ascii="Century" w:hAnsi="Century" w:cs="Miriam"/>
          <w:b/>
          <w:spacing w:val="0"/>
          <w:szCs w:val="24"/>
          <w:rtl/>
        </w:rPr>
        <w:t xml:space="preserve"> </w:t>
      </w:r>
      <w:r w:rsidRPr="00F4159E">
        <w:rPr>
          <w:rFonts w:ascii="Century" w:hAnsi="Century" w:cs="Miriam" w:hint="eastAsia"/>
          <w:b/>
          <w:spacing w:val="0"/>
          <w:szCs w:val="24"/>
          <w:rtl/>
        </w:rPr>
        <w:t>יכולה</w:t>
      </w:r>
      <w:r w:rsidRPr="00F4159E">
        <w:rPr>
          <w:rFonts w:ascii="Century" w:hAnsi="Century" w:cs="Miriam"/>
          <w:b/>
          <w:spacing w:val="0"/>
          <w:szCs w:val="24"/>
          <w:rtl/>
        </w:rPr>
        <w:t xml:space="preserve"> </w:t>
      </w:r>
      <w:r w:rsidRPr="00F4159E">
        <w:rPr>
          <w:rFonts w:ascii="Century" w:hAnsi="Century" w:cs="Miriam" w:hint="eastAsia"/>
          <w:b/>
          <w:spacing w:val="0"/>
          <w:szCs w:val="24"/>
          <w:rtl/>
        </w:rPr>
        <w:t>לבוא</w:t>
      </w:r>
      <w:r w:rsidRPr="00F4159E">
        <w:rPr>
          <w:rFonts w:ascii="Century" w:hAnsi="Century" w:cs="Miriam"/>
          <w:b/>
          <w:spacing w:val="0"/>
          <w:szCs w:val="24"/>
          <w:rtl/>
        </w:rPr>
        <w:t xml:space="preserve"> </w:t>
      </w:r>
      <w:r w:rsidRPr="00F4159E">
        <w:rPr>
          <w:rFonts w:ascii="Century" w:hAnsi="Century" w:cs="Miriam" w:hint="eastAsia"/>
          <w:b/>
          <w:spacing w:val="0"/>
          <w:szCs w:val="24"/>
          <w:rtl/>
        </w:rPr>
        <w:t>לידי</w:t>
      </w:r>
      <w:r w:rsidRPr="00F4159E">
        <w:rPr>
          <w:rFonts w:ascii="Century" w:hAnsi="Century" w:cs="Miriam"/>
          <w:b/>
          <w:spacing w:val="0"/>
          <w:szCs w:val="24"/>
          <w:rtl/>
        </w:rPr>
        <w:t xml:space="preserve"> </w:t>
      </w:r>
      <w:r w:rsidRPr="00F4159E">
        <w:rPr>
          <w:rFonts w:ascii="Century" w:hAnsi="Century" w:cs="Miriam" w:hint="eastAsia"/>
          <w:b/>
          <w:spacing w:val="0"/>
          <w:szCs w:val="24"/>
          <w:rtl/>
        </w:rPr>
        <w:t>גמר</w:t>
      </w:r>
      <w:r w:rsidRPr="00F4159E">
        <w:rPr>
          <w:rFonts w:ascii="Century" w:hAnsi="Century" w:cs="Miriam"/>
          <w:b/>
          <w:spacing w:val="0"/>
          <w:szCs w:val="24"/>
          <w:rtl/>
        </w:rPr>
        <w:t xml:space="preserve"> </w:t>
      </w:r>
      <w:r w:rsidRPr="00F4159E">
        <w:rPr>
          <w:rFonts w:ascii="Century" w:hAnsi="Century" w:cs="Miriam" w:hint="eastAsia"/>
          <w:b/>
          <w:spacing w:val="0"/>
          <w:szCs w:val="24"/>
          <w:rtl/>
        </w:rPr>
        <w:t>באחד</w:t>
      </w:r>
      <w:r w:rsidRPr="00F4159E">
        <w:rPr>
          <w:rFonts w:ascii="Century" w:hAnsi="Century" w:cs="Miriam"/>
          <w:b/>
          <w:spacing w:val="0"/>
          <w:szCs w:val="24"/>
          <w:rtl/>
        </w:rPr>
        <w:t xml:space="preserve"> </w:t>
      </w:r>
      <w:r w:rsidRPr="00F4159E">
        <w:rPr>
          <w:rFonts w:ascii="Century" w:hAnsi="Century" w:cs="Miriam" w:hint="eastAsia"/>
          <w:b/>
          <w:spacing w:val="0"/>
          <w:szCs w:val="24"/>
          <w:rtl/>
        </w:rPr>
        <w:t>הימים</w:t>
      </w:r>
      <w:r w:rsidRPr="00F4159E">
        <w:rPr>
          <w:rFonts w:ascii="Century" w:hAnsi="Century" w:cs="Miriam"/>
          <w:b/>
          <w:spacing w:val="0"/>
          <w:szCs w:val="24"/>
          <w:rtl/>
        </w:rPr>
        <w:t xml:space="preserve">, </w:t>
      </w:r>
      <w:r w:rsidRPr="00F4159E">
        <w:rPr>
          <w:rFonts w:ascii="Century" w:hAnsi="Century" w:cs="Miriam" w:hint="eastAsia"/>
          <w:b/>
          <w:spacing w:val="0"/>
          <w:szCs w:val="24"/>
          <w:rtl/>
        </w:rPr>
        <w:t>כתוצאה</w:t>
      </w:r>
      <w:r w:rsidRPr="00F4159E">
        <w:rPr>
          <w:rFonts w:ascii="Century" w:hAnsi="Century" w:cs="Miriam"/>
          <w:b/>
          <w:spacing w:val="0"/>
          <w:szCs w:val="24"/>
          <w:rtl/>
        </w:rPr>
        <w:t xml:space="preserve"> </w:t>
      </w:r>
      <w:r w:rsidRPr="00F4159E">
        <w:rPr>
          <w:rFonts w:ascii="Century" w:hAnsi="Century" w:cs="Miriam" w:hint="eastAsia"/>
          <w:b/>
          <w:spacing w:val="0"/>
          <w:szCs w:val="24"/>
          <w:rtl/>
        </w:rPr>
        <w:t>ממשא</w:t>
      </w:r>
      <w:r w:rsidRPr="00F4159E">
        <w:rPr>
          <w:rFonts w:ascii="Century" w:hAnsi="Century" w:cs="Miriam"/>
          <w:b/>
          <w:spacing w:val="0"/>
          <w:szCs w:val="24"/>
          <w:rtl/>
        </w:rPr>
        <w:t xml:space="preserve"> </w:t>
      </w:r>
      <w:r w:rsidRPr="00F4159E">
        <w:rPr>
          <w:rFonts w:ascii="Century" w:hAnsi="Century" w:cs="Miriam" w:hint="eastAsia"/>
          <w:b/>
          <w:spacing w:val="0"/>
          <w:szCs w:val="24"/>
          <w:rtl/>
        </w:rPr>
        <w:t>ומתן</w:t>
      </w:r>
      <w:r w:rsidRPr="00F4159E">
        <w:rPr>
          <w:rFonts w:ascii="Century" w:hAnsi="Century" w:cs="Miriam"/>
          <w:b/>
          <w:spacing w:val="0"/>
          <w:szCs w:val="24"/>
          <w:rtl/>
        </w:rPr>
        <w:t xml:space="preserve"> </w:t>
      </w:r>
      <w:r w:rsidRPr="00F4159E">
        <w:rPr>
          <w:rFonts w:ascii="Century" w:hAnsi="Century" w:cs="Miriam" w:hint="eastAsia"/>
          <w:b/>
          <w:spacing w:val="0"/>
          <w:szCs w:val="24"/>
          <w:rtl/>
        </w:rPr>
        <w:t>בינלאומי</w:t>
      </w:r>
      <w:r w:rsidRPr="00F4159E">
        <w:rPr>
          <w:rFonts w:ascii="Century" w:hAnsi="Century" w:cs="Miriam"/>
          <w:b/>
          <w:spacing w:val="0"/>
          <w:szCs w:val="24"/>
          <w:rtl/>
        </w:rPr>
        <w:t xml:space="preserve"> </w:t>
      </w:r>
      <w:r w:rsidRPr="00F4159E">
        <w:rPr>
          <w:rFonts w:ascii="Century" w:hAnsi="Century" w:cs="Miriam" w:hint="eastAsia"/>
          <w:b/>
          <w:spacing w:val="0"/>
          <w:szCs w:val="24"/>
          <w:rtl/>
        </w:rPr>
        <w:t>העשוי</w:t>
      </w:r>
      <w:r w:rsidRPr="00F4159E">
        <w:rPr>
          <w:rFonts w:ascii="Century" w:hAnsi="Century" w:cs="Miriam"/>
          <w:b/>
          <w:spacing w:val="0"/>
          <w:szCs w:val="24"/>
          <w:rtl/>
        </w:rPr>
        <w:t xml:space="preserve"> </w:t>
      </w:r>
      <w:r w:rsidRPr="00F4159E">
        <w:rPr>
          <w:rFonts w:ascii="Century" w:hAnsi="Century" w:cs="Miriam" w:hint="eastAsia"/>
          <w:b/>
          <w:spacing w:val="0"/>
          <w:szCs w:val="24"/>
          <w:rtl/>
        </w:rPr>
        <w:t>להסתיים</w:t>
      </w:r>
      <w:r w:rsidRPr="00F4159E">
        <w:rPr>
          <w:rFonts w:ascii="Century" w:hAnsi="Century" w:cs="Miriam"/>
          <w:b/>
          <w:spacing w:val="0"/>
          <w:szCs w:val="24"/>
          <w:rtl/>
        </w:rPr>
        <w:t xml:space="preserve"> </w:t>
      </w:r>
      <w:r w:rsidRPr="00F4159E">
        <w:rPr>
          <w:rFonts w:ascii="Century" w:hAnsi="Century" w:cs="Miriam" w:hint="eastAsia"/>
          <w:b/>
          <w:spacing w:val="0"/>
          <w:szCs w:val="24"/>
          <w:rtl/>
        </w:rPr>
        <w:t>בהסדר</w:t>
      </w:r>
      <w:r w:rsidRPr="00F4159E">
        <w:rPr>
          <w:rFonts w:ascii="Century" w:hAnsi="Century" w:cs="Miriam"/>
          <w:b/>
          <w:spacing w:val="0"/>
          <w:szCs w:val="24"/>
          <w:rtl/>
        </w:rPr>
        <w:t xml:space="preserve"> </w:t>
      </w:r>
      <w:r w:rsidRPr="00F4159E">
        <w:rPr>
          <w:rFonts w:ascii="Century" w:hAnsi="Century" w:cs="Miriam" w:hint="eastAsia"/>
          <w:b/>
          <w:spacing w:val="0"/>
          <w:szCs w:val="24"/>
          <w:rtl/>
        </w:rPr>
        <w:t>חדש</w:t>
      </w:r>
      <w:r w:rsidRPr="00F4159E">
        <w:rPr>
          <w:rFonts w:ascii="Century" w:hAnsi="Century" w:cs="Miriam"/>
          <w:b/>
          <w:spacing w:val="0"/>
          <w:szCs w:val="24"/>
          <w:rtl/>
        </w:rPr>
        <w:t xml:space="preserve"> </w:t>
      </w:r>
      <w:r w:rsidRPr="00F4159E">
        <w:rPr>
          <w:rFonts w:ascii="Century" w:hAnsi="Century" w:cs="Miriam" w:hint="eastAsia"/>
          <w:b/>
          <w:spacing w:val="0"/>
          <w:szCs w:val="24"/>
          <w:rtl/>
        </w:rPr>
        <w:t>שיקבל</w:t>
      </w:r>
      <w:r w:rsidRPr="00F4159E">
        <w:rPr>
          <w:rFonts w:ascii="Century" w:hAnsi="Century" w:cs="Miriam"/>
          <w:b/>
          <w:spacing w:val="0"/>
          <w:szCs w:val="24"/>
          <w:rtl/>
        </w:rPr>
        <w:t xml:space="preserve"> </w:t>
      </w:r>
      <w:r w:rsidRPr="00F4159E">
        <w:rPr>
          <w:rFonts w:ascii="Century" w:hAnsi="Century" w:cs="Miriam" w:hint="eastAsia"/>
          <w:b/>
          <w:spacing w:val="0"/>
          <w:szCs w:val="24"/>
          <w:rtl/>
        </w:rPr>
        <w:t>תוקף</w:t>
      </w:r>
      <w:r w:rsidRPr="00F4159E">
        <w:rPr>
          <w:rFonts w:ascii="Century" w:hAnsi="Century" w:cs="Miriam"/>
          <w:b/>
          <w:spacing w:val="0"/>
          <w:szCs w:val="24"/>
          <w:rtl/>
        </w:rPr>
        <w:t xml:space="preserve"> </w:t>
      </w:r>
      <w:r w:rsidRPr="00F4159E">
        <w:rPr>
          <w:rFonts w:ascii="Century" w:hAnsi="Century" w:cs="Miriam" w:hint="eastAsia"/>
          <w:b/>
          <w:spacing w:val="0"/>
          <w:szCs w:val="24"/>
          <w:rtl/>
        </w:rPr>
        <w:t>לפי</w:t>
      </w:r>
      <w:r w:rsidRPr="00F4159E">
        <w:rPr>
          <w:rFonts w:ascii="Century" w:hAnsi="Century" w:cs="Miriam"/>
          <w:b/>
          <w:spacing w:val="0"/>
          <w:szCs w:val="24"/>
          <w:rtl/>
        </w:rPr>
        <w:t xml:space="preserve"> </w:t>
      </w:r>
      <w:r w:rsidRPr="00F4159E">
        <w:rPr>
          <w:rFonts w:ascii="Century" w:hAnsi="Century" w:cs="Miriam" w:hint="eastAsia"/>
          <w:b/>
          <w:spacing w:val="0"/>
          <w:szCs w:val="24"/>
          <w:rtl/>
        </w:rPr>
        <w:t>המשפט</w:t>
      </w:r>
      <w:r w:rsidRPr="00F4159E">
        <w:rPr>
          <w:rFonts w:ascii="Century" w:hAnsi="Century" w:cs="Miriam"/>
          <w:b/>
          <w:spacing w:val="0"/>
          <w:szCs w:val="24"/>
          <w:rtl/>
        </w:rPr>
        <w:t xml:space="preserve"> </w:t>
      </w:r>
      <w:r w:rsidRPr="00F4159E">
        <w:rPr>
          <w:rFonts w:ascii="Century" w:hAnsi="Century" w:cs="Miriam" w:hint="eastAsia"/>
          <w:b/>
          <w:spacing w:val="0"/>
          <w:szCs w:val="24"/>
          <w:rtl/>
        </w:rPr>
        <w:t>הבינלאומי</w:t>
      </w:r>
      <w:r w:rsidRPr="00F4159E">
        <w:rPr>
          <w:rFonts w:ascii="Century" w:hAnsi="Century" w:cs="Miriam"/>
          <w:b/>
          <w:spacing w:val="0"/>
          <w:szCs w:val="24"/>
          <w:rtl/>
        </w:rPr>
        <w:t xml:space="preserve"> </w:t>
      </w:r>
      <w:r w:rsidRPr="00F4159E">
        <w:rPr>
          <w:rFonts w:ascii="Century" w:hAnsi="Century" w:cs="Miriam" w:hint="eastAsia"/>
          <w:b/>
          <w:spacing w:val="0"/>
          <w:szCs w:val="24"/>
          <w:rtl/>
        </w:rPr>
        <w:t>והוא</w:t>
      </w:r>
      <w:r w:rsidRPr="00F4159E">
        <w:rPr>
          <w:rFonts w:ascii="Century" w:hAnsi="Century" w:cs="Miriam"/>
          <w:b/>
          <w:spacing w:val="0"/>
          <w:szCs w:val="24"/>
          <w:rtl/>
        </w:rPr>
        <w:t xml:space="preserve"> </w:t>
      </w:r>
      <w:r w:rsidRPr="00F4159E">
        <w:rPr>
          <w:rFonts w:ascii="Century" w:hAnsi="Century" w:cs="Miriam" w:hint="eastAsia"/>
          <w:b/>
          <w:spacing w:val="0"/>
          <w:szCs w:val="24"/>
          <w:rtl/>
        </w:rPr>
        <w:t>אשר</w:t>
      </w:r>
      <w:r w:rsidRPr="00F4159E">
        <w:rPr>
          <w:rFonts w:ascii="Century" w:hAnsi="Century" w:cs="Miriam"/>
          <w:b/>
          <w:spacing w:val="0"/>
          <w:szCs w:val="24"/>
          <w:rtl/>
        </w:rPr>
        <w:t xml:space="preserve"> </w:t>
      </w:r>
      <w:r w:rsidRPr="00F4159E">
        <w:rPr>
          <w:rFonts w:ascii="Century" w:hAnsi="Century" w:cs="Miriam" w:hint="eastAsia"/>
          <w:b/>
          <w:spacing w:val="0"/>
          <w:szCs w:val="24"/>
          <w:rtl/>
        </w:rPr>
        <w:t>יקבע</w:t>
      </w:r>
      <w:r w:rsidRPr="00F4159E">
        <w:rPr>
          <w:rFonts w:ascii="Century" w:hAnsi="Century" w:cs="Miriam"/>
          <w:b/>
          <w:spacing w:val="0"/>
          <w:szCs w:val="24"/>
          <w:rtl/>
        </w:rPr>
        <w:t xml:space="preserve"> </w:t>
      </w:r>
      <w:r w:rsidRPr="00F4159E">
        <w:rPr>
          <w:rFonts w:ascii="Century" w:hAnsi="Century" w:cs="Miriam" w:hint="eastAsia"/>
          <w:b/>
          <w:spacing w:val="0"/>
          <w:szCs w:val="24"/>
          <w:rtl/>
        </w:rPr>
        <w:t>את</w:t>
      </w:r>
      <w:r w:rsidRPr="00F4159E">
        <w:rPr>
          <w:rFonts w:ascii="Century" w:hAnsi="Century" w:cs="Miriam"/>
          <w:b/>
          <w:spacing w:val="0"/>
          <w:szCs w:val="24"/>
          <w:rtl/>
        </w:rPr>
        <w:t xml:space="preserve"> </w:t>
      </w:r>
      <w:r w:rsidRPr="00F4159E">
        <w:rPr>
          <w:rFonts w:ascii="Century" w:hAnsi="Century" w:cs="Miriam" w:hint="eastAsia"/>
          <w:b/>
          <w:spacing w:val="0"/>
          <w:szCs w:val="24"/>
          <w:rtl/>
        </w:rPr>
        <w:t>גורל</w:t>
      </w:r>
      <w:r w:rsidRPr="00F4159E">
        <w:rPr>
          <w:rFonts w:ascii="Century" w:hAnsi="Century" w:cs="Miriam"/>
          <w:b/>
          <w:spacing w:val="0"/>
          <w:szCs w:val="24"/>
          <w:rtl/>
        </w:rPr>
        <w:t xml:space="preserve"> </w:t>
      </w:r>
      <w:r w:rsidRPr="00F4159E">
        <w:rPr>
          <w:rFonts w:ascii="Century" w:hAnsi="Century" w:cs="Miriam" w:hint="eastAsia"/>
          <w:b/>
          <w:spacing w:val="0"/>
          <w:szCs w:val="24"/>
          <w:rtl/>
        </w:rPr>
        <w:t>היישוב</w:t>
      </w:r>
      <w:r w:rsidRPr="00F4159E">
        <w:rPr>
          <w:rFonts w:ascii="Century" w:hAnsi="Century" w:cs="Miriam"/>
          <w:b/>
          <w:spacing w:val="0"/>
          <w:szCs w:val="24"/>
          <w:rtl/>
        </w:rPr>
        <w:t xml:space="preserve"> </w:t>
      </w:r>
      <w:r w:rsidRPr="00F4159E">
        <w:rPr>
          <w:rFonts w:ascii="Century" w:hAnsi="Century" w:cs="Miriam" w:hint="eastAsia"/>
          <w:b/>
          <w:spacing w:val="0"/>
          <w:szCs w:val="24"/>
          <w:rtl/>
        </w:rPr>
        <w:t>הזה</w:t>
      </w:r>
      <w:r w:rsidRPr="00F4159E">
        <w:rPr>
          <w:rFonts w:ascii="Century" w:hAnsi="Century" w:cs="Miriam"/>
          <w:b/>
          <w:spacing w:val="0"/>
          <w:szCs w:val="24"/>
          <w:rtl/>
        </w:rPr>
        <w:t xml:space="preserve">, </w:t>
      </w:r>
      <w:r w:rsidRPr="00F4159E">
        <w:rPr>
          <w:rFonts w:ascii="Century" w:hAnsi="Century" w:cs="Miriam" w:hint="eastAsia"/>
          <w:b/>
          <w:spacing w:val="0"/>
          <w:szCs w:val="24"/>
          <w:rtl/>
        </w:rPr>
        <w:t>כמו</w:t>
      </w:r>
      <w:r w:rsidRPr="00F4159E">
        <w:rPr>
          <w:rFonts w:ascii="Century" w:hAnsi="Century" w:cs="Miriam"/>
          <w:b/>
          <w:spacing w:val="0"/>
          <w:szCs w:val="24"/>
          <w:rtl/>
        </w:rPr>
        <w:t xml:space="preserve"> </w:t>
      </w:r>
      <w:r w:rsidRPr="00F4159E">
        <w:rPr>
          <w:rFonts w:ascii="Century" w:hAnsi="Century" w:cs="Miriam" w:hint="eastAsia"/>
          <w:b/>
          <w:spacing w:val="0"/>
          <w:szCs w:val="24"/>
          <w:rtl/>
        </w:rPr>
        <w:t>של</w:t>
      </w:r>
      <w:r w:rsidRPr="00F4159E">
        <w:rPr>
          <w:rFonts w:ascii="Century" w:hAnsi="Century" w:cs="Miriam"/>
          <w:b/>
          <w:spacing w:val="0"/>
          <w:szCs w:val="24"/>
          <w:rtl/>
        </w:rPr>
        <w:t xml:space="preserve"> </w:t>
      </w:r>
      <w:r w:rsidRPr="00F4159E">
        <w:rPr>
          <w:rFonts w:ascii="Century" w:hAnsi="Century" w:cs="Miriam" w:hint="eastAsia"/>
          <w:b/>
          <w:spacing w:val="0"/>
          <w:szCs w:val="24"/>
          <w:rtl/>
        </w:rPr>
        <w:t>ישובים</w:t>
      </w:r>
      <w:r w:rsidRPr="00F4159E">
        <w:rPr>
          <w:rFonts w:ascii="Century" w:hAnsi="Century" w:cs="Miriam"/>
          <w:b/>
          <w:spacing w:val="0"/>
          <w:szCs w:val="24"/>
          <w:rtl/>
        </w:rPr>
        <w:t xml:space="preserve"> </w:t>
      </w:r>
      <w:r w:rsidRPr="00F4159E">
        <w:rPr>
          <w:rFonts w:ascii="Century" w:hAnsi="Century" w:cs="Miriam" w:hint="eastAsia"/>
          <w:b/>
          <w:spacing w:val="0"/>
          <w:szCs w:val="24"/>
          <w:rtl/>
        </w:rPr>
        <w:t>אחרים</w:t>
      </w:r>
      <w:r w:rsidRPr="00F4159E">
        <w:rPr>
          <w:rFonts w:ascii="Century" w:hAnsi="Century" w:cs="Miriam"/>
          <w:b/>
          <w:spacing w:val="0"/>
          <w:szCs w:val="24"/>
          <w:rtl/>
        </w:rPr>
        <w:t xml:space="preserve"> </w:t>
      </w:r>
      <w:r w:rsidRPr="00F4159E">
        <w:rPr>
          <w:rFonts w:ascii="Century" w:hAnsi="Century" w:cs="Miriam" w:hint="eastAsia"/>
          <w:b/>
          <w:spacing w:val="0"/>
          <w:szCs w:val="24"/>
          <w:rtl/>
        </w:rPr>
        <w:t>הקיימים</w:t>
      </w:r>
      <w:r w:rsidRPr="00F4159E">
        <w:rPr>
          <w:rFonts w:ascii="Century" w:hAnsi="Century" w:cs="Miriam"/>
          <w:b/>
          <w:spacing w:val="0"/>
          <w:szCs w:val="24"/>
          <w:rtl/>
        </w:rPr>
        <w:t xml:space="preserve"> </w:t>
      </w:r>
      <w:r w:rsidRPr="00F4159E">
        <w:rPr>
          <w:rFonts w:ascii="Century" w:hAnsi="Century" w:cs="Miriam" w:hint="eastAsia"/>
          <w:b/>
          <w:spacing w:val="0"/>
          <w:szCs w:val="24"/>
          <w:rtl/>
        </w:rPr>
        <w:t>בשטחים</w:t>
      </w:r>
      <w:r w:rsidRPr="00F4159E">
        <w:rPr>
          <w:rFonts w:ascii="Century" w:hAnsi="Century" w:cs="Miriam"/>
          <w:b/>
          <w:spacing w:val="0"/>
          <w:szCs w:val="24"/>
          <w:rtl/>
        </w:rPr>
        <w:t xml:space="preserve"> </w:t>
      </w:r>
      <w:r w:rsidRPr="00F4159E">
        <w:rPr>
          <w:rFonts w:ascii="Century" w:hAnsi="Century" w:cs="Miriam" w:hint="eastAsia"/>
          <w:b/>
          <w:spacing w:val="0"/>
          <w:szCs w:val="24"/>
          <w:rtl/>
        </w:rPr>
        <w:t>המוחזקים</w:t>
      </w:r>
      <w:r w:rsidRPr="00F4159E">
        <w:rPr>
          <w:rFonts w:ascii="Century" w:hAnsi="Century" w:cs="Miriam" w:hint="cs"/>
          <w:b/>
          <w:spacing w:val="0"/>
          <w:szCs w:val="24"/>
          <w:rtl/>
        </w:rPr>
        <w:t>"</w:t>
      </w:r>
      <w:r>
        <w:rPr>
          <w:rFonts w:hint="cs"/>
          <w:rtl/>
        </w:rPr>
        <w:t xml:space="preserve"> (עניין </w:t>
      </w:r>
      <w:r w:rsidRPr="00F4159E">
        <w:rPr>
          <w:rFonts w:ascii="Century" w:hAnsi="Century" w:cs="Miriam" w:hint="cs"/>
          <w:b/>
          <w:spacing w:val="0"/>
          <w:szCs w:val="24"/>
          <w:rtl/>
        </w:rPr>
        <w:t>איוב</w:t>
      </w:r>
      <w:r>
        <w:rPr>
          <w:rFonts w:hint="cs"/>
          <w:rtl/>
        </w:rPr>
        <w:t>, עמ' 129).</w:t>
      </w:r>
    </w:p>
    <w:p w:rsidR="00295623" w:rsidRPr="002B5B79" w:rsidRDefault="00295623" w:rsidP="00295623">
      <w:pPr>
        <w:pStyle w:val="Ruller4"/>
        <w:numPr>
          <w:ilvl w:val="0"/>
          <w:numId w:val="0"/>
        </w:numPr>
        <w:tabs>
          <w:tab w:val="left" w:pos="90"/>
        </w:tabs>
        <w:rPr>
          <w:rFonts w:ascii="Century" w:hAnsi="Century"/>
        </w:rPr>
      </w:pPr>
    </w:p>
    <w:p w:rsidR="00295623" w:rsidRPr="002764C6" w:rsidRDefault="00295623" w:rsidP="00295623">
      <w:pPr>
        <w:pStyle w:val="Ruller4"/>
        <w:numPr>
          <w:ilvl w:val="0"/>
          <w:numId w:val="0"/>
        </w:numPr>
        <w:tabs>
          <w:tab w:val="left" w:pos="90"/>
        </w:tabs>
      </w:pPr>
      <w:r>
        <w:rPr>
          <w:rtl/>
        </w:rPr>
        <w:tab/>
      </w:r>
      <w:r w:rsidRPr="00AA44E7">
        <w:rPr>
          <w:rFonts w:hint="cs"/>
          <w:rtl/>
        </w:rPr>
        <w:t>[ביחס לשאלה זו, אוסיף במאמר מוסגר, כי ניתן לתהות במידה שווה, מה יהיה הדין בכל הנוגע לעסקאות חכירה המבוצעות על-ידי רשות מקרקעי ישראל, בתוך שטח ישראל, אשר הוכשרו באמצעות הסדרי תקנת השוק (למשל, ההסדר ה</w:t>
      </w:r>
      <w:r>
        <w:rPr>
          <w:rFonts w:hint="cs"/>
          <w:rtl/>
        </w:rPr>
        <w:t>מעוגן</w:t>
      </w:r>
      <w:r w:rsidRPr="00AA44E7">
        <w:rPr>
          <w:rFonts w:hint="cs"/>
          <w:rtl/>
        </w:rPr>
        <w:t xml:space="preserve"> בסעיף 10 לחוק המקרקעין, או זה </w:t>
      </w:r>
      <w:r>
        <w:rPr>
          <w:rFonts w:hint="cs"/>
          <w:rtl/>
        </w:rPr>
        <w:t>ש</w:t>
      </w:r>
      <w:r w:rsidRPr="00AA44E7">
        <w:rPr>
          <w:rFonts w:hint="cs"/>
          <w:rtl/>
        </w:rPr>
        <w:t xml:space="preserve">בסעיף 17(א) לחוק נכסי נפקדים): האם במצב זה </w:t>
      </w:r>
      <w:r>
        <w:rPr>
          <w:rFonts w:hint="cs"/>
          <w:rtl/>
        </w:rPr>
        <w:t>נ</w:t>
      </w:r>
      <w:r w:rsidRPr="00AA44E7">
        <w:rPr>
          <w:rFonts w:hint="cs"/>
          <w:rtl/>
        </w:rPr>
        <w:t xml:space="preserve">אמר, כי העסקאות תבואנה לקיצן בתום תקופת החכירה, ותשוב </w:t>
      </w:r>
      <w:r>
        <w:rPr>
          <w:rFonts w:hint="cs"/>
          <w:rtl/>
        </w:rPr>
        <w:t xml:space="preserve">הבעלות </w:t>
      </w:r>
      <w:r w:rsidRPr="00AA44E7">
        <w:rPr>
          <w:rFonts w:hint="cs"/>
          <w:rtl/>
        </w:rPr>
        <w:t xml:space="preserve">לבעליהן המקוריים (כאשר, נניח, החוכר בנה את ביתו על הקרקע), או שמא תקנת השוק מירקה את זכות הבעלות, חרף העובדה שלעסקה קיים 'מועד תפוגה', גם אם ברבות הימים, כדוגמת עסקת חכירה לדורות? סבורני כי </w:t>
      </w:r>
      <w:r>
        <w:rPr>
          <w:rFonts w:hint="cs"/>
          <w:rtl/>
        </w:rPr>
        <w:t>ע</w:t>
      </w:r>
      <w:r w:rsidRPr="00AA44E7">
        <w:rPr>
          <w:rFonts w:hint="cs"/>
          <w:rtl/>
        </w:rPr>
        <w:t>ל</w:t>
      </w:r>
      <w:r>
        <w:rPr>
          <w:rFonts w:hint="cs"/>
          <w:rtl/>
        </w:rPr>
        <w:t xml:space="preserve"> </w:t>
      </w:r>
      <w:r w:rsidRPr="00AA44E7">
        <w:rPr>
          <w:rFonts w:hint="cs"/>
          <w:rtl/>
        </w:rPr>
        <w:t>שאלה זו יש להשיב בשלילה. זאת, נוכח העובדה כי זכות החכירה, היא הזכות המקסימלית שניתן להעביר, במ</w:t>
      </w:r>
      <w:r>
        <w:rPr>
          <w:rFonts w:hint="cs"/>
          <w:rtl/>
        </w:rPr>
        <w:t>צבי</w:t>
      </w:r>
      <w:r w:rsidRPr="00AA44E7">
        <w:rPr>
          <w:rFonts w:hint="cs"/>
          <w:rtl/>
        </w:rPr>
        <w:t>ם מסוימים, במקרה שבו נעשית עסקה במקרקעי ישראל (ראו ההוראות שב</w:t>
      </w:r>
      <w:r w:rsidRPr="00AA44E7">
        <w:rPr>
          <w:rFonts w:hint="eastAsia"/>
          <w:rtl/>
        </w:rPr>
        <w:t>חוק</w:t>
      </w:r>
      <w:r w:rsidRPr="00AA44E7">
        <w:rPr>
          <w:rtl/>
        </w:rPr>
        <w:t>-</w:t>
      </w:r>
      <w:r w:rsidRPr="00AA44E7">
        <w:rPr>
          <w:rFonts w:hint="eastAsia"/>
          <w:rtl/>
        </w:rPr>
        <w:t>יסוד</w:t>
      </w:r>
      <w:r w:rsidRPr="00AA44E7">
        <w:rPr>
          <w:rtl/>
        </w:rPr>
        <w:t xml:space="preserve">: </w:t>
      </w:r>
      <w:r w:rsidRPr="00AA44E7">
        <w:rPr>
          <w:rFonts w:hint="eastAsia"/>
          <w:rtl/>
        </w:rPr>
        <w:t>מקרקעי</w:t>
      </w:r>
      <w:r w:rsidRPr="00AA44E7">
        <w:rPr>
          <w:rtl/>
        </w:rPr>
        <w:t xml:space="preserve"> </w:t>
      </w:r>
      <w:r w:rsidRPr="00AA44E7">
        <w:rPr>
          <w:rFonts w:hint="eastAsia"/>
          <w:rtl/>
        </w:rPr>
        <w:t>ישראל</w:t>
      </w:r>
      <w:r w:rsidRPr="00AA44E7">
        <w:rPr>
          <w:rFonts w:hint="cs"/>
          <w:rtl/>
        </w:rPr>
        <w:t>). ממילא, אותה אמת מידה יש להחיל גם לגבי זכויות החזקה ושימוש, שהן הזכויות המקסימליות שניתן להקנות במקרקעין באיו"ש, נוכח טיבם ואופיָם].</w:t>
      </w:r>
    </w:p>
    <w:p w:rsidR="00295623" w:rsidRPr="00F02A18" w:rsidRDefault="00295623" w:rsidP="00295623">
      <w:pPr>
        <w:pStyle w:val="Ruller4"/>
        <w:numPr>
          <w:ilvl w:val="0"/>
          <w:numId w:val="0"/>
        </w:numPr>
        <w:tabs>
          <w:tab w:val="left" w:pos="90"/>
        </w:tabs>
        <w:spacing w:line="240" w:lineRule="auto"/>
      </w:pPr>
    </w:p>
    <w:p w:rsidR="00295623" w:rsidRDefault="00295623" w:rsidP="00295623">
      <w:pPr>
        <w:pStyle w:val="Ruller41"/>
      </w:pPr>
      <w:r>
        <w:rPr>
          <w:rFonts w:hint="cs"/>
          <w:rtl/>
        </w:rPr>
        <w:lastRenderedPageBreak/>
        <w:t>83.</w:t>
      </w:r>
      <w:r>
        <w:rPr>
          <w:rFonts w:hint="cs"/>
          <w:rtl/>
        </w:rPr>
        <w:tab/>
        <w:t xml:space="preserve">נשוב עתה לשאלה, אם קרקע שנתפסה בתפיסה צבאית באה בגדר 'רכוש ממשלתי'. בעניין זה קיימות כמה אפשרויות. בית המשפט המחוזי קבע, כי ההגדרה המעוגנת בסעיף 1(2) לצו </w:t>
      </w:r>
      <w:r>
        <w:rPr>
          <w:rtl/>
        </w:rPr>
        <w:t>–</w:t>
      </w:r>
      <w:r>
        <w:rPr>
          <w:rFonts w:hint="cs"/>
          <w:rtl/>
        </w:rPr>
        <w:t xml:space="preserve"> </w:t>
      </w:r>
      <w:r w:rsidRPr="003271A1">
        <w:rPr>
          <w:rStyle w:val="default"/>
          <w:rFonts w:ascii="Century" w:hAnsi="Century" w:cs="Miriam" w:hint="cs"/>
          <w:b/>
          <w:spacing w:val="0"/>
          <w:szCs w:val="24"/>
          <w:rtl/>
        </w:rPr>
        <w:t>"</w:t>
      </w:r>
      <w:r w:rsidRPr="003271A1">
        <w:rPr>
          <w:rStyle w:val="default"/>
          <w:rFonts w:ascii="Century" w:hAnsi="Century" w:cs="Miriam"/>
          <w:b/>
          <w:spacing w:val="0"/>
          <w:szCs w:val="24"/>
          <w:rtl/>
        </w:rPr>
        <w:t>מקרקעין שנרכשו לצרכי ציבור על פי כל דין או תחיקת בטחון</w:t>
      </w:r>
      <w:r w:rsidRPr="003271A1">
        <w:rPr>
          <w:rStyle w:val="default"/>
          <w:rFonts w:ascii="Century" w:hAnsi="Century" w:cs="Miriam" w:hint="cs"/>
          <w:b/>
          <w:spacing w:val="0"/>
          <w:szCs w:val="24"/>
          <w:rtl/>
        </w:rPr>
        <w:t>"</w:t>
      </w:r>
      <w:r>
        <w:rPr>
          <w:rFonts w:hint="cs"/>
          <w:rtl/>
        </w:rPr>
        <w:t xml:space="preserve"> </w:t>
      </w:r>
      <w:r>
        <w:rPr>
          <w:rtl/>
        </w:rPr>
        <w:t>–</w:t>
      </w:r>
      <w:r>
        <w:rPr>
          <w:rFonts w:hint="cs"/>
          <w:rtl/>
        </w:rPr>
        <w:t xml:space="preserve"> רחבה דיה, כדי לכלול גם קרקע שנתפסה בתפיסה צבאית, ואשר זכויות החזקה והשימוש בה הופקעו באמצעות צו כאמור. היועץ המשפטי לממשלה סבר, כי ענייננו בא בגדר סעיף 1(3) לצו </w:t>
      </w:r>
      <w:r>
        <w:rPr>
          <w:rtl/>
        </w:rPr>
        <w:t>–</w:t>
      </w:r>
      <w:r>
        <w:rPr>
          <w:rFonts w:hint="cs"/>
          <w:rtl/>
        </w:rPr>
        <w:t xml:space="preserve"> </w:t>
      </w:r>
      <w:r>
        <w:rPr>
          <w:rStyle w:val="default"/>
          <w:rFonts w:ascii="Century" w:hAnsi="Century" w:cs="Miriam" w:hint="cs"/>
          <w:b/>
          <w:spacing w:val="0"/>
          <w:szCs w:val="24"/>
          <w:rtl/>
        </w:rPr>
        <w:t>"</w:t>
      </w:r>
      <w:r w:rsidRPr="003271A1">
        <w:rPr>
          <w:rStyle w:val="default"/>
          <w:rFonts w:ascii="Century" w:hAnsi="Century" w:cs="Miriam"/>
          <w:b/>
          <w:spacing w:val="0"/>
          <w:szCs w:val="24"/>
          <w:rtl/>
        </w:rPr>
        <w:t>רכוש שבעליו ביקש מאת הממונה לנהל אותו והממונה קיבל עליו את ניהולו</w:t>
      </w:r>
      <w:r>
        <w:rPr>
          <w:rStyle w:val="default"/>
          <w:rFonts w:ascii="Century" w:hAnsi="Century" w:cs="Miriam" w:hint="cs"/>
          <w:b/>
          <w:spacing w:val="0"/>
          <w:szCs w:val="24"/>
          <w:rtl/>
        </w:rPr>
        <w:t>"</w:t>
      </w:r>
      <w:r>
        <w:rPr>
          <w:rFonts w:hint="cs"/>
          <w:rtl/>
        </w:rPr>
        <w:t xml:space="preserve"> </w:t>
      </w:r>
      <w:r>
        <w:rPr>
          <w:rtl/>
        </w:rPr>
        <w:t>–</w:t>
      </w:r>
      <w:r>
        <w:rPr>
          <w:rFonts w:hint="cs"/>
          <w:rtl/>
        </w:rPr>
        <w:t xml:space="preserve"> שכן המפקד הצבאי, אשר הפך ל'בעל' זכויות השימוש והחזקה לאחר תפיסת הרכוש, בחר להעביר את ניהול הקרקע לממונה. חברי השופט </w:t>
      </w:r>
      <w:r w:rsidRPr="00FB7986">
        <w:rPr>
          <w:rFonts w:ascii="Century" w:hAnsi="Century" w:cs="Miriam" w:hint="cs"/>
          <w:b/>
          <w:spacing w:val="0"/>
          <w:szCs w:val="24"/>
          <w:rtl/>
        </w:rPr>
        <w:t>הנדל</w:t>
      </w:r>
      <w:r>
        <w:rPr>
          <w:rFonts w:hint="cs"/>
          <w:rtl/>
        </w:rPr>
        <w:t xml:space="preserve">, היה בדעה כי לצורך החלת ההסדר שבסעיף 5, כלל לא נדרש לבחון את התיבות 'רכוש ממשלתי', לפי הגדרתן בצו, משום שהשאלה המתעוררת, איננה מהו מעמדו האובייקטיבי של הנכס, אלא מה 'חשב' הממונה ביחס למעמדו, בעת שהתקשר לגביו בעסקה. לעומתם, חברתי הנשיאה </w:t>
      </w:r>
      <w:r w:rsidRPr="00FB7986">
        <w:rPr>
          <w:rFonts w:ascii="Century" w:hAnsi="Century" w:cs="Miriam" w:hint="cs"/>
          <w:b/>
          <w:spacing w:val="0"/>
          <w:szCs w:val="24"/>
          <w:rtl/>
        </w:rPr>
        <w:t>חיות</w:t>
      </w:r>
      <w:r>
        <w:rPr>
          <w:rFonts w:hint="cs"/>
          <w:rtl/>
        </w:rPr>
        <w:t>, הכריעה בפסק הדין בערעור, כי קרקע שנתפסה בתפיסה צבאית, אינה חוסה תחת הגדרת 'רכוש ממשלתי', ומשכך, רוכשי זכויות מאת הממונה בקרקעות מסוג זה, אינם חוסים תחת ההסדר שנקבע בסעיף 5.</w:t>
      </w:r>
    </w:p>
    <w:p w:rsidR="00295623" w:rsidRDefault="00295623" w:rsidP="00295623">
      <w:pPr>
        <w:pStyle w:val="Ruller4"/>
        <w:numPr>
          <w:ilvl w:val="0"/>
          <w:numId w:val="0"/>
        </w:numPr>
        <w:tabs>
          <w:tab w:val="left" w:pos="90"/>
        </w:tabs>
        <w:spacing w:line="240" w:lineRule="auto"/>
      </w:pPr>
      <w:r>
        <w:rPr>
          <w:rFonts w:hint="cs"/>
          <w:rtl/>
        </w:rPr>
        <w:t xml:space="preserve"> </w:t>
      </w:r>
    </w:p>
    <w:p w:rsidR="00295623" w:rsidRDefault="00295623" w:rsidP="00295623">
      <w:pPr>
        <w:pStyle w:val="Ruller41"/>
        <w:rPr>
          <w:rtl/>
        </w:rPr>
      </w:pPr>
      <w:r>
        <w:rPr>
          <w:rFonts w:hint="cs"/>
          <w:rtl/>
        </w:rPr>
        <w:t>84.</w:t>
      </w:r>
      <w:r>
        <w:rPr>
          <w:rFonts w:hint="cs"/>
          <w:rtl/>
        </w:rPr>
        <w:tab/>
        <w:t xml:space="preserve">כשלעצמי, שתי החלופות האמורות, הן זו שבסעיף 1(2), הן זו שבסעיף 1(3), נראות אפשריות בעינַי, מבחינה לשונית. שתיהן 'סובלות' את הפרשנות המציעה לכלול בהן גם קרקע שנתפסה בתפיסה צבאית, וזאת גם אם בדוחק מסוים (לעניין זה, ראו: </w:t>
      </w:r>
      <w:r w:rsidRPr="006B4846">
        <w:rPr>
          <w:rFonts w:ascii="Century" w:hAnsi="Century" w:cs="Miriam" w:hint="cs"/>
          <w:b/>
          <w:spacing w:val="0"/>
          <w:szCs w:val="24"/>
          <w:rtl/>
        </w:rPr>
        <w:t>ויניצקי</w:t>
      </w:r>
      <w:r>
        <w:rPr>
          <w:rFonts w:hint="cs"/>
          <w:rtl/>
        </w:rPr>
        <w:t xml:space="preserve">, עמ' 400-399, 407). מכל מקום, העיקר הוא, שלעניין אופן הקצאת מקרקעין באיו"ש ודרך ניהולם </w:t>
      </w:r>
      <w:r>
        <w:rPr>
          <w:rtl/>
        </w:rPr>
        <w:t>–</w:t>
      </w:r>
      <w:r>
        <w:rPr>
          <w:rFonts w:hint="cs"/>
          <w:rtl/>
        </w:rPr>
        <w:t xml:space="preserve"> שהם הנתונים החשובים בעינַי לגבי סעיף 5 </w:t>
      </w:r>
      <w:r>
        <w:rPr>
          <w:rtl/>
        </w:rPr>
        <w:t>–</w:t>
      </w:r>
      <w:r>
        <w:rPr>
          <w:rFonts w:hint="cs"/>
          <w:rtl/>
        </w:rPr>
        <w:t xml:space="preserve"> אינני מוצא הבדל מהותי בין קרקעות מדינה, לבין קרקעות שנתפסו בתפיסה צבאית. בשני המקרים, המפקד הצבאי הוא בעל הזכויות בקרקע, וזאת בין אם בזכויות בעלות בקרקע מדינה עסקינן, בין אם בזכויות החזקה ושימוש בקרקע תפוסה עסקינן; בשני המקרים ניהול המקרקעין הועבר על-ידי המפקד הצבאי לאותו גורם </w:t>
      </w:r>
      <w:r>
        <w:rPr>
          <w:rtl/>
        </w:rPr>
        <w:t>–</w:t>
      </w:r>
      <w:r>
        <w:rPr>
          <w:rFonts w:hint="cs"/>
          <w:rtl/>
        </w:rPr>
        <w:t xml:space="preserve"> הממונה על הרכוש הממשלתי והנטוש; ובשני המקרים הממונה משמש כגורם המקצה את הזכויות הללו למתקשרים עמו, והוא אף הגורם המשלם פיצוי לבעלי זכויות מוכחות, שמקרקעיהם נתפסו בתפיסה צבאית (ראו למשל: ע"א 10557/07 </w:t>
      </w:r>
      <w:r w:rsidRPr="00FB7986">
        <w:rPr>
          <w:rFonts w:ascii="Century" w:hAnsi="Century" w:cs="Miriam" w:hint="cs"/>
          <w:b/>
          <w:spacing w:val="0"/>
          <w:szCs w:val="24"/>
          <w:rtl/>
        </w:rPr>
        <w:t>חברת ג.א.ל בע"מ נ' מדינת ישראל</w:t>
      </w:r>
      <w:r>
        <w:rPr>
          <w:rFonts w:hint="cs"/>
          <w:rtl/>
        </w:rPr>
        <w:t xml:space="preserve">, פסקה 3 (28.2.2012)). לכך אוסיף, כי בשני המקרים, ללא הבחנה ביניהם, נדרשת חתימת 'הממונה על </w:t>
      </w:r>
      <w:r w:rsidRPr="00FB7986">
        <w:rPr>
          <w:rFonts w:ascii="Century" w:hAnsi="Century" w:hint="cs"/>
          <w:rtl/>
        </w:rPr>
        <w:t>הרכוש הממשלתי</w:t>
      </w:r>
      <w:r>
        <w:rPr>
          <w:rFonts w:hint="cs"/>
          <w:rtl/>
        </w:rPr>
        <w:t>' על תכניות סטטוטוריות לשם אישורן. כלומר, גם כאשר מדובר בקרקע תפוסה בתפיסה צבאית (ראו: סעיף 8(ד) ל</w:t>
      </w:r>
      <w:r w:rsidRPr="002474C1">
        <w:rPr>
          <w:rFonts w:hint="eastAsia"/>
          <w:rtl/>
        </w:rPr>
        <w:t>תקנות</w:t>
      </w:r>
      <w:r w:rsidRPr="002474C1">
        <w:rPr>
          <w:rtl/>
        </w:rPr>
        <w:t xml:space="preserve"> </w:t>
      </w:r>
      <w:r w:rsidRPr="002474C1">
        <w:rPr>
          <w:rFonts w:hint="eastAsia"/>
          <w:rtl/>
        </w:rPr>
        <w:t>תכנון</w:t>
      </w:r>
      <w:r w:rsidRPr="002474C1">
        <w:rPr>
          <w:rtl/>
        </w:rPr>
        <w:t xml:space="preserve"> </w:t>
      </w:r>
      <w:r w:rsidRPr="002474C1">
        <w:rPr>
          <w:rFonts w:hint="eastAsia"/>
          <w:rtl/>
        </w:rPr>
        <w:t>ערים</w:t>
      </w:r>
      <w:r w:rsidRPr="002474C1">
        <w:rPr>
          <w:rtl/>
        </w:rPr>
        <w:t xml:space="preserve"> </w:t>
      </w:r>
      <w:r w:rsidRPr="002474C1">
        <w:rPr>
          <w:rFonts w:hint="eastAsia"/>
          <w:rtl/>
        </w:rPr>
        <w:t>כפרים</w:t>
      </w:r>
      <w:r w:rsidRPr="002474C1">
        <w:rPr>
          <w:rtl/>
        </w:rPr>
        <w:t xml:space="preserve"> </w:t>
      </w:r>
      <w:r w:rsidRPr="002474C1">
        <w:rPr>
          <w:rFonts w:hint="eastAsia"/>
          <w:rtl/>
        </w:rPr>
        <w:t>ובנינים</w:t>
      </w:r>
      <w:r w:rsidRPr="002474C1">
        <w:rPr>
          <w:rtl/>
        </w:rPr>
        <w:t xml:space="preserve"> (</w:t>
      </w:r>
      <w:r w:rsidRPr="002474C1">
        <w:rPr>
          <w:rFonts w:hint="eastAsia"/>
          <w:rtl/>
        </w:rPr>
        <w:t>בקשה</w:t>
      </w:r>
      <w:r w:rsidRPr="002474C1">
        <w:rPr>
          <w:rtl/>
        </w:rPr>
        <w:t xml:space="preserve"> </w:t>
      </w:r>
      <w:r w:rsidRPr="002474C1">
        <w:rPr>
          <w:rFonts w:hint="eastAsia"/>
          <w:rtl/>
        </w:rPr>
        <w:t>להיתר</w:t>
      </w:r>
      <w:r w:rsidRPr="002474C1">
        <w:rPr>
          <w:rtl/>
        </w:rPr>
        <w:t xml:space="preserve"> </w:t>
      </w:r>
      <w:r w:rsidRPr="002474C1">
        <w:rPr>
          <w:rFonts w:hint="eastAsia"/>
          <w:rtl/>
        </w:rPr>
        <w:t>ותנאיו</w:t>
      </w:r>
      <w:r w:rsidRPr="002474C1">
        <w:rPr>
          <w:rtl/>
        </w:rPr>
        <w:t>) (</w:t>
      </w:r>
      <w:r w:rsidRPr="002474C1">
        <w:rPr>
          <w:rFonts w:hint="eastAsia"/>
          <w:rtl/>
        </w:rPr>
        <w:t>יהודה</w:t>
      </w:r>
      <w:r w:rsidRPr="002474C1">
        <w:rPr>
          <w:rtl/>
        </w:rPr>
        <w:t xml:space="preserve"> </w:t>
      </w:r>
      <w:r w:rsidRPr="002474C1">
        <w:rPr>
          <w:rFonts w:hint="eastAsia"/>
          <w:rtl/>
        </w:rPr>
        <w:t>והשומרון</w:t>
      </w:r>
      <w:r w:rsidRPr="002474C1">
        <w:rPr>
          <w:rtl/>
        </w:rPr>
        <w:t xml:space="preserve">), </w:t>
      </w:r>
      <w:r>
        <w:rPr>
          <w:rFonts w:hint="cs"/>
          <w:rtl/>
        </w:rPr>
        <w:t>ה</w:t>
      </w:r>
      <w:r w:rsidRPr="002474C1">
        <w:rPr>
          <w:rFonts w:hint="eastAsia"/>
          <w:rtl/>
        </w:rPr>
        <w:t>תשפ</w:t>
      </w:r>
      <w:r w:rsidRPr="002474C1">
        <w:rPr>
          <w:rtl/>
        </w:rPr>
        <w:t>"</w:t>
      </w:r>
      <w:r w:rsidRPr="002474C1">
        <w:rPr>
          <w:rFonts w:hint="eastAsia"/>
          <w:rtl/>
        </w:rPr>
        <w:t>א</w:t>
      </w:r>
      <w:r w:rsidRPr="002474C1">
        <w:rPr>
          <w:rtl/>
        </w:rPr>
        <w:t>-2020</w:t>
      </w:r>
      <w:r>
        <w:rPr>
          <w:rFonts w:hint="cs"/>
          <w:rtl/>
        </w:rPr>
        <w:t xml:space="preserve">, וסעיף 3 לתקנות שקדמו להן </w:t>
      </w:r>
      <w:r>
        <w:rPr>
          <w:rtl/>
        </w:rPr>
        <w:t>–</w:t>
      </w:r>
      <w:r>
        <w:rPr>
          <w:rFonts w:hint="cs"/>
          <w:rtl/>
        </w:rPr>
        <w:t xml:space="preserve"> תקנות </w:t>
      </w:r>
      <w:r w:rsidRPr="002474C1">
        <w:rPr>
          <w:rFonts w:hint="eastAsia"/>
          <w:rtl/>
        </w:rPr>
        <w:t>בדבר</w:t>
      </w:r>
      <w:r w:rsidRPr="002474C1">
        <w:rPr>
          <w:rtl/>
        </w:rPr>
        <w:t xml:space="preserve"> </w:t>
      </w:r>
      <w:r w:rsidRPr="002474C1">
        <w:rPr>
          <w:rFonts w:hint="eastAsia"/>
          <w:rtl/>
        </w:rPr>
        <w:t>מתן</w:t>
      </w:r>
      <w:r w:rsidRPr="002474C1">
        <w:rPr>
          <w:rtl/>
        </w:rPr>
        <w:t xml:space="preserve"> </w:t>
      </w:r>
      <w:r w:rsidRPr="002474C1">
        <w:rPr>
          <w:rFonts w:hint="eastAsia"/>
          <w:rtl/>
        </w:rPr>
        <w:t>היתרים</w:t>
      </w:r>
      <w:r w:rsidRPr="002474C1">
        <w:rPr>
          <w:rtl/>
        </w:rPr>
        <w:t xml:space="preserve"> </w:t>
      </w:r>
      <w:r w:rsidRPr="002474C1">
        <w:rPr>
          <w:rFonts w:hint="eastAsia"/>
          <w:rtl/>
        </w:rPr>
        <w:t>לעבודות</w:t>
      </w:r>
      <w:r w:rsidRPr="002474C1">
        <w:rPr>
          <w:rtl/>
        </w:rPr>
        <w:t xml:space="preserve"> </w:t>
      </w:r>
      <w:r w:rsidRPr="002474C1">
        <w:rPr>
          <w:rFonts w:hint="eastAsia"/>
          <w:rtl/>
        </w:rPr>
        <w:t>בשטחים</w:t>
      </w:r>
      <w:r w:rsidRPr="002474C1">
        <w:rPr>
          <w:rtl/>
        </w:rPr>
        <w:t xml:space="preserve"> </w:t>
      </w:r>
      <w:r w:rsidRPr="002474C1">
        <w:rPr>
          <w:rFonts w:hint="eastAsia"/>
          <w:rtl/>
        </w:rPr>
        <w:t>תפוסים</w:t>
      </w:r>
      <w:r w:rsidRPr="002474C1">
        <w:rPr>
          <w:rtl/>
        </w:rPr>
        <w:t xml:space="preserve"> </w:t>
      </w:r>
      <w:r w:rsidRPr="002474C1">
        <w:rPr>
          <w:rFonts w:hint="eastAsia"/>
          <w:rtl/>
        </w:rPr>
        <w:t>לצרכים</w:t>
      </w:r>
      <w:r w:rsidRPr="002474C1">
        <w:rPr>
          <w:rtl/>
        </w:rPr>
        <w:t xml:space="preserve"> </w:t>
      </w:r>
      <w:r w:rsidRPr="002474C1">
        <w:rPr>
          <w:rFonts w:hint="eastAsia"/>
          <w:rtl/>
        </w:rPr>
        <w:t>צבאיים</w:t>
      </w:r>
      <w:r w:rsidRPr="002474C1">
        <w:rPr>
          <w:rtl/>
        </w:rPr>
        <w:t xml:space="preserve"> (</w:t>
      </w:r>
      <w:r w:rsidRPr="002474C1">
        <w:rPr>
          <w:rFonts w:hint="eastAsia"/>
          <w:rtl/>
        </w:rPr>
        <w:t>יהודה</w:t>
      </w:r>
      <w:r w:rsidRPr="002474C1">
        <w:rPr>
          <w:rtl/>
        </w:rPr>
        <w:t xml:space="preserve"> </w:t>
      </w:r>
      <w:r w:rsidRPr="002474C1">
        <w:rPr>
          <w:rFonts w:hint="eastAsia"/>
          <w:rtl/>
        </w:rPr>
        <w:t>והשומרון</w:t>
      </w:r>
      <w:r w:rsidRPr="002474C1">
        <w:rPr>
          <w:rtl/>
        </w:rPr>
        <w:t xml:space="preserve">), </w:t>
      </w:r>
      <w:r w:rsidRPr="002474C1">
        <w:rPr>
          <w:rFonts w:hint="eastAsia"/>
          <w:rtl/>
        </w:rPr>
        <w:t>התשמ</w:t>
      </w:r>
      <w:r w:rsidRPr="002474C1">
        <w:rPr>
          <w:rtl/>
        </w:rPr>
        <w:t>"</w:t>
      </w:r>
      <w:r w:rsidRPr="002474C1">
        <w:rPr>
          <w:rFonts w:hint="eastAsia"/>
          <w:rtl/>
        </w:rPr>
        <w:t>ה</w:t>
      </w:r>
      <w:r w:rsidRPr="002474C1">
        <w:rPr>
          <w:rtl/>
        </w:rPr>
        <w:t>-1985</w:t>
      </w:r>
      <w:r>
        <w:rPr>
          <w:rFonts w:hint="cs"/>
          <w:rtl/>
        </w:rPr>
        <w:t xml:space="preserve">). צא ולמד, כי המחוקק הצבאי באזור, לא ראה לנכון לערוך הבחנה, לגבי אופן ניהול המקרקעין באיו"ש, בין מקרקעין שבאו לידיו מכוח היותם קרקעות בבעלות </w:t>
      </w:r>
      <w:r>
        <w:rPr>
          <w:rFonts w:hint="cs"/>
          <w:rtl/>
        </w:rPr>
        <w:lastRenderedPageBreak/>
        <w:t xml:space="preserve">המדינה, לבין מקרקעין שנתפסו בתפיסה צבאית. לפיכך, איני מוצא מקום להבחין בין השניים, אף לא בהקשר של תחולת ההסדר שבסעיף 5. גם באספקלריה של אינטרס ההסתמכות מצד רוכש הזכות, העומד ביסוד סעיף 5 </w:t>
      </w:r>
      <w:r>
        <w:rPr>
          <w:rtl/>
        </w:rPr>
        <w:t>–</w:t>
      </w:r>
      <w:r>
        <w:rPr>
          <w:rFonts w:hint="cs"/>
          <w:rtl/>
        </w:rPr>
        <w:t xml:space="preserve"> אין מקום להבחנה זו. בשני המקרים, רוכש הזכות, בדרך כלל בדרך של חתימת הסכם 'בר-רשות', כלל אינו מודע לדרך שבה הגיעו המקרקעין לידי הממונה. זאת, שכן ככלל, נתון זה אינו מוזכר בהסכמים הללו; הלכה למעשה, כך אירע גם במקרה דנן. נוסף לכך, החלת תקנת השוק, בשני המצבים, תשרת את התכלית של קיום חיי מסחר שוטפים, בהתאם לכוונתו של מתקין הצו.</w:t>
      </w:r>
    </w:p>
    <w:p w:rsidR="00295623" w:rsidRPr="007727C9" w:rsidRDefault="00295623" w:rsidP="00295623">
      <w:pPr>
        <w:pStyle w:val="Ruller41"/>
        <w:tabs>
          <w:tab w:val="left" w:pos="90"/>
        </w:tabs>
        <w:spacing w:line="240" w:lineRule="auto"/>
      </w:pPr>
    </w:p>
    <w:p w:rsidR="00295623" w:rsidRDefault="00295623" w:rsidP="00295623">
      <w:pPr>
        <w:pStyle w:val="Ruller41"/>
        <w:rPr>
          <w:rtl/>
        </w:rPr>
      </w:pPr>
      <w:r>
        <w:rPr>
          <w:rFonts w:hint="cs"/>
          <w:rtl/>
        </w:rPr>
        <w:t>85.</w:t>
      </w:r>
      <w:r>
        <w:rPr>
          <w:rFonts w:hint="cs"/>
          <w:rtl/>
        </w:rPr>
        <w:tab/>
        <w:t xml:space="preserve">זאת ועוד, תוצאה שלפיה הסדר (מעין) תקנת השוק יחול רק באדמות מדינה, אך לא בקרקעות שנתפסו בתפיסה צבאית, טומן בחובו אנומליה מסוימת, שלפיה, דווקא מתיישבים 'צעירים', יקבלו הגנה על זכויותיהם על-ידי סעיף 5, בעוד שוותיקי ההתיישבות, שהסתמכו בתום לב (ובהתקיים יתר תנאי הסעיף), על עסקה שביצע הממונה בקרקע תפוסה, בהתאם לפרקטיקה שהיתה נהוגה בעבר </w:t>
      </w:r>
      <w:r>
        <w:rPr>
          <w:rtl/>
        </w:rPr>
        <w:t>–</w:t>
      </w:r>
      <w:r>
        <w:rPr>
          <w:rFonts w:hint="cs"/>
          <w:rtl/>
        </w:rPr>
        <w:t xml:space="preserve"> לא יזכו ליהנות מפירותיו. מטבע הדברים, חלוף הזמן מגביר את הצורך להגן על אינטרס ההסתמכות; לא להֵפך.</w:t>
      </w:r>
    </w:p>
    <w:p w:rsidR="00295623" w:rsidRPr="00AC2E3B" w:rsidRDefault="00295623" w:rsidP="00295623">
      <w:pPr>
        <w:pStyle w:val="Ruller41"/>
        <w:tabs>
          <w:tab w:val="left" w:pos="90"/>
        </w:tabs>
        <w:spacing w:line="240" w:lineRule="auto"/>
      </w:pPr>
    </w:p>
    <w:p w:rsidR="00295623" w:rsidRDefault="00295623" w:rsidP="00295623">
      <w:pPr>
        <w:pStyle w:val="Ruller4"/>
        <w:numPr>
          <w:ilvl w:val="0"/>
          <w:numId w:val="0"/>
        </w:numPr>
        <w:tabs>
          <w:tab w:val="left" w:pos="90"/>
        </w:tabs>
        <w:rPr>
          <w:rtl/>
        </w:rPr>
      </w:pPr>
      <w:r>
        <w:rPr>
          <w:rtl/>
        </w:rPr>
        <w:tab/>
      </w:r>
      <w:r>
        <w:rPr>
          <w:rtl/>
        </w:rPr>
        <w:tab/>
      </w:r>
      <w:r>
        <w:rPr>
          <w:rFonts w:hint="cs"/>
          <w:rtl/>
        </w:rPr>
        <w:t>לאור כלל האמור, עמדתי היא שיש לכלול קרקע שנתפסה בתפיסה צבאית בגדרי ההסדר המעוגן בסעיף 5.</w:t>
      </w:r>
    </w:p>
    <w:p w:rsidR="00295623" w:rsidRDefault="00295623" w:rsidP="00295623">
      <w:pPr>
        <w:pStyle w:val="Ruller41"/>
        <w:tabs>
          <w:tab w:val="left" w:pos="90"/>
        </w:tabs>
        <w:rPr>
          <w:rtl/>
        </w:rPr>
      </w:pPr>
    </w:p>
    <w:p w:rsidR="00295623" w:rsidRPr="009461C9" w:rsidRDefault="00295623" w:rsidP="00295623">
      <w:pPr>
        <w:pStyle w:val="Ruller41"/>
        <w:tabs>
          <w:tab w:val="left" w:pos="90"/>
        </w:tabs>
        <w:spacing w:line="480" w:lineRule="auto"/>
        <w:rPr>
          <w:rFonts w:ascii="Century" w:hAnsi="Century" w:cs="Miriam"/>
          <w:b/>
          <w:spacing w:val="0"/>
          <w:szCs w:val="24"/>
        </w:rPr>
      </w:pPr>
      <w:r>
        <w:rPr>
          <w:rFonts w:ascii="Century" w:hAnsi="Century" w:cs="Miriam" w:hint="cs"/>
          <w:b/>
          <w:spacing w:val="0"/>
          <w:szCs w:val="24"/>
          <w:rtl/>
        </w:rPr>
        <w:t>אמת המידה לבחינת תום-</w:t>
      </w:r>
      <w:r w:rsidRPr="009461C9">
        <w:rPr>
          <w:rFonts w:ascii="Century" w:hAnsi="Century" w:cs="Miriam" w:hint="cs"/>
          <w:b/>
          <w:spacing w:val="0"/>
          <w:szCs w:val="24"/>
          <w:rtl/>
        </w:rPr>
        <w:t>הלב</w:t>
      </w:r>
    </w:p>
    <w:p w:rsidR="00295623" w:rsidRDefault="00295623" w:rsidP="00295623">
      <w:pPr>
        <w:pStyle w:val="Ruller41"/>
      </w:pPr>
      <w:r>
        <w:rPr>
          <w:rFonts w:hint="cs"/>
          <w:rtl/>
        </w:rPr>
        <w:t>86.</w:t>
      </w:r>
      <w:r>
        <w:rPr>
          <w:rFonts w:hint="cs"/>
          <w:rtl/>
        </w:rPr>
        <w:tab/>
        <w:t xml:space="preserve">תום-הלב הוא עיקרון כללי, החולש על שיטתנו המשפטית, לאורכה ולרוחבה; לית אתר פנוי מיניה. עיקרון זה משמש אבן יסוד גם בדיני הקניין (רע"א 6339/97 </w:t>
      </w:r>
      <w:r w:rsidRPr="001E0069">
        <w:rPr>
          <w:rFonts w:ascii="Century" w:hAnsi="Century" w:cs="Miriam"/>
          <w:b/>
          <w:spacing w:val="0"/>
          <w:szCs w:val="24"/>
          <w:rtl/>
        </w:rPr>
        <w:t>רוקר נ' סלומון</w:t>
      </w:r>
      <w:r>
        <w:rPr>
          <w:rFonts w:hint="cs"/>
          <w:rtl/>
        </w:rPr>
        <w:t>, 250 (1999);</w:t>
      </w:r>
      <w:r w:rsidRPr="001E0069">
        <w:rPr>
          <w:rFonts w:hint="eastAsia"/>
          <w:rtl/>
        </w:rPr>
        <w:t xml:space="preserve"> </w:t>
      </w:r>
      <w:r w:rsidRPr="00C43089">
        <w:rPr>
          <w:rFonts w:hint="eastAsia"/>
          <w:rtl/>
        </w:rPr>
        <w:t>ע</w:t>
      </w:r>
      <w:r>
        <w:rPr>
          <w:rFonts w:hint="cs"/>
          <w:rtl/>
        </w:rPr>
        <w:t xml:space="preserve">ניין </w:t>
      </w:r>
      <w:r w:rsidRPr="001E0069">
        <w:rPr>
          <w:rFonts w:ascii="Century" w:hAnsi="Century" w:cs="Miriam" w:hint="cs"/>
          <w:b/>
          <w:spacing w:val="0"/>
          <w:szCs w:val="24"/>
          <w:rtl/>
        </w:rPr>
        <w:t>גנז</w:t>
      </w:r>
      <w:r>
        <w:rPr>
          <w:rFonts w:hint="cs"/>
          <w:rtl/>
        </w:rPr>
        <w:t xml:space="preserve">, עמ' 400). כדרכם של עקרונות-על, הביטוי המעשי שלהם, ב'חיי המעשה', משתנה ממקרה למקרה, ומהסדר להסדר: </w:t>
      </w:r>
      <w:r w:rsidRPr="001A1C66">
        <w:rPr>
          <w:rFonts w:ascii="Century" w:hAnsi="Century" w:cs="Miriam"/>
          <w:b/>
          <w:spacing w:val="0"/>
          <w:szCs w:val="24"/>
          <w:rtl/>
        </w:rPr>
        <w:t>"הביטוי תום-לב מופיע בחקיקה הישראלית בהקשרים שונים. לדעתי אין ליתן לו משמעות אחת ויחידה בכל ההקשרים הללו"</w:t>
      </w:r>
      <w:r w:rsidRPr="001A1C66">
        <w:rPr>
          <w:rFonts w:hint="cs"/>
          <w:rtl/>
        </w:rPr>
        <w:t xml:space="preserve"> </w:t>
      </w:r>
      <w:r>
        <w:rPr>
          <w:rFonts w:hint="cs"/>
          <w:rtl/>
        </w:rPr>
        <w:t>(</w:t>
      </w:r>
      <w:r w:rsidRPr="00C43089">
        <w:rPr>
          <w:rFonts w:hint="eastAsia"/>
          <w:rtl/>
        </w:rPr>
        <w:t>בג</w:t>
      </w:r>
      <w:r w:rsidRPr="00C43089">
        <w:rPr>
          <w:rtl/>
        </w:rPr>
        <w:t>"</w:t>
      </w:r>
      <w:r w:rsidRPr="00C43089">
        <w:rPr>
          <w:rFonts w:hint="eastAsia"/>
          <w:rtl/>
        </w:rPr>
        <w:t>ץ</w:t>
      </w:r>
      <w:r w:rsidRPr="00C43089">
        <w:rPr>
          <w:rtl/>
        </w:rPr>
        <w:t xml:space="preserve"> 59</w:t>
      </w:r>
      <w:r>
        <w:rPr>
          <w:rFonts w:hint="cs"/>
          <w:rtl/>
        </w:rPr>
        <w:t>/</w:t>
      </w:r>
      <w:r w:rsidRPr="00C43089">
        <w:rPr>
          <w:rtl/>
        </w:rPr>
        <w:t xml:space="preserve">80 </w:t>
      </w:r>
      <w:r w:rsidRPr="001A1C66">
        <w:rPr>
          <w:rFonts w:ascii="Century" w:hAnsi="Century" w:cs="Miriam"/>
          <w:b/>
          <w:spacing w:val="0"/>
          <w:szCs w:val="24"/>
          <w:rtl/>
        </w:rPr>
        <w:t>שירותי תחבורה ציבוריים באר-שבע בע"מ נ' בית הדין הארצי לעבודה בירושלים</w:t>
      </w:r>
      <w:r w:rsidRPr="00C43089">
        <w:rPr>
          <w:rtl/>
        </w:rPr>
        <w:t xml:space="preserve">, </w:t>
      </w:r>
      <w:r w:rsidRPr="00C43089">
        <w:rPr>
          <w:rFonts w:hint="eastAsia"/>
          <w:rtl/>
        </w:rPr>
        <w:t>פ</w:t>
      </w:r>
      <w:r w:rsidRPr="00C43089">
        <w:rPr>
          <w:rtl/>
        </w:rPr>
        <w:t>"</w:t>
      </w:r>
      <w:r w:rsidRPr="00C43089">
        <w:rPr>
          <w:rFonts w:hint="eastAsia"/>
          <w:rtl/>
        </w:rPr>
        <w:t>ד</w:t>
      </w:r>
      <w:r w:rsidRPr="00C43089">
        <w:rPr>
          <w:rtl/>
        </w:rPr>
        <w:t xml:space="preserve"> </w:t>
      </w:r>
      <w:r w:rsidRPr="00C43089">
        <w:rPr>
          <w:rFonts w:hint="eastAsia"/>
          <w:rtl/>
        </w:rPr>
        <w:t>לה</w:t>
      </w:r>
      <w:r w:rsidRPr="00C43089">
        <w:rPr>
          <w:rtl/>
        </w:rPr>
        <w:t>(1) 828</w:t>
      </w:r>
      <w:r>
        <w:rPr>
          <w:rFonts w:hint="cs"/>
          <w:rtl/>
        </w:rPr>
        <w:t xml:space="preserve">, 834 (1981)). קווי המתאר של תום-הלב, גבולות הגזרה, ישורטטו על-פי התכלית שאותה הוא נועד לשרת. על זו הדרך, גם את חובת תום-הלב שנקבעה בסעיף 5, יש לעצב באופן שישרת את תכלית הסעיף </w:t>
      </w:r>
      <w:r>
        <w:rPr>
          <w:rtl/>
        </w:rPr>
        <w:t>–</w:t>
      </w:r>
      <w:r>
        <w:rPr>
          <w:rFonts w:hint="cs"/>
          <w:rtl/>
        </w:rPr>
        <w:t xml:space="preserve"> הגנה על הסתמכות המתקשר עם הממונה, וקידום חיי מסחר תקינים בקרקעות איו"ש. </w:t>
      </w:r>
    </w:p>
    <w:p w:rsidR="00295623" w:rsidRDefault="00295623" w:rsidP="00295623">
      <w:pPr>
        <w:pStyle w:val="Ruller4"/>
        <w:numPr>
          <w:ilvl w:val="0"/>
          <w:numId w:val="0"/>
        </w:numPr>
        <w:tabs>
          <w:tab w:val="left" w:pos="90"/>
        </w:tabs>
        <w:spacing w:line="240" w:lineRule="auto"/>
      </w:pPr>
      <w:r>
        <w:rPr>
          <w:rFonts w:hint="cs"/>
          <w:rtl/>
        </w:rPr>
        <w:t xml:space="preserve"> </w:t>
      </w:r>
    </w:p>
    <w:p w:rsidR="00295623" w:rsidRDefault="00295623" w:rsidP="00295623">
      <w:pPr>
        <w:pStyle w:val="Ruller41"/>
      </w:pPr>
      <w:r>
        <w:rPr>
          <w:rFonts w:hint="cs"/>
          <w:rtl/>
        </w:rPr>
        <w:t>87.</w:t>
      </w:r>
      <w:r>
        <w:rPr>
          <w:rFonts w:hint="cs"/>
          <w:rtl/>
        </w:rPr>
        <w:tab/>
        <w:t xml:space="preserve">תחילה אציין, כי אני מסכים עם חברי המשנה לנשיאה, כי הדרישה לתום-לב שלפי סעיף 5, מתייחסת להלך רוחם של </w:t>
      </w:r>
      <w:r w:rsidRPr="00342235">
        <w:rPr>
          <w:rFonts w:ascii="Century" w:hAnsi="Century" w:cs="Miriam" w:hint="cs"/>
          <w:b/>
          <w:spacing w:val="0"/>
          <w:szCs w:val="24"/>
          <w:rtl/>
        </w:rPr>
        <w:t>שני הצדדים לעסקה</w:t>
      </w:r>
      <w:r>
        <w:rPr>
          <w:rFonts w:hint="cs"/>
          <w:rtl/>
        </w:rPr>
        <w:t xml:space="preserve"> </w:t>
      </w:r>
      <w:r>
        <w:rPr>
          <w:rtl/>
        </w:rPr>
        <w:t>–</w:t>
      </w:r>
      <w:r>
        <w:rPr>
          <w:rFonts w:hint="cs"/>
          <w:rtl/>
        </w:rPr>
        <w:t xml:space="preserve"> הממונה והמתקשר עמו ברכישת הזכות. מסקנה זו נגזרת הן מלשון הסעיף </w:t>
      </w:r>
      <w:r>
        <w:rPr>
          <w:rtl/>
        </w:rPr>
        <w:t>–</w:t>
      </w:r>
      <w:r>
        <w:rPr>
          <w:rFonts w:hint="cs"/>
          <w:rtl/>
        </w:rPr>
        <w:t xml:space="preserve"> שכן התיבה 'תום לב' מוסבת על </w:t>
      </w:r>
      <w:r>
        <w:rPr>
          <w:rFonts w:hint="cs"/>
          <w:rtl/>
        </w:rPr>
        <w:lastRenderedPageBreak/>
        <w:t xml:space="preserve">ביצוע ה'עסקה' כולה, ולאו דווקא על פעולותיו של מי מהצדדים לה; הן מתכליתו </w:t>
      </w:r>
      <w:r>
        <w:rPr>
          <w:rtl/>
        </w:rPr>
        <w:t>–</w:t>
      </w:r>
      <w:r>
        <w:rPr>
          <w:rFonts w:hint="cs"/>
          <w:rtl/>
        </w:rPr>
        <w:t xml:space="preserve">המבוססת על ההנחה שהממונה </w:t>
      </w:r>
      <w:r>
        <w:rPr>
          <w:rtl/>
        </w:rPr>
        <w:t>–</w:t>
      </w:r>
      <w:r>
        <w:rPr>
          <w:rFonts w:hint="cs"/>
          <w:rtl/>
        </w:rPr>
        <w:t xml:space="preserve"> כמוסד שלטוני, ולא כדמות כזאת או אחרת </w:t>
      </w:r>
      <w:r>
        <w:rPr>
          <w:rtl/>
        </w:rPr>
        <w:t>–</w:t>
      </w:r>
      <w:r>
        <w:rPr>
          <w:rFonts w:hint="cs"/>
          <w:rtl/>
        </w:rPr>
        <w:t xml:space="preserve"> פועל כדין ובתום לב. מסקנה זו גם עולה בקנה אחד עם האופן שבו פורש סעיף 17(א) לחוק נכסי נפקדים (ראו למשל: </w:t>
      </w:r>
      <w:r w:rsidRPr="00964DF4">
        <w:rPr>
          <w:rFonts w:hint="eastAsia"/>
          <w:rtl/>
        </w:rPr>
        <w:t>ע</w:t>
      </w:r>
      <w:r>
        <w:rPr>
          <w:rFonts w:hint="cs"/>
          <w:rtl/>
        </w:rPr>
        <w:t>ניין</w:t>
      </w:r>
      <w:r w:rsidRPr="00C43089">
        <w:rPr>
          <w:rFonts w:ascii="Century" w:hAnsi="Century" w:cs="Miriam" w:hint="cs"/>
          <w:b/>
          <w:spacing w:val="0"/>
          <w:szCs w:val="24"/>
          <w:rtl/>
        </w:rPr>
        <w:t xml:space="preserve"> פיאד</w:t>
      </w:r>
      <w:r>
        <w:rPr>
          <w:rFonts w:ascii="Century" w:hAnsi="Century" w:hint="cs"/>
          <w:rtl/>
        </w:rPr>
        <w:t>, עמ' 437</w:t>
      </w:r>
      <w:r w:rsidRPr="00C43089">
        <w:rPr>
          <w:rFonts w:ascii="Century" w:hAnsi="Century" w:hint="cs"/>
          <w:rtl/>
        </w:rPr>
        <w:t>)</w:t>
      </w:r>
      <w:r>
        <w:rPr>
          <w:rFonts w:hint="cs"/>
          <w:rtl/>
        </w:rPr>
        <w:t xml:space="preserve">. עם זאת, ראוי להבהיר, כפי שחידדה המדינה בבקשתה לדיון נוסף, כי הטלת חובת תום לב על הממונה, שהוא 'מוכר הזכות' בנסיבות, מהווה חריג בנוף תקנות השוק, שכן ככלל, חובה זו מוטלת על רוכש הזכות בלבד, ולא על המוכר. אמנם, מחד גיסא, הטלת חובת תום לב על הממונה </w:t>
      </w:r>
      <w:r>
        <w:rPr>
          <w:rtl/>
        </w:rPr>
        <w:t>–</w:t>
      </w:r>
      <w:r>
        <w:rPr>
          <w:rFonts w:hint="cs"/>
          <w:rtl/>
        </w:rPr>
        <w:t xml:space="preserve"> הגיונה בצדה, שכן מטרת ההסדר היא 'לטפל' ב'תאונות משפטיות', ולא להכשיר, בדיעבד, הקצאת זכויות שביצע הממונה ביודעין, תוך פגיעה אסורה בקניין פרטי. ברם, מאידך גיסא, יש לזכור כי תכליתו העיקרית של סעיף 5, היא להגן על ההסתמכות של המתקשר עם הממונה (שאלה נפרדת, שאין צורך להכריע בה, היא אם סעיף 5 נועד גם להגן על הממונה, מפני גל תביעות, עקב ביטול זכויותיהם של מי שהתקשרו עימו </w:t>
      </w:r>
      <w:r>
        <w:rPr>
          <w:rtl/>
        </w:rPr>
        <w:t>–</w:t>
      </w:r>
      <w:r>
        <w:rPr>
          <w:rFonts w:hint="cs"/>
          <w:rtl/>
        </w:rPr>
        <w:t xml:space="preserve"> לעניין זה, ראו </w:t>
      </w:r>
      <w:r w:rsidRPr="008D7BD9">
        <w:rPr>
          <w:rFonts w:ascii="Century" w:hAnsi="Century" w:cs="Miriam" w:hint="cs"/>
          <w:b/>
          <w:spacing w:val="0"/>
          <w:szCs w:val="24"/>
          <w:rtl/>
        </w:rPr>
        <w:t>ויניצקי</w:t>
      </w:r>
      <w:r>
        <w:rPr>
          <w:rFonts w:hint="cs"/>
          <w:rtl/>
        </w:rPr>
        <w:t xml:space="preserve">, עמ' 371). אך מובן הוא, כי הכפפת זכויות המתקשרים למצבו המנטלי של הממונה, מבלי שבכוחם לדעת או לברר אם פעל בתום לב, ומבלי שיש בכוחם להשפיע על עמידתו בחובה האמורה, פוגעת במידה לא מבוטלת בהגנה על הסתמכותם; בבחינת </w:t>
      </w:r>
      <w:r w:rsidRPr="008D7BD9">
        <w:rPr>
          <w:rFonts w:ascii="Century" w:hAnsi="Century" w:cs="Miriam"/>
          <w:b/>
          <w:spacing w:val="0"/>
          <w:szCs w:val="24"/>
          <w:rtl/>
        </w:rPr>
        <w:t>"טוביה חטא וזיגוד מינגיד</w:t>
      </w:r>
      <w:r>
        <w:rPr>
          <w:rFonts w:ascii="Century" w:hAnsi="Century" w:cs="Miriam" w:hint="cs"/>
          <w:b/>
          <w:spacing w:val="0"/>
          <w:szCs w:val="24"/>
          <w:rtl/>
        </w:rPr>
        <w:t>?</w:t>
      </w:r>
      <w:r w:rsidRPr="008D7BD9">
        <w:rPr>
          <w:rFonts w:ascii="Century" w:hAnsi="Century" w:cs="Miriam"/>
          <w:b/>
          <w:spacing w:val="0"/>
          <w:szCs w:val="24"/>
          <w:rtl/>
        </w:rPr>
        <w:t>"</w:t>
      </w:r>
      <w:r>
        <w:rPr>
          <w:rFonts w:hint="cs"/>
          <w:rtl/>
        </w:rPr>
        <w:t xml:space="preserve"> ('טוביה חטא וזיגוד לוקה?'; בבלי, פסחים קיג, ע"ב). בכל הנוגע לדרישה זו שבסעיף 17(א) לחוק נכסי נפקדים, ציין פרופ' </w:t>
      </w:r>
      <w:r w:rsidRPr="00B54BA0">
        <w:rPr>
          <w:rFonts w:ascii="Century" w:hAnsi="Century" w:hint="eastAsia"/>
          <w:rtl/>
        </w:rPr>
        <w:t>דויטש</w:t>
      </w:r>
      <w:r>
        <w:rPr>
          <w:rFonts w:hint="cs"/>
          <w:rtl/>
        </w:rPr>
        <w:t xml:space="preserve">: </w:t>
      </w:r>
      <w:r w:rsidRPr="008D7BD9">
        <w:rPr>
          <w:rFonts w:ascii="Century" w:hAnsi="Century" w:cs="Miriam" w:hint="cs"/>
          <w:b/>
          <w:spacing w:val="0"/>
          <w:szCs w:val="24"/>
          <w:rtl/>
        </w:rPr>
        <w:t>"דרישה זו נוגדת את המדיניות שמאחורי סעיף 17</w:t>
      </w:r>
      <w:r>
        <w:rPr>
          <w:rFonts w:ascii="Century" w:hAnsi="Century" w:cs="Miriam" w:hint="cs"/>
          <w:b/>
          <w:spacing w:val="0"/>
          <w:szCs w:val="24"/>
          <w:rtl/>
        </w:rPr>
        <w:t>. צידוק בסיסי להגנה על-פי סעיף 17</w:t>
      </w:r>
      <w:r w:rsidRPr="008D7BD9">
        <w:rPr>
          <w:rFonts w:ascii="Century" w:hAnsi="Century" w:cs="Miriam" w:hint="cs"/>
          <w:b/>
          <w:spacing w:val="0"/>
          <w:szCs w:val="24"/>
          <w:rtl/>
        </w:rPr>
        <w:t>, כפי שצוין לעיל, הוא בכך שהנעבר זכאי לסמוך על תקינות פעולותיה של הרשות הציבורית</w:t>
      </w:r>
      <w:r>
        <w:rPr>
          <w:rFonts w:ascii="Century" w:hAnsi="Century" w:cs="Miriam" w:hint="cs"/>
          <w:b/>
          <w:spacing w:val="0"/>
          <w:szCs w:val="24"/>
          <w:rtl/>
        </w:rPr>
        <w:t xml:space="preserve"> </w:t>
      </w:r>
      <w:r w:rsidRPr="001D4C7D">
        <w:rPr>
          <w:rtl/>
        </w:rPr>
        <w:t>–</w:t>
      </w:r>
      <w:r>
        <w:rPr>
          <w:rFonts w:ascii="Century" w:hAnsi="Century" w:cs="Miriam" w:hint="cs"/>
          <w:b/>
          <w:spacing w:val="0"/>
          <w:szCs w:val="24"/>
          <w:rtl/>
        </w:rPr>
        <w:t xml:space="preserve"> </w:t>
      </w:r>
      <w:r w:rsidRPr="008D7BD9">
        <w:rPr>
          <w:rFonts w:ascii="Century" w:hAnsi="Century" w:cs="Miriam" w:hint="cs"/>
          <w:b/>
          <w:spacing w:val="0"/>
          <w:szCs w:val="24"/>
          <w:rtl/>
        </w:rPr>
        <w:t xml:space="preserve">האפוטורפוס לנכסי נפקדים. ראוי אם כן להשמיט דרישה זו מהחוק. מובן, כי אם יסתבר שהאפוטרופוס לנכסי נפקדים נהג שלא כשורה, פתוחה הדרך בפני הנפקד, אשר ההכרזה לגביו בוטלה, לתבוע בנזיקין </w:t>
      </w:r>
      <w:r>
        <w:rPr>
          <w:rFonts w:ascii="Century" w:hAnsi="Century" w:cs="Miriam" w:hint="cs"/>
          <w:b/>
          <w:spacing w:val="0"/>
          <w:szCs w:val="24"/>
          <w:rtl/>
        </w:rPr>
        <w:t>את</w:t>
      </w:r>
      <w:r w:rsidRPr="008D7BD9">
        <w:rPr>
          <w:rFonts w:ascii="Century" w:hAnsi="Century" w:cs="Miriam" w:hint="cs"/>
          <w:b/>
          <w:spacing w:val="0"/>
          <w:szCs w:val="24"/>
          <w:rtl/>
        </w:rPr>
        <w:t xml:space="preserve"> המדינה"</w:t>
      </w:r>
      <w:r w:rsidRPr="008D7BD9">
        <w:rPr>
          <w:rFonts w:hint="cs"/>
          <w:rtl/>
        </w:rPr>
        <w:t xml:space="preserve"> </w:t>
      </w:r>
      <w:r>
        <w:rPr>
          <w:rFonts w:hint="cs"/>
          <w:rtl/>
        </w:rPr>
        <w:t>(</w:t>
      </w:r>
      <w:r w:rsidRPr="00C43089">
        <w:rPr>
          <w:rFonts w:ascii="Century" w:hAnsi="Century" w:cs="Miriam" w:hint="cs"/>
          <w:b/>
          <w:spacing w:val="0"/>
          <w:szCs w:val="24"/>
          <w:rtl/>
        </w:rPr>
        <w:t xml:space="preserve">דויטש </w:t>
      </w:r>
      <w:r w:rsidRPr="00C43089">
        <w:rPr>
          <w:rFonts w:ascii="Century" w:hAnsi="Century"/>
          <w:rtl/>
        </w:rPr>
        <w:t>–</w:t>
      </w:r>
      <w:r w:rsidRPr="00C43089">
        <w:rPr>
          <w:rFonts w:ascii="Century" w:hAnsi="Century" w:cs="Miriam" w:hint="cs"/>
          <w:b/>
          <w:spacing w:val="0"/>
          <w:szCs w:val="24"/>
          <w:rtl/>
        </w:rPr>
        <w:t xml:space="preserve"> כרך ד</w:t>
      </w:r>
      <w:r>
        <w:rPr>
          <w:rFonts w:hint="cs"/>
          <w:rtl/>
        </w:rPr>
        <w:t xml:space="preserve">, עמ' 310; וראו גם </w:t>
      </w:r>
      <w:r w:rsidRPr="00C43089">
        <w:rPr>
          <w:rFonts w:ascii="Century" w:hAnsi="Century" w:cs="Miriam" w:hint="cs"/>
          <w:b/>
          <w:spacing w:val="0"/>
          <w:szCs w:val="24"/>
          <w:rtl/>
        </w:rPr>
        <w:t>ויניצקי</w:t>
      </w:r>
      <w:r>
        <w:rPr>
          <w:rFonts w:hint="cs"/>
          <w:rtl/>
        </w:rPr>
        <w:t>, עמ' 391). גם אם לא נבוא עד כדי השמטת דרישת תום הלב מצד הממונה, סבורני, כי יש באמור כדי להשפיע על בחינת אמת המידה הראויה ליישום חובה זו; לקולא, לא לחומרא.</w:t>
      </w:r>
    </w:p>
    <w:p w:rsidR="00295623" w:rsidRPr="00F66FB7" w:rsidRDefault="00295623" w:rsidP="00295623">
      <w:pPr>
        <w:pStyle w:val="Ruller41"/>
        <w:tabs>
          <w:tab w:val="left" w:pos="90"/>
        </w:tabs>
        <w:spacing w:line="240" w:lineRule="auto"/>
      </w:pPr>
    </w:p>
    <w:p w:rsidR="00295623" w:rsidRDefault="00295623" w:rsidP="00295623">
      <w:pPr>
        <w:pStyle w:val="Ruller41"/>
        <w:rPr>
          <w:rtl/>
        </w:rPr>
      </w:pPr>
      <w:r>
        <w:rPr>
          <w:rFonts w:hint="cs"/>
          <w:rtl/>
        </w:rPr>
        <w:t>88.</w:t>
      </w:r>
      <w:r>
        <w:rPr>
          <w:rFonts w:hint="cs"/>
          <w:rtl/>
        </w:rPr>
        <w:tab/>
        <w:t xml:space="preserve">דיון נרחב הוקדש לשאלת אמת המידה הראויה לבחינת 'תום הלב' של הצדדים לעסקה, לפי סעיף 5, ובעיקר ביחס לשאלת תום ליבו של הממונה. חברי המשנה לנשיאה, סקר באופן ממצה את הדעות השונות שנשמעו בהקשר זה לאורך ההליך, ואסתפק בהפנייה לדבריו (פסקה 51 לחוות דעתו). אחר זאת, ולמעשה כבר בראשית דבריו, בא חברי לכלל מסקנה כי </w:t>
      </w:r>
      <w:r w:rsidRPr="004662A6">
        <w:rPr>
          <w:rFonts w:ascii="Century" w:hAnsi="Century" w:cs="Miriam" w:hint="cs"/>
          <w:b/>
          <w:spacing w:val="0"/>
          <w:szCs w:val="24"/>
          <w:rtl/>
        </w:rPr>
        <w:t>"הפער העיוני בין העמדות שהובאו בפסק הדין נושא הדיון הנוסף אינו גדול, ועיקרו בשאלת יישום אמת מידה זו בנסיבות ענייננו"</w:t>
      </w:r>
      <w:r>
        <w:rPr>
          <w:rFonts w:hint="cs"/>
          <w:rtl/>
        </w:rPr>
        <w:t xml:space="preserve"> (שם). אמנם כן, הפער התיאורטי בין העמדות השונות </w:t>
      </w:r>
      <w:r>
        <w:rPr>
          <w:rtl/>
        </w:rPr>
        <w:t>–</w:t>
      </w:r>
      <w:r>
        <w:rPr>
          <w:rFonts w:hint="cs"/>
          <w:rtl/>
        </w:rPr>
        <w:t xml:space="preserve"> אינו גדול. ברם, פער מסוים, שלטעמי משתקף גם ביישׂום אמת המידה לבחינת תום ליבו של הממונה בנסיבות ענייננו </w:t>
      </w:r>
      <w:r>
        <w:rPr>
          <w:rtl/>
        </w:rPr>
        <w:t>–</w:t>
      </w:r>
      <w:r>
        <w:rPr>
          <w:rFonts w:hint="cs"/>
          <w:rtl/>
        </w:rPr>
        <w:t xml:space="preserve"> שריר וקיים. </w:t>
      </w:r>
      <w:r>
        <w:rPr>
          <w:rFonts w:hint="cs"/>
          <w:rtl/>
        </w:rPr>
        <w:lastRenderedPageBreak/>
        <w:t xml:space="preserve">במחלוקת שנפלה בעניין זה </w:t>
      </w:r>
      <w:r>
        <w:rPr>
          <w:rtl/>
        </w:rPr>
        <w:t>–</w:t>
      </w:r>
      <w:r>
        <w:rPr>
          <w:rFonts w:hint="cs"/>
          <w:rtl/>
        </w:rPr>
        <w:t xml:space="preserve"> בין אם בפן המשפטי, בין אם בפן היישומי </w:t>
      </w:r>
      <w:r>
        <w:rPr>
          <w:rtl/>
        </w:rPr>
        <w:t>–</w:t>
      </w:r>
      <w:r>
        <w:rPr>
          <w:rFonts w:hint="cs"/>
          <w:rtl/>
        </w:rPr>
        <w:t xml:space="preserve"> מצרף אני את דעתי, לדעתו של השופט </w:t>
      </w:r>
      <w:r w:rsidRPr="004662A6">
        <w:rPr>
          <w:rFonts w:ascii="Century" w:hAnsi="Century" w:cs="Miriam" w:hint="cs"/>
          <w:b/>
          <w:spacing w:val="0"/>
          <w:szCs w:val="24"/>
          <w:rtl/>
        </w:rPr>
        <w:t>הנדל</w:t>
      </w:r>
      <w:r>
        <w:rPr>
          <w:rFonts w:hint="cs"/>
          <w:rtl/>
        </w:rPr>
        <w:t xml:space="preserve"> בפסק הדין בערעור. על כך אפרט להלן. </w:t>
      </w:r>
    </w:p>
    <w:p w:rsidR="00295623" w:rsidRDefault="00295623" w:rsidP="00295623">
      <w:pPr>
        <w:pStyle w:val="Ruller41"/>
        <w:tabs>
          <w:tab w:val="left" w:pos="90"/>
        </w:tabs>
        <w:spacing w:line="240" w:lineRule="auto"/>
        <w:rPr>
          <w:rtl/>
        </w:rPr>
      </w:pPr>
    </w:p>
    <w:p w:rsidR="00295623" w:rsidRDefault="00295623" w:rsidP="00295623">
      <w:pPr>
        <w:pStyle w:val="Ruller41"/>
        <w:rPr>
          <w:rFonts w:ascii="Century" w:hAnsi="Century" w:cs="Miriam"/>
          <w:b/>
          <w:spacing w:val="0"/>
          <w:szCs w:val="24"/>
          <w:rtl/>
        </w:rPr>
      </w:pPr>
      <w:r>
        <w:rPr>
          <w:rFonts w:hint="cs"/>
          <w:rtl/>
        </w:rPr>
        <w:t>89.</w:t>
      </w:r>
      <w:r>
        <w:rPr>
          <w:rFonts w:hint="cs"/>
          <w:rtl/>
        </w:rPr>
        <w:tab/>
        <w:t xml:space="preserve">חברי המשנה לנשיאה אימץ בחוות דעתו, את עמדת חברתי הנשיאה בפסק הדין בערעור, שלפיה תום הלב הנדרש, בין מהממונה ובין מהמתקשר עמו הוא סובייקטיבי. ברם, נוכח מאפייניהם הייחודיים של המקרקעין באיו"ש, תום לבו של הממונה יבחן באמצעות אמת מידה </w:t>
      </w:r>
      <w:r w:rsidRPr="001D6DFE">
        <w:rPr>
          <w:rFonts w:ascii="Century" w:hAnsi="Century" w:cs="Miriam" w:hint="cs"/>
          <w:b/>
          <w:spacing w:val="0"/>
          <w:szCs w:val="24"/>
          <w:rtl/>
        </w:rPr>
        <w:t>"קפדנית"</w:t>
      </w:r>
      <w:r>
        <w:rPr>
          <w:rFonts w:hint="cs"/>
          <w:rtl/>
        </w:rPr>
        <w:t xml:space="preserve">, ואילו תום ליבו של זה המתקשר עמו, יבחן באמת מידה רגילה, לא קפדנית, השוללת אך מצבים של חשד ו'עצימת עיניים'. זאת בניגוד לדעת המדינה, שטענה כי גישה זו יוצרת </w:t>
      </w:r>
      <w:r w:rsidRPr="001D6DFE">
        <w:rPr>
          <w:rFonts w:ascii="Century" w:hAnsi="Century" w:cs="Miriam" w:hint="cs"/>
          <w:b/>
          <w:spacing w:val="0"/>
          <w:szCs w:val="24"/>
          <w:rtl/>
        </w:rPr>
        <w:t>"מבחן מחמיר"</w:t>
      </w:r>
      <w:r>
        <w:rPr>
          <w:rFonts w:hint="cs"/>
          <w:rtl/>
        </w:rPr>
        <w:t xml:space="preserve"> יתר על המידה, בנוגע לבחינת תום ליבו של הממונה. </w:t>
      </w:r>
    </w:p>
    <w:p w:rsidR="00295623" w:rsidRPr="00514131" w:rsidRDefault="00295623" w:rsidP="00295623">
      <w:pPr>
        <w:pStyle w:val="Ruller41"/>
        <w:tabs>
          <w:tab w:val="left" w:pos="90"/>
        </w:tabs>
        <w:spacing w:line="240" w:lineRule="auto"/>
      </w:pPr>
    </w:p>
    <w:p w:rsidR="00295623" w:rsidRPr="00964DF4" w:rsidRDefault="00295623" w:rsidP="00295623">
      <w:pPr>
        <w:pStyle w:val="Ruller41"/>
        <w:rPr>
          <w:rFonts w:ascii="Century" w:hAnsi="Century" w:cs="Miriam"/>
          <w:b/>
          <w:spacing w:val="0"/>
          <w:szCs w:val="24"/>
          <w:rtl/>
        </w:rPr>
      </w:pPr>
      <w:r>
        <w:rPr>
          <w:rFonts w:hint="cs"/>
          <w:rtl/>
        </w:rPr>
        <w:t>90.</w:t>
      </w:r>
      <w:r>
        <w:rPr>
          <w:rFonts w:hint="cs"/>
          <w:rtl/>
        </w:rPr>
        <w:tab/>
        <w:t xml:space="preserve">כפי שכבר ציינתי ביחס לרכיבים אחרים של סעיף 5, גם בעניין זה סבורני כי אין צורך 'להמציא את הגלגל'. רשאים אנו ליטול מן המוכן, וללמוד היקש מאמת המידה שנקבעה ביחס לסעיף 17(א) לחוק נכסי נפקדים. בכל הנוגע ל'תום הלב' המעוגן בסעיף זה נפסק, לא פעם ולא פעמיים, כי </w:t>
      </w:r>
      <w:r w:rsidRPr="00964DF4">
        <w:rPr>
          <w:rFonts w:ascii="Century" w:hAnsi="Century" w:cs="Miriam" w:hint="cs"/>
          <w:b/>
          <w:spacing w:val="0"/>
          <w:szCs w:val="24"/>
          <w:rtl/>
        </w:rPr>
        <w:t>"תום-לב הוא הלך רוח סובייקטיבי ויש להבדיל בינו לבין מידת הזהירות האובייקטיבית שהעדרה כמוה כרשלנות"</w:t>
      </w:r>
      <w:r w:rsidRPr="00964DF4">
        <w:rPr>
          <w:rFonts w:ascii="Century" w:hAnsi="Century" w:hint="cs"/>
          <w:rtl/>
        </w:rPr>
        <w:t xml:space="preserve"> (</w:t>
      </w:r>
      <w:r>
        <w:rPr>
          <w:rFonts w:ascii="Century" w:hAnsi="Century" w:hint="cs"/>
          <w:rtl/>
        </w:rPr>
        <w:t>עניין</w:t>
      </w:r>
      <w:r>
        <w:rPr>
          <w:rFonts w:ascii="Century" w:hAnsi="Century" w:cs="Miriam" w:hint="cs"/>
          <w:b/>
          <w:spacing w:val="0"/>
          <w:szCs w:val="24"/>
          <w:rtl/>
        </w:rPr>
        <w:t xml:space="preserve"> </w:t>
      </w:r>
      <w:r w:rsidRPr="00964DF4">
        <w:rPr>
          <w:rFonts w:ascii="Century" w:hAnsi="Century" w:cs="Miriam" w:hint="cs"/>
          <w:b/>
          <w:spacing w:val="0"/>
          <w:szCs w:val="24"/>
          <w:rtl/>
        </w:rPr>
        <w:t>פיאד</w:t>
      </w:r>
      <w:r>
        <w:rPr>
          <w:rFonts w:ascii="Century" w:hAnsi="Century" w:hint="cs"/>
          <w:rtl/>
        </w:rPr>
        <w:t>, עמ' 437-436)</w:t>
      </w:r>
      <w:r w:rsidRPr="00964DF4">
        <w:rPr>
          <w:rFonts w:ascii="Century" w:hAnsi="Century" w:hint="cs"/>
          <w:rtl/>
        </w:rPr>
        <w:t xml:space="preserve">. </w:t>
      </w:r>
      <w:r>
        <w:rPr>
          <w:rFonts w:ascii="Century" w:hAnsi="Century" w:hint="cs"/>
          <w:rtl/>
        </w:rPr>
        <w:t xml:space="preserve">עוד נפסק, כי 'עצימת עיניים' מהווה חוסר תום לב: </w:t>
      </w:r>
      <w:r w:rsidRPr="006E03E0">
        <w:rPr>
          <w:rFonts w:ascii="Century" w:hAnsi="Century" w:cs="Miriam" w:hint="cs"/>
          <w:b/>
          <w:spacing w:val="0"/>
          <w:szCs w:val="24"/>
          <w:rtl/>
        </w:rPr>
        <w:t>"כאשר העוצם את עיניו במתכוון מלראות את האמת, מתוך הלך רוח של 'לא אכפתיות', רואים אותו כאילו פעל בחוסר תום</w:t>
      </w:r>
      <w:r>
        <w:rPr>
          <w:rFonts w:ascii="Century" w:hAnsi="Century" w:cs="Miriam" w:hint="cs"/>
          <w:b/>
          <w:spacing w:val="0"/>
          <w:szCs w:val="24"/>
          <w:rtl/>
        </w:rPr>
        <w:t>-</w:t>
      </w:r>
      <w:r w:rsidRPr="006E03E0">
        <w:rPr>
          <w:rFonts w:ascii="Century" w:hAnsi="Century" w:cs="Miriam" w:hint="cs"/>
          <w:b/>
          <w:spacing w:val="0"/>
          <w:szCs w:val="24"/>
          <w:rtl/>
        </w:rPr>
        <w:t>לב"</w:t>
      </w:r>
      <w:r>
        <w:rPr>
          <w:rFonts w:ascii="Century" w:hAnsi="Century" w:hint="cs"/>
          <w:rtl/>
        </w:rPr>
        <w:t xml:space="preserve"> (שם, עמ' 437). </w:t>
      </w:r>
      <w:r w:rsidRPr="00964DF4">
        <w:rPr>
          <w:rFonts w:ascii="Century" w:hAnsi="Century" w:hint="cs"/>
          <w:rtl/>
        </w:rPr>
        <w:t>במקום אחר נקבע:</w:t>
      </w:r>
    </w:p>
    <w:p w:rsidR="00295623" w:rsidRDefault="00295623" w:rsidP="00295623">
      <w:pPr>
        <w:pStyle w:val="Ruller41"/>
        <w:tabs>
          <w:tab w:val="left" w:pos="90"/>
        </w:tabs>
        <w:rPr>
          <w:rFonts w:ascii="Century" w:hAnsi="Century" w:cs="Miriam"/>
          <w:b/>
          <w:spacing w:val="0"/>
          <w:szCs w:val="24"/>
          <w:rtl/>
        </w:rPr>
      </w:pPr>
    </w:p>
    <w:p w:rsidR="00295623" w:rsidRDefault="00295623" w:rsidP="00295623">
      <w:pPr>
        <w:pStyle w:val="Ruller5"/>
        <w:ind w:left="1649"/>
        <w:rPr>
          <w:rtl/>
        </w:rPr>
      </w:pPr>
      <w:r w:rsidRPr="00964DF4">
        <w:rPr>
          <w:rFonts w:ascii="Century" w:hAnsi="Century" w:cs="Miriam" w:hint="cs"/>
          <w:b/>
          <w:spacing w:val="0"/>
          <w:szCs w:val="24"/>
          <w:rtl/>
        </w:rPr>
        <w:t>"</w:t>
      </w:r>
      <w:r w:rsidRPr="00964DF4">
        <w:rPr>
          <w:rFonts w:ascii="Century" w:hAnsi="Century" w:cs="Miriam" w:hint="eastAsia"/>
          <w:b/>
          <w:spacing w:val="0"/>
          <w:szCs w:val="24"/>
          <w:rtl/>
        </w:rPr>
        <w:t>השאלה</w:t>
      </w:r>
      <w:r w:rsidRPr="00964DF4">
        <w:rPr>
          <w:rFonts w:ascii="Century" w:hAnsi="Century" w:cs="Miriam"/>
          <w:b/>
          <w:spacing w:val="0"/>
          <w:szCs w:val="24"/>
          <w:rtl/>
        </w:rPr>
        <w:t xml:space="preserve"> </w:t>
      </w:r>
      <w:r w:rsidRPr="00964DF4">
        <w:rPr>
          <w:rFonts w:ascii="Century" w:hAnsi="Century" w:cs="Miriam" w:hint="eastAsia"/>
          <w:b/>
          <w:spacing w:val="0"/>
          <w:szCs w:val="24"/>
          <w:rtl/>
        </w:rPr>
        <w:t>אותה</w:t>
      </w:r>
      <w:r w:rsidRPr="00964DF4">
        <w:rPr>
          <w:rFonts w:ascii="Century" w:hAnsi="Century" w:cs="Miriam"/>
          <w:b/>
          <w:spacing w:val="0"/>
          <w:szCs w:val="24"/>
          <w:rtl/>
        </w:rPr>
        <w:t xml:space="preserve"> </w:t>
      </w:r>
      <w:r w:rsidRPr="00964DF4">
        <w:rPr>
          <w:rFonts w:ascii="Century" w:hAnsi="Century" w:cs="Miriam" w:hint="eastAsia"/>
          <w:b/>
          <w:spacing w:val="0"/>
          <w:szCs w:val="24"/>
          <w:rtl/>
        </w:rPr>
        <w:t>יש</w:t>
      </w:r>
      <w:r w:rsidRPr="00964DF4">
        <w:rPr>
          <w:rFonts w:ascii="Century" w:hAnsi="Century" w:cs="Miriam"/>
          <w:b/>
          <w:spacing w:val="0"/>
          <w:szCs w:val="24"/>
          <w:rtl/>
        </w:rPr>
        <w:t xml:space="preserve"> </w:t>
      </w:r>
      <w:r w:rsidRPr="00964DF4">
        <w:rPr>
          <w:rFonts w:ascii="Century" w:hAnsi="Century" w:cs="Miriam" w:hint="eastAsia"/>
          <w:b/>
          <w:spacing w:val="0"/>
          <w:szCs w:val="24"/>
          <w:rtl/>
        </w:rPr>
        <w:t>לבחון</w:t>
      </w:r>
      <w:r w:rsidRPr="00964DF4">
        <w:rPr>
          <w:rFonts w:ascii="Century" w:hAnsi="Century" w:cs="Miriam"/>
          <w:b/>
          <w:spacing w:val="0"/>
          <w:szCs w:val="24"/>
          <w:rtl/>
        </w:rPr>
        <w:t xml:space="preserve"> </w:t>
      </w:r>
      <w:r w:rsidRPr="00964DF4">
        <w:rPr>
          <w:rFonts w:ascii="Century" w:hAnsi="Century" w:cs="Miriam" w:hint="eastAsia"/>
          <w:b/>
          <w:spacing w:val="0"/>
          <w:szCs w:val="24"/>
          <w:rtl/>
        </w:rPr>
        <w:t>הינה</w:t>
      </w:r>
      <w:r w:rsidRPr="00964DF4">
        <w:rPr>
          <w:rFonts w:ascii="Century" w:hAnsi="Century" w:cs="Miriam"/>
          <w:b/>
          <w:spacing w:val="0"/>
          <w:szCs w:val="24"/>
          <w:rtl/>
        </w:rPr>
        <w:t xml:space="preserve"> </w:t>
      </w:r>
      <w:r w:rsidRPr="00964DF4">
        <w:rPr>
          <w:rFonts w:ascii="Century" w:hAnsi="Century" w:cs="Miriam" w:hint="eastAsia"/>
          <w:b/>
          <w:spacing w:val="0"/>
          <w:szCs w:val="24"/>
          <w:rtl/>
        </w:rPr>
        <w:t>האם</w:t>
      </w:r>
      <w:r w:rsidRPr="00964DF4">
        <w:rPr>
          <w:rFonts w:ascii="Century" w:hAnsi="Century" w:cs="Miriam"/>
          <w:b/>
          <w:spacing w:val="0"/>
          <w:szCs w:val="24"/>
          <w:rtl/>
        </w:rPr>
        <w:t xml:space="preserve"> </w:t>
      </w:r>
      <w:r w:rsidRPr="00964DF4">
        <w:rPr>
          <w:rFonts w:ascii="Century" w:hAnsi="Century" w:cs="Miriam" w:hint="eastAsia"/>
          <w:b/>
          <w:spacing w:val="0"/>
          <w:szCs w:val="24"/>
          <w:rtl/>
        </w:rPr>
        <w:t>האפוטרופוס</w:t>
      </w:r>
      <w:r w:rsidRPr="00964DF4">
        <w:rPr>
          <w:rFonts w:ascii="Century" w:hAnsi="Century" w:cs="Miriam"/>
          <w:b/>
          <w:spacing w:val="0"/>
          <w:szCs w:val="24"/>
          <w:rtl/>
        </w:rPr>
        <w:t xml:space="preserve"> </w:t>
      </w:r>
      <w:r w:rsidRPr="00964DF4">
        <w:rPr>
          <w:rFonts w:ascii="Century" w:hAnsi="Century" w:cs="Miriam" w:hint="eastAsia"/>
          <w:b/>
          <w:spacing w:val="0"/>
          <w:szCs w:val="24"/>
          <w:rtl/>
        </w:rPr>
        <w:t>ידע</w:t>
      </w:r>
      <w:r w:rsidRPr="00964DF4">
        <w:rPr>
          <w:rFonts w:ascii="Century" w:hAnsi="Century" w:cs="Miriam"/>
          <w:b/>
          <w:spacing w:val="0"/>
          <w:szCs w:val="24"/>
          <w:rtl/>
        </w:rPr>
        <w:t xml:space="preserve"> </w:t>
      </w:r>
      <w:r w:rsidRPr="00964DF4">
        <w:rPr>
          <w:rFonts w:ascii="Century" w:hAnsi="Century" w:cs="Miriam" w:hint="eastAsia"/>
          <w:b/>
          <w:spacing w:val="0"/>
          <w:szCs w:val="24"/>
          <w:rtl/>
        </w:rPr>
        <w:t>או</w:t>
      </w:r>
      <w:r w:rsidRPr="00964DF4">
        <w:rPr>
          <w:rFonts w:ascii="Century" w:hAnsi="Century" w:cs="Miriam"/>
          <w:b/>
          <w:spacing w:val="0"/>
          <w:szCs w:val="24"/>
          <w:rtl/>
        </w:rPr>
        <w:t xml:space="preserve"> </w:t>
      </w:r>
      <w:r w:rsidRPr="00964DF4">
        <w:rPr>
          <w:rFonts w:ascii="Century" w:hAnsi="Century" w:cs="Miriam" w:hint="eastAsia"/>
          <w:b/>
          <w:spacing w:val="0"/>
          <w:szCs w:val="24"/>
          <w:rtl/>
        </w:rPr>
        <w:t>חשד</w:t>
      </w:r>
      <w:r w:rsidRPr="00964DF4">
        <w:rPr>
          <w:rFonts w:ascii="Century" w:hAnsi="Century" w:cs="Miriam"/>
          <w:b/>
          <w:spacing w:val="0"/>
          <w:szCs w:val="24"/>
          <w:rtl/>
        </w:rPr>
        <w:t xml:space="preserve"> </w:t>
      </w:r>
      <w:r w:rsidRPr="00964DF4">
        <w:rPr>
          <w:rFonts w:ascii="Century" w:hAnsi="Century" w:cs="Miriam" w:hint="eastAsia"/>
          <w:b/>
          <w:spacing w:val="0"/>
          <w:szCs w:val="24"/>
          <w:rtl/>
        </w:rPr>
        <w:t>כי</w:t>
      </w:r>
      <w:r w:rsidRPr="00964DF4">
        <w:rPr>
          <w:rFonts w:ascii="Century" w:hAnsi="Century" w:cs="Miriam"/>
          <w:b/>
          <w:spacing w:val="0"/>
          <w:szCs w:val="24"/>
          <w:rtl/>
        </w:rPr>
        <w:t xml:space="preserve"> </w:t>
      </w:r>
      <w:r w:rsidRPr="00964DF4">
        <w:rPr>
          <w:rFonts w:ascii="Century" w:hAnsi="Century" w:cs="Miriam" w:hint="eastAsia"/>
          <w:b/>
          <w:spacing w:val="0"/>
          <w:szCs w:val="24"/>
          <w:rtl/>
        </w:rPr>
        <w:t>לא</w:t>
      </w:r>
      <w:r w:rsidRPr="00964DF4">
        <w:rPr>
          <w:rFonts w:ascii="Century" w:hAnsi="Century" w:cs="Miriam"/>
          <w:b/>
          <w:spacing w:val="0"/>
          <w:szCs w:val="24"/>
          <w:rtl/>
        </w:rPr>
        <w:t xml:space="preserve"> </w:t>
      </w:r>
      <w:r w:rsidRPr="00964DF4">
        <w:rPr>
          <w:rFonts w:ascii="Century" w:hAnsi="Century" w:cs="Miriam" w:hint="eastAsia"/>
          <w:b/>
          <w:spacing w:val="0"/>
          <w:szCs w:val="24"/>
          <w:rtl/>
        </w:rPr>
        <w:t>מתקיימים</w:t>
      </w:r>
      <w:r w:rsidRPr="00964DF4">
        <w:rPr>
          <w:rFonts w:ascii="Century" w:hAnsi="Century" w:cs="Miriam"/>
          <w:b/>
          <w:spacing w:val="0"/>
          <w:szCs w:val="24"/>
          <w:rtl/>
        </w:rPr>
        <w:t xml:space="preserve"> </w:t>
      </w:r>
      <w:r w:rsidRPr="00964DF4">
        <w:rPr>
          <w:rFonts w:ascii="Century" w:hAnsi="Century" w:cs="Miriam" w:hint="eastAsia"/>
          <w:b/>
          <w:spacing w:val="0"/>
          <w:szCs w:val="24"/>
          <w:rtl/>
        </w:rPr>
        <w:t>תנאי</w:t>
      </w:r>
      <w:r w:rsidRPr="00964DF4">
        <w:rPr>
          <w:rFonts w:ascii="Century" w:hAnsi="Century" w:cs="Miriam"/>
          <w:b/>
          <w:spacing w:val="0"/>
          <w:szCs w:val="24"/>
          <w:rtl/>
        </w:rPr>
        <w:t xml:space="preserve"> </w:t>
      </w:r>
      <w:r w:rsidRPr="00964DF4">
        <w:rPr>
          <w:rFonts w:ascii="Century" w:hAnsi="Century" w:cs="Miriam" w:hint="eastAsia"/>
          <w:b/>
          <w:spacing w:val="0"/>
          <w:szCs w:val="24"/>
          <w:rtl/>
        </w:rPr>
        <w:t>החוק</w:t>
      </w:r>
      <w:r w:rsidRPr="00964DF4">
        <w:rPr>
          <w:rFonts w:ascii="Century" w:hAnsi="Century" w:cs="Miriam"/>
          <w:b/>
          <w:spacing w:val="0"/>
          <w:szCs w:val="24"/>
          <w:rtl/>
        </w:rPr>
        <w:t xml:space="preserve"> </w:t>
      </w:r>
      <w:r w:rsidRPr="00964DF4">
        <w:rPr>
          <w:rFonts w:ascii="Century" w:hAnsi="Century" w:cs="Miriam" w:hint="eastAsia"/>
          <w:b/>
          <w:spacing w:val="0"/>
          <w:szCs w:val="24"/>
          <w:rtl/>
        </w:rPr>
        <w:t>לעניין</w:t>
      </w:r>
      <w:r w:rsidRPr="00964DF4">
        <w:rPr>
          <w:rFonts w:ascii="Century" w:hAnsi="Century" w:cs="Miriam"/>
          <w:b/>
          <w:spacing w:val="0"/>
          <w:szCs w:val="24"/>
          <w:rtl/>
        </w:rPr>
        <w:t xml:space="preserve"> </w:t>
      </w:r>
      <w:r w:rsidRPr="00964DF4">
        <w:rPr>
          <w:rFonts w:ascii="Century" w:hAnsi="Century" w:cs="Miriam" w:hint="eastAsia"/>
          <w:b/>
          <w:spacing w:val="0"/>
          <w:szCs w:val="24"/>
          <w:rtl/>
        </w:rPr>
        <w:t>הגדרת</w:t>
      </w:r>
      <w:r w:rsidRPr="00964DF4">
        <w:rPr>
          <w:rFonts w:ascii="Century" w:hAnsi="Century" w:cs="Miriam"/>
          <w:b/>
          <w:spacing w:val="0"/>
          <w:szCs w:val="24"/>
          <w:rtl/>
        </w:rPr>
        <w:t xml:space="preserve"> </w:t>
      </w:r>
      <w:r w:rsidRPr="00964DF4">
        <w:rPr>
          <w:rFonts w:ascii="Century" w:hAnsi="Century" w:cs="Miriam" w:hint="eastAsia"/>
          <w:b/>
          <w:spacing w:val="0"/>
          <w:szCs w:val="24"/>
          <w:rtl/>
        </w:rPr>
        <w:t>הנכס</w:t>
      </w:r>
      <w:r w:rsidRPr="00964DF4">
        <w:rPr>
          <w:rFonts w:ascii="Century" w:hAnsi="Century" w:cs="Miriam"/>
          <w:b/>
          <w:spacing w:val="0"/>
          <w:szCs w:val="24"/>
          <w:rtl/>
        </w:rPr>
        <w:t xml:space="preserve"> </w:t>
      </w:r>
      <w:r w:rsidRPr="00964DF4">
        <w:rPr>
          <w:rFonts w:ascii="Century" w:hAnsi="Century" w:cs="Miriam" w:hint="eastAsia"/>
          <w:b/>
          <w:spacing w:val="0"/>
          <w:szCs w:val="24"/>
          <w:rtl/>
        </w:rPr>
        <w:t>הנדון</w:t>
      </w:r>
      <w:r w:rsidRPr="00964DF4">
        <w:rPr>
          <w:rFonts w:ascii="Century" w:hAnsi="Century" w:cs="Miriam"/>
          <w:b/>
          <w:spacing w:val="0"/>
          <w:szCs w:val="24"/>
          <w:rtl/>
        </w:rPr>
        <w:t xml:space="preserve"> </w:t>
      </w:r>
      <w:r w:rsidRPr="00964DF4">
        <w:rPr>
          <w:rFonts w:ascii="Century" w:hAnsi="Century" w:cs="Miriam" w:hint="eastAsia"/>
          <w:b/>
          <w:spacing w:val="0"/>
          <w:szCs w:val="24"/>
          <w:rtl/>
        </w:rPr>
        <w:t>כנפקד</w:t>
      </w:r>
      <w:r w:rsidRPr="00964DF4">
        <w:rPr>
          <w:rFonts w:ascii="Century" w:hAnsi="Century" w:cs="Miriam"/>
          <w:b/>
          <w:spacing w:val="0"/>
          <w:szCs w:val="24"/>
          <w:rtl/>
        </w:rPr>
        <w:t xml:space="preserve">. </w:t>
      </w:r>
      <w:r w:rsidRPr="00964DF4">
        <w:rPr>
          <w:rFonts w:ascii="Century" w:hAnsi="Century" w:cs="Miriam" w:hint="eastAsia"/>
          <w:b/>
          <w:spacing w:val="0"/>
          <w:szCs w:val="24"/>
          <w:rtl/>
        </w:rPr>
        <w:t>בכדי</w:t>
      </w:r>
      <w:r w:rsidRPr="00964DF4">
        <w:rPr>
          <w:rFonts w:ascii="Century" w:hAnsi="Century" w:cs="Miriam"/>
          <w:b/>
          <w:spacing w:val="0"/>
          <w:szCs w:val="24"/>
          <w:rtl/>
        </w:rPr>
        <w:t xml:space="preserve"> </w:t>
      </w:r>
      <w:r w:rsidRPr="00964DF4">
        <w:rPr>
          <w:rFonts w:ascii="Century" w:hAnsi="Century" w:cs="Miriam" w:hint="eastAsia"/>
          <w:b/>
          <w:spacing w:val="0"/>
          <w:szCs w:val="24"/>
          <w:rtl/>
        </w:rPr>
        <w:t>שיישלל</w:t>
      </w:r>
      <w:r w:rsidRPr="00964DF4">
        <w:rPr>
          <w:rFonts w:ascii="Century" w:hAnsi="Century" w:cs="Miriam"/>
          <w:b/>
          <w:spacing w:val="0"/>
          <w:szCs w:val="24"/>
          <w:rtl/>
        </w:rPr>
        <w:t xml:space="preserve"> </w:t>
      </w:r>
      <w:r w:rsidRPr="00964DF4">
        <w:rPr>
          <w:rFonts w:ascii="Century" w:hAnsi="Century" w:cs="Miriam" w:hint="eastAsia"/>
          <w:b/>
          <w:spacing w:val="0"/>
          <w:szCs w:val="24"/>
          <w:rtl/>
        </w:rPr>
        <w:t>תום</w:t>
      </w:r>
      <w:r w:rsidRPr="00964DF4">
        <w:rPr>
          <w:rFonts w:ascii="Century" w:hAnsi="Century" w:cs="Miriam"/>
          <w:b/>
          <w:spacing w:val="0"/>
          <w:szCs w:val="24"/>
          <w:rtl/>
        </w:rPr>
        <w:t xml:space="preserve"> </w:t>
      </w:r>
      <w:r w:rsidRPr="00964DF4">
        <w:rPr>
          <w:rFonts w:ascii="Century" w:hAnsi="Century" w:cs="Miriam" w:hint="eastAsia"/>
          <w:b/>
          <w:spacing w:val="0"/>
          <w:szCs w:val="24"/>
          <w:rtl/>
        </w:rPr>
        <w:t>ליבו</w:t>
      </w:r>
      <w:r w:rsidRPr="00964DF4">
        <w:rPr>
          <w:rFonts w:ascii="Century" w:hAnsi="Century" w:cs="Miriam"/>
          <w:b/>
          <w:spacing w:val="0"/>
          <w:szCs w:val="24"/>
          <w:rtl/>
        </w:rPr>
        <w:t xml:space="preserve"> </w:t>
      </w:r>
      <w:r w:rsidRPr="00964DF4">
        <w:rPr>
          <w:rFonts w:ascii="Century" w:hAnsi="Century" w:cs="Miriam" w:hint="eastAsia"/>
          <w:b/>
          <w:spacing w:val="0"/>
          <w:szCs w:val="24"/>
          <w:rtl/>
        </w:rPr>
        <w:t>של</w:t>
      </w:r>
      <w:r w:rsidRPr="00964DF4">
        <w:rPr>
          <w:rFonts w:ascii="Century" w:hAnsi="Century" w:cs="Miriam"/>
          <w:b/>
          <w:spacing w:val="0"/>
          <w:szCs w:val="24"/>
          <w:rtl/>
        </w:rPr>
        <w:t xml:space="preserve"> </w:t>
      </w:r>
      <w:r w:rsidRPr="00964DF4">
        <w:rPr>
          <w:rFonts w:ascii="Century" w:hAnsi="Century" w:cs="Miriam" w:hint="eastAsia"/>
          <w:b/>
          <w:spacing w:val="0"/>
          <w:szCs w:val="24"/>
          <w:rtl/>
        </w:rPr>
        <w:t>האפוטרופוס</w:t>
      </w:r>
      <w:r w:rsidRPr="00964DF4">
        <w:rPr>
          <w:rFonts w:ascii="Century" w:hAnsi="Century" w:cs="Miriam"/>
          <w:b/>
          <w:spacing w:val="0"/>
          <w:szCs w:val="24"/>
          <w:rtl/>
        </w:rPr>
        <w:t xml:space="preserve"> </w:t>
      </w:r>
      <w:r w:rsidRPr="00964DF4">
        <w:rPr>
          <w:rFonts w:ascii="Century" w:hAnsi="Century" w:cs="Miriam" w:hint="eastAsia"/>
          <w:b/>
          <w:spacing w:val="0"/>
          <w:szCs w:val="24"/>
          <w:rtl/>
        </w:rPr>
        <w:t>אין</w:t>
      </w:r>
      <w:r w:rsidRPr="00964DF4">
        <w:rPr>
          <w:rFonts w:ascii="Century" w:hAnsi="Century" w:cs="Miriam"/>
          <w:b/>
          <w:spacing w:val="0"/>
          <w:szCs w:val="24"/>
          <w:rtl/>
        </w:rPr>
        <w:t xml:space="preserve"> </w:t>
      </w:r>
      <w:r w:rsidRPr="00964DF4">
        <w:rPr>
          <w:rFonts w:ascii="Century" w:hAnsi="Century" w:cs="Miriam" w:hint="eastAsia"/>
          <w:b/>
          <w:spacing w:val="0"/>
          <w:szCs w:val="24"/>
          <w:rtl/>
        </w:rPr>
        <w:t>די</w:t>
      </w:r>
      <w:r w:rsidRPr="00964DF4">
        <w:rPr>
          <w:rFonts w:ascii="Century" w:hAnsi="Century" w:cs="Miriam"/>
          <w:b/>
          <w:spacing w:val="0"/>
          <w:szCs w:val="24"/>
          <w:rtl/>
        </w:rPr>
        <w:t xml:space="preserve"> </w:t>
      </w:r>
      <w:r w:rsidRPr="00964DF4">
        <w:rPr>
          <w:rFonts w:ascii="Century" w:hAnsi="Century" w:cs="Miriam" w:hint="eastAsia"/>
          <w:b/>
          <w:spacing w:val="0"/>
          <w:szCs w:val="24"/>
          <w:rtl/>
        </w:rPr>
        <w:t>ברשלנות</w:t>
      </w:r>
      <w:r w:rsidRPr="00964DF4">
        <w:rPr>
          <w:rFonts w:ascii="Century" w:hAnsi="Century" w:cs="Miriam"/>
          <w:b/>
          <w:spacing w:val="0"/>
          <w:szCs w:val="24"/>
          <w:rtl/>
        </w:rPr>
        <w:t xml:space="preserve"> </w:t>
      </w:r>
      <w:r w:rsidRPr="00964DF4">
        <w:rPr>
          <w:rFonts w:ascii="Century" w:hAnsi="Century" w:cs="Miriam" w:hint="eastAsia"/>
          <w:b/>
          <w:spacing w:val="0"/>
          <w:szCs w:val="24"/>
          <w:rtl/>
        </w:rPr>
        <w:t>מצידו</w:t>
      </w:r>
      <w:r w:rsidRPr="00964DF4">
        <w:rPr>
          <w:rFonts w:ascii="Century" w:hAnsi="Century" w:cs="Miriam"/>
          <w:b/>
          <w:spacing w:val="0"/>
          <w:szCs w:val="24"/>
          <w:rtl/>
        </w:rPr>
        <w:t xml:space="preserve">, </w:t>
      </w:r>
      <w:r w:rsidRPr="00964DF4">
        <w:rPr>
          <w:rFonts w:ascii="Century" w:hAnsi="Century" w:cs="Miriam" w:hint="eastAsia"/>
          <w:b/>
          <w:spacing w:val="0"/>
          <w:szCs w:val="24"/>
          <w:rtl/>
        </w:rPr>
        <w:t>ולפיכך</w:t>
      </w:r>
      <w:r w:rsidRPr="00964DF4">
        <w:rPr>
          <w:rFonts w:ascii="Century" w:hAnsi="Century" w:cs="Miriam"/>
          <w:b/>
          <w:spacing w:val="0"/>
          <w:szCs w:val="24"/>
          <w:rtl/>
        </w:rPr>
        <w:t xml:space="preserve"> </w:t>
      </w:r>
      <w:r w:rsidRPr="00964DF4">
        <w:rPr>
          <w:rFonts w:ascii="Century" w:hAnsi="Century" w:cs="Miriam" w:hint="eastAsia"/>
          <w:b/>
          <w:spacing w:val="0"/>
          <w:szCs w:val="24"/>
          <w:u w:val="single"/>
          <w:rtl/>
        </w:rPr>
        <w:t>אין</w:t>
      </w:r>
      <w:r w:rsidRPr="00964DF4">
        <w:rPr>
          <w:rFonts w:ascii="Century" w:hAnsi="Century" w:cs="Miriam"/>
          <w:b/>
          <w:spacing w:val="0"/>
          <w:szCs w:val="24"/>
          <w:u w:val="single"/>
          <w:rtl/>
        </w:rPr>
        <w:t xml:space="preserve"> </w:t>
      </w:r>
      <w:r w:rsidRPr="00964DF4">
        <w:rPr>
          <w:rFonts w:ascii="Century" w:hAnsi="Century" w:cs="Miriam" w:hint="eastAsia"/>
          <w:b/>
          <w:spacing w:val="0"/>
          <w:szCs w:val="24"/>
          <w:u w:val="single"/>
          <w:rtl/>
        </w:rPr>
        <w:t>רלוונטיות</w:t>
      </w:r>
      <w:r w:rsidRPr="00964DF4">
        <w:rPr>
          <w:rFonts w:ascii="Century" w:hAnsi="Century" w:cs="Miriam"/>
          <w:b/>
          <w:spacing w:val="0"/>
          <w:szCs w:val="24"/>
          <w:u w:val="single"/>
          <w:rtl/>
        </w:rPr>
        <w:t xml:space="preserve"> </w:t>
      </w:r>
      <w:r w:rsidRPr="00964DF4">
        <w:rPr>
          <w:rFonts w:ascii="Century" w:hAnsi="Century" w:cs="Miriam" w:hint="eastAsia"/>
          <w:b/>
          <w:spacing w:val="0"/>
          <w:szCs w:val="24"/>
          <w:u w:val="single"/>
          <w:rtl/>
        </w:rPr>
        <w:t>לשאלה</w:t>
      </w:r>
      <w:r w:rsidRPr="00964DF4">
        <w:rPr>
          <w:rFonts w:ascii="Century" w:hAnsi="Century" w:cs="Miriam"/>
          <w:b/>
          <w:spacing w:val="0"/>
          <w:szCs w:val="24"/>
          <w:u w:val="single"/>
          <w:rtl/>
        </w:rPr>
        <w:t xml:space="preserve"> </w:t>
      </w:r>
      <w:r w:rsidRPr="00964DF4">
        <w:rPr>
          <w:rFonts w:ascii="Century" w:hAnsi="Century" w:cs="Miriam" w:hint="eastAsia"/>
          <w:b/>
          <w:spacing w:val="0"/>
          <w:szCs w:val="24"/>
          <w:u w:val="single"/>
          <w:rtl/>
        </w:rPr>
        <w:t>מה</w:t>
      </w:r>
      <w:r w:rsidRPr="00964DF4">
        <w:rPr>
          <w:rFonts w:ascii="Century" w:hAnsi="Century" w:cs="Miriam"/>
          <w:b/>
          <w:spacing w:val="0"/>
          <w:szCs w:val="24"/>
          <w:u w:val="single"/>
          <w:rtl/>
        </w:rPr>
        <w:t xml:space="preserve"> </w:t>
      </w:r>
      <w:r w:rsidRPr="00964DF4">
        <w:rPr>
          <w:rFonts w:ascii="Century" w:hAnsi="Century" w:cs="Miriam" w:hint="eastAsia"/>
          <w:b/>
          <w:spacing w:val="0"/>
          <w:szCs w:val="24"/>
          <w:u w:val="single"/>
          <w:rtl/>
        </w:rPr>
        <w:t>היה</w:t>
      </w:r>
      <w:r w:rsidRPr="00964DF4">
        <w:rPr>
          <w:rFonts w:ascii="Century" w:hAnsi="Century" w:cs="Miriam"/>
          <w:b/>
          <w:spacing w:val="0"/>
          <w:szCs w:val="24"/>
          <w:u w:val="single"/>
          <w:rtl/>
        </w:rPr>
        <w:t xml:space="preserve"> </w:t>
      </w:r>
      <w:r w:rsidRPr="00964DF4">
        <w:rPr>
          <w:rFonts w:ascii="Century" w:hAnsi="Century" w:cs="Miriam" w:hint="eastAsia"/>
          <w:b/>
          <w:spacing w:val="0"/>
          <w:szCs w:val="24"/>
          <w:u w:val="single"/>
          <w:rtl/>
        </w:rPr>
        <w:t>עליו</w:t>
      </w:r>
      <w:r w:rsidRPr="00964DF4">
        <w:rPr>
          <w:rFonts w:ascii="Century" w:hAnsi="Century" w:cs="Miriam"/>
          <w:b/>
          <w:spacing w:val="0"/>
          <w:szCs w:val="24"/>
          <w:u w:val="single"/>
          <w:rtl/>
        </w:rPr>
        <w:t xml:space="preserve"> </w:t>
      </w:r>
      <w:r w:rsidRPr="00964DF4">
        <w:rPr>
          <w:rFonts w:ascii="Century" w:hAnsi="Century" w:cs="Miriam" w:hint="eastAsia"/>
          <w:b/>
          <w:spacing w:val="0"/>
          <w:szCs w:val="24"/>
          <w:u w:val="single"/>
          <w:rtl/>
        </w:rPr>
        <w:t>לדעת</w:t>
      </w:r>
      <w:r w:rsidRPr="00964DF4">
        <w:rPr>
          <w:rFonts w:ascii="Century" w:hAnsi="Century" w:cs="Miriam"/>
          <w:b/>
          <w:spacing w:val="0"/>
          <w:szCs w:val="24"/>
          <w:u w:val="single"/>
          <w:rtl/>
        </w:rPr>
        <w:t xml:space="preserve"> </w:t>
      </w:r>
      <w:r w:rsidRPr="00964DF4">
        <w:rPr>
          <w:rFonts w:ascii="Century" w:hAnsi="Century" w:cs="Miriam" w:hint="eastAsia"/>
          <w:b/>
          <w:spacing w:val="0"/>
          <w:szCs w:val="24"/>
          <w:u w:val="single"/>
          <w:rtl/>
        </w:rPr>
        <w:t>או</w:t>
      </w:r>
      <w:r w:rsidRPr="00964DF4">
        <w:rPr>
          <w:rFonts w:ascii="Century" w:hAnsi="Century" w:cs="Miriam"/>
          <w:b/>
          <w:spacing w:val="0"/>
          <w:szCs w:val="24"/>
          <w:u w:val="single"/>
          <w:rtl/>
        </w:rPr>
        <w:t xml:space="preserve"> </w:t>
      </w:r>
      <w:r w:rsidRPr="00964DF4">
        <w:rPr>
          <w:rFonts w:ascii="Century" w:hAnsi="Century" w:cs="Miriam" w:hint="eastAsia"/>
          <w:b/>
          <w:spacing w:val="0"/>
          <w:szCs w:val="24"/>
          <w:u w:val="single"/>
          <w:rtl/>
        </w:rPr>
        <w:t>במה</w:t>
      </w:r>
      <w:r w:rsidRPr="00964DF4">
        <w:rPr>
          <w:rFonts w:ascii="Century" w:hAnsi="Century" w:cs="Miriam"/>
          <w:b/>
          <w:spacing w:val="0"/>
          <w:szCs w:val="24"/>
          <w:u w:val="single"/>
          <w:rtl/>
        </w:rPr>
        <w:t xml:space="preserve"> </w:t>
      </w:r>
      <w:r w:rsidRPr="00964DF4">
        <w:rPr>
          <w:rFonts w:ascii="Century" w:hAnsi="Century" w:cs="Miriam" w:hint="eastAsia"/>
          <w:b/>
          <w:spacing w:val="0"/>
          <w:szCs w:val="24"/>
          <w:u w:val="single"/>
          <w:rtl/>
        </w:rPr>
        <w:t>היה</w:t>
      </w:r>
      <w:r w:rsidRPr="00964DF4">
        <w:rPr>
          <w:rFonts w:ascii="Century" w:hAnsi="Century" w:cs="Miriam"/>
          <w:b/>
          <w:spacing w:val="0"/>
          <w:szCs w:val="24"/>
          <w:u w:val="single"/>
          <w:rtl/>
        </w:rPr>
        <w:t xml:space="preserve"> </w:t>
      </w:r>
      <w:r w:rsidRPr="00964DF4">
        <w:rPr>
          <w:rFonts w:ascii="Century" w:hAnsi="Century" w:cs="Miriam" w:hint="eastAsia"/>
          <w:b/>
          <w:spacing w:val="0"/>
          <w:szCs w:val="24"/>
          <w:u w:val="single"/>
          <w:rtl/>
        </w:rPr>
        <w:t>עליו</w:t>
      </w:r>
      <w:r w:rsidRPr="00964DF4">
        <w:rPr>
          <w:rFonts w:ascii="Century" w:hAnsi="Century" w:cs="Miriam"/>
          <w:b/>
          <w:spacing w:val="0"/>
          <w:szCs w:val="24"/>
          <w:u w:val="single"/>
          <w:rtl/>
        </w:rPr>
        <w:t xml:space="preserve"> </w:t>
      </w:r>
      <w:r w:rsidRPr="00964DF4">
        <w:rPr>
          <w:rFonts w:ascii="Century" w:hAnsi="Century" w:cs="Miriam" w:hint="eastAsia"/>
          <w:b/>
          <w:spacing w:val="0"/>
          <w:szCs w:val="24"/>
          <w:u w:val="single"/>
          <w:rtl/>
        </w:rPr>
        <w:t>לחשוד</w:t>
      </w:r>
      <w:r w:rsidRPr="005F5810">
        <w:rPr>
          <w:rFonts w:ascii="Century" w:hAnsi="Century" w:cs="Miriam" w:hint="cs"/>
          <w:b/>
          <w:spacing w:val="0"/>
          <w:szCs w:val="24"/>
          <w:rtl/>
        </w:rPr>
        <w:t xml:space="preserve">" </w:t>
      </w:r>
      <w:r>
        <w:rPr>
          <w:rFonts w:hint="cs"/>
          <w:rtl/>
        </w:rPr>
        <w:t xml:space="preserve">(ע"א 1501/99 </w:t>
      </w:r>
      <w:r w:rsidRPr="00964DF4">
        <w:rPr>
          <w:rFonts w:ascii="Century" w:hAnsi="Century" w:cs="Miriam" w:hint="cs"/>
          <w:b/>
          <w:spacing w:val="0"/>
          <w:szCs w:val="24"/>
          <w:rtl/>
        </w:rPr>
        <w:t>דריני נ' משרד האוצר</w:t>
      </w:r>
      <w:r>
        <w:rPr>
          <w:rFonts w:hint="cs"/>
          <w:rtl/>
        </w:rPr>
        <w:t xml:space="preserve">, פסקה 4 (2004) (ההדגשה הוּספה </w:t>
      </w:r>
      <w:r>
        <w:rPr>
          <w:rtl/>
        </w:rPr>
        <w:t>–</w:t>
      </w:r>
      <w:r>
        <w:rPr>
          <w:rFonts w:hint="cs"/>
          <w:rtl/>
        </w:rPr>
        <w:t xml:space="preserve"> נ' ס'). </w:t>
      </w:r>
    </w:p>
    <w:p w:rsidR="00295623" w:rsidRDefault="00295623" w:rsidP="00295623">
      <w:pPr>
        <w:pStyle w:val="Ruller41"/>
        <w:tabs>
          <w:tab w:val="left" w:pos="90"/>
        </w:tabs>
      </w:pPr>
    </w:p>
    <w:p w:rsidR="00295623" w:rsidRDefault="00295623" w:rsidP="00295623">
      <w:pPr>
        <w:pStyle w:val="Ruller41"/>
        <w:rPr>
          <w:rtl/>
        </w:rPr>
      </w:pPr>
      <w:r>
        <w:rPr>
          <w:rFonts w:hint="cs"/>
          <w:rtl/>
        </w:rPr>
        <w:t>91.</w:t>
      </w:r>
      <w:r>
        <w:rPr>
          <w:rFonts w:hint="cs"/>
          <w:rtl/>
        </w:rPr>
        <w:tab/>
        <w:t xml:space="preserve">על אמת מידה זו, שב וחזר בית משפט זה, כל אימת שפרשנות סעיף 17(א) לחוק נכסי נפקדים נקרתה בדרכו (ראו למשל: עניין </w:t>
      </w:r>
      <w:r w:rsidRPr="00386267">
        <w:rPr>
          <w:rFonts w:cs="Miriam" w:hint="cs"/>
          <w:b/>
          <w:spacing w:val="0"/>
          <w:szCs w:val="24"/>
          <w:rtl/>
        </w:rPr>
        <w:t>חוות מקורה</w:t>
      </w:r>
      <w:r>
        <w:rPr>
          <w:rFonts w:hint="cs"/>
          <w:rtl/>
        </w:rPr>
        <w:t xml:space="preserve">, עמ' 18; </w:t>
      </w:r>
      <w:r w:rsidRPr="00386267">
        <w:rPr>
          <w:rFonts w:hint="eastAsia"/>
          <w:rtl/>
        </w:rPr>
        <w:t>ע</w:t>
      </w:r>
      <w:r w:rsidRPr="00386267">
        <w:rPr>
          <w:rtl/>
        </w:rPr>
        <w:t>"</w:t>
      </w:r>
      <w:r w:rsidRPr="00386267">
        <w:rPr>
          <w:rFonts w:hint="eastAsia"/>
          <w:rtl/>
        </w:rPr>
        <w:t>א</w:t>
      </w:r>
      <w:r w:rsidRPr="00386267">
        <w:rPr>
          <w:rtl/>
        </w:rPr>
        <w:t xml:space="preserve"> 3747/90 </w:t>
      </w:r>
      <w:r w:rsidRPr="00386267">
        <w:rPr>
          <w:rFonts w:cs="Miriam" w:hint="eastAsia"/>
          <w:b/>
          <w:spacing w:val="0"/>
          <w:szCs w:val="24"/>
          <w:rtl/>
        </w:rPr>
        <w:t>האפוטרופוס</w:t>
      </w:r>
      <w:r w:rsidRPr="00386267">
        <w:rPr>
          <w:rFonts w:cs="Miriam"/>
          <w:b/>
          <w:spacing w:val="0"/>
          <w:szCs w:val="24"/>
          <w:rtl/>
        </w:rPr>
        <w:t xml:space="preserve"> </w:t>
      </w:r>
      <w:r w:rsidRPr="00386267">
        <w:rPr>
          <w:rFonts w:cs="Miriam" w:hint="eastAsia"/>
          <w:b/>
          <w:spacing w:val="0"/>
          <w:szCs w:val="24"/>
          <w:rtl/>
        </w:rPr>
        <w:t>על</w:t>
      </w:r>
      <w:r w:rsidRPr="00386267">
        <w:rPr>
          <w:rFonts w:cs="Miriam"/>
          <w:b/>
          <w:spacing w:val="0"/>
          <w:szCs w:val="24"/>
          <w:rtl/>
        </w:rPr>
        <w:t xml:space="preserve"> </w:t>
      </w:r>
      <w:r w:rsidRPr="00386267">
        <w:rPr>
          <w:rFonts w:cs="Miriam" w:hint="eastAsia"/>
          <w:b/>
          <w:spacing w:val="0"/>
          <w:szCs w:val="24"/>
          <w:rtl/>
        </w:rPr>
        <w:t>נכסי</w:t>
      </w:r>
      <w:r w:rsidRPr="00386267">
        <w:rPr>
          <w:rFonts w:cs="Miriam"/>
          <w:b/>
          <w:spacing w:val="0"/>
          <w:szCs w:val="24"/>
          <w:rtl/>
        </w:rPr>
        <w:t xml:space="preserve"> </w:t>
      </w:r>
      <w:r w:rsidRPr="00386267">
        <w:rPr>
          <w:rFonts w:cs="Miriam" w:hint="eastAsia"/>
          <w:b/>
          <w:spacing w:val="0"/>
          <w:szCs w:val="24"/>
          <w:rtl/>
        </w:rPr>
        <w:t>נפקדים</w:t>
      </w:r>
      <w:r w:rsidRPr="00386267">
        <w:rPr>
          <w:rFonts w:cs="Miriam"/>
          <w:b/>
          <w:spacing w:val="0"/>
          <w:szCs w:val="24"/>
          <w:rtl/>
        </w:rPr>
        <w:t xml:space="preserve"> </w:t>
      </w:r>
      <w:r w:rsidRPr="00386267">
        <w:rPr>
          <w:rFonts w:cs="Miriam" w:hint="eastAsia"/>
          <w:b/>
          <w:spacing w:val="0"/>
          <w:szCs w:val="24"/>
          <w:rtl/>
        </w:rPr>
        <w:t>נ</w:t>
      </w:r>
      <w:r w:rsidRPr="00386267">
        <w:rPr>
          <w:rFonts w:cs="Miriam"/>
          <w:b/>
          <w:spacing w:val="0"/>
          <w:szCs w:val="24"/>
          <w:rtl/>
        </w:rPr>
        <w:t xml:space="preserve">' </w:t>
      </w:r>
      <w:r w:rsidRPr="00386267">
        <w:rPr>
          <w:rFonts w:cs="Miriam" w:hint="eastAsia"/>
          <w:b/>
          <w:spacing w:val="0"/>
          <w:szCs w:val="24"/>
          <w:rtl/>
        </w:rPr>
        <w:t>עיזבון</w:t>
      </w:r>
      <w:r w:rsidRPr="00386267">
        <w:rPr>
          <w:rFonts w:cs="Miriam"/>
          <w:b/>
          <w:spacing w:val="0"/>
          <w:szCs w:val="24"/>
          <w:rtl/>
        </w:rPr>
        <w:t xml:space="preserve"> </w:t>
      </w:r>
      <w:r w:rsidRPr="00386267">
        <w:rPr>
          <w:rFonts w:cs="Miriam" w:hint="eastAsia"/>
          <w:b/>
          <w:spacing w:val="0"/>
          <w:szCs w:val="24"/>
          <w:rtl/>
        </w:rPr>
        <w:t>מוסא</w:t>
      </w:r>
      <w:r w:rsidRPr="00386267">
        <w:rPr>
          <w:rtl/>
        </w:rPr>
        <w:t xml:space="preserve">, </w:t>
      </w:r>
      <w:r w:rsidRPr="00386267">
        <w:rPr>
          <w:rFonts w:hint="eastAsia"/>
          <w:rtl/>
        </w:rPr>
        <w:t>פ</w:t>
      </w:r>
      <w:r w:rsidRPr="00386267">
        <w:rPr>
          <w:rtl/>
        </w:rPr>
        <w:t>"</w:t>
      </w:r>
      <w:r w:rsidRPr="00386267">
        <w:rPr>
          <w:rFonts w:hint="eastAsia"/>
          <w:rtl/>
        </w:rPr>
        <w:t>ד</w:t>
      </w:r>
      <w:r w:rsidRPr="00386267">
        <w:rPr>
          <w:rtl/>
        </w:rPr>
        <w:t xml:space="preserve"> </w:t>
      </w:r>
      <w:r w:rsidRPr="00386267">
        <w:rPr>
          <w:rFonts w:hint="eastAsia"/>
          <w:rtl/>
        </w:rPr>
        <w:t>מו</w:t>
      </w:r>
      <w:r>
        <w:rPr>
          <w:rtl/>
        </w:rPr>
        <w:t>(4) 361</w:t>
      </w:r>
      <w:r>
        <w:rPr>
          <w:rFonts w:hint="cs"/>
          <w:rtl/>
        </w:rPr>
        <w:t xml:space="preserve">, 366 </w:t>
      </w:r>
      <w:r w:rsidRPr="00386267">
        <w:rPr>
          <w:rtl/>
        </w:rPr>
        <w:t>(1992)</w:t>
      </w:r>
      <w:r>
        <w:rPr>
          <w:rFonts w:hint="cs"/>
          <w:shd w:val="clear" w:color="auto" w:fill="FFFFFF"/>
          <w:rtl/>
        </w:rPr>
        <w:t xml:space="preserve">; </w:t>
      </w:r>
      <w:r w:rsidRPr="00386267">
        <w:rPr>
          <w:rFonts w:hint="eastAsia"/>
          <w:rtl/>
        </w:rPr>
        <w:t>ע</w:t>
      </w:r>
      <w:r>
        <w:rPr>
          <w:rFonts w:hint="cs"/>
          <w:rtl/>
        </w:rPr>
        <w:t>ניין</w:t>
      </w:r>
      <w:r w:rsidRPr="00386267">
        <w:rPr>
          <w:rtl/>
        </w:rPr>
        <w:t xml:space="preserve"> </w:t>
      </w:r>
      <w:r w:rsidRPr="00386267">
        <w:rPr>
          <w:rFonts w:cs="Miriam" w:hint="eastAsia"/>
          <w:b/>
          <w:spacing w:val="0"/>
          <w:szCs w:val="24"/>
          <w:rtl/>
        </w:rPr>
        <w:t>דיאב</w:t>
      </w:r>
      <w:r>
        <w:rPr>
          <w:rFonts w:hint="cs"/>
          <w:rtl/>
        </w:rPr>
        <w:t>, עמ' 796</w:t>
      </w:r>
      <w:r w:rsidRPr="00386267">
        <w:rPr>
          <w:rtl/>
        </w:rPr>
        <w:t xml:space="preserve">; </w:t>
      </w:r>
      <w:r>
        <w:rPr>
          <w:rFonts w:hint="cs"/>
          <w:rtl/>
        </w:rPr>
        <w:t xml:space="preserve">עניין </w:t>
      </w:r>
      <w:r w:rsidRPr="006E03E0">
        <w:rPr>
          <w:rFonts w:ascii="Century" w:hAnsi="Century" w:cs="Miriam" w:hint="cs"/>
          <w:b/>
          <w:spacing w:val="0"/>
          <w:szCs w:val="24"/>
          <w:rtl/>
        </w:rPr>
        <w:t>רבאח</w:t>
      </w:r>
      <w:r>
        <w:rPr>
          <w:rFonts w:hint="cs"/>
          <w:rtl/>
        </w:rPr>
        <w:t xml:space="preserve">, עמ' 378-376; </w:t>
      </w:r>
      <w:r w:rsidRPr="00017202">
        <w:rPr>
          <w:rFonts w:ascii="Century" w:hAnsi="Century" w:hint="eastAsia"/>
          <w:rtl/>
        </w:rPr>
        <w:t>ע</w:t>
      </w:r>
      <w:r w:rsidRPr="00017202">
        <w:rPr>
          <w:rFonts w:ascii="Century" w:hAnsi="Century"/>
          <w:rtl/>
        </w:rPr>
        <w:t>"</w:t>
      </w:r>
      <w:r w:rsidRPr="00017202">
        <w:rPr>
          <w:rFonts w:ascii="Century" w:hAnsi="Century" w:hint="eastAsia"/>
          <w:rtl/>
        </w:rPr>
        <w:t>א</w:t>
      </w:r>
      <w:r w:rsidRPr="00017202">
        <w:rPr>
          <w:rFonts w:ascii="Century" w:hAnsi="Century"/>
          <w:rtl/>
        </w:rPr>
        <w:t xml:space="preserve"> 2576/03 </w:t>
      </w:r>
      <w:r w:rsidRPr="00017202">
        <w:rPr>
          <w:rFonts w:ascii="Century" w:hAnsi="Century" w:cs="Miriam" w:hint="eastAsia"/>
          <w:b/>
          <w:spacing w:val="0"/>
          <w:szCs w:val="24"/>
          <w:rtl/>
        </w:rPr>
        <w:t>וינברג</w:t>
      </w:r>
      <w:r w:rsidRPr="00017202">
        <w:rPr>
          <w:rFonts w:ascii="Century" w:hAnsi="Century" w:cs="Miriam"/>
          <w:b/>
          <w:spacing w:val="0"/>
          <w:szCs w:val="24"/>
          <w:rtl/>
        </w:rPr>
        <w:t xml:space="preserve"> </w:t>
      </w:r>
      <w:r w:rsidRPr="00017202">
        <w:rPr>
          <w:rFonts w:ascii="Century" w:hAnsi="Century" w:cs="Miriam" w:hint="eastAsia"/>
          <w:b/>
          <w:spacing w:val="0"/>
          <w:szCs w:val="24"/>
          <w:rtl/>
        </w:rPr>
        <w:t>נ</w:t>
      </w:r>
      <w:r w:rsidRPr="00017202">
        <w:rPr>
          <w:rFonts w:ascii="Century" w:hAnsi="Century" w:cs="Miriam"/>
          <w:b/>
          <w:spacing w:val="0"/>
          <w:szCs w:val="24"/>
          <w:rtl/>
        </w:rPr>
        <w:t xml:space="preserve">' </w:t>
      </w:r>
      <w:r w:rsidRPr="00017202">
        <w:rPr>
          <w:rFonts w:ascii="Century" w:hAnsi="Century" w:cs="Miriam" w:hint="eastAsia"/>
          <w:b/>
          <w:spacing w:val="0"/>
          <w:szCs w:val="24"/>
          <w:rtl/>
        </w:rPr>
        <w:t>האפוטרופוס</w:t>
      </w:r>
      <w:r w:rsidRPr="00017202">
        <w:rPr>
          <w:rFonts w:ascii="Century" w:hAnsi="Century" w:cs="Miriam"/>
          <w:b/>
          <w:spacing w:val="0"/>
          <w:szCs w:val="24"/>
          <w:rtl/>
        </w:rPr>
        <w:t xml:space="preserve"> </w:t>
      </w:r>
      <w:r w:rsidRPr="00017202">
        <w:rPr>
          <w:rFonts w:ascii="Century" w:hAnsi="Century" w:cs="Miriam" w:hint="eastAsia"/>
          <w:b/>
          <w:spacing w:val="0"/>
          <w:szCs w:val="24"/>
          <w:rtl/>
        </w:rPr>
        <w:t>לנכסי</w:t>
      </w:r>
      <w:r w:rsidRPr="00017202">
        <w:rPr>
          <w:rFonts w:ascii="Century" w:hAnsi="Century" w:cs="Miriam"/>
          <w:b/>
          <w:spacing w:val="0"/>
          <w:szCs w:val="24"/>
          <w:rtl/>
        </w:rPr>
        <w:t xml:space="preserve"> </w:t>
      </w:r>
      <w:r w:rsidRPr="00017202">
        <w:rPr>
          <w:rFonts w:ascii="Century" w:hAnsi="Century" w:cs="Miriam" w:hint="eastAsia"/>
          <w:b/>
          <w:spacing w:val="0"/>
          <w:szCs w:val="24"/>
          <w:rtl/>
        </w:rPr>
        <w:t>נפקדים</w:t>
      </w:r>
      <w:r>
        <w:rPr>
          <w:rFonts w:ascii="Century" w:hAnsi="Century" w:hint="cs"/>
          <w:rtl/>
        </w:rPr>
        <w:t xml:space="preserve">, פסקה 15 </w:t>
      </w:r>
      <w:r w:rsidRPr="00017202">
        <w:rPr>
          <w:rFonts w:ascii="Century" w:hAnsi="Century"/>
          <w:rtl/>
        </w:rPr>
        <w:t>(</w:t>
      </w:r>
      <w:r>
        <w:rPr>
          <w:rFonts w:ascii="Century" w:hAnsi="Century" w:hint="cs"/>
          <w:rtl/>
        </w:rPr>
        <w:t>21.2.</w:t>
      </w:r>
      <w:r w:rsidRPr="00017202">
        <w:rPr>
          <w:rFonts w:ascii="Century" w:hAnsi="Century"/>
          <w:rtl/>
        </w:rPr>
        <w:t>2007)</w:t>
      </w:r>
      <w:r>
        <w:rPr>
          <w:rFonts w:ascii="Century" w:hAnsi="Century" w:hint="cs"/>
          <w:rtl/>
        </w:rPr>
        <w:t xml:space="preserve">; </w:t>
      </w:r>
      <w:r>
        <w:rPr>
          <w:rFonts w:hint="cs"/>
          <w:shd w:val="clear" w:color="auto" w:fill="FFFFFF"/>
          <w:rtl/>
        </w:rPr>
        <w:t xml:space="preserve">עניין </w:t>
      </w:r>
      <w:r w:rsidRPr="00386267">
        <w:rPr>
          <w:rFonts w:cs="Miriam" w:hint="eastAsia"/>
          <w:b/>
          <w:spacing w:val="0"/>
          <w:szCs w:val="24"/>
          <w:shd w:val="clear" w:color="auto" w:fill="FFFFFF"/>
          <w:rtl/>
        </w:rPr>
        <w:t>מרעי</w:t>
      </w:r>
      <w:r w:rsidRPr="00386267">
        <w:rPr>
          <w:shd w:val="clear" w:color="auto" w:fill="FFFFFF"/>
          <w:rtl/>
        </w:rPr>
        <w:t xml:space="preserve">, </w:t>
      </w:r>
      <w:r w:rsidRPr="00386267">
        <w:rPr>
          <w:rFonts w:hint="eastAsia"/>
          <w:shd w:val="clear" w:color="auto" w:fill="FFFFFF"/>
          <w:rtl/>
        </w:rPr>
        <w:t>פסקה</w:t>
      </w:r>
      <w:r w:rsidRPr="00386267">
        <w:rPr>
          <w:shd w:val="clear" w:color="auto" w:fill="FFFFFF"/>
          <w:rtl/>
        </w:rPr>
        <w:t xml:space="preserve"> 9</w:t>
      </w:r>
      <w:r w:rsidRPr="00386267">
        <w:rPr>
          <w:rFonts w:hint="cs"/>
          <w:rtl/>
        </w:rPr>
        <w:t>)</w:t>
      </w:r>
      <w:r>
        <w:rPr>
          <w:rFonts w:hint="cs"/>
          <w:rtl/>
        </w:rPr>
        <w:t>.</w:t>
      </w:r>
      <w:r w:rsidRPr="00A36738">
        <w:rPr>
          <w:rFonts w:hint="cs"/>
          <w:rtl/>
        </w:rPr>
        <w:t xml:space="preserve"> </w:t>
      </w:r>
      <w:r>
        <w:rPr>
          <w:rFonts w:hint="cs"/>
          <w:rtl/>
        </w:rPr>
        <w:t xml:space="preserve">באחד מפסקי הדין אף נקבע, כי הקניית נכסים לאפוטרופוס לנכסי נפקדים, </w:t>
      </w:r>
      <w:r w:rsidRPr="0051109D">
        <w:rPr>
          <w:rFonts w:ascii="Century" w:hAnsi="Century" w:cs="Miriam" w:hint="cs"/>
          <w:b/>
          <w:spacing w:val="0"/>
          <w:szCs w:val="24"/>
          <w:rtl/>
        </w:rPr>
        <w:t>"אינה מגבשת כשלעצמה עצימת עיניים מכוונת, אף אם לא לוותה בבירורים נוספים וב</w:t>
      </w:r>
      <w:r>
        <w:rPr>
          <w:rFonts w:ascii="Century" w:hAnsi="Century" w:cs="Miriam" w:hint="cs"/>
          <w:b/>
          <w:spacing w:val="0"/>
          <w:szCs w:val="24"/>
          <w:rtl/>
        </w:rPr>
        <w:t>'</w:t>
      </w:r>
      <w:r w:rsidRPr="0051109D">
        <w:rPr>
          <w:rFonts w:ascii="Century" w:hAnsi="Century" w:cs="Miriam" w:hint="cs"/>
          <w:b/>
          <w:spacing w:val="0"/>
          <w:szCs w:val="24"/>
          <w:rtl/>
        </w:rPr>
        <w:t>ירידה לשטח'"</w:t>
      </w:r>
      <w:r>
        <w:rPr>
          <w:rFonts w:hint="cs"/>
          <w:rtl/>
        </w:rPr>
        <w:t xml:space="preserve"> (עניין </w:t>
      </w:r>
      <w:r w:rsidRPr="0051109D">
        <w:rPr>
          <w:rFonts w:ascii="Century" w:hAnsi="Century" w:cs="Miriam" w:hint="cs"/>
          <w:b/>
          <w:spacing w:val="0"/>
          <w:szCs w:val="24"/>
          <w:rtl/>
        </w:rPr>
        <w:t>חוות מקורה</w:t>
      </w:r>
      <w:r>
        <w:rPr>
          <w:rFonts w:hint="cs"/>
          <w:rtl/>
        </w:rPr>
        <w:t xml:space="preserve">, עמ' 20; אציין כבר עתה, כפי שאפרט בהמשך, כי בענייננו היתה גם היתה 'ירידה לשטח'). חברתי, הנשיאה </w:t>
      </w:r>
      <w:r w:rsidRPr="00753B6F">
        <w:rPr>
          <w:rFonts w:ascii="Century" w:hAnsi="Century" w:cs="Miriam" w:hint="cs"/>
          <w:b/>
          <w:spacing w:val="0"/>
          <w:szCs w:val="24"/>
          <w:rtl/>
        </w:rPr>
        <w:t>חיות</w:t>
      </w:r>
      <w:r>
        <w:rPr>
          <w:rFonts w:hint="cs"/>
          <w:rtl/>
        </w:rPr>
        <w:t xml:space="preserve">, בפסק הדין בערעור, קבעה כי אמת המידה צריכה להיות </w:t>
      </w:r>
      <w:r w:rsidRPr="00E63177">
        <w:rPr>
          <w:rFonts w:ascii="Century" w:hAnsi="Century" w:cs="Miriam" w:hint="cs"/>
          <w:b/>
          <w:spacing w:val="0"/>
          <w:szCs w:val="24"/>
          <w:rtl/>
        </w:rPr>
        <w:t>"קפדנית"</w:t>
      </w:r>
      <w:r>
        <w:rPr>
          <w:rFonts w:hint="cs"/>
          <w:rtl/>
        </w:rPr>
        <w:t xml:space="preserve">, בדומה לזו שנקבעה </w:t>
      </w:r>
      <w:r>
        <w:rPr>
          <w:rFonts w:hint="cs"/>
          <w:rtl/>
        </w:rPr>
        <w:lastRenderedPageBreak/>
        <w:t xml:space="preserve">לגבי סעיף 17(א) לחוק נכסי נפקדים (שם, פסקה 44). בעיקר, נסמכה חברתי הנשיאה </w:t>
      </w:r>
      <w:r w:rsidRPr="002F0299">
        <w:rPr>
          <w:rFonts w:ascii="Century" w:hAnsi="Century" w:cs="Miriam" w:hint="cs"/>
          <w:b/>
          <w:spacing w:val="0"/>
          <w:szCs w:val="24"/>
          <w:rtl/>
        </w:rPr>
        <w:t>חיות</w:t>
      </w:r>
      <w:r>
        <w:rPr>
          <w:rFonts w:hint="cs"/>
          <w:rtl/>
        </w:rPr>
        <w:t>, על עניין</w:t>
      </w:r>
      <w:r w:rsidRPr="00386267">
        <w:rPr>
          <w:rFonts w:cs="Miriam"/>
          <w:b/>
          <w:spacing w:val="0"/>
          <w:szCs w:val="24"/>
          <w:rtl/>
        </w:rPr>
        <w:t xml:space="preserve"> </w:t>
      </w:r>
      <w:r w:rsidRPr="00386267">
        <w:rPr>
          <w:rFonts w:cs="Miriam" w:hint="eastAsia"/>
          <w:b/>
          <w:spacing w:val="0"/>
          <w:szCs w:val="24"/>
          <w:rtl/>
        </w:rPr>
        <w:t>טברי</w:t>
      </w:r>
      <w:r>
        <w:rPr>
          <w:rFonts w:hint="cs"/>
          <w:rtl/>
        </w:rPr>
        <w:t xml:space="preserve">, שם צוין כי </w:t>
      </w:r>
      <w:r w:rsidRPr="00017202">
        <w:rPr>
          <w:rFonts w:cs="Miriam" w:hint="cs"/>
          <w:b/>
          <w:spacing w:val="0"/>
          <w:szCs w:val="24"/>
          <w:rtl/>
        </w:rPr>
        <w:t>"הרף הסובייקטיבי הוצב בפסיקה במקום גבוה"</w:t>
      </w:r>
      <w:r>
        <w:rPr>
          <w:rFonts w:hint="cs"/>
          <w:rtl/>
        </w:rPr>
        <w:t xml:space="preserve"> (שם, עמ' 581); ועל האמור ב</w:t>
      </w:r>
      <w:r w:rsidRPr="00A115B6">
        <w:rPr>
          <w:rFonts w:hint="cs"/>
          <w:shd w:val="clear" w:color="auto" w:fill="FFFFFF"/>
          <w:rtl/>
        </w:rPr>
        <w:t>ע"א 6783/98</w:t>
      </w:r>
      <w:r w:rsidRPr="00A115B6">
        <w:rPr>
          <w:shd w:val="clear" w:color="auto" w:fill="FFFFFF"/>
          <w:rtl/>
        </w:rPr>
        <w:t> </w:t>
      </w:r>
      <w:r w:rsidRPr="00A115B6">
        <w:rPr>
          <w:rFonts w:cs="Miriam"/>
          <w:b/>
          <w:spacing w:val="0"/>
          <w:szCs w:val="24"/>
          <w:shd w:val="clear" w:color="auto" w:fill="FFFFFF"/>
          <w:rtl/>
        </w:rPr>
        <w:t>האפוטרופוס לנכסי נפקדים נ' עיזבון מוסא</w:t>
      </w:r>
      <w:r w:rsidRPr="00A115B6">
        <w:rPr>
          <w:rFonts w:hint="cs"/>
          <w:shd w:val="clear" w:color="auto" w:fill="FFFFFF"/>
          <w:rtl/>
        </w:rPr>
        <w:t xml:space="preserve">, פ"ד </w:t>
      </w:r>
      <w:r w:rsidRPr="00A115B6">
        <w:rPr>
          <w:shd w:val="clear" w:color="auto" w:fill="FFFFFF"/>
          <w:rtl/>
        </w:rPr>
        <w:t>נו(4) 161</w:t>
      </w:r>
      <w:r w:rsidRPr="00A115B6">
        <w:rPr>
          <w:rFonts w:hint="cs"/>
          <w:shd w:val="clear" w:color="auto" w:fill="FFFFFF"/>
          <w:rtl/>
        </w:rPr>
        <w:t xml:space="preserve"> (2002)</w:t>
      </w:r>
      <w:r>
        <w:rPr>
          <w:rFonts w:hint="cs"/>
          <w:shd w:val="clear" w:color="auto" w:fill="FFFFFF"/>
          <w:rtl/>
        </w:rPr>
        <w:t xml:space="preserve">, שבו </w:t>
      </w:r>
      <w:r>
        <w:rPr>
          <w:rFonts w:hint="cs"/>
          <w:rtl/>
        </w:rPr>
        <w:t xml:space="preserve">צוין כי </w:t>
      </w:r>
      <w:r w:rsidRPr="00017202">
        <w:rPr>
          <w:rFonts w:cs="Miriam" w:hint="cs"/>
          <w:b/>
          <w:spacing w:val="0"/>
          <w:szCs w:val="24"/>
          <w:rtl/>
        </w:rPr>
        <w:t>"</w:t>
      </w:r>
      <w:r w:rsidRPr="00017202">
        <w:rPr>
          <w:rFonts w:cs="Miriam"/>
          <w:b/>
          <w:spacing w:val="0"/>
          <w:szCs w:val="24"/>
          <w:shd w:val="clear" w:color="auto" w:fill="FFFFFF"/>
          <w:rtl/>
        </w:rPr>
        <w:t>אמת</w:t>
      </w:r>
      <w:r>
        <w:rPr>
          <w:rFonts w:cs="Miriam" w:hint="cs"/>
          <w:b/>
          <w:spacing w:val="0"/>
          <w:szCs w:val="24"/>
          <w:shd w:val="clear" w:color="auto" w:fill="FFFFFF"/>
          <w:rtl/>
        </w:rPr>
        <w:t>-המ</w:t>
      </w:r>
      <w:r w:rsidRPr="00017202">
        <w:rPr>
          <w:rFonts w:cs="Miriam"/>
          <w:b/>
          <w:spacing w:val="0"/>
          <w:szCs w:val="24"/>
          <w:shd w:val="clear" w:color="auto" w:fill="FFFFFF"/>
          <w:rtl/>
        </w:rPr>
        <w:t>ידה שננקטה בבחינת התקיימותו של תו</w:t>
      </w:r>
      <w:r>
        <w:rPr>
          <w:rFonts w:cs="Miriam" w:hint="cs"/>
          <w:b/>
          <w:spacing w:val="0"/>
          <w:szCs w:val="24"/>
          <w:shd w:val="clear" w:color="auto" w:fill="FFFFFF"/>
          <w:rtl/>
        </w:rPr>
        <w:t>ם-הל</w:t>
      </w:r>
      <w:r w:rsidRPr="00017202">
        <w:rPr>
          <w:rFonts w:cs="Miriam"/>
          <w:b/>
          <w:spacing w:val="0"/>
          <w:szCs w:val="24"/>
          <w:shd w:val="clear" w:color="auto" w:fill="FFFFFF"/>
          <w:rtl/>
        </w:rPr>
        <w:t>ב, בהקשר הנדון, היא אמ</w:t>
      </w:r>
      <w:r>
        <w:rPr>
          <w:rFonts w:cs="Miriam" w:hint="cs"/>
          <w:b/>
          <w:spacing w:val="0"/>
          <w:szCs w:val="24"/>
          <w:shd w:val="clear" w:color="auto" w:fill="FFFFFF"/>
          <w:rtl/>
        </w:rPr>
        <w:t>ת-</w:t>
      </w:r>
      <w:r w:rsidRPr="00017202">
        <w:rPr>
          <w:rFonts w:cs="Miriam"/>
          <w:b/>
          <w:spacing w:val="0"/>
          <w:szCs w:val="24"/>
          <w:shd w:val="clear" w:color="auto" w:fill="FFFFFF"/>
          <w:rtl/>
        </w:rPr>
        <w:t>מידה קפדנית שאינה מקלה עם הרשויות המעורבות המבקשות לחסות בצלה של הגנת תו</w:t>
      </w:r>
      <w:r>
        <w:rPr>
          <w:rFonts w:cs="Miriam" w:hint="cs"/>
          <w:b/>
          <w:spacing w:val="0"/>
          <w:szCs w:val="24"/>
          <w:shd w:val="clear" w:color="auto" w:fill="FFFFFF"/>
          <w:rtl/>
        </w:rPr>
        <w:t>ם-</w:t>
      </w:r>
      <w:r w:rsidRPr="00017202">
        <w:rPr>
          <w:rFonts w:cs="Miriam"/>
          <w:b/>
          <w:spacing w:val="0"/>
          <w:szCs w:val="24"/>
          <w:shd w:val="clear" w:color="auto" w:fill="FFFFFF"/>
          <w:rtl/>
        </w:rPr>
        <w:t>הלב</w:t>
      </w:r>
      <w:r w:rsidRPr="00017202">
        <w:rPr>
          <w:rFonts w:cs="Miriam" w:hint="cs"/>
          <w:b/>
          <w:spacing w:val="0"/>
          <w:szCs w:val="24"/>
          <w:shd w:val="clear" w:color="auto" w:fill="FFFFFF"/>
          <w:rtl/>
        </w:rPr>
        <w:t>"</w:t>
      </w:r>
      <w:r>
        <w:rPr>
          <w:rFonts w:hint="cs"/>
          <w:rtl/>
        </w:rPr>
        <w:t xml:space="preserve">. לאחרונה ממש, אף הובעה הדעה שלפיה </w:t>
      </w:r>
      <w:r w:rsidRPr="00753B6F">
        <w:rPr>
          <w:rFonts w:ascii="Century" w:hAnsi="Century" w:cs="Miriam" w:hint="cs"/>
          <w:b/>
          <w:spacing w:val="0"/>
          <w:szCs w:val="24"/>
          <w:rtl/>
        </w:rPr>
        <w:t>"יש להביא בחשבון גם רכיבים אובייקטיב</w:t>
      </w:r>
      <w:r>
        <w:rPr>
          <w:rFonts w:ascii="Century" w:hAnsi="Century" w:cs="Miriam" w:hint="cs"/>
          <w:b/>
          <w:spacing w:val="0"/>
          <w:szCs w:val="24"/>
          <w:rtl/>
        </w:rPr>
        <w:t>י</w:t>
      </w:r>
      <w:r w:rsidRPr="00753B6F">
        <w:rPr>
          <w:rFonts w:ascii="Century" w:hAnsi="Century" w:cs="Miriam" w:hint="cs"/>
          <w:b/>
          <w:spacing w:val="0"/>
          <w:szCs w:val="24"/>
          <w:rtl/>
        </w:rPr>
        <w:t>ים מסוימים בהתנהלותן של הרשויות המעורבות"</w:t>
      </w:r>
      <w:r>
        <w:rPr>
          <w:rFonts w:hint="cs"/>
          <w:rtl/>
        </w:rPr>
        <w:t xml:space="preserve">, לצורך החלת סעיף 17(א) לחוק נכסי נפקדים (עניין </w:t>
      </w:r>
      <w:r w:rsidRPr="00753B6F">
        <w:rPr>
          <w:rFonts w:ascii="Century" w:hAnsi="Century" w:cs="Miriam" w:hint="cs"/>
          <w:b/>
          <w:spacing w:val="0"/>
          <w:szCs w:val="24"/>
          <w:rtl/>
        </w:rPr>
        <w:t>עקל</w:t>
      </w:r>
      <w:r>
        <w:rPr>
          <w:rFonts w:hint="cs"/>
          <w:rtl/>
        </w:rPr>
        <w:t xml:space="preserve">, פסקה 18 לפסק הדין של השופט </w:t>
      </w:r>
      <w:r w:rsidRPr="00753B6F">
        <w:rPr>
          <w:rFonts w:ascii="Century" w:hAnsi="Century" w:cs="Miriam" w:hint="cs"/>
          <w:b/>
          <w:spacing w:val="0"/>
          <w:szCs w:val="24"/>
          <w:rtl/>
        </w:rPr>
        <w:t>ע' גרוסקופף</w:t>
      </w:r>
      <w:r>
        <w:rPr>
          <w:rFonts w:hint="cs"/>
          <w:rtl/>
        </w:rPr>
        <w:t xml:space="preserve">); אולם, קביעה זו לא התגבשה לכדי הלכה מחייבת (ראו שם, בפסק הדין של השופט </w:t>
      </w:r>
      <w:r w:rsidRPr="00C3275D">
        <w:rPr>
          <w:rFonts w:ascii="Century" w:hAnsi="Century" w:cs="Miriam" w:hint="cs"/>
          <w:b/>
          <w:spacing w:val="0"/>
          <w:szCs w:val="24"/>
          <w:rtl/>
        </w:rPr>
        <w:t>ד' מינץ</w:t>
      </w:r>
      <w:r>
        <w:rPr>
          <w:rFonts w:hint="cs"/>
          <w:rtl/>
        </w:rPr>
        <w:t>).</w:t>
      </w:r>
    </w:p>
    <w:p w:rsidR="00295623" w:rsidRPr="002F0299" w:rsidRDefault="00295623" w:rsidP="00295623">
      <w:pPr>
        <w:pStyle w:val="Ruller41"/>
        <w:tabs>
          <w:tab w:val="left" w:pos="90"/>
        </w:tabs>
        <w:spacing w:line="240" w:lineRule="auto"/>
      </w:pPr>
    </w:p>
    <w:p w:rsidR="00295623" w:rsidRDefault="00295623" w:rsidP="00295623">
      <w:pPr>
        <w:pStyle w:val="Ruller41"/>
      </w:pPr>
      <w:r>
        <w:rPr>
          <w:rFonts w:hint="cs"/>
          <w:rtl/>
        </w:rPr>
        <w:t>92.</w:t>
      </w:r>
      <w:r>
        <w:rPr>
          <w:rFonts w:hint="cs"/>
          <w:rtl/>
        </w:rPr>
        <w:tab/>
        <w:t>אינני משוכנע כי הפסיקה שהובאה, מובילה בהכרח למסקנה, כי יש לבחון את תום ליבו של האפוטרופוס לנכסי נפקדים, וכמוהו גם את תום ליבו של הממונה דנן, בצורה כה קפדנית. יגעתי וחיפשתי אותם מקרים שבהם נפסק, על-ידי בית משפט זה, כי האפוטרופוס לא עמד בחובת תום הלב, ובחַכָּתִי העליתי מקרים בודדים בלבד; מתי מעט. גם מקרים אלו, ברובם, היו בנסיבות ש'זעקו' חוסר תום לב סובייקטיבי מצד הממונה, גם ללא דקדוקים קפדניים. כך, ב</w:t>
      </w:r>
      <w:r w:rsidRPr="00E63177">
        <w:rPr>
          <w:rFonts w:hint="eastAsia"/>
          <w:rtl/>
        </w:rPr>
        <w:t>ע</w:t>
      </w:r>
      <w:r w:rsidRPr="00E63177">
        <w:rPr>
          <w:rtl/>
        </w:rPr>
        <w:t>"</w:t>
      </w:r>
      <w:r w:rsidRPr="00E63177">
        <w:rPr>
          <w:rFonts w:hint="eastAsia"/>
          <w:rtl/>
        </w:rPr>
        <w:t>א</w:t>
      </w:r>
      <w:r w:rsidRPr="00E63177">
        <w:rPr>
          <w:rtl/>
        </w:rPr>
        <w:t xml:space="preserve"> 5685/94 </w:t>
      </w:r>
      <w:r w:rsidRPr="00E63177">
        <w:rPr>
          <w:rFonts w:ascii="Century" w:hAnsi="Century" w:cs="Miriam" w:hint="eastAsia"/>
          <w:b/>
          <w:spacing w:val="0"/>
          <w:szCs w:val="24"/>
          <w:rtl/>
        </w:rPr>
        <w:t>עמותת</w:t>
      </w:r>
      <w:r w:rsidRPr="00E63177">
        <w:rPr>
          <w:rFonts w:ascii="Century" w:hAnsi="Century" w:cs="Miriam"/>
          <w:b/>
          <w:spacing w:val="0"/>
          <w:szCs w:val="24"/>
          <w:rtl/>
        </w:rPr>
        <w:t xml:space="preserve"> </w:t>
      </w:r>
      <w:r w:rsidRPr="00E63177">
        <w:rPr>
          <w:rFonts w:ascii="Century" w:hAnsi="Century" w:cs="Miriam" w:hint="eastAsia"/>
          <w:b/>
          <w:spacing w:val="0"/>
          <w:szCs w:val="24"/>
          <w:rtl/>
        </w:rPr>
        <w:t>א</w:t>
      </w:r>
      <w:r w:rsidRPr="00E63177">
        <w:rPr>
          <w:rFonts w:ascii="Century" w:hAnsi="Century" w:cs="Miriam"/>
          <w:b/>
          <w:spacing w:val="0"/>
          <w:szCs w:val="24"/>
          <w:rtl/>
        </w:rPr>
        <w:t>.</w:t>
      </w:r>
      <w:r w:rsidRPr="00E63177">
        <w:rPr>
          <w:rFonts w:ascii="Century" w:hAnsi="Century" w:cs="Miriam" w:hint="eastAsia"/>
          <w:b/>
          <w:spacing w:val="0"/>
          <w:szCs w:val="24"/>
          <w:rtl/>
        </w:rPr>
        <w:t>ל</w:t>
      </w:r>
      <w:r w:rsidRPr="00E63177">
        <w:rPr>
          <w:rFonts w:ascii="Century" w:hAnsi="Century" w:cs="Miriam"/>
          <w:b/>
          <w:spacing w:val="0"/>
          <w:szCs w:val="24"/>
          <w:rtl/>
        </w:rPr>
        <w:t>.</w:t>
      </w:r>
      <w:r w:rsidRPr="00E63177">
        <w:rPr>
          <w:rFonts w:ascii="Century" w:hAnsi="Century" w:cs="Miriam" w:hint="eastAsia"/>
          <w:b/>
          <w:spacing w:val="0"/>
          <w:szCs w:val="24"/>
          <w:rtl/>
        </w:rPr>
        <w:t>ע</w:t>
      </w:r>
      <w:r w:rsidRPr="00E63177">
        <w:rPr>
          <w:rFonts w:ascii="Century" w:hAnsi="Century" w:cs="Miriam"/>
          <w:b/>
          <w:spacing w:val="0"/>
          <w:szCs w:val="24"/>
          <w:rtl/>
        </w:rPr>
        <w:t>.</w:t>
      </w:r>
      <w:r w:rsidRPr="00E63177">
        <w:rPr>
          <w:rFonts w:ascii="Century" w:hAnsi="Century" w:cs="Miriam" w:hint="eastAsia"/>
          <w:b/>
          <w:spacing w:val="0"/>
          <w:szCs w:val="24"/>
          <w:rtl/>
        </w:rPr>
        <w:t>ד</w:t>
      </w:r>
      <w:r w:rsidRPr="00E63177">
        <w:rPr>
          <w:rFonts w:ascii="Century" w:hAnsi="Century" w:cs="Miriam"/>
          <w:b/>
          <w:spacing w:val="0"/>
          <w:szCs w:val="24"/>
          <w:rtl/>
        </w:rPr>
        <w:t xml:space="preserve"> </w:t>
      </w:r>
      <w:r w:rsidRPr="00E63177">
        <w:rPr>
          <w:rFonts w:ascii="Century" w:hAnsi="Century" w:cs="Miriam" w:hint="eastAsia"/>
          <w:b/>
          <w:spacing w:val="0"/>
          <w:szCs w:val="24"/>
          <w:rtl/>
        </w:rPr>
        <w:t>נ</w:t>
      </w:r>
      <w:r w:rsidRPr="00E63177">
        <w:rPr>
          <w:rFonts w:ascii="Century" w:hAnsi="Century" w:cs="Miriam"/>
          <w:b/>
          <w:spacing w:val="0"/>
          <w:szCs w:val="24"/>
          <w:rtl/>
        </w:rPr>
        <w:t xml:space="preserve">' </w:t>
      </w:r>
      <w:r w:rsidRPr="00E63177">
        <w:rPr>
          <w:rFonts w:ascii="Century" w:hAnsi="Century" w:cs="Miriam" w:hint="eastAsia"/>
          <w:b/>
          <w:spacing w:val="0"/>
          <w:szCs w:val="24"/>
          <w:rtl/>
        </w:rPr>
        <w:t>אלעבסי</w:t>
      </w:r>
      <w:r w:rsidRPr="00E63177">
        <w:rPr>
          <w:rtl/>
        </w:rPr>
        <w:t xml:space="preserve">, </w:t>
      </w:r>
      <w:r w:rsidRPr="00E63177">
        <w:rPr>
          <w:rFonts w:hint="eastAsia"/>
          <w:rtl/>
        </w:rPr>
        <w:t>פ</w:t>
      </w:r>
      <w:r w:rsidRPr="00E63177">
        <w:rPr>
          <w:rtl/>
        </w:rPr>
        <w:t>"</w:t>
      </w:r>
      <w:r w:rsidRPr="00E63177">
        <w:rPr>
          <w:rFonts w:hint="eastAsia"/>
          <w:rtl/>
        </w:rPr>
        <w:t>ד</w:t>
      </w:r>
      <w:r w:rsidRPr="00E63177">
        <w:rPr>
          <w:rtl/>
        </w:rPr>
        <w:t xml:space="preserve"> </w:t>
      </w:r>
      <w:r w:rsidRPr="00E63177">
        <w:rPr>
          <w:rFonts w:hint="eastAsia"/>
          <w:rtl/>
        </w:rPr>
        <w:t>נג</w:t>
      </w:r>
      <w:r w:rsidRPr="00E63177">
        <w:rPr>
          <w:rtl/>
        </w:rPr>
        <w:t>(4) 730 (1999)</w:t>
      </w:r>
      <w:r>
        <w:rPr>
          <w:rFonts w:hint="cs"/>
          <w:rtl/>
        </w:rPr>
        <w:t xml:space="preserve">, הוכח בערכאה הדיונית כי האפוטרופוס לנכסי נפקדים מכר נכס שהכריז עליו 'נפקד', על אף </w:t>
      </w:r>
      <w:r w:rsidRPr="00F90FF1">
        <w:rPr>
          <w:rFonts w:ascii="Century" w:hAnsi="Century" w:cs="Miriam" w:hint="cs"/>
          <w:b/>
          <w:spacing w:val="0"/>
          <w:szCs w:val="24"/>
          <w:rtl/>
        </w:rPr>
        <w:t>שידע</w:t>
      </w:r>
      <w:r w:rsidRPr="00F90FF1">
        <w:rPr>
          <w:rFonts w:hint="cs"/>
          <w:rtl/>
        </w:rPr>
        <w:t xml:space="preserve"> </w:t>
      </w:r>
      <w:r>
        <w:rPr>
          <w:rFonts w:hint="cs"/>
          <w:rtl/>
        </w:rPr>
        <w:t xml:space="preserve">כי חלק ממנו שייך לבעלי זכויות שאינם נפקדים. לא בכדי נכתב שם, כי מדובר במקרה המלמד על קיומו של </w:t>
      </w:r>
      <w:r w:rsidRPr="00B94221">
        <w:rPr>
          <w:rFonts w:ascii="Century" w:hAnsi="Century" w:cs="Miriam" w:hint="cs"/>
          <w:b/>
          <w:spacing w:val="0"/>
          <w:szCs w:val="24"/>
          <w:rtl/>
        </w:rPr>
        <w:t>"חוסר תום לב קיצוני"</w:t>
      </w:r>
      <w:r>
        <w:rPr>
          <w:rFonts w:hint="cs"/>
          <w:rtl/>
        </w:rPr>
        <w:t xml:space="preserve"> (שם, עמ' 746-745); כך גם בעניין </w:t>
      </w:r>
      <w:r w:rsidRPr="00B94221">
        <w:rPr>
          <w:rFonts w:ascii="Century" w:hAnsi="Century" w:cs="Miriam" w:hint="cs"/>
          <w:b/>
          <w:spacing w:val="0"/>
          <w:szCs w:val="24"/>
          <w:rtl/>
        </w:rPr>
        <w:t>חוות מקורה</w:t>
      </w:r>
      <w:r>
        <w:rPr>
          <w:rFonts w:hint="cs"/>
          <w:rtl/>
        </w:rPr>
        <w:t xml:space="preserve"> (עמ' 22-21), שבו נקבע כי הוכחה </w:t>
      </w:r>
      <w:r w:rsidRPr="00B94221">
        <w:rPr>
          <w:rFonts w:ascii="Century" w:hAnsi="Century" w:cs="Miriam" w:hint="cs"/>
          <w:b/>
          <w:spacing w:val="0"/>
          <w:szCs w:val="24"/>
          <w:rtl/>
        </w:rPr>
        <w:t>"</w:t>
      </w:r>
      <w:r w:rsidRPr="00B94221">
        <w:rPr>
          <w:rFonts w:ascii="Century" w:hAnsi="Century" w:cs="Miriam" w:hint="cs"/>
          <w:b/>
          <w:spacing w:val="0"/>
          <w:szCs w:val="24"/>
          <w:u w:val="single"/>
          <w:rtl/>
        </w:rPr>
        <w:t>ידיעה בפועל</w:t>
      </w:r>
      <w:r w:rsidRPr="00B94221">
        <w:rPr>
          <w:rFonts w:ascii="Century" w:hAnsi="Century" w:cs="Miriam" w:hint="cs"/>
          <w:b/>
          <w:spacing w:val="0"/>
          <w:szCs w:val="24"/>
          <w:shd w:val="clear" w:color="auto" w:fill="FFFFFF"/>
          <w:rtl/>
        </w:rPr>
        <w:t xml:space="preserve"> </w:t>
      </w:r>
      <w:r w:rsidRPr="00B94221">
        <w:rPr>
          <w:rFonts w:ascii="Century" w:hAnsi="Century" w:cs="Miriam"/>
          <w:b/>
          <w:spacing w:val="0"/>
          <w:szCs w:val="24"/>
          <w:shd w:val="clear" w:color="auto" w:fill="FFFFFF"/>
          <w:rtl/>
        </w:rPr>
        <w:t>של נציגי הרשויות השונות</w:t>
      </w:r>
      <w:r>
        <w:rPr>
          <w:rFonts w:ascii="Century" w:hAnsi="Century" w:cs="Miriam" w:hint="cs"/>
          <w:b/>
          <w:spacing w:val="0"/>
          <w:szCs w:val="24"/>
          <w:shd w:val="clear" w:color="auto" w:fill="FFFFFF"/>
          <w:rtl/>
        </w:rPr>
        <w:t xml:space="preserve"> [...]</w:t>
      </w:r>
      <w:r w:rsidRPr="00B94221">
        <w:rPr>
          <w:rFonts w:ascii="Century" w:hAnsi="Century" w:cs="Miriam"/>
          <w:b/>
          <w:spacing w:val="0"/>
          <w:szCs w:val="24"/>
          <w:shd w:val="clear" w:color="auto" w:fill="FFFFFF"/>
          <w:rtl/>
        </w:rPr>
        <w:t xml:space="preserve"> על מציאות המשיבים בשטח</w:t>
      </w:r>
      <w:r w:rsidRPr="00B94221">
        <w:rPr>
          <w:rFonts w:ascii="Century" w:hAnsi="Century" w:cs="Miriam" w:hint="cs"/>
          <w:b/>
          <w:spacing w:val="0"/>
          <w:szCs w:val="24"/>
          <w:shd w:val="clear" w:color="auto" w:fill="FFFFFF"/>
          <w:rtl/>
        </w:rPr>
        <w:t>"</w:t>
      </w:r>
      <w:r>
        <w:rPr>
          <w:rFonts w:hint="cs"/>
          <w:rtl/>
        </w:rPr>
        <w:t xml:space="preserve"> (ההדגשה הוּספה </w:t>
      </w:r>
      <w:r>
        <w:rPr>
          <w:rtl/>
        </w:rPr>
        <w:t>–</w:t>
      </w:r>
      <w:r>
        <w:rPr>
          <w:rFonts w:hint="cs"/>
          <w:rtl/>
        </w:rPr>
        <w:t xml:space="preserve"> נ' ס'), וכי מדובר ב</w:t>
      </w:r>
      <w:r w:rsidRPr="00B94221">
        <w:rPr>
          <w:rFonts w:ascii="Century" w:hAnsi="Century" w:cs="Miriam" w:hint="cs"/>
          <w:b/>
          <w:spacing w:val="0"/>
          <w:szCs w:val="24"/>
          <w:rtl/>
        </w:rPr>
        <w:t>"עצימת עיניים מכוונת"</w:t>
      </w:r>
      <w:r>
        <w:rPr>
          <w:rFonts w:hint="cs"/>
          <w:rtl/>
        </w:rPr>
        <w:t xml:space="preserve">. אמנם, בעניין </w:t>
      </w:r>
      <w:r w:rsidRPr="00753B6F">
        <w:rPr>
          <w:rFonts w:ascii="Century" w:hAnsi="Century" w:cs="Miriam" w:hint="cs"/>
          <w:b/>
          <w:spacing w:val="0"/>
          <w:szCs w:val="24"/>
          <w:rtl/>
        </w:rPr>
        <w:t>עקל</w:t>
      </w:r>
      <w:r>
        <w:rPr>
          <w:rFonts w:hint="cs"/>
          <w:rtl/>
        </w:rPr>
        <w:t xml:space="preserve">, שניתן אך לאחרונה, נקבע כי האפוטרופוס ורשות הפיתוח לא יוכלו לחסות תחת כנפי סעיף 17(א) לחוק נכסי נפקדים, משלא עמדו בחובת תום הלב, אך הדבר נקבע, רק מחמת העובדה כי הרשויות המעורבות לא </w:t>
      </w:r>
      <w:r w:rsidRPr="00753B6F">
        <w:rPr>
          <w:rFonts w:ascii="Century" w:hAnsi="Century" w:cs="Miriam" w:hint="cs"/>
          <w:b/>
          <w:spacing w:val="0"/>
          <w:szCs w:val="24"/>
          <w:rtl/>
        </w:rPr>
        <w:t>"ביצעו בדיקות כלשהן"</w:t>
      </w:r>
      <w:r>
        <w:rPr>
          <w:rFonts w:hint="cs"/>
          <w:rtl/>
        </w:rPr>
        <w:t xml:space="preserve">, ולא ערכו </w:t>
      </w:r>
      <w:r w:rsidRPr="00753B6F">
        <w:rPr>
          <w:rFonts w:ascii="Century" w:hAnsi="Century" w:cs="Miriam" w:hint="cs"/>
          <w:b/>
          <w:spacing w:val="0"/>
          <w:szCs w:val="24"/>
          <w:rtl/>
        </w:rPr>
        <w:t>"בדיקות ובירורים בסיסיים"</w:t>
      </w:r>
      <w:r>
        <w:rPr>
          <w:rFonts w:hint="cs"/>
          <w:rtl/>
        </w:rPr>
        <w:t xml:space="preserve">, בטרם רשמו את הקרקע על שמן (שם, פסקאות 25-24 לפסק הדין של השופט </w:t>
      </w:r>
      <w:r w:rsidRPr="00C3275D">
        <w:rPr>
          <w:rFonts w:ascii="Century" w:hAnsi="Century" w:cs="Miriam" w:hint="cs"/>
          <w:b/>
          <w:spacing w:val="0"/>
          <w:szCs w:val="24"/>
          <w:rtl/>
        </w:rPr>
        <w:t>ע' גרוסקופף</w:t>
      </w:r>
      <w:r>
        <w:rPr>
          <w:rFonts w:hint="cs"/>
          <w:rtl/>
        </w:rPr>
        <w:t xml:space="preserve">; ומכל מקום, כאמור </w:t>
      </w:r>
      <w:r>
        <w:rPr>
          <w:rtl/>
        </w:rPr>
        <w:t>–</w:t>
      </w:r>
      <w:r>
        <w:rPr>
          <w:rFonts w:hint="cs"/>
          <w:rtl/>
        </w:rPr>
        <w:t xml:space="preserve"> לא נקבעה בעניין זה הלכה). כפי שאראה להלן, לגישתי, נסיבות ענייננו </w:t>
      </w:r>
      <w:r>
        <w:rPr>
          <w:rtl/>
        </w:rPr>
        <w:t>–</w:t>
      </w:r>
      <w:r>
        <w:rPr>
          <w:rFonts w:hint="cs"/>
          <w:rtl/>
        </w:rPr>
        <w:t xml:space="preserve"> שונות הן, משבית המשפט המחוזי קבע, כממצא עובדתי, כי הצדדים להסכם האמינו באמונה כנה כי הקרקע נכללת בשטח התפוס בפועל, וכי בטרם הועתק מצפה כרמים למקומו הנוכחי, נערכו בדיקות ובירורים על-ידי גורמי המינהל האזרחי, על מנת לאמת זאת. בנוסף, בעניין </w:t>
      </w:r>
      <w:r w:rsidRPr="009250C6">
        <w:rPr>
          <w:rFonts w:ascii="Century" w:hAnsi="Century" w:cs="Miriam" w:hint="cs"/>
          <w:b/>
          <w:spacing w:val="0"/>
          <w:szCs w:val="24"/>
          <w:rtl/>
        </w:rPr>
        <w:t>עקל</w:t>
      </w:r>
      <w:r>
        <w:rPr>
          <w:rFonts w:hint="cs"/>
          <w:rtl/>
        </w:rPr>
        <w:t xml:space="preserve">, המקרקעין </w:t>
      </w:r>
      <w:r w:rsidRPr="002F0299">
        <w:rPr>
          <w:rFonts w:ascii="Century" w:hAnsi="Century" w:cs="Miriam" w:hint="cs"/>
          <w:b/>
          <w:spacing w:val="0"/>
          <w:szCs w:val="24"/>
          <w:rtl/>
        </w:rPr>
        <w:t>לא</w:t>
      </w:r>
      <w:r w:rsidRPr="002F0299">
        <w:rPr>
          <w:rFonts w:hint="cs"/>
          <w:rtl/>
        </w:rPr>
        <w:t xml:space="preserve"> </w:t>
      </w:r>
      <w:r>
        <w:rPr>
          <w:rFonts w:hint="cs"/>
          <w:rtl/>
        </w:rPr>
        <w:t xml:space="preserve">נמכרו לצדדים שלישיים, כך שמידת ההסתמכות על ה'עסקה' שביצע האפוטרופוס, ומידת הפגיעה בצדדים השלישיים </w:t>
      </w:r>
      <w:r>
        <w:rPr>
          <w:rtl/>
        </w:rPr>
        <w:t>–</w:t>
      </w:r>
      <w:r>
        <w:rPr>
          <w:rFonts w:hint="cs"/>
          <w:rtl/>
        </w:rPr>
        <w:t xml:space="preserve"> היתה פחותה לאין ערוך מזו שבענייננו-אנו; גם מטעם זה אין מקום להשוות בין המקרים. כך או כך, לשיטתי, בין אם </w:t>
      </w:r>
      <w:r>
        <w:rPr>
          <w:rFonts w:hint="cs"/>
          <w:rtl/>
        </w:rPr>
        <w:lastRenderedPageBreak/>
        <w:t xml:space="preserve">נטושה מחלוקת מסוימת באשר לאמת המידה הראויה לבחינת תום הלב של הממונה, בין אם לאו, סבורני כי אופן ישׂומה בנסיבות העניין </w:t>
      </w:r>
      <w:r>
        <w:rPr>
          <w:rtl/>
        </w:rPr>
        <w:t>–</w:t>
      </w:r>
      <w:r>
        <w:rPr>
          <w:rFonts w:hint="cs"/>
          <w:rtl/>
        </w:rPr>
        <w:t xml:space="preserve"> בין אם כבית הלל, ובין אם כבית שמאי </w:t>
      </w:r>
      <w:r>
        <w:rPr>
          <w:rtl/>
        </w:rPr>
        <w:t>–</w:t>
      </w:r>
      <w:r>
        <w:rPr>
          <w:rFonts w:hint="cs"/>
          <w:rtl/>
        </w:rPr>
        <w:t xml:space="preserve"> מוביל למסקנה ברורה, כי הממונה עמד בחובתו זו.   </w:t>
      </w:r>
    </w:p>
    <w:p w:rsidR="00295623" w:rsidRPr="005C3F86" w:rsidRDefault="00295623" w:rsidP="00295623">
      <w:pPr>
        <w:pStyle w:val="Ruller4"/>
        <w:numPr>
          <w:ilvl w:val="0"/>
          <w:numId w:val="0"/>
        </w:numPr>
        <w:tabs>
          <w:tab w:val="left" w:pos="90"/>
        </w:tabs>
        <w:spacing w:line="240" w:lineRule="auto"/>
      </w:pPr>
    </w:p>
    <w:p w:rsidR="00295623" w:rsidRDefault="00295623" w:rsidP="00295623">
      <w:pPr>
        <w:pStyle w:val="Ruller41"/>
      </w:pPr>
      <w:r>
        <w:rPr>
          <w:rFonts w:hint="cs"/>
          <w:rtl/>
        </w:rPr>
        <w:t>93.</w:t>
      </w:r>
      <w:r>
        <w:rPr>
          <w:rFonts w:hint="cs"/>
          <w:rtl/>
        </w:rPr>
        <w:tab/>
        <w:t xml:space="preserve">כאן המקום להזכיר, כי קיימות במקרה זה הצדקות קונקרטיות, התומכות דווקא בהרחבת ההגנה על המתקשר עם הממונה בעסקאות מקרקעין באיו"ש. העובדה כי מרבית המקרקעין באיו"ש אינם מוסדרים, וחלקם אף לא רשומים; כי המרשם לוקה באינפורמציה חסרה ובהעדר פומביות; כי קיימים אי-דיוקים במדידות ובמפות בשנים עברו; כי עיקר פועלו של ההסדר החוקי תחום להכשרת עסקאות 'ישנות', שבוצעו בעבר הרחוק, נתון המפיג גם את חששו של חברי המשנה לנשיאה, מפני </w:t>
      </w:r>
      <w:r w:rsidRPr="00E63177">
        <w:rPr>
          <w:rFonts w:ascii="Century" w:hAnsi="Century" w:cs="Miriam" w:hint="cs"/>
          <w:b/>
          <w:spacing w:val="0"/>
          <w:szCs w:val="24"/>
          <w:rtl/>
        </w:rPr>
        <w:t>"הרחבת מעגל העסקאות הלא כשרות"</w:t>
      </w:r>
      <w:r>
        <w:rPr>
          <w:rFonts w:hint="cs"/>
          <w:rtl/>
        </w:rPr>
        <w:t>; כי בית משפט זה הכריע בעניין</w:t>
      </w:r>
      <w:r w:rsidRPr="00E63177">
        <w:rPr>
          <w:rFonts w:ascii="Century" w:hAnsi="Century" w:cs="Miriam" w:hint="cs"/>
          <w:b/>
          <w:spacing w:val="0"/>
          <w:szCs w:val="24"/>
          <w:rtl/>
        </w:rPr>
        <w:t xml:space="preserve"> חוק ההסדרה</w:t>
      </w:r>
      <w:r>
        <w:rPr>
          <w:rFonts w:hint="cs"/>
          <w:rtl/>
        </w:rPr>
        <w:t xml:space="preserve">, שיש להעדיף הסדרים פרטניים, שבראשם סעיף 5, על פני חקיקה גורפת </w:t>
      </w:r>
      <w:r>
        <w:rPr>
          <w:rtl/>
        </w:rPr>
        <w:t>–</w:t>
      </w:r>
      <w:r>
        <w:rPr>
          <w:rFonts w:hint="cs"/>
          <w:rtl/>
        </w:rPr>
        <w:t xml:space="preserve"> כל אלו הביאוני לכלל מסקנה, כי אין מקום להחמיר את דרישת תום הלב; שמא ל</w:t>
      </w:r>
      <w:r>
        <w:rPr>
          <w:rtl/>
        </w:rPr>
        <w:t>הֵ</w:t>
      </w:r>
      <w:r>
        <w:rPr>
          <w:rFonts w:hint="cs"/>
          <w:rtl/>
        </w:rPr>
        <w:t>פך. לאחר שהקדמתי כמה מילים לגבי אמת המידה לבחינת תום הלב, אעבור עתה ליישום הדברים, על רקע נסיבות המקרה שלפנינו.</w:t>
      </w:r>
    </w:p>
    <w:p w:rsidR="00295623" w:rsidRPr="00F90FF1" w:rsidRDefault="00295623" w:rsidP="00295623">
      <w:pPr>
        <w:pStyle w:val="Ruller4"/>
        <w:numPr>
          <w:ilvl w:val="0"/>
          <w:numId w:val="0"/>
        </w:numPr>
        <w:tabs>
          <w:tab w:val="left" w:pos="90"/>
        </w:tabs>
        <w:rPr>
          <w:rtl/>
        </w:rPr>
      </w:pPr>
    </w:p>
    <w:p w:rsidR="00295623" w:rsidRPr="00F90FF1" w:rsidRDefault="00295623" w:rsidP="00295623">
      <w:pPr>
        <w:pStyle w:val="Ruller41"/>
        <w:tabs>
          <w:tab w:val="left" w:pos="90"/>
        </w:tabs>
        <w:spacing w:line="480" w:lineRule="auto"/>
        <w:rPr>
          <w:rFonts w:ascii="Century" w:hAnsi="Century" w:cs="Miriam"/>
          <w:b/>
          <w:spacing w:val="0"/>
          <w:szCs w:val="24"/>
        </w:rPr>
      </w:pPr>
      <w:r>
        <w:rPr>
          <w:rFonts w:ascii="Century" w:hAnsi="Century" w:cs="Miriam" w:hint="cs"/>
          <w:b/>
          <w:spacing w:val="0"/>
          <w:szCs w:val="24"/>
          <w:rtl/>
        </w:rPr>
        <w:t xml:space="preserve">דרישת </w:t>
      </w:r>
      <w:r w:rsidRPr="00F90FF1">
        <w:rPr>
          <w:rFonts w:ascii="Century" w:hAnsi="Century" w:cs="Miriam" w:hint="cs"/>
          <w:b/>
          <w:spacing w:val="0"/>
          <w:szCs w:val="24"/>
          <w:rtl/>
        </w:rPr>
        <w:t>תום</w:t>
      </w:r>
      <w:r>
        <w:rPr>
          <w:rFonts w:ascii="Century" w:hAnsi="Century" w:cs="Miriam" w:hint="cs"/>
          <w:b/>
          <w:spacing w:val="0"/>
          <w:szCs w:val="24"/>
          <w:rtl/>
        </w:rPr>
        <w:t xml:space="preserve"> ה</w:t>
      </w:r>
      <w:r w:rsidRPr="00F90FF1">
        <w:rPr>
          <w:rFonts w:ascii="Century" w:hAnsi="Century" w:cs="Miriam" w:hint="cs"/>
          <w:b/>
          <w:spacing w:val="0"/>
          <w:szCs w:val="24"/>
          <w:rtl/>
        </w:rPr>
        <w:t>לב בנסיבות ה</w:t>
      </w:r>
      <w:r>
        <w:rPr>
          <w:rFonts w:ascii="Century" w:hAnsi="Century" w:cs="Miriam" w:hint="cs"/>
          <w:b/>
          <w:spacing w:val="0"/>
          <w:szCs w:val="24"/>
          <w:rtl/>
        </w:rPr>
        <w:t>ענין</w:t>
      </w:r>
      <w:r w:rsidRPr="00F90FF1">
        <w:rPr>
          <w:rFonts w:ascii="Century" w:hAnsi="Century" w:cs="Miriam" w:hint="cs"/>
          <w:b/>
          <w:spacing w:val="0"/>
          <w:szCs w:val="24"/>
          <w:rtl/>
        </w:rPr>
        <w:t xml:space="preserve"> דנן</w:t>
      </w:r>
    </w:p>
    <w:p w:rsidR="00295623" w:rsidRDefault="00295623" w:rsidP="00295623">
      <w:pPr>
        <w:pStyle w:val="Ruller41"/>
        <w:rPr>
          <w:rtl/>
        </w:rPr>
      </w:pPr>
      <w:r>
        <w:rPr>
          <w:rFonts w:hint="cs"/>
          <w:rtl/>
        </w:rPr>
        <w:t>94.</w:t>
      </w:r>
      <w:r>
        <w:rPr>
          <w:rFonts w:hint="cs"/>
          <w:rtl/>
        </w:rPr>
        <w:tab/>
        <w:t xml:space="preserve">העובדות הרלבנטיות, הוצגו בפרק שעסק בקיומה של 'עסקה', ולכן אוכל עתה לקצר. על מנת למקד את הדברים, אציג בקצרה, באופן טלגרפי, את האינדיקציות המבססות לטעמי קיומו של תום לב בנסיבות העניין, ולאחר מכן אעיר כמה הערות, לגבי אותם 'פעמוני אזהרה', אשר חברי המשנה לנשיאה סבור כי הממונה התעלם מצלצוליהם. כאמור, נקודת המוצא </w:t>
      </w:r>
      <w:r w:rsidRPr="00C0449D">
        <w:rPr>
          <w:rFonts w:ascii="Century" w:hAnsi="Century" w:cs="Miriam" w:hint="cs"/>
          <w:b/>
          <w:spacing w:val="0"/>
          <w:szCs w:val="24"/>
          <w:rtl/>
        </w:rPr>
        <w:t>העובדתית</w:t>
      </w:r>
      <w:r>
        <w:rPr>
          <w:rFonts w:hint="cs"/>
          <w:rtl/>
        </w:rPr>
        <w:t>,</w:t>
      </w:r>
      <w:r w:rsidRPr="00AA16E2">
        <w:rPr>
          <w:rFonts w:hint="cs"/>
          <w:rtl/>
        </w:rPr>
        <w:t xml:space="preserve"> </w:t>
      </w:r>
      <w:r>
        <w:rPr>
          <w:rFonts w:hint="cs"/>
          <w:rtl/>
        </w:rPr>
        <w:t xml:space="preserve">היא שהצדדים להסכם ההרשאה </w:t>
      </w:r>
      <w:r>
        <w:rPr>
          <w:rtl/>
        </w:rPr>
        <w:t>–</w:t>
      </w:r>
      <w:r>
        <w:rPr>
          <w:rFonts w:hint="cs"/>
          <w:rtl/>
        </w:rPr>
        <w:t xml:space="preserve"> הממונה וההסתדרות הציונית </w:t>
      </w:r>
      <w:r>
        <w:rPr>
          <w:rtl/>
        </w:rPr>
        <w:t>–</w:t>
      </w:r>
      <w:r>
        <w:rPr>
          <w:rFonts w:hint="cs"/>
          <w:rtl/>
        </w:rPr>
        <w:t xml:space="preserve"> האמינו, באופן סובייקטיבי, לכל אורך הדרך, ולמעשה עד למועד הגשת העתירה בשנת 2011, גם אם בשוגג, כי הקרקע שעליה הוקם לימים מצפה כרמים </w:t>
      </w:r>
      <w:r>
        <w:rPr>
          <w:rtl/>
        </w:rPr>
        <w:t>–</w:t>
      </w:r>
      <w:r>
        <w:rPr>
          <w:rFonts w:hint="cs"/>
          <w:rtl/>
        </w:rPr>
        <w:t xml:space="preserve"> נכללה בשטח שנתפס בפועל, וכי שטח זה הוקצה להסתדרות הציונית בהסכמי ההרשאה (דברי חברתי הנשיאה </w:t>
      </w:r>
      <w:r w:rsidRPr="00C0449D">
        <w:rPr>
          <w:rFonts w:ascii="Century" w:hAnsi="Century" w:cs="Miriam" w:hint="cs"/>
          <w:b/>
          <w:spacing w:val="0"/>
          <w:szCs w:val="24"/>
          <w:rtl/>
        </w:rPr>
        <w:t>חיות</w:t>
      </w:r>
      <w:r>
        <w:rPr>
          <w:rFonts w:hint="cs"/>
          <w:rtl/>
        </w:rPr>
        <w:t>,</w:t>
      </w:r>
      <w:r w:rsidRPr="00F94C29">
        <w:rPr>
          <w:rFonts w:hint="cs"/>
          <w:rtl/>
        </w:rPr>
        <w:t xml:space="preserve"> </w:t>
      </w:r>
      <w:r>
        <w:rPr>
          <w:rFonts w:hint="cs"/>
          <w:rtl/>
        </w:rPr>
        <w:t xml:space="preserve">בפסקה 48 לפסק הדין בערעור). עוד יש לזכור, כי נקודת המוצא </w:t>
      </w:r>
      <w:r w:rsidRPr="00C0449D">
        <w:rPr>
          <w:rFonts w:ascii="Century" w:hAnsi="Century" w:cs="Miriam" w:hint="cs"/>
          <w:b/>
          <w:spacing w:val="0"/>
          <w:szCs w:val="24"/>
          <w:rtl/>
        </w:rPr>
        <w:t>המשפטית</w:t>
      </w:r>
      <w:r w:rsidRPr="00AA16E2">
        <w:rPr>
          <w:rFonts w:hint="cs"/>
          <w:rtl/>
        </w:rPr>
        <w:t xml:space="preserve"> </w:t>
      </w:r>
      <w:r>
        <w:rPr>
          <w:rFonts w:hint="cs"/>
          <w:rtl/>
        </w:rPr>
        <w:t>לבחינת תום ליבו של הממונה, היא חזקת התקינות המינהלית. על רקע זה, יש להצביע על הנתונים הבאים:</w:t>
      </w:r>
    </w:p>
    <w:p w:rsidR="00295623" w:rsidRPr="002A7235" w:rsidRDefault="00295623" w:rsidP="00295623">
      <w:pPr>
        <w:pStyle w:val="Ruller41"/>
        <w:tabs>
          <w:tab w:val="left" w:pos="90"/>
        </w:tabs>
        <w:spacing w:line="240" w:lineRule="auto"/>
      </w:pPr>
    </w:p>
    <w:p w:rsidR="00295623" w:rsidRDefault="00295623" w:rsidP="00295623">
      <w:pPr>
        <w:pStyle w:val="Ruller41"/>
      </w:pPr>
      <w:r>
        <w:rPr>
          <w:rFonts w:ascii="Century" w:hAnsi="Century" w:cs="Miriam" w:hint="cs"/>
          <w:b/>
          <w:spacing w:val="0"/>
          <w:szCs w:val="24"/>
          <w:rtl/>
        </w:rPr>
        <w:t xml:space="preserve"> </w:t>
      </w:r>
      <w:r w:rsidRPr="00F110E1">
        <w:rPr>
          <w:rFonts w:ascii="Century" w:hAnsi="Century" w:cs="Miriam" w:hint="cs"/>
          <w:b/>
          <w:spacing w:val="0"/>
          <w:sz w:val="28"/>
          <w:szCs w:val="30"/>
          <w:rtl/>
        </w:rPr>
        <w:t>-</w:t>
      </w:r>
      <w:r>
        <w:rPr>
          <w:rFonts w:ascii="Century" w:hAnsi="Century" w:cs="Miriam" w:hint="cs"/>
          <w:b/>
          <w:spacing w:val="0"/>
          <w:szCs w:val="24"/>
          <w:rtl/>
        </w:rPr>
        <w:tab/>
      </w:r>
      <w:r w:rsidRPr="00B122E9">
        <w:rPr>
          <w:rFonts w:ascii="Century" w:hAnsi="Century" w:cs="Miriam" w:hint="cs"/>
          <w:b/>
          <w:spacing w:val="0"/>
          <w:szCs w:val="24"/>
          <w:rtl/>
        </w:rPr>
        <w:t>חתימת הממונה (נהרי) על תכנית 223</w:t>
      </w:r>
      <w:r>
        <w:rPr>
          <w:rFonts w:hint="cs"/>
          <w:rtl/>
        </w:rPr>
        <w:t xml:space="preserve"> </w:t>
      </w:r>
      <w:r w:rsidRPr="001C6BE8">
        <w:rPr>
          <w:rFonts w:ascii="Miriam" w:hAnsi="Miriam" w:cs="Miriam"/>
          <w:sz w:val="24"/>
          <w:szCs w:val="24"/>
          <w:rtl/>
        </w:rPr>
        <w:t>ו-223/1</w:t>
      </w:r>
      <w:r>
        <w:rPr>
          <w:rFonts w:hint="cs"/>
          <w:rtl/>
        </w:rPr>
        <w:t xml:space="preserve">. כזכור, בשנת 1983, חתם הממונה על תכנית 223, הכוללת בתוכה גם את מיקומו הנוכחי של מצפה כרמים. בכך, ביטא הממונה את הנחתו, כי המקרקעין דנן נתפסו על-ידי המפקד הצבאי, והועברו לניהולו. כאמור לעיל, גם עדותו של נהרי תומכת במסקנה זו. אמנם, הסכם ההרשאה הראשון נחתם כשנה קודם לכן, אלא שגרסת נהרי, הטוען כי המתין לקבלת מפה מדויקת שתשקף </w:t>
      </w:r>
      <w:r>
        <w:rPr>
          <w:rFonts w:hint="cs"/>
          <w:rtl/>
        </w:rPr>
        <w:lastRenderedPageBreak/>
        <w:t xml:space="preserve">את התפיסה בפועל, וכי מעולם לא העניק משמעות רבה למפה שצורפה להסכם, כמו גם למפות הסגירה או התפיסה, בכל הנוגע לשטח התפיסה </w:t>
      </w:r>
      <w:r>
        <w:rPr>
          <w:rtl/>
        </w:rPr>
        <w:t>–</w:t>
      </w:r>
      <w:r>
        <w:rPr>
          <w:rFonts w:hint="cs"/>
          <w:rtl/>
        </w:rPr>
        <w:t xml:space="preserve"> נמצאה מהימנה בבית המשפט המחוזי. היא אף מתיישבת עם עדויות נוספות, לגבי חוסר הדיוק של המפות באותן שנים. בהמשך, בשנת 1995, חתם ממונה אחר (שכיהן בתפקיד באותה עת), על תכנית 223/1, ובכך שב הממונה (כמוסד), וגילה דעתו באשר לגבולות השטח שנתפס. </w:t>
      </w:r>
    </w:p>
    <w:p w:rsidR="00295623" w:rsidRDefault="00295623" w:rsidP="00295623">
      <w:pPr>
        <w:pStyle w:val="Ruller41"/>
        <w:tabs>
          <w:tab w:val="left" w:pos="90"/>
        </w:tabs>
        <w:spacing w:line="240" w:lineRule="auto"/>
      </w:pPr>
    </w:p>
    <w:p w:rsidR="00295623" w:rsidRDefault="00295623" w:rsidP="001D4967">
      <w:pPr>
        <w:pStyle w:val="Ruller41"/>
      </w:pPr>
      <w:r w:rsidRPr="00F110E1">
        <w:rPr>
          <w:rFonts w:ascii="Century" w:hAnsi="Century" w:cs="Miriam" w:hint="cs"/>
          <w:b/>
          <w:spacing w:val="0"/>
          <w:sz w:val="28"/>
          <w:szCs w:val="30"/>
          <w:rtl/>
        </w:rPr>
        <w:t>-</w:t>
      </w:r>
      <w:r>
        <w:rPr>
          <w:rFonts w:ascii="Century" w:hAnsi="Century" w:cs="Miriam" w:hint="cs"/>
          <w:b/>
          <w:spacing w:val="0"/>
          <w:szCs w:val="24"/>
          <w:rtl/>
        </w:rPr>
        <w:tab/>
      </w:r>
      <w:r w:rsidRPr="00B122E9">
        <w:rPr>
          <w:rFonts w:ascii="Century" w:hAnsi="Century" w:cs="Miriam" w:hint="cs"/>
          <w:b/>
          <w:spacing w:val="0"/>
          <w:szCs w:val="24"/>
          <w:rtl/>
        </w:rPr>
        <w:t>חתימת הממונה לפי צו 997 (מושקוביץ) על תכנית 223 ועל תכנית 223/1</w:t>
      </w:r>
      <w:r>
        <w:rPr>
          <w:rFonts w:hint="cs"/>
          <w:rtl/>
        </w:rPr>
        <w:t>. בחתימתו זו, ביטא גם הממונה מושקוביץ את דעתו, כי שטח התפיסה מתפרשׂ גם למיקום הנוכחי של מצפה כרמים,</w:t>
      </w:r>
      <w:r w:rsidRPr="0068337A">
        <w:rPr>
          <w:rFonts w:hint="cs"/>
          <w:rtl/>
        </w:rPr>
        <w:t xml:space="preserve"> </w:t>
      </w:r>
      <w:r>
        <w:rPr>
          <w:rFonts w:hint="cs"/>
          <w:rtl/>
        </w:rPr>
        <w:t xml:space="preserve">שהרי צו 997 </w:t>
      </w:r>
      <w:r>
        <w:rPr>
          <w:rtl/>
        </w:rPr>
        <w:t>–</w:t>
      </w:r>
      <w:r>
        <w:rPr>
          <w:rFonts w:hint="cs"/>
          <w:rtl/>
        </w:rPr>
        <w:t xml:space="preserve"> ממנו הוא יונק את סמכותו </w:t>
      </w:r>
      <w:r>
        <w:rPr>
          <w:rtl/>
        </w:rPr>
        <w:t>–</w:t>
      </w:r>
      <w:r>
        <w:rPr>
          <w:rFonts w:hint="cs"/>
          <w:rtl/>
        </w:rPr>
        <w:t xml:space="preserve"> אינו חל על שטח שאינו תפוס בתפיסה צבאית. גם הנחה זו, אומתה במסגרת תצהירו ועדותו של מושקוביץ (סעיפים 8-5 לתצהירו; עמ' 72, שורות 31-30 לפרוטוקול הדיון).</w:t>
      </w:r>
    </w:p>
    <w:p w:rsidR="00295623" w:rsidRPr="001D4967" w:rsidRDefault="00295623" w:rsidP="00295623">
      <w:pPr>
        <w:pStyle w:val="Ruller41"/>
        <w:tabs>
          <w:tab w:val="left" w:pos="90"/>
        </w:tabs>
        <w:spacing w:line="240" w:lineRule="auto"/>
      </w:pPr>
    </w:p>
    <w:p w:rsidR="00295623" w:rsidRDefault="00295623" w:rsidP="00295623">
      <w:pPr>
        <w:pStyle w:val="Ruller41"/>
        <w:tabs>
          <w:tab w:val="left" w:pos="90"/>
        </w:tabs>
      </w:pPr>
      <w:r w:rsidRPr="00F110E1">
        <w:rPr>
          <w:rFonts w:ascii="Century" w:hAnsi="Century" w:cs="Miriam" w:hint="cs"/>
          <w:b/>
          <w:spacing w:val="0"/>
          <w:sz w:val="28"/>
          <w:szCs w:val="30"/>
          <w:rtl/>
        </w:rPr>
        <w:t>-</w:t>
      </w:r>
      <w:r>
        <w:rPr>
          <w:rFonts w:ascii="Century" w:hAnsi="Century" w:cs="Miriam" w:hint="cs"/>
          <w:b/>
          <w:spacing w:val="0"/>
          <w:szCs w:val="24"/>
          <w:rtl/>
        </w:rPr>
        <w:tab/>
      </w:r>
      <w:r>
        <w:rPr>
          <w:rFonts w:ascii="Century" w:hAnsi="Century" w:cs="Miriam"/>
          <w:b/>
          <w:spacing w:val="0"/>
          <w:szCs w:val="24"/>
          <w:rtl/>
        </w:rPr>
        <w:tab/>
      </w:r>
      <w:r>
        <w:rPr>
          <w:rFonts w:ascii="Century" w:hAnsi="Century" w:cs="Miriam" w:hint="cs"/>
          <w:b/>
          <w:spacing w:val="0"/>
          <w:szCs w:val="24"/>
          <w:rtl/>
        </w:rPr>
        <w:t>עדויות מראשית שנות ה-90, לגבי קיומו ש</w:t>
      </w:r>
      <w:r w:rsidRPr="007E1F25">
        <w:rPr>
          <w:rFonts w:ascii="Century" w:hAnsi="Century" w:cs="Miriam" w:hint="cs"/>
          <w:b/>
          <w:spacing w:val="0"/>
          <w:szCs w:val="24"/>
          <w:rtl/>
        </w:rPr>
        <w:t>ל</w:t>
      </w:r>
      <w:r>
        <w:rPr>
          <w:rFonts w:ascii="Century" w:hAnsi="Century" w:cs="Miriam" w:hint="cs"/>
          <w:b/>
          <w:spacing w:val="0"/>
          <w:szCs w:val="24"/>
          <w:rtl/>
        </w:rPr>
        <w:t xml:space="preserve"> שטח החורג מתחומי התפיסה בפועל</w:t>
      </w:r>
      <w:r>
        <w:rPr>
          <w:rFonts w:hint="cs"/>
          <w:rtl/>
        </w:rPr>
        <w:t>. מחומר הראיות עולה, כי בתחילת שנות ה-90, עלה אצל גורמים במינהל האזרחי חשד,</w:t>
      </w:r>
      <w:r w:rsidRPr="001C6BE8">
        <w:rPr>
          <w:rFonts w:hint="cs"/>
          <w:rtl/>
        </w:rPr>
        <w:t xml:space="preserve"> </w:t>
      </w:r>
      <w:r>
        <w:rPr>
          <w:rFonts w:hint="cs"/>
          <w:rtl/>
        </w:rPr>
        <w:t xml:space="preserve">כי מגרשים מסוימים בחלקו הצפוני של כוכב השחר, חורגים מגבולות התפיסה </w:t>
      </w:r>
      <w:r w:rsidRPr="00FF5292">
        <w:rPr>
          <w:rFonts w:ascii="Century" w:hAnsi="Century" w:cs="Miriam" w:hint="cs"/>
          <w:b/>
          <w:spacing w:val="0"/>
          <w:szCs w:val="24"/>
          <w:rtl/>
        </w:rPr>
        <w:t>בפועל</w:t>
      </w:r>
      <w:r>
        <w:rPr>
          <w:rFonts w:hint="cs"/>
          <w:rtl/>
        </w:rPr>
        <w:t xml:space="preserve">. עקב כך, נערכו בדיקות, והומלץ שלא לאשר בניה במגרשים אלו, ואף להחריגם משטח התכנית. התנהלות זו מלמדת, לדעתי, על תום ליבם הסובייקטיבי של גורמי המינהל האזרחי, ועל כך שסברו, באמונה כנה, כי שטחו של מצפה כרמים נכלל בשטח התפיסה, שאחרת היו פועלים באופן דומה </w:t>
      </w:r>
      <w:r>
        <w:rPr>
          <w:rtl/>
        </w:rPr>
        <w:t>–</w:t>
      </w:r>
      <w:r>
        <w:rPr>
          <w:rFonts w:hint="cs"/>
          <w:rtl/>
        </w:rPr>
        <w:t xml:space="preserve"> גם לגביו.</w:t>
      </w:r>
    </w:p>
    <w:p w:rsidR="00295623" w:rsidRPr="007651EB" w:rsidRDefault="00295623" w:rsidP="00295623">
      <w:pPr>
        <w:pStyle w:val="Ruller41"/>
        <w:tabs>
          <w:tab w:val="left" w:pos="90"/>
        </w:tabs>
        <w:spacing w:line="240" w:lineRule="auto"/>
      </w:pPr>
    </w:p>
    <w:p w:rsidR="00295623" w:rsidRDefault="00295623" w:rsidP="00295623">
      <w:pPr>
        <w:pStyle w:val="Ruller41"/>
        <w:tabs>
          <w:tab w:val="left" w:pos="90"/>
        </w:tabs>
      </w:pPr>
      <w:r w:rsidRPr="00F110E1">
        <w:rPr>
          <w:rFonts w:ascii="Century" w:hAnsi="Century" w:cs="Miriam" w:hint="cs"/>
          <w:b/>
          <w:spacing w:val="0"/>
          <w:sz w:val="28"/>
          <w:szCs w:val="30"/>
          <w:rtl/>
        </w:rPr>
        <w:t>-</w:t>
      </w:r>
      <w:r>
        <w:rPr>
          <w:rFonts w:ascii="Century" w:hAnsi="Century" w:cs="Miriam" w:hint="cs"/>
          <w:b/>
          <w:spacing w:val="0"/>
          <w:szCs w:val="24"/>
          <w:rtl/>
        </w:rPr>
        <w:tab/>
      </w:r>
      <w:r>
        <w:rPr>
          <w:rFonts w:ascii="Century" w:hAnsi="Century" w:cs="Miriam"/>
          <w:b/>
          <w:spacing w:val="0"/>
          <w:szCs w:val="24"/>
          <w:rtl/>
        </w:rPr>
        <w:tab/>
      </w:r>
      <w:r w:rsidRPr="00F14155">
        <w:rPr>
          <w:rFonts w:ascii="Century" w:hAnsi="Century" w:cs="Miriam" w:hint="cs"/>
          <w:b/>
          <w:spacing w:val="0"/>
          <w:szCs w:val="24"/>
          <w:rtl/>
        </w:rPr>
        <w:t>העתקת מצפה כרמים</w:t>
      </w:r>
      <w:r>
        <w:rPr>
          <w:rFonts w:ascii="Century" w:hAnsi="Century" w:cs="Miriam" w:hint="cs"/>
          <w:b/>
          <w:spacing w:val="0"/>
          <w:szCs w:val="24"/>
          <w:rtl/>
        </w:rPr>
        <w:t xml:space="preserve"> למקומו הנוכחי</w:t>
      </w:r>
      <w:r>
        <w:rPr>
          <w:rFonts w:hint="cs"/>
          <w:rtl/>
        </w:rPr>
        <w:t xml:space="preserve">. כפי שכבר צוין, העתקת הישוב למקומו הנוכחי </w:t>
      </w:r>
      <w:r>
        <w:rPr>
          <w:rtl/>
        </w:rPr>
        <w:t>–</w:t>
      </w:r>
      <w:r>
        <w:rPr>
          <w:rFonts w:hint="cs"/>
          <w:rtl/>
        </w:rPr>
        <w:t xml:space="preserve"> בליווי גורמי ממשל רבים </w:t>
      </w:r>
      <w:r>
        <w:rPr>
          <w:rtl/>
        </w:rPr>
        <w:t>–</w:t>
      </w:r>
      <w:r>
        <w:rPr>
          <w:rFonts w:hint="cs"/>
          <w:rtl/>
        </w:rPr>
        <w:t xml:space="preserve"> מעידה כאלף עדים על הלך מחשבתם של אנשי המינהל השונים, ועל תום ליבם. אלה, ביקשו להסדיר את מעמד הישוב, ולא להמיר אי-חוקיות קלה (מחוץ לתחומי התכנית) באי-חוקיות חמורה (מחוץ לשטח התפיסה); </w:t>
      </w:r>
      <w:r w:rsidRPr="00907F69">
        <w:rPr>
          <w:rFonts w:ascii="Century" w:hAnsi="Century" w:cs="Miriam" w:hint="cs"/>
          <w:b/>
          <w:spacing w:val="0"/>
          <w:szCs w:val="24"/>
          <w:rtl/>
        </w:rPr>
        <w:t>"</w:t>
      </w:r>
      <w:r w:rsidRPr="00907F69">
        <w:rPr>
          <w:rFonts w:ascii="Century" w:hAnsi="Century" w:cs="Miriam" w:hint="eastAsia"/>
          <w:b/>
          <w:spacing w:val="0"/>
          <w:szCs w:val="24"/>
          <w:rtl/>
        </w:rPr>
        <w:t>לתקוני</w:t>
      </w:r>
      <w:r w:rsidRPr="00907F69">
        <w:rPr>
          <w:rFonts w:ascii="Century" w:hAnsi="Century" w:cs="Miriam"/>
          <w:b/>
          <w:spacing w:val="0"/>
          <w:szCs w:val="24"/>
          <w:rtl/>
        </w:rPr>
        <w:t xml:space="preserve"> </w:t>
      </w:r>
      <w:r w:rsidRPr="00907F69">
        <w:rPr>
          <w:rFonts w:ascii="Century" w:hAnsi="Century" w:cs="Miriam" w:hint="eastAsia"/>
          <w:b/>
          <w:spacing w:val="0"/>
          <w:szCs w:val="24"/>
          <w:rtl/>
        </w:rPr>
        <w:t>שדרתיך</w:t>
      </w:r>
      <w:r w:rsidRPr="00907F69">
        <w:rPr>
          <w:rFonts w:ascii="Century" w:hAnsi="Century" w:cs="Miriam"/>
          <w:b/>
          <w:spacing w:val="0"/>
          <w:szCs w:val="24"/>
          <w:rtl/>
        </w:rPr>
        <w:t xml:space="preserve"> </w:t>
      </w:r>
      <w:r w:rsidRPr="00907F69">
        <w:rPr>
          <w:rFonts w:ascii="Century" w:hAnsi="Century" w:cs="Miriam" w:hint="eastAsia"/>
          <w:b/>
          <w:spacing w:val="0"/>
          <w:szCs w:val="24"/>
          <w:rtl/>
        </w:rPr>
        <w:t>ולא</w:t>
      </w:r>
      <w:r w:rsidRPr="00907F69">
        <w:rPr>
          <w:rFonts w:ascii="Century" w:hAnsi="Century" w:cs="Miriam"/>
          <w:b/>
          <w:spacing w:val="0"/>
          <w:szCs w:val="24"/>
          <w:rtl/>
        </w:rPr>
        <w:t xml:space="preserve"> </w:t>
      </w:r>
      <w:r w:rsidRPr="00907F69">
        <w:rPr>
          <w:rFonts w:ascii="Century" w:hAnsi="Century" w:cs="Miriam" w:hint="eastAsia"/>
          <w:b/>
          <w:spacing w:val="0"/>
          <w:szCs w:val="24"/>
          <w:rtl/>
        </w:rPr>
        <w:t>לעוותי</w:t>
      </w:r>
      <w:r w:rsidRPr="00907F69">
        <w:rPr>
          <w:rFonts w:ascii="Century" w:hAnsi="Century" w:cs="Miriam" w:hint="cs"/>
          <w:b/>
          <w:spacing w:val="0"/>
          <w:szCs w:val="24"/>
          <w:rtl/>
        </w:rPr>
        <w:t>"</w:t>
      </w:r>
      <w:r>
        <w:rPr>
          <w:rFonts w:hint="cs"/>
          <w:rtl/>
        </w:rPr>
        <w:t xml:space="preserve"> ('לתקן שכרתיך, לא לקלקל'; בבלי, כתובות צט, ע"ב). העתקת הישוב לא נעשתה אפוא כלאחר-יד. קדמה לה מחשבה, עבודת מטה מסודרת, בדיקות בשטח ודיונים מרובים. מסקנה זו מתחזקת, נוכח העדויות שנשמעו בבית המשפט המחוזי, שעיקריהן יצוינו להלן. כאן המקום לציין, כי חברי המשנה לנשיאה, נותן דגש לכך שהמיקום שנקבע בתחילה, ואשר אליו תוכננה ההעתקה, איננו המיקום הנוכחי המדויק של מצפה כרמים. מכך מסיק חברי, כי אותה עבודת מטה מסודרת, לא נעשתה ביחס למקרקעין דנן. אומר מיד, כי אין בכוונתי לקבוע מסמרות בעניין עובדתי זה. יתכן שהכוונה הראשונית היתה להעתיק את המאחז למיקום אחר, דרומה מעט למיקום הנוכחי, לפי תכנית 223/1/5 שהוכנה לשם כך</w:t>
      </w:r>
      <w:r w:rsidRPr="00D2194F">
        <w:rPr>
          <w:rFonts w:hint="cs"/>
          <w:rtl/>
        </w:rPr>
        <w:t xml:space="preserve"> </w:t>
      </w:r>
      <w:r>
        <w:rPr>
          <w:rFonts w:hint="cs"/>
          <w:rtl/>
        </w:rPr>
        <w:t xml:space="preserve">(אעיר שוב, כי הדבר לא נקבע, במישור העובדתי, על-ידי בית המשפט המחוזי, ואף לא עולה מפורשות מעמדת המדינה, </w:t>
      </w:r>
      <w:r>
        <w:rPr>
          <w:rFonts w:hint="cs"/>
          <w:rtl/>
        </w:rPr>
        <w:lastRenderedPageBreak/>
        <w:t xml:space="preserve">כפי שזו הוצגה לפנינו. בהקשר זה אפנה לעדות יעקב גור אריה, המתגורר בישוב, אשר ציין כי הוא זוכר שעוזרו של ראש הממשלה </w:t>
      </w:r>
      <w:r w:rsidRPr="00204852">
        <w:rPr>
          <w:rFonts w:ascii="Century" w:hAnsi="Century" w:cs="Miriam" w:hint="cs"/>
          <w:b/>
          <w:spacing w:val="0"/>
          <w:szCs w:val="24"/>
          <w:rtl/>
        </w:rPr>
        <w:t>"היה איתנו בשטח, ירדנו בג'יפ למקום, אמר לנו זה המקום, יוסי ורדי עוזר ראש הממשלה. עוד גורמים, [...] של החטיבה להתיישבות המנהל האזרחי</w:t>
      </w:r>
      <w:r>
        <w:rPr>
          <w:rFonts w:ascii="Century" w:hAnsi="Century" w:cs="Miriam" w:hint="cs"/>
          <w:b/>
          <w:spacing w:val="0"/>
          <w:szCs w:val="24"/>
          <w:rtl/>
        </w:rPr>
        <w:t xml:space="preserve"> [</w:t>
      </w:r>
      <w:r w:rsidRPr="00204852">
        <w:rPr>
          <w:rFonts w:ascii="Century" w:hAnsi="Century" w:cs="Miriam" w:hint="cs"/>
          <w:b/>
          <w:spacing w:val="0"/>
          <w:szCs w:val="24"/>
          <w:rtl/>
        </w:rPr>
        <w:t>...</w:t>
      </w:r>
      <w:r>
        <w:rPr>
          <w:rFonts w:ascii="Century" w:hAnsi="Century" w:cs="Miriam" w:hint="cs"/>
          <w:b/>
          <w:spacing w:val="0"/>
          <w:szCs w:val="24"/>
          <w:rtl/>
        </w:rPr>
        <w:t>]</w:t>
      </w:r>
      <w:r w:rsidRPr="00204852">
        <w:rPr>
          <w:rFonts w:ascii="Century" w:hAnsi="Century" w:cs="Miriam" w:hint="cs"/>
          <w:b/>
          <w:spacing w:val="0"/>
          <w:szCs w:val="24"/>
          <w:rtl/>
        </w:rPr>
        <w:t>"</w:t>
      </w:r>
      <w:r>
        <w:rPr>
          <w:rFonts w:ascii="Century" w:hAnsi="Century" w:hint="cs"/>
          <w:rtl/>
        </w:rPr>
        <w:t xml:space="preserve"> (</w:t>
      </w:r>
      <w:r w:rsidRPr="00F72F9F">
        <w:rPr>
          <w:rFonts w:ascii="Century" w:hAnsi="Century" w:hint="cs"/>
          <w:rtl/>
        </w:rPr>
        <w:t>עמ</w:t>
      </w:r>
      <w:r>
        <w:rPr>
          <w:rFonts w:ascii="Century" w:hAnsi="Century" w:hint="cs"/>
          <w:rtl/>
        </w:rPr>
        <w:t>'</w:t>
      </w:r>
      <w:r w:rsidRPr="00F72F9F">
        <w:rPr>
          <w:rFonts w:ascii="Century" w:hAnsi="Century" w:hint="cs"/>
          <w:rtl/>
        </w:rPr>
        <w:t xml:space="preserve"> 128, ש</w:t>
      </w:r>
      <w:r>
        <w:rPr>
          <w:rFonts w:ascii="Century" w:hAnsi="Century" w:hint="cs"/>
          <w:rtl/>
        </w:rPr>
        <w:t>ורות</w:t>
      </w:r>
      <w:r w:rsidRPr="00F72F9F">
        <w:rPr>
          <w:rFonts w:ascii="Century" w:hAnsi="Century" w:hint="cs"/>
          <w:rtl/>
        </w:rPr>
        <w:t xml:space="preserve"> 7-4 לפרוטוקול</w:t>
      </w:r>
      <w:r>
        <w:rPr>
          <w:rFonts w:ascii="Century" w:hAnsi="Century" w:hint="cs"/>
          <w:rtl/>
        </w:rPr>
        <w:t xml:space="preserve"> הדיון</w:t>
      </w:r>
      <w:r>
        <w:rPr>
          <w:rFonts w:hint="cs"/>
          <w:rtl/>
        </w:rPr>
        <w:t xml:space="preserve">); אך ראו, מנגד, סיכומי המדינה בבית המשפט המחוזי, בסעיף 67). מכל מקום, איני רואה משמעות רבה לכך, למצער בכל הנוגע לעבודת המטה שנעשתה, עובר להעתקת הישוב. מעמדו המשפטי של תא השטח המדויק, שאליו מתייחסת תכנית 223/1/5 </w:t>
      </w:r>
      <w:r>
        <w:rPr>
          <w:rtl/>
        </w:rPr>
        <w:t>–</w:t>
      </w:r>
      <w:r>
        <w:rPr>
          <w:rFonts w:hint="cs"/>
          <w:rtl/>
        </w:rPr>
        <w:t xml:space="preserve"> </w:t>
      </w:r>
      <w:r w:rsidRPr="00230BDE">
        <w:rPr>
          <w:rFonts w:ascii="Century" w:hAnsi="Century" w:cs="Miriam"/>
          <w:b/>
          <w:spacing w:val="0"/>
          <w:szCs w:val="24"/>
          <w:rtl/>
        </w:rPr>
        <w:t>זהה</w:t>
      </w:r>
      <w:r>
        <w:rPr>
          <w:rFonts w:hint="cs"/>
          <w:rtl/>
        </w:rPr>
        <w:t xml:space="preserve"> למעמדם של המקרקעין דנן. שניהם נמצאים </w:t>
      </w:r>
      <w:r w:rsidRPr="00C36351">
        <w:rPr>
          <w:rFonts w:ascii="Century" w:hAnsi="Century" w:cs="Miriam" w:hint="cs"/>
          <w:b/>
          <w:spacing w:val="0"/>
          <w:szCs w:val="24"/>
          <w:rtl/>
        </w:rPr>
        <w:t>מחוץ</w:t>
      </w:r>
      <w:r w:rsidRPr="00C36351">
        <w:rPr>
          <w:rFonts w:ascii="Century" w:hAnsi="Century" w:hint="cs"/>
          <w:rtl/>
        </w:rPr>
        <w:t xml:space="preserve"> לגבולות מפ</w:t>
      </w:r>
      <w:r>
        <w:rPr>
          <w:rFonts w:ascii="Century" w:hAnsi="Century" w:hint="cs"/>
          <w:rtl/>
        </w:rPr>
        <w:t>ו</w:t>
      </w:r>
      <w:r w:rsidRPr="00C36351">
        <w:rPr>
          <w:rFonts w:ascii="Century" w:hAnsi="Century" w:hint="cs"/>
          <w:rtl/>
        </w:rPr>
        <w:t>ת התפיסה</w:t>
      </w:r>
      <w:r>
        <w:rPr>
          <w:rFonts w:ascii="Century" w:hAnsi="Century" w:hint="cs"/>
          <w:rtl/>
        </w:rPr>
        <w:t xml:space="preserve"> ו</w:t>
      </w:r>
      <w:r w:rsidRPr="00C36351">
        <w:rPr>
          <w:rFonts w:ascii="Century" w:hAnsi="Century" w:hint="cs"/>
          <w:rtl/>
        </w:rPr>
        <w:t xml:space="preserve">הסגירה, אך </w:t>
      </w:r>
      <w:r w:rsidRPr="00C36351">
        <w:rPr>
          <w:rFonts w:ascii="Century" w:hAnsi="Century" w:cs="Miriam" w:hint="cs"/>
          <w:b/>
          <w:spacing w:val="0"/>
          <w:szCs w:val="24"/>
          <w:rtl/>
        </w:rPr>
        <w:t>בתוך</w:t>
      </w:r>
      <w:r w:rsidRPr="00C36351">
        <w:rPr>
          <w:rFonts w:ascii="Century" w:hAnsi="Century" w:hint="cs"/>
          <w:rtl/>
        </w:rPr>
        <w:t xml:space="preserve"> שטח תכנית 223</w:t>
      </w:r>
      <w:r>
        <w:rPr>
          <w:rFonts w:hint="cs"/>
          <w:rtl/>
        </w:rPr>
        <w:t xml:space="preserve"> (ובתוך שטח האש). ודוק, אין טענה כי תא השטח בתכנית 223/1/5 נמצא על אדמות מדינה. לפיכך, נותרה על כנה המסקנה, כי גורמי המדינה השונים סברו, בעת העתקת הישוב, כי השטח התפוס בתפיסה צבאית (בפועל), הוא</w:t>
      </w:r>
      <w:r w:rsidRPr="00F66BE6">
        <w:rPr>
          <w:rFonts w:hint="cs"/>
          <w:rtl/>
        </w:rPr>
        <w:t xml:space="preserve"> </w:t>
      </w:r>
      <w:r>
        <w:rPr>
          <w:rFonts w:hint="cs"/>
          <w:rtl/>
        </w:rPr>
        <w:t xml:space="preserve">השטח שנכלל בתכניות 223 ו-223/1, שאחרת לא היו מורים, או מתכננים, להעתיק את הישוב לנקודה זו. כך או כך, ברי כי לאחר העתקת הישוב </w:t>
      </w:r>
      <w:r>
        <w:rPr>
          <w:rtl/>
        </w:rPr>
        <w:t>–</w:t>
      </w:r>
      <w:r>
        <w:rPr>
          <w:rFonts w:hint="cs"/>
          <w:rtl/>
        </w:rPr>
        <w:t xml:space="preserve"> הכול השלימו עם מיקומו הנוכחי, ולא היה פוצה פה ומצפצף בעניין זה, משך למעלה מעשור-שנים.</w:t>
      </w:r>
      <w:r w:rsidRPr="006D10F0">
        <w:rPr>
          <w:rFonts w:hint="cs"/>
          <w:rtl/>
        </w:rPr>
        <w:t xml:space="preserve"> </w:t>
      </w:r>
      <w:r>
        <w:rPr>
          <w:rFonts w:hint="cs"/>
          <w:rtl/>
        </w:rPr>
        <w:t>ודוק: אמנם המועד לבחינת תום הלב הוא בעת כריתת הסכמי ההרשאה (כאמור, לגבי דידי, המועד המדויק לבדיקה הוא הסכם ההרשאה משנת 1997), אך כאמור, לא נטען ובוודאי שלא הוכח, כי מעת החתימה על ההסכמים, בפרט ההסכם משנת 1997, ועד להעתקת היישוב, חל 'שינוי מחשבתי' כלשהו ביחס להיקף השטח התפוס.</w:t>
      </w:r>
    </w:p>
    <w:p w:rsidR="00295623" w:rsidRPr="006D10F0" w:rsidRDefault="00295623" w:rsidP="00295623">
      <w:pPr>
        <w:pStyle w:val="Ruller41"/>
        <w:tabs>
          <w:tab w:val="left" w:pos="90"/>
        </w:tabs>
        <w:spacing w:line="240" w:lineRule="auto"/>
      </w:pPr>
    </w:p>
    <w:p w:rsidR="00295623" w:rsidRPr="0068337A" w:rsidRDefault="00295623" w:rsidP="00295623">
      <w:pPr>
        <w:pStyle w:val="Ruller41"/>
        <w:tabs>
          <w:tab w:val="left" w:pos="90"/>
        </w:tabs>
      </w:pPr>
      <w:r w:rsidRPr="00F110E1">
        <w:rPr>
          <w:rFonts w:ascii="Century" w:hAnsi="Century" w:cs="Miriam" w:hint="cs"/>
          <w:b/>
          <w:spacing w:val="0"/>
          <w:sz w:val="28"/>
          <w:szCs w:val="30"/>
          <w:rtl/>
        </w:rPr>
        <w:t>-</w:t>
      </w:r>
      <w:r>
        <w:rPr>
          <w:rFonts w:ascii="Century" w:hAnsi="Century" w:cs="Miriam" w:hint="cs"/>
          <w:b/>
          <w:spacing w:val="0"/>
          <w:szCs w:val="24"/>
          <w:rtl/>
        </w:rPr>
        <w:tab/>
      </w:r>
      <w:r>
        <w:rPr>
          <w:rFonts w:ascii="Century" w:hAnsi="Century" w:cs="Miriam"/>
          <w:b/>
          <w:spacing w:val="0"/>
          <w:szCs w:val="24"/>
          <w:rtl/>
        </w:rPr>
        <w:tab/>
      </w:r>
      <w:r w:rsidRPr="002A7235">
        <w:rPr>
          <w:rFonts w:ascii="Century" w:hAnsi="Century" w:cs="Miriam" w:hint="cs"/>
          <w:b/>
          <w:spacing w:val="0"/>
          <w:szCs w:val="24"/>
          <w:rtl/>
        </w:rPr>
        <w:t>עדות יעלון</w:t>
      </w:r>
      <w:r>
        <w:rPr>
          <w:rFonts w:hint="cs"/>
          <w:rtl/>
        </w:rPr>
        <w:t xml:space="preserve">. כמפקד האזור, היה יעלון מעורב בהעתקת מצפה כרמים לקרקע. הוא הצהיר כי </w:t>
      </w:r>
      <w:r w:rsidRPr="00756A16">
        <w:rPr>
          <w:rFonts w:ascii="Century" w:hAnsi="Century" w:cs="Miriam" w:hint="cs"/>
          <w:b/>
          <w:spacing w:val="0"/>
          <w:szCs w:val="24"/>
          <w:rtl/>
        </w:rPr>
        <w:t>"לא היה לי ספק שמדובר בקרקע תפוסה"</w:t>
      </w:r>
      <w:r>
        <w:rPr>
          <w:rFonts w:hint="cs"/>
          <w:rtl/>
        </w:rPr>
        <w:t>, וכי האיתור נבחר לאחר ש</w:t>
      </w:r>
      <w:r w:rsidRPr="00756A16">
        <w:rPr>
          <w:rFonts w:ascii="Century" w:hAnsi="Century" w:cs="Miriam" w:hint="cs"/>
          <w:b/>
          <w:spacing w:val="0"/>
          <w:szCs w:val="24"/>
          <w:rtl/>
        </w:rPr>
        <w:t>"אושר על ידי כלל הגורמים הרלוונטיים לרבות היועץ המשפטי לאזור יהודה ושומרון [...] זכור לי שראיתי גם חוות דעת כתובה של עו"ד פוליטיס בנושא"</w:t>
      </w:r>
      <w:r>
        <w:rPr>
          <w:rFonts w:hint="cs"/>
          <w:rtl/>
        </w:rPr>
        <w:t xml:space="preserve">. בעדותו הוסיף, כי ליווה את העתקת הישוב וראה </w:t>
      </w:r>
      <w:r w:rsidRPr="00756A16">
        <w:rPr>
          <w:rFonts w:ascii="Century" w:hAnsi="Century" w:cs="Miriam" w:hint="cs"/>
          <w:b/>
          <w:spacing w:val="0"/>
          <w:szCs w:val="24"/>
          <w:rtl/>
        </w:rPr>
        <w:t>"שהם מתמקמים במקום הנכון"</w:t>
      </w:r>
      <w:r w:rsidRPr="00756A16">
        <w:rPr>
          <w:rFonts w:hint="cs"/>
          <w:rtl/>
        </w:rPr>
        <w:t xml:space="preserve"> </w:t>
      </w:r>
      <w:r>
        <w:rPr>
          <w:rFonts w:hint="cs"/>
          <w:rtl/>
        </w:rPr>
        <w:t>(עמ' 22, שורה 10 לפרוטוקול הדיון), וכי בדיונים שנערכו אצלו, לא הועלתה כל בעיה קניינית עם המקרקעין, אלא רק בעיה הנוגעת לסיווגם כשטח אש (עמ' 20, שורות 6-1 לפרוטוקול הדיון). בית המשפט המחוזי סמך ידיו גם על עדות זו.</w:t>
      </w:r>
    </w:p>
    <w:p w:rsidR="00295623" w:rsidRPr="002A7235" w:rsidRDefault="00295623" w:rsidP="00295623">
      <w:pPr>
        <w:pStyle w:val="Ruller41"/>
        <w:tabs>
          <w:tab w:val="left" w:pos="90"/>
        </w:tabs>
        <w:spacing w:line="240" w:lineRule="auto"/>
      </w:pPr>
    </w:p>
    <w:p w:rsidR="00295623" w:rsidRDefault="00295623" w:rsidP="00295623">
      <w:pPr>
        <w:pStyle w:val="Ruller41"/>
        <w:tabs>
          <w:tab w:val="left" w:pos="90"/>
        </w:tabs>
      </w:pPr>
      <w:r w:rsidRPr="00F110E1">
        <w:rPr>
          <w:rFonts w:ascii="Century" w:hAnsi="Century" w:cs="Miriam" w:hint="cs"/>
          <w:b/>
          <w:spacing w:val="0"/>
          <w:sz w:val="28"/>
          <w:szCs w:val="30"/>
          <w:rtl/>
        </w:rPr>
        <w:t>-</w:t>
      </w:r>
      <w:r>
        <w:rPr>
          <w:rFonts w:ascii="Century" w:hAnsi="Century" w:cs="Miriam" w:hint="cs"/>
          <w:b/>
          <w:spacing w:val="0"/>
          <w:szCs w:val="24"/>
          <w:rtl/>
        </w:rPr>
        <w:tab/>
      </w:r>
      <w:r>
        <w:rPr>
          <w:rFonts w:ascii="Century" w:hAnsi="Century" w:cs="Miriam"/>
          <w:b/>
          <w:spacing w:val="0"/>
          <w:szCs w:val="24"/>
          <w:rtl/>
        </w:rPr>
        <w:tab/>
      </w:r>
      <w:r w:rsidRPr="00524419">
        <w:rPr>
          <w:rFonts w:ascii="Century" w:hAnsi="Century" w:cs="Miriam" w:hint="cs"/>
          <w:b/>
          <w:spacing w:val="0"/>
          <w:szCs w:val="24"/>
          <w:rtl/>
        </w:rPr>
        <w:t>עדות בלומנטל</w:t>
      </w:r>
      <w:r>
        <w:rPr>
          <w:rFonts w:hint="cs"/>
          <w:rtl/>
        </w:rPr>
        <w:t xml:space="preserve">. גם בלומנטל היה מעורב בבחירת המיקום שאליו הוחלט להעתיק את מצפה כרמים. לפי עדותו, טרם בחירת מיקומו החדש של הישוב, ירד לשטח על מנת לבצע </w:t>
      </w:r>
      <w:r w:rsidRPr="00827355">
        <w:rPr>
          <w:rFonts w:ascii="Century" w:hAnsi="Century" w:cs="Miriam" w:hint="cs"/>
          <w:b/>
          <w:spacing w:val="0"/>
          <w:szCs w:val="24"/>
          <w:rtl/>
        </w:rPr>
        <w:t>"בדיק</w:t>
      </w:r>
      <w:r>
        <w:rPr>
          <w:rFonts w:ascii="Century" w:hAnsi="Century" w:cs="Miriam" w:hint="cs"/>
          <w:b/>
          <w:spacing w:val="0"/>
          <w:szCs w:val="24"/>
          <w:rtl/>
        </w:rPr>
        <w:t>ה</w:t>
      </w:r>
      <w:r w:rsidRPr="00827355">
        <w:rPr>
          <w:rFonts w:ascii="Century" w:hAnsi="Century" w:cs="Miriam" w:hint="cs"/>
          <w:b/>
          <w:spacing w:val="0"/>
          <w:szCs w:val="24"/>
          <w:rtl/>
        </w:rPr>
        <w:t xml:space="preserve"> מקדמית"</w:t>
      </w:r>
      <w:r>
        <w:rPr>
          <w:rFonts w:hint="cs"/>
          <w:rtl/>
        </w:rPr>
        <w:t xml:space="preserve">, יחד עם </w:t>
      </w:r>
      <w:r w:rsidRPr="00827355">
        <w:rPr>
          <w:rFonts w:ascii="Century" w:hAnsi="Century" w:cs="Miriam" w:hint="cs"/>
          <w:b/>
          <w:spacing w:val="0"/>
          <w:szCs w:val="24"/>
          <w:rtl/>
        </w:rPr>
        <w:t>"קציני מטה המינהל האזרחי"</w:t>
      </w:r>
      <w:r>
        <w:rPr>
          <w:rFonts w:hint="cs"/>
          <w:rtl/>
        </w:rPr>
        <w:t xml:space="preserve">, ובא לכלל מסקנה שהקרקע </w:t>
      </w:r>
      <w:r w:rsidRPr="00827355">
        <w:rPr>
          <w:rFonts w:ascii="Century" w:hAnsi="Century" w:cs="Miriam" w:hint="cs"/>
          <w:b/>
          <w:spacing w:val="0"/>
          <w:szCs w:val="24"/>
          <w:rtl/>
        </w:rPr>
        <w:t>"תפוסה בתפיסה צבאית</w:t>
      </w:r>
      <w:r>
        <w:rPr>
          <w:rFonts w:ascii="Century" w:hAnsi="Century" w:cs="Miriam" w:hint="cs"/>
          <w:b/>
          <w:spacing w:val="0"/>
          <w:szCs w:val="24"/>
          <w:rtl/>
        </w:rPr>
        <w:t>"</w:t>
      </w:r>
      <w:r>
        <w:rPr>
          <w:rFonts w:hint="cs"/>
          <w:rtl/>
        </w:rPr>
        <w:t xml:space="preserve"> (סעיפים 6-5 לתצהירו). בעדותו אישר את הדברים: </w:t>
      </w:r>
      <w:r w:rsidRPr="003813A1">
        <w:rPr>
          <w:rFonts w:ascii="Century" w:hAnsi="Century" w:cs="Miriam" w:hint="cs"/>
          <w:b/>
          <w:spacing w:val="0"/>
          <w:szCs w:val="24"/>
          <w:rtl/>
        </w:rPr>
        <w:t>"</w:t>
      </w:r>
      <w:r w:rsidRPr="003813A1">
        <w:rPr>
          <w:rFonts w:ascii="Century" w:hAnsi="Century" w:cs="Miriam" w:hint="eastAsia"/>
          <w:b/>
          <w:spacing w:val="0"/>
          <w:szCs w:val="24"/>
          <w:rtl/>
        </w:rPr>
        <w:t>יצאנו</w:t>
      </w:r>
      <w:r w:rsidRPr="003813A1">
        <w:rPr>
          <w:rFonts w:ascii="Century" w:hAnsi="Century" w:cs="Miriam"/>
          <w:b/>
          <w:spacing w:val="0"/>
          <w:szCs w:val="24"/>
          <w:rtl/>
        </w:rPr>
        <w:t xml:space="preserve"> </w:t>
      </w:r>
      <w:r w:rsidRPr="003813A1">
        <w:rPr>
          <w:rFonts w:ascii="Century" w:hAnsi="Century" w:cs="Miriam" w:hint="eastAsia"/>
          <w:b/>
          <w:spacing w:val="0"/>
          <w:szCs w:val="24"/>
          <w:rtl/>
        </w:rPr>
        <w:t>לשטח</w:t>
      </w:r>
      <w:r w:rsidRPr="003813A1">
        <w:rPr>
          <w:rFonts w:ascii="Century" w:hAnsi="Century" w:cs="Miriam"/>
          <w:b/>
          <w:spacing w:val="0"/>
          <w:szCs w:val="24"/>
          <w:rtl/>
        </w:rPr>
        <w:t xml:space="preserve">, </w:t>
      </w:r>
      <w:r w:rsidRPr="003813A1">
        <w:rPr>
          <w:rFonts w:ascii="Century" w:hAnsi="Century" w:cs="Miriam" w:hint="eastAsia"/>
          <w:b/>
          <w:spacing w:val="0"/>
          <w:szCs w:val="24"/>
          <w:rtl/>
        </w:rPr>
        <w:t>ראיתי</w:t>
      </w:r>
      <w:r w:rsidRPr="003813A1">
        <w:rPr>
          <w:rFonts w:ascii="Century" w:hAnsi="Century" w:cs="Miriam"/>
          <w:b/>
          <w:spacing w:val="0"/>
          <w:szCs w:val="24"/>
          <w:rtl/>
        </w:rPr>
        <w:t xml:space="preserve"> </w:t>
      </w:r>
      <w:r w:rsidRPr="003813A1">
        <w:rPr>
          <w:rFonts w:ascii="Century" w:hAnsi="Century" w:cs="Miriam" w:hint="eastAsia"/>
          <w:b/>
          <w:spacing w:val="0"/>
          <w:szCs w:val="24"/>
          <w:rtl/>
        </w:rPr>
        <w:t>את</w:t>
      </w:r>
      <w:r w:rsidRPr="003813A1">
        <w:rPr>
          <w:rFonts w:ascii="Century" w:hAnsi="Century" w:cs="Miriam"/>
          <w:b/>
          <w:spacing w:val="0"/>
          <w:szCs w:val="24"/>
          <w:rtl/>
        </w:rPr>
        <w:t xml:space="preserve"> </w:t>
      </w:r>
      <w:r w:rsidRPr="003813A1">
        <w:rPr>
          <w:rFonts w:ascii="Century" w:hAnsi="Century" w:cs="Miriam" w:hint="eastAsia"/>
          <w:b/>
          <w:spacing w:val="0"/>
          <w:szCs w:val="24"/>
          <w:rtl/>
        </w:rPr>
        <w:t>הגידור</w:t>
      </w:r>
      <w:r w:rsidRPr="003813A1">
        <w:rPr>
          <w:rFonts w:ascii="Century" w:hAnsi="Century" w:cs="Miriam"/>
          <w:b/>
          <w:spacing w:val="0"/>
          <w:szCs w:val="24"/>
          <w:rtl/>
        </w:rPr>
        <w:t xml:space="preserve"> </w:t>
      </w:r>
      <w:r w:rsidRPr="003813A1">
        <w:rPr>
          <w:rFonts w:ascii="Century" w:hAnsi="Century" w:cs="Miriam" w:hint="eastAsia"/>
          <w:b/>
          <w:spacing w:val="0"/>
          <w:szCs w:val="24"/>
          <w:rtl/>
        </w:rPr>
        <w:t>שקיים</w:t>
      </w:r>
      <w:r w:rsidRPr="003813A1">
        <w:rPr>
          <w:rFonts w:ascii="Century" w:hAnsi="Century" w:cs="Miriam"/>
          <w:b/>
          <w:spacing w:val="0"/>
          <w:szCs w:val="24"/>
          <w:rtl/>
        </w:rPr>
        <w:t xml:space="preserve"> </w:t>
      </w:r>
      <w:r w:rsidRPr="003813A1">
        <w:rPr>
          <w:rFonts w:ascii="Century" w:hAnsi="Century" w:cs="Miriam" w:hint="eastAsia"/>
          <w:b/>
          <w:spacing w:val="0"/>
          <w:szCs w:val="24"/>
          <w:rtl/>
        </w:rPr>
        <w:t>בפועל</w:t>
      </w:r>
      <w:r w:rsidRPr="003813A1">
        <w:rPr>
          <w:rFonts w:ascii="Century" w:hAnsi="Century" w:cs="Miriam"/>
          <w:b/>
          <w:spacing w:val="0"/>
          <w:szCs w:val="24"/>
          <w:rtl/>
        </w:rPr>
        <w:t xml:space="preserve"> </w:t>
      </w:r>
      <w:r w:rsidRPr="003813A1">
        <w:rPr>
          <w:rFonts w:ascii="Century" w:hAnsi="Century" w:cs="Miriam" w:hint="eastAsia"/>
          <w:b/>
          <w:spacing w:val="0"/>
          <w:szCs w:val="24"/>
          <w:rtl/>
        </w:rPr>
        <w:t>שהיה</w:t>
      </w:r>
      <w:r w:rsidRPr="003813A1">
        <w:rPr>
          <w:rFonts w:ascii="Century" w:hAnsi="Century" w:cs="Miriam"/>
          <w:b/>
          <w:spacing w:val="0"/>
          <w:szCs w:val="24"/>
          <w:rtl/>
        </w:rPr>
        <w:t xml:space="preserve"> </w:t>
      </w:r>
      <w:r w:rsidRPr="003813A1">
        <w:rPr>
          <w:rFonts w:ascii="Century" w:hAnsi="Century" w:cs="Miriam" w:hint="eastAsia"/>
          <w:b/>
          <w:spacing w:val="0"/>
          <w:szCs w:val="24"/>
          <w:rtl/>
        </w:rPr>
        <w:t>אז</w:t>
      </w:r>
      <w:r w:rsidRPr="003813A1">
        <w:rPr>
          <w:rFonts w:ascii="Century" w:hAnsi="Century" w:cs="Miriam"/>
          <w:b/>
          <w:spacing w:val="0"/>
          <w:szCs w:val="24"/>
          <w:rtl/>
        </w:rPr>
        <w:t xml:space="preserve">, </w:t>
      </w:r>
      <w:r w:rsidRPr="003813A1">
        <w:rPr>
          <w:rFonts w:ascii="Century" w:hAnsi="Century" w:cs="Miriam" w:hint="eastAsia"/>
          <w:b/>
          <w:spacing w:val="0"/>
          <w:szCs w:val="24"/>
          <w:rtl/>
        </w:rPr>
        <w:t>את</w:t>
      </w:r>
      <w:r w:rsidRPr="003813A1">
        <w:rPr>
          <w:rFonts w:ascii="Century" w:hAnsi="Century" w:cs="Miriam"/>
          <w:b/>
          <w:spacing w:val="0"/>
          <w:szCs w:val="24"/>
          <w:rtl/>
        </w:rPr>
        <w:t xml:space="preserve"> </w:t>
      </w:r>
      <w:r w:rsidRPr="003813A1">
        <w:rPr>
          <w:rFonts w:ascii="Century" w:hAnsi="Century" w:cs="Miriam" w:hint="eastAsia"/>
          <w:b/>
          <w:spacing w:val="0"/>
          <w:szCs w:val="24"/>
          <w:rtl/>
        </w:rPr>
        <w:t>הגידור</w:t>
      </w:r>
      <w:r w:rsidRPr="003813A1">
        <w:rPr>
          <w:rFonts w:ascii="Century" w:hAnsi="Century" w:cs="Miriam"/>
          <w:b/>
          <w:spacing w:val="0"/>
          <w:szCs w:val="24"/>
          <w:rtl/>
        </w:rPr>
        <w:t xml:space="preserve"> </w:t>
      </w:r>
      <w:r w:rsidRPr="003813A1">
        <w:rPr>
          <w:rFonts w:ascii="Century" w:hAnsi="Century" w:cs="Miriam" w:hint="eastAsia"/>
          <w:b/>
          <w:spacing w:val="0"/>
          <w:szCs w:val="24"/>
          <w:rtl/>
        </w:rPr>
        <w:t>הישן</w:t>
      </w:r>
      <w:r w:rsidRPr="003813A1">
        <w:rPr>
          <w:rFonts w:ascii="Century" w:hAnsi="Century" w:cs="Miriam"/>
          <w:b/>
          <w:spacing w:val="0"/>
          <w:szCs w:val="24"/>
          <w:rtl/>
        </w:rPr>
        <w:t xml:space="preserve">. </w:t>
      </w:r>
      <w:r w:rsidRPr="003813A1">
        <w:rPr>
          <w:rFonts w:ascii="Century" w:hAnsi="Century" w:cs="Miriam" w:hint="eastAsia"/>
          <w:b/>
          <w:spacing w:val="0"/>
          <w:szCs w:val="24"/>
          <w:rtl/>
        </w:rPr>
        <w:t>לפני</w:t>
      </w:r>
      <w:r w:rsidRPr="003813A1">
        <w:rPr>
          <w:rFonts w:ascii="Century" w:hAnsi="Century" w:cs="Miriam"/>
          <w:b/>
          <w:spacing w:val="0"/>
          <w:szCs w:val="24"/>
          <w:rtl/>
        </w:rPr>
        <w:t xml:space="preserve"> </w:t>
      </w:r>
      <w:r w:rsidRPr="003813A1">
        <w:rPr>
          <w:rFonts w:ascii="Century" w:hAnsi="Century" w:cs="Miriam" w:hint="eastAsia"/>
          <w:b/>
          <w:spacing w:val="0"/>
          <w:szCs w:val="24"/>
          <w:rtl/>
        </w:rPr>
        <w:t>זה</w:t>
      </w:r>
      <w:r w:rsidRPr="003813A1">
        <w:rPr>
          <w:rFonts w:ascii="Century" w:hAnsi="Century" w:cs="Miriam"/>
          <w:b/>
          <w:spacing w:val="0"/>
          <w:szCs w:val="24"/>
          <w:rtl/>
        </w:rPr>
        <w:t xml:space="preserve"> </w:t>
      </w:r>
      <w:r w:rsidRPr="003813A1">
        <w:rPr>
          <w:rFonts w:ascii="Century" w:hAnsi="Century" w:cs="Miriam" w:hint="eastAsia"/>
          <w:b/>
          <w:spacing w:val="0"/>
          <w:szCs w:val="24"/>
          <w:rtl/>
        </w:rPr>
        <w:t>הגעתי</w:t>
      </w:r>
      <w:r w:rsidRPr="003813A1">
        <w:rPr>
          <w:rFonts w:ascii="Century" w:hAnsi="Century" w:cs="Miriam"/>
          <w:b/>
          <w:spacing w:val="0"/>
          <w:szCs w:val="24"/>
          <w:rtl/>
        </w:rPr>
        <w:t xml:space="preserve"> </w:t>
      </w:r>
      <w:r w:rsidRPr="003813A1">
        <w:rPr>
          <w:rFonts w:ascii="Century" w:hAnsi="Century" w:cs="Miriam" w:hint="eastAsia"/>
          <w:b/>
          <w:spacing w:val="0"/>
          <w:szCs w:val="24"/>
          <w:rtl/>
        </w:rPr>
        <w:t>למסקנה</w:t>
      </w:r>
      <w:r w:rsidRPr="003813A1">
        <w:rPr>
          <w:rFonts w:ascii="Century" w:hAnsi="Century" w:cs="Miriam"/>
          <w:b/>
          <w:spacing w:val="0"/>
          <w:szCs w:val="24"/>
          <w:rtl/>
        </w:rPr>
        <w:t xml:space="preserve"> </w:t>
      </w:r>
      <w:r w:rsidRPr="003813A1">
        <w:rPr>
          <w:rFonts w:ascii="Century" w:hAnsi="Century" w:cs="Miriam" w:hint="eastAsia"/>
          <w:b/>
          <w:spacing w:val="0"/>
          <w:szCs w:val="24"/>
          <w:rtl/>
        </w:rPr>
        <w:t>שזה</w:t>
      </w:r>
      <w:r w:rsidRPr="003813A1">
        <w:rPr>
          <w:rFonts w:ascii="Century" w:hAnsi="Century" w:cs="Miriam"/>
          <w:b/>
          <w:spacing w:val="0"/>
          <w:szCs w:val="24"/>
          <w:rtl/>
        </w:rPr>
        <w:t xml:space="preserve"> </w:t>
      </w:r>
      <w:r w:rsidRPr="003813A1">
        <w:rPr>
          <w:rFonts w:ascii="Century" w:hAnsi="Century" w:cs="Miriam" w:hint="eastAsia"/>
          <w:b/>
          <w:spacing w:val="0"/>
          <w:szCs w:val="24"/>
          <w:rtl/>
        </w:rPr>
        <w:t>בתוך</w:t>
      </w:r>
      <w:r w:rsidRPr="003813A1">
        <w:rPr>
          <w:rFonts w:ascii="Century" w:hAnsi="Century" w:cs="Miriam"/>
          <w:b/>
          <w:spacing w:val="0"/>
          <w:szCs w:val="24"/>
          <w:rtl/>
        </w:rPr>
        <w:t xml:space="preserve"> </w:t>
      </w:r>
      <w:r w:rsidRPr="003813A1">
        <w:rPr>
          <w:rFonts w:ascii="Century" w:hAnsi="Century" w:cs="Miriam" w:hint="eastAsia"/>
          <w:b/>
          <w:spacing w:val="0"/>
          <w:szCs w:val="24"/>
          <w:rtl/>
        </w:rPr>
        <w:t>השטח</w:t>
      </w:r>
      <w:r w:rsidRPr="003813A1">
        <w:rPr>
          <w:rFonts w:ascii="Century" w:hAnsi="Century" w:cs="Miriam"/>
          <w:b/>
          <w:spacing w:val="0"/>
          <w:szCs w:val="24"/>
          <w:rtl/>
        </w:rPr>
        <w:t xml:space="preserve"> </w:t>
      </w:r>
      <w:r w:rsidRPr="003813A1">
        <w:rPr>
          <w:rFonts w:ascii="Century" w:hAnsi="Century" w:cs="Miriam" w:hint="eastAsia"/>
          <w:b/>
          <w:spacing w:val="0"/>
          <w:szCs w:val="24"/>
          <w:rtl/>
        </w:rPr>
        <w:t>שתפוס</w:t>
      </w:r>
      <w:r w:rsidRPr="003813A1">
        <w:rPr>
          <w:rFonts w:ascii="Century" w:hAnsi="Century" w:cs="Miriam"/>
          <w:b/>
          <w:spacing w:val="0"/>
          <w:szCs w:val="24"/>
          <w:rtl/>
        </w:rPr>
        <w:t xml:space="preserve"> </w:t>
      </w:r>
      <w:r w:rsidRPr="003813A1">
        <w:rPr>
          <w:rFonts w:ascii="Century" w:hAnsi="Century" w:cs="Miriam" w:hint="eastAsia"/>
          <w:b/>
          <w:spacing w:val="0"/>
          <w:szCs w:val="24"/>
          <w:rtl/>
        </w:rPr>
        <w:t>בפועל</w:t>
      </w:r>
      <w:r w:rsidRPr="003813A1">
        <w:rPr>
          <w:rFonts w:ascii="Century" w:hAnsi="Century" w:cs="Miriam"/>
          <w:b/>
          <w:spacing w:val="0"/>
          <w:szCs w:val="24"/>
          <w:rtl/>
        </w:rPr>
        <w:t xml:space="preserve"> </w:t>
      </w:r>
      <w:r w:rsidRPr="003813A1">
        <w:rPr>
          <w:rFonts w:ascii="Century" w:hAnsi="Century" w:cs="Miriam" w:hint="eastAsia"/>
          <w:b/>
          <w:spacing w:val="0"/>
          <w:szCs w:val="24"/>
          <w:rtl/>
        </w:rPr>
        <w:t>ומבחינתי</w:t>
      </w:r>
      <w:r w:rsidRPr="003813A1">
        <w:rPr>
          <w:rFonts w:ascii="Century" w:hAnsi="Century" w:cs="Miriam"/>
          <w:b/>
          <w:spacing w:val="0"/>
          <w:szCs w:val="24"/>
          <w:rtl/>
        </w:rPr>
        <w:t xml:space="preserve"> </w:t>
      </w:r>
      <w:r w:rsidRPr="003813A1">
        <w:rPr>
          <w:rFonts w:ascii="Century" w:hAnsi="Century" w:cs="Miriam" w:hint="eastAsia"/>
          <w:b/>
          <w:spacing w:val="0"/>
          <w:szCs w:val="24"/>
          <w:rtl/>
        </w:rPr>
        <w:t>זה</w:t>
      </w:r>
      <w:r w:rsidRPr="003813A1">
        <w:rPr>
          <w:rFonts w:ascii="Century" w:hAnsi="Century" w:cs="Miriam"/>
          <w:b/>
          <w:spacing w:val="0"/>
          <w:szCs w:val="24"/>
          <w:rtl/>
        </w:rPr>
        <w:t xml:space="preserve"> </w:t>
      </w:r>
      <w:r w:rsidRPr="003813A1">
        <w:rPr>
          <w:rFonts w:ascii="Century" w:hAnsi="Century" w:cs="Miriam" w:hint="eastAsia"/>
          <w:b/>
          <w:spacing w:val="0"/>
          <w:szCs w:val="24"/>
          <w:rtl/>
        </w:rPr>
        <w:t>הספיק</w:t>
      </w:r>
      <w:r w:rsidRPr="003813A1">
        <w:rPr>
          <w:rFonts w:ascii="Century" w:hAnsi="Century" w:cs="Miriam"/>
          <w:b/>
          <w:spacing w:val="0"/>
          <w:szCs w:val="24"/>
          <w:rtl/>
        </w:rPr>
        <w:t xml:space="preserve"> </w:t>
      </w:r>
      <w:r w:rsidRPr="003813A1">
        <w:rPr>
          <w:rFonts w:ascii="Century" w:hAnsi="Century" w:cs="Miriam" w:hint="eastAsia"/>
          <w:b/>
          <w:spacing w:val="0"/>
          <w:szCs w:val="24"/>
          <w:rtl/>
        </w:rPr>
        <w:t>לי</w:t>
      </w:r>
      <w:r w:rsidRPr="003813A1">
        <w:rPr>
          <w:rFonts w:ascii="Century" w:hAnsi="Century" w:cs="Miriam"/>
          <w:b/>
          <w:spacing w:val="0"/>
          <w:szCs w:val="24"/>
          <w:rtl/>
        </w:rPr>
        <w:t xml:space="preserve"> </w:t>
      </w:r>
      <w:r w:rsidRPr="003813A1">
        <w:rPr>
          <w:rFonts w:ascii="Century" w:hAnsi="Century" w:cs="Miriam" w:hint="eastAsia"/>
          <w:b/>
          <w:spacing w:val="0"/>
          <w:szCs w:val="24"/>
          <w:rtl/>
        </w:rPr>
        <w:t>וכך</w:t>
      </w:r>
      <w:r w:rsidRPr="003813A1">
        <w:rPr>
          <w:rFonts w:ascii="Century" w:hAnsi="Century" w:cs="Miriam"/>
          <w:b/>
          <w:spacing w:val="0"/>
          <w:szCs w:val="24"/>
          <w:rtl/>
        </w:rPr>
        <w:t xml:space="preserve"> </w:t>
      </w:r>
      <w:r w:rsidRPr="003813A1">
        <w:rPr>
          <w:rFonts w:ascii="Century" w:hAnsi="Century" w:cs="Miriam" w:hint="eastAsia"/>
          <w:b/>
          <w:spacing w:val="0"/>
          <w:szCs w:val="24"/>
          <w:rtl/>
        </w:rPr>
        <w:t>הצעתי</w:t>
      </w:r>
      <w:r w:rsidRPr="003813A1">
        <w:rPr>
          <w:rFonts w:ascii="Century" w:hAnsi="Century" w:cs="Miriam"/>
          <w:b/>
          <w:spacing w:val="0"/>
          <w:szCs w:val="24"/>
          <w:rtl/>
        </w:rPr>
        <w:t xml:space="preserve"> </w:t>
      </w:r>
      <w:r w:rsidRPr="003813A1">
        <w:rPr>
          <w:rFonts w:ascii="Century" w:hAnsi="Century" w:cs="Miriam" w:hint="eastAsia"/>
          <w:b/>
          <w:spacing w:val="0"/>
          <w:szCs w:val="24"/>
          <w:rtl/>
        </w:rPr>
        <w:t>גם</w:t>
      </w:r>
      <w:r w:rsidRPr="003813A1">
        <w:rPr>
          <w:rFonts w:ascii="Century" w:hAnsi="Century" w:cs="Miriam"/>
          <w:b/>
          <w:spacing w:val="0"/>
          <w:szCs w:val="24"/>
          <w:rtl/>
        </w:rPr>
        <w:t xml:space="preserve"> </w:t>
      </w:r>
      <w:r w:rsidRPr="003813A1">
        <w:rPr>
          <w:rFonts w:ascii="Century" w:hAnsi="Century" w:cs="Miriam" w:hint="eastAsia"/>
          <w:b/>
          <w:spacing w:val="0"/>
          <w:szCs w:val="24"/>
          <w:rtl/>
        </w:rPr>
        <w:t>ליועמ</w:t>
      </w:r>
      <w:r w:rsidRPr="003813A1">
        <w:rPr>
          <w:rFonts w:ascii="Century" w:hAnsi="Century" w:cs="Miriam"/>
          <w:b/>
          <w:spacing w:val="0"/>
          <w:szCs w:val="24"/>
          <w:rtl/>
        </w:rPr>
        <w:t>"</w:t>
      </w:r>
      <w:r w:rsidRPr="003813A1">
        <w:rPr>
          <w:rFonts w:ascii="Century" w:hAnsi="Century" w:cs="Miriam" w:hint="eastAsia"/>
          <w:b/>
          <w:spacing w:val="0"/>
          <w:szCs w:val="24"/>
          <w:rtl/>
        </w:rPr>
        <w:t>ש</w:t>
      </w:r>
      <w:r w:rsidRPr="003813A1">
        <w:rPr>
          <w:rFonts w:ascii="Century" w:hAnsi="Century" w:cs="Miriam" w:hint="cs"/>
          <w:b/>
          <w:spacing w:val="0"/>
          <w:szCs w:val="24"/>
          <w:rtl/>
        </w:rPr>
        <w:t>"</w:t>
      </w:r>
      <w:r>
        <w:rPr>
          <w:rFonts w:hint="cs"/>
          <w:rtl/>
        </w:rPr>
        <w:t xml:space="preserve"> (עמ' 258, </w:t>
      </w:r>
      <w:r>
        <w:rPr>
          <w:rFonts w:hint="cs"/>
          <w:rtl/>
        </w:rPr>
        <w:lastRenderedPageBreak/>
        <w:t xml:space="preserve">שורות 5-1). עדות זו, שנמצאה מהימנה על-ידי בית המשפט המחוזי, מלמדת כי בטרם הוחלט על העתקת הישוב, נערכו </w:t>
      </w:r>
      <w:r w:rsidRPr="00524419">
        <w:rPr>
          <w:rFonts w:ascii="Century" w:hAnsi="Century" w:cs="Miriam" w:hint="cs"/>
          <w:b/>
          <w:spacing w:val="0"/>
          <w:szCs w:val="24"/>
          <w:rtl/>
        </w:rPr>
        <w:t>בדיקות ובירורים</w:t>
      </w:r>
      <w:r w:rsidRPr="00524419">
        <w:rPr>
          <w:rFonts w:hint="cs"/>
          <w:rtl/>
        </w:rPr>
        <w:t xml:space="preserve"> </w:t>
      </w:r>
      <w:r>
        <w:rPr>
          <w:rFonts w:hint="cs"/>
          <w:rtl/>
        </w:rPr>
        <w:t xml:space="preserve">מצד גורמי המינהל האזרחי. בדיקות אלו מסלקות את 'סימן השאלה' שריחף, ככל שריחף, מעל </w:t>
      </w:r>
      <w:r w:rsidR="001D4967">
        <w:rPr>
          <w:rFonts w:hint="cs"/>
          <w:rtl/>
        </w:rPr>
        <w:t>תום ליבם של גורמי המינהל האזרחי,</w:t>
      </w:r>
      <w:r>
        <w:rPr>
          <w:rFonts w:hint="cs"/>
          <w:rtl/>
        </w:rPr>
        <w:t xml:space="preserve"> והוא מפיג את החשש שמא נהגו אנשי המינהל האזרחי ב'עצימת עיניים', אף לפי הגישות המחמירות לגבי מידת תום הלב של הממונה (השוו: עניין </w:t>
      </w:r>
      <w:r w:rsidRPr="00524419">
        <w:rPr>
          <w:rFonts w:ascii="Century" w:hAnsi="Century" w:cs="Miriam" w:hint="cs"/>
          <w:b/>
          <w:spacing w:val="0"/>
          <w:szCs w:val="24"/>
          <w:rtl/>
        </w:rPr>
        <w:t>עקל</w:t>
      </w:r>
      <w:r>
        <w:rPr>
          <w:rFonts w:hint="cs"/>
          <w:rtl/>
        </w:rPr>
        <w:t>, פסקאות 19-18).</w:t>
      </w:r>
    </w:p>
    <w:p w:rsidR="00295623" w:rsidRPr="0067106E" w:rsidRDefault="00295623" w:rsidP="00295623">
      <w:pPr>
        <w:pStyle w:val="Ruller41"/>
        <w:tabs>
          <w:tab w:val="left" w:pos="90"/>
        </w:tabs>
        <w:spacing w:line="240" w:lineRule="auto"/>
      </w:pPr>
    </w:p>
    <w:p w:rsidR="00295623" w:rsidRDefault="00295623" w:rsidP="00295623">
      <w:pPr>
        <w:pStyle w:val="Ruller41"/>
        <w:tabs>
          <w:tab w:val="left" w:pos="90"/>
        </w:tabs>
      </w:pPr>
      <w:r w:rsidRPr="00F110E1">
        <w:rPr>
          <w:rFonts w:ascii="Century" w:hAnsi="Century" w:cs="Miriam" w:hint="cs"/>
          <w:b/>
          <w:spacing w:val="0"/>
          <w:sz w:val="28"/>
          <w:szCs w:val="30"/>
          <w:rtl/>
        </w:rPr>
        <w:t>-</w:t>
      </w:r>
      <w:r>
        <w:rPr>
          <w:rFonts w:ascii="Century" w:hAnsi="Century" w:cs="Miriam" w:hint="cs"/>
          <w:b/>
          <w:spacing w:val="0"/>
          <w:szCs w:val="24"/>
          <w:rtl/>
        </w:rPr>
        <w:tab/>
      </w:r>
      <w:r>
        <w:rPr>
          <w:rFonts w:ascii="Century" w:hAnsi="Century" w:cs="Miriam"/>
          <w:b/>
          <w:spacing w:val="0"/>
          <w:szCs w:val="24"/>
          <w:rtl/>
        </w:rPr>
        <w:tab/>
      </w:r>
      <w:r w:rsidRPr="00B122E9">
        <w:rPr>
          <w:rFonts w:ascii="Century" w:hAnsi="Century" w:cs="Miriam" w:hint="cs"/>
          <w:b/>
          <w:spacing w:val="0"/>
          <w:szCs w:val="24"/>
          <w:rtl/>
        </w:rPr>
        <w:t>עדות פוליטיס</w:t>
      </w:r>
      <w:r>
        <w:rPr>
          <w:rFonts w:hint="cs"/>
          <w:rtl/>
        </w:rPr>
        <w:t xml:space="preserve">. פוליטיס ציין בתצהירו, כי </w:t>
      </w:r>
      <w:r w:rsidRPr="00F14155">
        <w:rPr>
          <w:rFonts w:ascii="Century" w:hAnsi="Century" w:cs="Miriam" w:hint="cs"/>
          <w:b/>
          <w:spacing w:val="0"/>
          <w:szCs w:val="24"/>
          <w:rtl/>
        </w:rPr>
        <w:t>"כל העתקה או טיפול בנקודת יישוב ביהודה וש</w:t>
      </w:r>
      <w:r>
        <w:rPr>
          <w:rFonts w:ascii="Century" w:hAnsi="Century" w:cs="Miriam" w:hint="cs"/>
          <w:b/>
          <w:spacing w:val="0"/>
          <w:szCs w:val="24"/>
          <w:rtl/>
        </w:rPr>
        <w:t>ו</w:t>
      </w:r>
      <w:r w:rsidRPr="00F14155">
        <w:rPr>
          <w:rFonts w:ascii="Century" w:hAnsi="Century" w:cs="Miriam" w:hint="cs"/>
          <w:b/>
          <w:spacing w:val="0"/>
          <w:szCs w:val="24"/>
          <w:rtl/>
        </w:rPr>
        <w:t>מרון חייב את אישורי"</w:t>
      </w:r>
      <w:r>
        <w:rPr>
          <w:rFonts w:hint="cs"/>
          <w:rtl/>
        </w:rPr>
        <w:t xml:space="preserve">; כי אישר את ההעתקה על יסוד ההנחה שמדובר בקרקע תפוסה; וכי </w:t>
      </w:r>
      <w:r w:rsidRPr="00F14155">
        <w:rPr>
          <w:rFonts w:ascii="Century" w:hAnsi="Century" w:cs="Miriam" w:hint="cs"/>
          <w:b/>
          <w:spacing w:val="0"/>
          <w:szCs w:val="24"/>
          <w:rtl/>
        </w:rPr>
        <w:t>"בוודאי ערכתי גם חוות דעת כתובה בנושא, לפי נוהל העב</w:t>
      </w:r>
      <w:r>
        <w:rPr>
          <w:rFonts w:ascii="Century" w:hAnsi="Century" w:cs="Miriam" w:hint="cs"/>
          <w:b/>
          <w:spacing w:val="0"/>
          <w:szCs w:val="24"/>
          <w:rtl/>
        </w:rPr>
        <w:t>ו</w:t>
      </w:r>
      <w:r w:rsidRPr="00F14155">
        <w:rPr>
          <w:rFonts w:ascii="Century" w:hAnsi="Century" w:cs="Miriam" w:hint="cs"/>
          <w:b/>
          <w:spacing w:val="0"/>
          <w:szCs w:val="24"/>
          <w:rtl/>
        </w:rPr>
        <w:t>דה הרגיל, אך זו אינה בידי"</w:t>
      </w:r>
      <w:r>
        <w:rPr>
          <w:rFonts w:hint="cs"/>
          <w:rtl/>
        </w:rPr>
        <w:t xml:space="preserve"> (סעיפים 10-9 לתצהירו). אעיר, כי במכתב מיום 31.10.1999, אכן מוזכרת חוות דעת כתובה שערך פוליטיס, בנושא העתקת הישוב, אך זו לא נמצאה ולא הוגשה כראיה בתיק (נספח 44 לתצהיר כספי). בעדותו הבהיר מה היתה תפיסתו המשפטית: </w:t>
      </w:r>
      <w:r w:rsidRPr="0082440F">
        <w:rPr>
          <w:rFonts w:ascii="Century" w:hAnsi="Century" w:cs="Miriam" w:hint="cs"/>
          <w:b/>
          <w:spacing w:val="0"/>
          <w:szCs w:val="24"/>
          <w:rtl/>
        </w:rPr>
        <w:t>"</w:t>
      </w:r>
      <w:r w:rsidRPr="0082440F">
        <w:rPr>
          <w:rFonts w:ascii="Century" w:hAnsi="Century" w:cs="Miriam" w:hint="eastAsia"/>
          <w:b/>
          <w:spacing w:val="0"/>
          <w:szCs w:val="24"/>
          <w:rtl/>
        </w:rPr>
        <w:t>גם</w:t>
      </w:r>
      <w:r w:rsidRPr="0082440F">
        <w:rPr>
          <w:rFonts w:ascii="Century" w:hAnsi="Century" w:cs="Miriam"/>
          <w:b/>
          <w:spacing w:val="0"/>
          <w:szCs w:val="24"/>
          <w:rtl/>
        </w:rPr>
        <w:t xml:space="preserve"> </w:t>
      </w:r>
      <w:r w:rsidRPr="0082440F">
        <w:rPr>
          <w:rFonts w:ascii="Century" w:hAnsi="Century" w:cs="Miriam" w:hint="eastAsia"/>
          <w:b/>
          <w:spacing w:val="0"/>
          <w:szCs w:val="24"/>
          <w:rtl/>
        </w:rPr>
        <w:t>אם</w:t>
      </w:r>
      <w:r w:rsidRPr="0082440F">
        <w:rPr>
          <w:rFonts w:ascii="Century" w:hAnsi="Century" w:cs="Miriam"/>
          <w:b/>
          <w:spacing w:val="0"/>
          <w:szCs w:val="24"/>
          <w:rtl/>
        </w:rPr>
        <w:t xml:space="preserve"> </w:t>
      </w:r>
      <w:r w:rsidRPr="0082440F">
        <w:rPr>
          <w:rFonts w:ascii="Century" w:hAnsi="Century" w:cs="Miriam" w:hint="eastAsia"/>
          <w:b/>
          <w:spacing w:val="0"/>
          <w:szCs w:val="24"/>
          <w:rtl/>
        </w:rPr>
        <w:t>לא</w:t>
      </w:r>
      <w:r w:rsidRPr="0082440F">
        <w:rPr>
          <w:rFonts w:ascii="Century" w:hAnsi="Century" w:cs="Miriam"/>
          <w:b/>
          <w:spacing w:val="0"/>
          <w:szCs w:val="24"/>
          <w:rtl/>
        </w:rPr>
        <w:t xml:space="preserve"> </w:t>
      </w:r>
      <w:r w:rsidRPr="0082440F">
        <w:rPr>
          <w:rFonts w:ascii="Century" w:hAnsi="Century" w:cs="Miriam" w:hint="eastAsia"/>
          <w:b/>
          <w:spacing w:val="0"/>
          <w:szCs w:val="24"/>
          <w:rtl/>
        </w:rPr>
        <w:t>היה</w:t>
      </w:r>
      <w:r w:rsidRPr="0082440F">
        <w:rPr>
          <w:rFonts w:ascii="Century" w:hAnsi="Century" w:cs="Miriam"/>
          <w:b/>
          <w:spacing w:val="0"/>
          <w:szCs w:val="24"/>
          <w:rtl/>
        </w:rPr>
        <w:t xml:space="preserve"> </w:t>
      </w:r>
      <w:r w:rsidRPr="0082440F">
        <w:rPr>
          <w:rFonts w:ascii="Century" w:hAnsi="Century" w:cs="Miriam" w:hint="eastAsia"/>
          <w:b/>
          <w:spacing w:val="0"/>
          <w:szCs w:val="24"/>
          <w:rtl/>
        </w:rPr>
        <w:t>מימוש</w:t>
      </w:r>
      <w:r w:rsidRPr="0082440F">
        <w:rPr>
          <w:rFonts w:ascii="Century" w:hAnsi="Century" w:cs="Miriam"/>
          <w:b/>
          <w:spacing w:val="0"/>
          <w:szCs w:val="24"/>
          <w:rtl/>
        </w:rPr>
        <w:t xml:space="preserve"> </w:t>
      </w:r>
      <w:r w:rsidRPr="0082440F">
        <w:rPr>
          <w:rFonts w:ascii="Century" w:hAnsi="Century" w:cs="Miriam" w:hint="eastAsia"/>
          <w:b/>
          <w:spacing w:val="0"/>
          <w:szCs w:val="24"/>
          <w:rtl/>
        </w:rPr>
        <w:t>בפועל</w:t>
      </w:r>
      <w:r w:rsidRPr="0082440F">
        <w:rPr>
          <w:rFonts w:ascii="Century" w:hAnsi="Century" w:cs="Miriam"/>
          <w:b/>
          <w:spacing w:val="0"/>
          <w:szCs w:val="24"/>
          <w:rtl/>
        </w:rPr>
        <w:t xml:space="preserve"> </w:t>
      </w:r>
      <w:r w:rsidRPr="0082440F">
        <w:rPr>
          <w:rFonts w:ascii="Century" w:hAnsi="Century" w:cs="Miriam" w:hint="eastAsia"/>
          <w:b/>
          <w:spacing w:val="0"/>
          <w:szCs w:val="24"/>
          <w:rtl/>
        </w:rPr>
        <w:t>בשטח</w:t>
      </w:r>
      <w:r w:rsidRPr="0082440F">
        <w:rPr>
          <w:rFonts w:ascii="Century" w:hAnsi="Century" w:cs="Miriam"/>
          <w:b/>
          <w:spacing w:val="0"/>
          <w:szCs w:val="24"/>
          <w:rtl/>
        </w:rPr>
        <w:t xml:space="preserve"> </w:t>
      </w:r>
      <w:r w:rsidRPr="0082440F">
        <w:rPr>
          <w:rFonts w:ascii="Century" w:hAnsi="Century" w:cs="Miriam" w:hint="eastAsia"/>
          <w:b/>
          <w:spacing w:val="0"/>
          <w:szCs w:val="24"/>
          <w:rtl/>
        </w:rPr>
        <w:t>בנושא</w:t>
      </w:r>
      <w:r w:rsidRPr="0082440F">
        <w:rPr>
          <w:rFonts w:ascii="Century" w:hAnsi="Century" w:cs="Miriam"/>
          <w:b/>
          <w:spacing w:val="0"/>
          <w:szCs w:val="24"/>
          <w:rtl/>
        </w:rPr>
        <w:t xml:space="preserve"> </w:t>
      </w:r>
      <w:r w:rsidRPr="0082440F">
        <w:rPr>
          <w:rFonts w:ascii="Century" w:hAnsi="Century" w:cs="Miriam" w:hint="eastAsia"/>
          <w:b/>
          <w:spacing w:val="0"/>
          <w:szCs w:val="24"/>
          <w:rtl/>
        </w:rPr>
        <w:t>של</w:t>
      </w:r>
      <w:r w:rsidRPr="0082440F">
        <w:rPr>
          <w:rFonts w:ascii="Century" w:hAnsi="Century" w:cs="Miriam"/>
          <w:b/>
          <w:spacing w:val="0"/>
          <w:szCs w:val="24"/>
          <w:rtl/>
        </w:rPr>
        <w:t xml:space="preserve"> </w:t>
      </w:r>
      <w:r w:rsidRPr="0082440F">
        <w:rPr>
          <w:rFonts w:ascii="Century" w:hAnsi="Century" w:cs="Miriam" w:hint="eastAsia"/>
          <w:b/>
          <w:spacing w:val="0"/>
          <w:szCs w:val="24"/>
          <w:rtl/>
        </w:rPr>
        <w:t>כוכב</w:t>
      </w:r>
      <w:r w:rsidRPr="0082440F">
        <w:rPr>
          <w:rFonts w:ascii="Century" w:hAnsi="Century" w:cs="Miriam"/>
          <w:b/>
          <w:spacing w:val="0"/>
          <w:szCs w:val="24"/>
          <w:rtl/>
        </w:rPr>
        <w:t xml:space="preserve"> </w:t>
      </w:r>
      <w:r w:rsidRPr="0082440F">
        <w:rPr>
          <w:rFonts w:ascii="Century" w:hAnsi="Century" w:cs="Miriam" w:hint="eastAsia"/>
          <w:b/>
          <w:spacing w:val="0"/>
          <w:szCs w:val="24"/>
          <w:rtl/>
        </w:rPr>
        <w:t>השחר</w:t>
      </w:r>
      <w:r w:rsidRPr="0082440F">
        <w:rPr>
          <w:rFonts w:ascii="Century" w:hAnsi="Century" w:cs="Miriam"/>
          <w:b/>
          <w:spacing w:val="0"/>
          <w:szCs w:val="24"/>
          <w:rtl/>
        </w:rPr>
        <w:t xml:space="preserve"> </w:t>
      </w:r>
      <w:r w:rsidRPr="0082440F">
        <w:rPr>
          <w:rFonts w:ascii="Century" w:hAnsi="Century" w:cs="Miriam" w:hint="eastAsia"/>
          <w:b/>
          <w:spacing w:val="0"/>
          <w:szCs w:val="24"/>
          <w:rtl/>
        </w:rPr>
        <w:t>באותה</w:t>
      </w:r>
      <w:r w:rsidRPr="0082440F">
        <w:rPr>
          <w:rFonts w:ascii="Century" w:hAnsi="Century" w:cs="Miriam"/>
          <w:b/>
          <w:spacing w:val="0"/>
          <w:szCs w:val="24"/>
          <w:rtl/>
        </w:rPr>
        <w:t xml:space="preserve"> </w:t>
      </w:r>
      <w:r w:rsidRPr="0082440F">
        <w:rPr>
          <w:rFonts w:ascii="Century" w:hAnsi="Century" w:cs="Miriam" w:hint="eastAsia"/>
          <w:b/>
          <w:spacing w:val="0"/>
          <w:szCs w:val="24"/>
          <w:rtl/>
        </w:rPr>
        <w:t>תקופה</w:t>
      </w:r>
      <w:r w:rsidRPr="0082440F">
        <w:rPr>
          <w:rFonts w:ascii="Century" w:hAnsi="Century" w:cs="Miriam"/>
          <w:b/>
          <w:spacing w:val="0"/>
          <w:szCs w:val="24"/>
          <w:rtl/>
        </w:rPr>
        <w:t xml:space="preserve">, </w:t>
      </w:r>
      <w:r w:rsidRPr="0082440F">
        <w:rPr>
          <w:rFonts w:ascii="Century" w:hAnsi="Century" w:cs="Miriam" w:hint="eastAsia"/>
          <w:b/>
          <w:spacing w:val="0"/>
          <w:szCs w:val="24"/>
          <w:rtl/>
        </w:rPr>
        <w:t>הרי</w:t>
      </w:r>
      <w:r w:rsidRPr="0082440F">
        <w:rPr>
          <w:rFonts w:ascii="Century" w:hAnsi="Century" w:cs="Miriam"/>
          <w:b/>
          <w:spacing w:val="0"/>
          <w:szCs w:val="24"/>
          <w:rtl/>
        </w:rPr>
        <w:t xml:space="preserve"> </w:t>
      </w:r>
      <w:r w:rsidRPr="0082440F">
        <w:rPr>
          <w:rFonts w:ascii="Century" w:hAnsi="Century" w:cs="Miriam" w:hint="eastAsia"/>
          <w:b/>
          <w:spacing w:val="0"/>
          <w:szCs w:val="24"/>
          <w:rtl/>
        </w:rPr>
        <w:t>לפחות</w:t>
      </w:r>
      <w:r w:rsidRPr="0082440F">
        <w:rPr>
          <w:rFonts w:ascii="Century" w:hAnsi="Century" w:cs="Miriam"/>
          <w:b/>
          <w:spacing w:val="0"/>
          <w:szCs w:val="24"/>
          <w:rtl/>
        </w:rPr>
        <w:t xml:space="preserve"> </w:t>
      </w:r>
      <w:r w:rsidRPr="0082440F">
        <w:rPr>
          <w:rFonts w:ascii="Century" w:hAnsi="Century" w:cs="Miriam" w:hint="eastAsia"/>
          <w:b/>
          <w:spacing w:val="0"/>
          <w:szCs w:val="24"/>
          <w:rtl/>
        </w:rPr>
        <w:t>על</w:t>
      </w:r>
      <w:r w:rsidRPr="0082440F">
        <w:rPr>
          <w:rFonts w:ascii="Century" w:hAnsi="Century" w:cs="Miriam"/>
          <w:b/>
          <w:spacing w:val="0"/>
          <w:szCs w:val="24"/>
          <w:rtl/>
        </w:rPr>
        <w:t xml:space="preserve"> </w:t>
      </w:r>
      <w:r w:rsidRPr="0082440F">
        <w:rPr>
          <w:rFonts w:ascii="Century" w:hAnsi="Century" w:cs="Miriam" w:hint="eastAsia"/>
          <w:b/>
          <w:spacing w:val="0"/>
          <w:szCs w:val="24"/>
          <w:rtl/>
        </w:rPr>
        <w:t>פי</w:t>
      </w:r>
      <w:r w:rsidRPr="0082440F">
        <w:rPr>
          <w:rFonts w:ascii="Century" w:hAnsi="Century" w:cs="Miriam"/>
          <w:b/>
          <w:spacing w:val="0"/>
          <w:szCs w:val="24"/>
          <w:rtl/>
        </w:rPr>
        <w:t xml:space="preserve"> </w:t>
      </w:r>
      <w:r w:rsidRPr="0082440F">
        <w:rPr>
          <w:rFonts w:ascii="Century" w:hAnsi="Century" w:cs="Miriam" w:hint="eastAsia"/>
          <w:b/>
          <w:spacing w:val="0"/>
          <w:szCs w:val="24"/>
          <w:rtl/>
        </w:rPr>
        <w:t>המדיניות</w:t>
      </w:r>
      <w:r w:rsidRPr="0082440F">
        <w:rPr>
          <w:rFonts w:ascii="Century" w:hAnsi="Century" w:cs="Miriam"/>
          <w:b/>
          <w:spacing w:val="0"/>
          <w:szCs w:val="24"/>
          <w:rtl/>
        </w:rPr>
        <w:t xml:space="preserve"> </w:t>
      </w:r>
      <w:r w:rsidRPr="0082440F">
        <w:rPr>
          <w:rFonts w:ascii="Century" w:hAnsi="Century" w:cs="Miriam" w:hint="eastAsia"/>
          <w:b/>
          <w:spacing w:val="0"/>
          <w:szCs w:val="24"/>
          <w:rtl/>
        </w:rPr>
        <w:t>המשפטית</w:t>
      </w:r>
      <w:r w:rsidRPr="0082440F">
        <w:rPr>
          <w:rFonts w:ascii="Century" w:hAnsi="Century" w:cs="Miriam"/>
          <w:b/>
          <w:spacing w:val="0"/>
          <w:szCs w:val="24"/>
          <w:rtl/>
        </w:rPr>
        <w:t xml:space="preserve"> </w:t>
      </w:r>
      <w:r w:rsidRPr="0082440F">
        <w:rPr>
          <w:rFonts w:ascii="Century" w:hAnsi="Century" w:cs="Miriam" w:hint="eastAsia"/>
          <w:b/>
          <w:spacing w:val="0"/>
          <w:szCs w:val="24"/>
          <w:rtl/>
        </w:rPr>
        <w:t>שאני</w:t>
      </w:r>
      <w:r w:rsidRPr="0082440F">
        <w:rPr>
          <w:rFonts w:ascii="Century" w:hAnsi="Century" w:cs="Miriam"/>
          <w:b/>
          <w:spacing w:val="0"/>
          <w:szCs w:val="24"/>
          <w:rtl/>
        </w:rPr>
        <w:t xml:space="preserve"> </w:t>
      </w:r>
      <w:r w:rsidRPr="0082440F">
        <w:rPr>
          <w:rFonts w:ascii="Century" w:hAnsi="Century" w:cs="Miriam" w:hint="eastAsia"/>
          <w:b/>
          <w:spacing w:val="0"/>
          <w:szCs w:val="24"/>
          <w:rtl/>
        </w:rPr>
        <w:t>נקטתי</w:t>
      </w:r>
      <w:r w:rsidRPr="0082440F">
        <w:rPr>
          <w:rFonts w:ascii="Century" w:hAnsi="Century" w:cs="Miriam"/>
          <w:b/>
          <w:spacing w:val="0"/>
          <w:szCs w:val="24"/>
          <w:rtl/>
        </w:rPr>
        <w:t xml:space="preserve">, </w:t>
      </w:r>
      <w:r w:rsidRPr="0082440F">
        <w:rPr>
          <w:rFonts w:ascii="Century" w:hAnsi="Century" w:cs="Miriam" w:hint="eastAsia"/>
          <w:b/>
          <w:spacing w:val="0"/>
          <w:szCs w:val="24"/>
          <w:rtl/>
        </w:rPr>
        <w:t>שטח</w:t>
      </w:r>
      <w:r w:rsidRPr="0082440F">
        <w:rPr>
          <w:rFonts w:ascii="Century" w:hAnsi="Century" w:cs="Miriam"/>
          <w:b/>
          <w:spacing w:val="0"/>
          <w:szCs w:val="24"/>
          <w:rtl/>
        </w:rPr>
        <w:t xml:space="preserve"> </w:t>
      </w:r>
      <w:r w:rsidRPr="0082440F">
        <w:rPr>
          <w:rFonts w:ascii="Century" w:hAnsi="Century" w:cs="Miriam" w:hint="eastAsia"/>
          <w:b/>
          <w:spacing w:val="0"/>
          <w:szCs w:val="24"/>
          <w:rtl/>
        </w:rPr>
        <w:t>שתפוס</w:t>
      </w:r>
      <w:r w:rsidRPr="0082440F">
        <w:rPr>
          <w:rFonts w:ascii="Century" w:hAnsi="Century" w:cs="Miriam"/>
          <w:b/>
          <w:spacing w:val="0"/>
          <w:szCs w:val="24"/>
          <w:rtl/>
        </w:rPr>
        <w:t xml:space="preserve"> </w:t>
      </w:r>
      <w:r w:rsidRPr="0082440F">
        <w:rPr>
          <w:rFonts w:ascii="Century" w:hAnsi="Century" w:cs="Miriam" w:hint="eastAsia"/>
          <w:b/>
          <w:spacing w:val="0"/>
          <w:szCs w:val="24"/>
          <w:rtl/>
        </w:rPr>
        <w:t>לצרכים</w:t>
      </w:r>
      <w:r w:rsidRPr="0082440F">
        <w:rPr>
          <w:rFonts w:ascii="Century" w:hAnsi="Century" w:cs="Miriam"/>
          <w:b/>
          <w:spacing w:val="0"/>
          <w:szCs w:val="24"/>
          <w:rtl/>
        </w:rPr>
        <w:t xml:space="preserve"> </w:t>
      </w:r>
      <w:r w:rsidRPr="0082440F">
        <w:rPr>
          <w:rFonts w:ascii="Century" w:hAnsi="Century" w:cs="Miriam" w:hint="eastAsia"/>
          <w:b/>
          <w:spacing w:val="0"/>
          <w:szCs w:val="24"/>
          <w:rtl/>
        </w:rPr>
        <w:t>צבאיים</w:t>
      </w:r>
      <w:r w:rsidRPr="0082440F">
        <w:rPr>
          <w:rFonts w:ascii="Century" w:hAnsi="Century" w:cs="Miriam"/>
          <w:b/>
          <w:spacing w:val="0"/>
          <w:szCs w:val="24"/>
          <w:rtl/>
        </w:rPr>
        <w:t xml:space="preserve"> </w:t>
      </w:r>
      <w:r w:rsidRPr="0082440F">
        <w:rPr>
          <w:rFonts w:ascii="Century" w:hAnsi="Century" w:cs="Miriam" w:hint="eastAsia"/>
          <w:b/>
          <w:spacing w:val="0"/>
          <w:szCs w:val="24"/>
          <w:rtl/>
        </w:rPr>
        <w:t>זה</w:t>
      </w:r>
      <w:r w:rsidRPr="0082440F">
        <w:rPr>
          <w:rFonts w:ascii="Century" w:hAnsi="Century" w:cs="Miriam"/>
          <w:b/>
          <w:spacing w:val="0"/>
          <w:szCs w:val="24"/>
          <w:rtl/>
        </w:rPr>
        <w:t xml:space="preserve"> </w:t>
      </w:r>
      <w:r w:rsidRPr="0082440F">
        <w:rPr>
          <w:rFonts w:ascii="Century" w:hAnsi="Century" w:cs="Miriam" w:hint="eastAsia"/>
          <w:b/>
          <w:spacing w:val="0"/>
          <w:szCs w:val="24"/>
          <w:rtl/>
        </w:rPr>
        <w:t>לא</w:t>
      </w:r>
      <w:r w:rsidRPr="0082440F">
        <w:rPr>
          <w:rFonts w:ascii="Century" w:hAnsi="Century" w:cs="Miriam"/>
          <w:b/>
          <w:spacing w:val="0"/>
          <w:szCs w:val="24"/>
          <w:rtl/>
        </w:rPr>
        <w:t xml:space="preserve"> </w:t>
      </w:r>
      <w:r w:rsidRPr="0082440F">
        <w:rPr>
          <w:rFonts w:ascii="Century" w:hAnsi="Century" w:cs="Miriam" w:hint="eastAsia"/>
          <w:b/>
          <w:spacing w:val="0"/>
          <w:szCs w:val="24"/>
          <w:rtl/>
        </w:rPr>
        <w:t>רק</w:t>
      </w:r>
      <w:r w:rsidRPr="0082440F">
        <w:rPr>
          <w:rFonts w:ascii="Century" w:hAnsi="Century" w:cs="Miriam"/>
          <w:b/>
          <w:spacing w:val="0"/>
          <w:szCs w:val="24"/>
          <w:rtl/>
        </w:rPr>
        <w:t xml:space="preserve"> </w:t>
      </w:r>
      <w:r w:rsidRPr="0082440F">
        <w:rPr>
          <w:rFonts w:ascii="Century" w:hAnsi="Century" w:cs="Miriam" w:hint="eastAsia"/>
          <w:b/>
          <w:spacing w:val="0"/>
          <w:szCs w:val="24"/>
          <w:rtl/>
        </w:rPr>
        <w:t>השטח</w:t>
      </w:r>
      <w:r w:rsidRPr="0082440F">
        <w:rPr>
          <w:rFonts w:ascii="Century" w:hAnsi="Century" w:cs="Miriam"/>
          <w:b/>
          <w:spacing w:val="0"/>
          <w:szCs w:val="24"/>
          <w:rtl/>
        </w:rPr>
        <w:t xml:space="preserve"> </w:t>
      </w:r>
      <w:r w:rsidRPr="0082440F">
        <w:rPr>
          <w:rFonts w:ascii="Century" w:hAnsi="Century" w:cs="Miriam" w:hint="eastAsia"/>
          <w:b/>
          <w:spacing w:val="0"/>
          <w:szCs w:val="24"/>
          <w:rtl/>
        </w:rPr>
        <w:t>התפוס</w:t>
      </w:r>
      <w:r w:rsidRPr="0082440F">
        <w:rPr>
          <w:rFonts w:ascii="Century" w:hAnsi="Century" w:cs="Miriam"/>
          <w:b/>
          <w:spacing w:val="0"/>
          <w:szCs w:val="24"/>
          <w:rtl/>
        </w:rPr>
        <w:t xml:space="preserve"> </w:t>
      </w:r>
      <w:r w:rsidRPr="0082440F">
        <w:rPr>
          <w:rFonts w:ascii="Century" w:hAnsi="Century" w:cs="Miriam" w:hint="eastAsia"/>
          <w:b/>
          <w:spacing w:val="0"/>
          <w:szCs w:val="24"/>
          <w:rtl/>
        </w:rPr>
        <w:t>בפועל</w:t>
      </w:r>
      <w:r w:rsidRPr="0082440F">
        <w:rPr>
          <w:rFonts w:ascii="Century" w:hAnsi="Century" w:cs="Miriam"/>
          <w:b/>
          <w:spacing w:val="0"/>
          <w:szCs w:val="24"/>
          <w:rtl/>
        </w:rPr>
        <w:t xml:space="preserve"> </w:t>
      </w:r>
      <w:r w:rsidRPr="0082440F">
        <w:rPr>
          <w:rFonts w:ascii="Century" w:hAnsi="Century" w:cs="Miriam" w:hint="eastAsia"/>
          <w:b/>
          <w:spacing w:val="0"/>
          <w:szCs w:val="24"/>
          <w:rtl/>
        </w:rPr>
        <w:t>לכוכב</w:t>
      </w:r>
      <w:r w:rsidRPr="0082440F">
        <w:rPr>
          <w:rFonts w:ascii="Century" w:hAnsi="Century" w:cs="Miriam"/>
          <w:b/>
          <w:spacing w:val="0"/>
          <w:szCs w:val="24"/>
          <w:rtl/>
        </w:rPr>
        <w:t xml:space="preserve"> </w:t>
      </w:r>
      <w:r w:rsidRPr="0082440F">
        <w:rPr>
          <w:rFonts w:ascii="Century" w:hAnsi="Century" w:cs="Miriam" w:hint="eastAsia"/>
          <w:b/>
          <w:spacing w:val="0"/>
          <w:szCs w:val="24"/>
          <w:rtl/>
        </w:rPr>
        <w:t>השחר</w:t>
      </w:r>
      <w:r>
        <w:rPr>
          <w:rFonts w:ascii="Century" w:hAnsi="Century" w:cs="Miriam" w:hint="cs"/>
          <w:b/>
          <w:spacing w:val="0"/>
          <w:szCs w:val="24"/>
          <w:rtl/>
        </w:rPr>
        <w:t xml:space="preserve"> [</w:t>
      </w:r>
      <w:r w:rsidRPr="0082440F">
        <w:rPr>
          <w:rFonts w:ascii="Century" w:hAnsi="Century" w:cs="Miriam"/>
          <w:b/>
          <w:spacing w:val="0"/>
          <w:szCs w:val="24"/>
          <w:rtl/>
        </w:rPr>
        <w:t>...</w:t>
      </w:r>
      <w:r>
        <w:rPr>
          <w:rFonts w:ascii="Century" w:hAnsi="Century" w:cs="Miriam" w:hint="cs"/>
          <w:b/>
          <w:spacing w:val="0"/>
          <w:szCs w:val="24"/>
          <w:rtl/>
        </w:rPr>
        <w:t>]</w:t>
      </w:r>
      <w:r w:rsidRPr="0082440F">
        <w:rPr>
          <w:rFonts w:ascii="Century" w:hAnsi="Century" w:cs="Miriam"/>
          <w:b/>
          <w:spacing w:val="0"/>
          <w:szCs w:val="24"/>
          <w:rtl/>
        </w:rPr>
        <w:t xml:space="preserve"> </w:t>
      </w:r>
      <w:r w:rsidRPr="0082440F">
        <w:rPr>
          <w:rFonts w:ascii="Century" w:hAnsi="Century" w:cs="Miriam" w:hint="eastAsia"/>
          <w:b/>
          <w:spacing w:val="0"/>
          <w:szCs w:val="24"/>
          <w:rtl/>
        </w:rPr>
        <w:t>זו</w:t>
      </w:r>
      <w:r w:rsidRPr="0082440F">
        <w:rPr>
          <w:rFonts w:ascii="Century" w:hAnsi="Century" w:cs="Miriam"/>
          <w:b/>
          <w:spacing w:val="0"/>
          <w:szCs w:val="24"/>
          <w:rtl/>
        </w:rPr>
        <w:t xml:space="preserve"> </w:t>
      </w:r>
      <w:r w:rsidRPr="0082440F">
        <w:rPr>
          <w:rFonts w:ascii="Century" w:hAnsi="Century" w:cs="Miriam" w:hint="eastAsia"/>
          <w:b/>
          <w:spacing w:val="0"/>
          <w:szCs w:val="24"/>
          <w:rtl/>
        </w:rPr>
        <w:t>היתה</w:t>
      </w:r>
      <w:r w:rsidRPr="0082440F">
        <w:rPr>
          <w:rFonts w:ascii="Century" w:hAnsi="Century" w:cs="Miriam"/>
          <w:b/>
          <w:spacing w:val="0"/>
          <w:szCs w:val="24"/>
          <w:rtl/>
        </w:rPr>
        <w:t xml:space="preserve"> </w:t>
      </w:r>
      <w:r w:rsidRPr="0082440F">
        <w:rPr>
          <w:rFonts w:ascii="Century" w:hAnsi="Century" w:cs="Miriam" w:hint="eastAsia"/>
          <w:b/>
          <w:spacing w:val="0"/>
          <w:szCs w:val="24"/>
          <w:rtl/>
        </w:rPr>
        <w:t>המדיניות</w:t>
      </w:r>
      <w:r w:rsidRPr="0082440F">
        <w:rPr>
          <w:rFonts w:ascii="Century" w:hAnsi="Century" w:cs="Miriam"/>
          <w:b/>
          <w:spacing w:val="0"/>
          <w:szCs w:val="24"/>
          <w:rtl/>
        </w:rPr>
        <w:t xml:space="preserve"> </w:t>
      </w:r>
      <w:r w:rsidRPr="0082440F">
        <w:rPr>
          <w:rFonts w:ascii="Century" w:hAnsi="Century" w:cs="Miriam" w:hint="eastAsia"/>
          <w:b/>
          <w:spacing w:val="0"/>
          <w:szCs w:val="24"/>
          <w:rtl/>
        </w:rPr>
        <w:t>שלי</w:t>
      </w:r>
      <w:r w:rsidRPr="0082440F">
        <w:rPr>
          <w:rFonts w:ascii="Century" w:hAnsi="Century" w:cs="Miriam"/>
          <w:b/>
          <w:spacing w:val="0"/>
          <w:szCs w:val="24"/>
          <w:rtl/>
        </w:rPr>
        <w:t xml:space="preserve">, </w:t>
      </w:r>
      <w:r w:rsidRPr="0082440F">
        <w:rPr>
          <w:rFonts w:ascii="Century" w:hAnsi="Century" w:cs="Miriam" w:hint="eastAsia"/>
          <w:b/>
          <w:spacing w:val="0"/>
          <w:szCs w:val="24"/>
          <w:rtl/>
        </w:rPr>
        <w:t>כי</w:t>
      </w:r>
      <w:r w:rsidRPr="0082440F">
        <w:rPr>
          <w:rFonts w:ascii="Century" w:hAnsi="Century" w:cs="Miriam"/>
          <w:b/>
          <w:spacing w:val="0"/>
          <w:szCs w:val="24"/>
          <w:rtl/>
        </w:rPr>
        <w:t xml:space="preserve"> </w:t>
      </w:r>
      <w:r w:rsidRPr="0082440F">
        <w:rPr>
          <w:rFonts w:ascii="Century" w:hAnsi="Century" w:cs="Miriam" w:hint="eastAsia"/>
          <w:b/>
          <w:spacing w:val="0"/>
          <w:szCs w:val="24"/>
          <w:rtl/>
        </w:rPr>
        <w:t>שטח</w:t>
      </w:r>
      <w:r w:rsidRPr="0082440F">
        <w:rPr>
          <w:rFonts w:ascii="Century" w:hAnsi="Century" w:cs="Miriam"/>
          <w:b/>
          <w:spacing w:val="0"/>
          <w:szCs w:val="24"/>
          <w:rtl/>
        </w:rPr>
        <w:t xml:space="preserve"> </w:t>
      </w:r>
      <w:r w:rsidRPr="0082440F">
        <w:rPr>
          <w:rFonts w:ascii="Century" w:hAnsi="Century" w:cs="Miriam" w:hint="eastAsia"/>
          <w:b/>
          <w:spacing w:val="0"/>
          <w:szCs w:val="24"/>
          <w:rtl/>
        </w:rPr>
        <w:t>של</w:t>
      </w:r>
      <w:r w:rsidRPr="0082440F">
        <w:rPr>
          <w:rFonts w:ascii="Century" w:hAnsi="Century" w:cs="Miriam"/>
          <w:b/>
          <w:spacing w:val="0"/>
          <w:szCs w:val="24"/>
          <w:rtl/>
        </w:rPr>
        <w:t xml:space="preserve"> </w:t>
      </w:r>
      <w:r w:rsidRPr="0082440F">
        <w:rPr>
          <w:rFonts w:ascii="Century" w:hAnsi="Century" w:cs="Miriam" w:hint="eastAsia"/>
          <w:b/>
          <w:spacing w:val="0"/>
          <w:szCs w:val="24"/>
          <w:rtl/>
        </w:rPr>
        <w:t>יישוב</w:t>
      </w:r>
      <w:r w:rsidRPr="0082440F">
        <w:rPr>
          <w:rFonts w:ascii="Century" w:hAnsi="Century" w:cs="Miriam"/>
          <w:b/>
          <w:spacing w:val="0"/>
          <w:szCs w:val="24"/>
          <w:rtl/>
        </w:rPr>
        <w:t xml:space="preserve"> </w:t>
      </w:r>
      <w:r w:rsidRPr="0082440F">
        <w:rPr>
          <w:rFonts w:ascii="Century" w:hAnsi="Century" w:cs="Miriam" w:hint="eastAsia"/>
          <w:b/>
          <w:spacing w:val="0"/>
          <w:szCs w:val="24"/>
          <w:rtl/>
        </w:rPr>
        <w:t>הוא</w:t>
      </w:r>
      <w:r w:rsidRPr="0082440F">
        <w:rPr>
          <w:rFonts w:ascii="Century" w:hAnsi="Century" w:cs="Miriam"/>
          <w:b/>
          <w:spacing w:val="0"/>
          <w:szCs w:val="24"/>
          <w:rtl/>
        </w:rPr>
        <w:t xml:space="preserve"> </w:t>
      </w:r>
      <w:r w:rsidRPr="0082440F">
        <w:rPr>
          <w:rFonts w:ascii="Century" w:hAnsi="Century" w:cs="Miriam" w:hint="eastAsia"/>
          <w:b/>
          <w:spacing w:val="0"/>
          <w:szCs w:val="24"/>
          <w:rtl/>
        </w:rPr>
        <w:t>לא</w:t>
      </w:r>
      <w:r w:rsidRPr="0082440F">
        <w:rPr>
          <w:rFonts w:ascii="Century" w:hAnsi="Century" w:cs="Miriam"/>
          <w:b/>
          <w:spacing w:val="0"/>
          <w:szCs w:val="24"/>
          <w:rtl/>
        </w:rPr>
        <w:t xml:space="preserve"> </w:t>
      </w:r>
      <w:r w:rsidRPr="0082440F">
        <w:rPr>
          <w:rFonts w:ascii="Century" w:hAnsi="Century" w:cs="Miriam" w:hint="eastAsia"/>
          <w:b/>
          <w:spacing w:val="0"/>
          <w:szCs w:val="24"/>
          <w:rtl/>
        </w:rPr>
        <w:t>חי</w:t>
      </w:r>
      <w:r w:rsidRPr="0082440F">
        <w:rPr>
          <w:rFonts w:ascii="Century" w:hAnsi="Century" w:cs="Miriam"/>
          <w:b/>
          <w:spacing w:val="0"/>
          <w:szCs w:val="24"/>
          <w:rtl/>
        </w:rPr>
        <w:t xml:space="preserve"> </w:t>
      </w:r>
      <w:r w:rsidRPr="0082440F">
        <w:rPr>
          <w:rFonts w:ascii="Century" w:hAnsi="Century" w:cs="Miriam" w:hint="eastAsia"/>
          <w:b/>
          <w:spacing w:val="0"/>
          <w:szCs w:val="24"/>
          <w:rtl/>
        </w:rPr>
        <w:t>אך</w:t>
      </w:r>
      <w:r w:rsidRPr="0082440F">
        <w:rPr>
          <w:rFonts w:ascii="Century" w:hAnsi="Century" w:cs="Miriam"/>
          <w:b/>
          <w:spacing w:val="0"/>
          <w:szCs w:val="24"/>
          <w:rtl/>
        </w:rPr>
        <w:t xml:space="preserve"> </w:t>
      </w:r>
      <w:r w:rsidRPr="0082440F">
        <w:rPr>
          <w:rFonts w:ascii="Century" w:hAnsi="Century" w:cs="Miriam" w:hint="eastAsia"/>
          <w:b/>
          <w:spacing w:val="0"/>
          <w:szCs w:val="24"/>
          <w:rtl/>
        </w:rPr>
        <w:t>ורק</w:t>
      </w:r>
      <w:r w:rsidRPr="0082440F">
        <w:rPr>
          <w:rFonts w:ascii="Century" w:hAnsi="Century" w:cs="Miriam"/>
          <w:b/>
          <w:spacing w:val="0"/>
          <w:szCs w:val="24"/>
          <w:rtl/>
        </w:rPr>
        <w:t xml:space="preserve"> </w:t>
      </w:r>
      <w:r w:rsidRPr="0082440F">
        <w:rPr>
          <w:rFonts w:ascii="Century" w:hAnsi="Century" w:cs="Miriam" w:hint="eastAsia"/>
          <w:b/>
          <w:spacing w:val="0"/>
          <w:szCs w:val="24"/>
          <w:rtl/>
        </w:rPr>
        <w:t>על</w:t>
      </w:r>
      <w:r w:rsidRPr="0082440F">
        <w:rPr>
          <w:rFonts w:ascii="Century" w:hAnsi="Century" w:cs="Miriam"/>
          <w:b/>
          <w:spacing w:val="0"/>
          <w:szCs w:val="24"/>
          <w:rtl/>
        </w:rPr>
        <w:t xml:space="preserve"> </w:t>
      </w:r>
      <w:r w:rsidRPr="0082440F">
        <w:rPr>
          <w:rFonts w:ascii="Century" w:hAnsi="Century" w:cs="Miriam" w:hint="eastAsia"/>
          <w:b/>
          <w:spacing w:val="0"/>
          <w:szCs w:val="24"/>
          <w:rtl/>
        </w:rPr>
        <w:t>השטח</w:t>
      </w:r>
      <w:r w:rsidRPr="0082440F">
        <w:rPr>
          <w:rFonts w:ascii="Century" w:hAnsi="Century" w:cs="Miriam"/>
          <w:b/>
          <w:spacing w:val="0"/>
          <w:szCs w:val="24"/>
          <w:rtl/>
        </w:rPr>
        <w:t xml:space="preserve"> </w:t>
      </w:r>
      <w:r w:rsidRPr="0082440F">
        <w:rPr>
          <w:rFonts w:ascii="Century" w:hAnsi="Century" w:cs="Miriam" w:hint="eastAsia"/>
          <w:b/>
          <w:spacing w:val="0"/>
          <w:szCs w:val="24"/>
          <w:rtl/>
        </w:rPr>
        <w:t>הקטן</w:t>
      </w:r>
      <w:r w:rsidRPr="0082440F">
        <w:rPr>
          <w:rFonts w:ascii="Century" w:hAnsi="Century" w:cs="Miriam"/>
          <w:b/>
          <w:spacing w:val="0"/>
          <w:szCs w:val="24"/>
          <w:rtl/>
        </w:rPr>
        <w:t xml:space="preserve">. </w:t>
      </w:r>
      <w:r w:rsidRPr="0082440F">
        <w:rPr>
          <w:rFonts w:ascii="Century" w:hAnsi="Century" w:cs="Miriam" w:hint="eastAsia"/>
          <w:b/>
          <w:spacing w:val="0"/>
          <w:szCs w:val="24"/>
          <w:rtl/>
        </w:rPr>
        <w:t>יש</w:t>
      </w:r>
      <w:r w:rsidRPr="0082440F">
        <w:rPr>
          <w:rFonts w:ascii="Century" w:hAnsi="Century" w:cs="Miriam"/>
          <w:b/>
          <w:spacing w:val="0"/>
          <w:szCs w:val="24"/>
          <w:rtl/>
        </w:rPr>
        <w:t xml:space="preserve"> </w:t>
      </w:r>
      <w:r w:rsidRPr="0082440F">
        <w:rPr>
          <w:rFonts w:ascii="Century" w:hAnsi="Century" w:cs="Miriam" w:hint="eastAsia"/>
          <w:b/>
          <w:spacing w:val="0"/>
          <w:szCs w:val="24"/>
          <w:rtl/>
        </w:rPr>
        <w:t>לו</w:t>
      </w:r>
      <w:r w:rsidRPr="0082440F">
        <w:rPr>
          <w:rFonts w:ascii="Century" w:hAnsi="Century" w:cs="Miriam"/>
          <w:b/>
          <w:spacing w:val="0"/>
          <w:szCs w:val="24"/>
          <w:rtl/>
        </w:rPr>
        <w:t xml:space="preserve"> </w:t>
      </w:r>
      <w:r w:rsidRPr="0082440F">
        <w:rPr>
          <w:rFonts w:ascii="Century" w:hAnsi="Century" w:cs="Miriam" w:hint="eastAsia"/>
          <w:b/>
          <w:spacing w:val="0"/>
          <w:szCs w:val="24"/>
          <w:rtl/>
        </w:rPr>
        <w:t>שטחי</w:t>
      </w:r>
      <w:r w:rsidRPr="0082440F">
        <w:rPr>
          <w:rFonts w:ascii="Century" w:hAnsi="Century" w:cs="Miriam"/>
          <w:b/>
          <w:spacing w:val="0"/>
          <w:szCs w:val="24"/>
          <w:rtl/>
        </w:rPr>
        <w:t xml:space="preserve"> </w:t>
      </w:r>
      <w:r w:rsidRPr="0082440F">
        <w:rPr>
          <w:rFonts w:ascii="Century" w:hAnsi="Century" w:cs="Miriam" w:hint="eastAsia"/>
          <w:b/>
          <w:spacing w:val="0"/>
          <w:szCs w:val="24"/>
          <w:rtl/>
        </w:rPr>
        <w:t>פיתוח</w:t>
      </w:r>
      <w:r w:rsidRPr="0082440F">
        <w:rPr>
          <w:rFonts w:ascii="Century" w:hAnsi="Century" w:cs="Miriam"/>
          <w:b/>
          <w:spacing w:val="0"/>
          <w:szCs w:val="24"/>
          <w:rtl/>
        </w:rPr>
        <w:t xml:space="preserve"> </w:t>
      </w:r>
      <w:r w:rsidRPr="0082440F">
        <w:rPr>
          <w:rFonts w:ascii="Century" w:hAnsi="Century" w:cs="Miriam" w:hint="eastAsia"/>
          <w:b/>
          <w:spacing w:val="0"/>
          <w:szCs w:val="24"/>
          <w:rtl/>
        </w:rPr>
        <w:t>גם</w:t>
      </w:r>
      <w:r w:rsidRPr="0082440F">
        <w:rPr>
          <w:rFonts w:ascii="Century" w:hAnsi="Century" w:cs="Miriam"/>
          <w:b/>
          <w:spacing w:val="0"/>
          <w:szCs w:val="24"/>
          <w:rtl/>
        </w:rPr>
        <w:t xml:space="preserve"> </w:t>
      </w:r>
      <w:r w:rsidRPr="0082440F">
        <w:rPr>
          <w:rFonts w:ascii="Century" w:hAnsi="Century" w:cs="Miriam" w:hint="eastAsia"/>
          <w:b/>
          <w:spacing w:val="0"/>
          <w:szCs w:val="24"/>
          <w:rtl/>
        </w:rPr>
        <w:t>מסביב</w:t>
      </w:r>
      <w:r w:rsidRPr="0082440F">
        <w:rPr>
          <w:rFonts w:ascii="Century" w:hAnsi="Century" w:cs="Miriam"/>
          <w:b/>
          <w:spacing w:val="0"/>
          <w:szCs w:val="24"/>
          <w:rtl/>
        </w:rPr>
        <w:t xml:space="preserve"> </w:t>
      </w:r>
      <w:r w:rsidRPr="0082440F">
        <w:rPr>
          <w:rFonts w:ascii="Century" w:hAnsi="Century" w:cs="Miriam" w:hint="eastAsia"/>
          <w:b/>
          <w:spacing w:val="0"/>
          <w:szCs w:val="24"/>
          <w:rtl/>
        </w:rPr>
        <w:t>וזה</w:t>
      </w:r>
      <w:r w:rsidRPr="0082440F">
        <w:rPr>
          <w:rFonts w:ascii="Century" w:hAnsi="Century" w:cs="Miriam"/>
          <w:b/>
          <w:spacing w:val="0"/>
          <w:szCs w:val="24"/>
          <w:rtl/>
        </w:rPr>
        <w:t xml:space="preserve"> </w:t>
      </w:r>
      <w:r w:rsidRPr="0082440F">
        <w:rPr>
          <w:rFonts w:ascii="Century" w:hAnsi="Century" w:cs="Miriam" w:hint="eastAsia"/>
          <w:b/>
          <w:spacing w:val="0"/>
          <w:szCs w:val="24"/>
          <w:rtl/>
        </w:rPr>
        <w:t>בעצם</w:t>
      </w:r>
      <w:r w:rsidRPr="0082440F">
        <w:rPr>
          <w:rFonts w:ascii="Century" w:hAnsi="Century" w:cs="Miriam"/>
          <w:b/>
          <w:spacing w:val="0"/>
          <w:szCs w:val="24"/>
          <w:rtl/>
        </w:rPr>
        <w:t xml:space="preserve"> </w:t>
      </w:r>
      <w:r w:rsidRPr="0082440F">
        <w:rPr>
          <w:rFonts w:ascii="Century" w:hAnsi="Century" w:cs="Miriam" w:hint="eastAsia"/>
          <w:b/>
          <w:spacing w:val="0"/>
          <w:szCs w:val="24"/>
          <w:rtl/>
        </w:rPr>
        <w:t>ברגע</w:t>
      </w:r>
      <w:r w:rsidRPr="0082440F">
        <w:rPr>
          <w:rFonts w:ascii="Century" w:hAnsi="Century" w:cs="Miriam"/>
          <w:b/>
          <w:spacing w:val="0"/>
          <w:szCs w:val="24"/>
          <w:rtl/>
        </w:rPr>
        <w:t xml:space="preserve"> </w:t>
      </w:r>
      <w:r w:rsidRPr="0082440F">
        <w:rPr>
          <w:rFonts w:ascii="Century" w:hAnsi="Century" w:cs="Miriam" w:hint="eastAsia"/>
          <w:b/>
          <w:spacing w:val="0"/>
          <w:szCs w:val="24"/>
          <w:rtl/>
        </w:rPr>
        <w:t>שבעצם</w:t>
      </w:r>
      <w:r w:rsidRPr="0082440F">
        <w:rPr>
          <w:rFonts w:ascii="Century" w:hAnsi="Century" w:cs="Miriam"/>
          <w:b/>
          <w:spacing w:val="0"/>
          <w:szCs w:val="24"/>
          <w:rtl/>
        </w:rPr>
        <w:t xml:space="preserve"> </w:t>
      </w:r>
      <w:r w:rsidRPr="0082440F">
        <w:rPr>
          <w:rFonts w:ascii="Century" w:hAnsi="Century" w:cs="Miriam" w:hint="eastAsia"/>
          <w:b/>
          <w:spacing w:val="0"/>
          <w:szCs w:val="24"/>
          <w:rtl/>
        </w:rPr>
        <w:t>זה</w:t>
      </w:r>
      <w:r w:rsidRPr="0082440F">
        <w:rPr>
          <w:rFonts w:ascii="Century" w:hAnsi="Century" w:cs="Miriam"/>
          <w:b/>
          <w:spacing w:val="0"/>
          <w:szCs w:val="24"/>
          <w:rtl/>
        </w:rPr>
        <w:t xml:space="preserve"> </w:t>
      </w:r>
      <w:r w:rsidRPr="0082440F">
        <w:rPr>
          <w:rFonts w:ascii="Century" w:hAnsi="Century" w:cs="Miriam" w:hint="eastAsia"/>
          <w:b/>
          <w:spacing w:val="0"/>
          <w:szCs w:val="24"/>
          <w:rtl/>
        </w:rPr>
        <w:t>מופיע</w:t>
      </w:r>
      <w:r w:rsidRPr="0082440F">
        <w:rPr>
          <w:rFonts w:ascii="Century" w:hAnsi="Century" w:cs="Miriam"/>
          <w:b/>
          <w:spacing w:val="0"/>
          <w:szCs w:val="24"/>
          <w:rtl/>
        </w:rPr>
        <w:t xml:space="preserve"> </w:t>
      </w:r>
      <w:r w:rsidRPr="0082440F">
        <w:rPr>
          <w:rFonts w:ascii="Century" w:hAnsi="Century" w:cs="Miriam" w:hint="eastAsia"/>
          <w:b/>
          <w:spacing w:val="0"/>
          <w:szCs w:val="24"/>
          <w:rtl/>
        </w:rPr>
        <w:t>במסגרת</w:t>
      </w:r>
      <w:r w:rsidRPr="0082440F">
        <w:rPr>
          <w:rFonts w:ascii="Century" w:hAnsi="Century" w:cs="Miriam"/>
          <w:b/>
          <w:spacing w:val="0"/>
          <w:szCs w:val="24"/>
          <w:rtl/>
        </w:rPr>
        <w:t xml:space="preserve"> </w:t>
      </w:r>
      <w:r w:rsidRPr="0082440F">
        <w:rPr>
          <w:rFonts w:ascii="Century" w:hAnsi="Century" w:cs="Miriam" w:hint="eastAsia"/>
          <w:b/>
          <w:spacing w:val="0"/>
          <w:szCs w:val="24"/>
          <w:rtl/>
        </w:rPr>
        <w:t>התכנית</w:t>
      </w:r>
      <w:r w:rsidRPr="0082440F">
        <w:rPr>
          <w:rFonts w:ascii="Century" w:hAnsi="Century" w:cs="Miriam"/>
          <w:b/>
          <w:spacing w:val="0"/>
          <w:szCs w:val="24"/>
          <w:rtl/>
        </w:rPr>
        <w:t xml:space="preserve">, </w:t>
      </w:r>
      <w:r w:rsidRPr="0082440F">
        <w:rPr>
          <w:rFonts w:ascii="Century" w:hAnsi="Century" w:cs="Miriam" w:hint="eastAsia"/>
          <w:b/>
          <w:spacing w:val="0"/>
          <w:szCs w:val="24"/>
          <w:rtl/>
        </w:rPr>
        <w:t>אז</w:t>
      </w:r>
      <w:r w:rsidRPr="0082440F">
        <w:rPr>
          <w:rFonts w:ascii="Century" w:hAnsi="Century" w:cs="Miriam"/>
          <w:b/>
          <w:spacing w:val="0"/>
          <w:szCs w:val="24"/>
          <w:rtl/>
        </w:rPr>
        <w:t xml:space="preserve"> </w:t>
      </w:r>
      <w:r w:rsidRPr="0082440F">
        <w:rPr>
          <w:rFonts w:ascii="Century" w:hAnsi="Century" w:cs="Miriam" w:hint="eastAsia"/>
          <w:b/>
          <w:spacing w:val="0"/>
          <w:szCs w:val="24"/>
          <w:rtl/>
        </w:rPr>
        <w:t>בעצם</w:t>
      </w:r>
      <w:r w:rsidRPr="0082440F">
        <w:rPr>
          <w:rFonts w:ascii="Century" w:hAnsi="Century" w:cs="Miriam"/>
          <w:b/>
          <w:spacing w:val="0"/>
          <w:szCs w:val="24"/>
          <w:rtl/>
        </w:rPr>
        <w:t xml:space="preserve"> </w:t>
      </w:r>
      <w:r w:rsidRPr="0082440F">
        <w:rPr>
          <w:rFonts w:ascii="Century" w:hAnsi="Century" w:cs="Miriam" w:hint="eastAsia"/>
          <w:b/>
          <w:spacing w:val="0"/>
          <w:szCs w:val="24"/>
          <w:rtl/>
        </w:rPr>
        <w:t>זה</w:t>
      </w:r>
      <w:r w:rsidRPr="0082440F">
        <w:rPr>
          <w:rFonts w:ascii="Century" w:hAnsi="Century" w:cs="Miriam"/>
          <w:b/>
          <w:spacing w:val="0"/>
          <w:szCs w:val="24"/>
          <w:rtl/>
        </w:rPr>
        <w:t xml:space="preserve"> </w:t>
      </w:r>
      <w:r w:rsidRPr="0082440F">
        <w:rPr>
          <w:rFonts w:ascii="Century" w:hAnsi="Century" w:cs="Miriam" w:hint="eastAsia"/>
          <w:b/>
          <w:spacing w:val="0"/>
          <w:szCs w:val="24"/>
          <w:rtl/>
        </w:rPr>
        <w:t>שטח</w:t>
      </w:r>
      <w:r w:rsidRPr="0082440F">
        <w:rPr>
          <w:rFonts w:ascii="Century" w:hAnsi="Century" w:cs="Miriam"/>
          <w:b/>
          <w:spacing w:val="0"/>
          <w:szCs w:val="24"/>
          <w:rtl/>
        </w:rPr>
        <w:t xml:space="preserve"> </w:t>
      </w:r>
      <w:r w:rsidRPr="0082440F">
        <w:rPr>
          <w:rFonts w:ascii="Century" w:hAnsi="Century" w:cs="Miriam" w:hint="eastAsia"/>
          <w:b/>
          <w:spacing w:val="0"/>
          <w:szCs w:val="24"/>
          <w:rtl/>
        </w:rPr>
        <w:t>פיתוח</w:t>
      </w:r>
      <w:r w:rsidRPr="0082440F">
        <w:rPr>
          <w:rFonts w:ascii="Century" w:hAnsi="Century" w:cs="Miriam"/>
          <w:b/>
          <w:spacing w:val="0"/>
          <w:szCs w:val="24"/>
          <w:rtl/>
        </w:rPr>
        <w:t xml:space="preserve">, </w:t>
      </w:r>
      <w:r w:rsidRPr="0082440F">
        <w:rPr>
          <w:rFonts w:ascii="Century" w:hAnsi="Century" w:cs="Miriam" w:hint="eastAsia"/>
          <w:b/>
          <w:spacing w:val="0"/>
          <w:szCs w:val="24"/>
          <w:rtl/>
        </w:rPr>
        <w:t>זה</w:t>
      </w:r>
      <w:r w:rsidRPr="0082440F">
        <w:rPr>
          <w:rFonts w:ascii="Century" w:hAnsi="Century" w:cs="Miriam"/>
          <w:b/>
          <w:spacing w:val="0"/>
          <w:szCs w:val="24"/>
          <w:rtl/>
        </w:rPr>
        <w:t xml:space="preserve"> </w:t>
      </w:r>
      <w:r w:rsidRPr="0082440F">
        <w:rPr>
          <w:rFonts w:ascii="Century" w:hAnsi="Century" w:cs="Miriam" w:hint="eastAsia"/>
          <w:b/>
          <w:spacing w:val="0"/>
          <w:szCs w:val="24"/>
          <w:rtl/>
        </w:rPr>
        <w:t>שטח</w:t>
      </w:r>
      <w:r w:rsidRPr="0082440F">
        <w:rPr>
          <w:rFonts w:ascii="Century" w:hAnsi="Century" w:cs="Miriam"/>
          <w:b/>
          <w:spacing w:val="0"/>
          <w:szCs w:val="24"/>
          <w:rtl/>
        </w:rPr>
        <w:t xml:space="preserve"> </w:t>
      </w:r>
      <w:r w:rsidRPr="0082440F">
        <w:rPr>
          <w:rFonts w:ascii="Century" w:hAnsi="Century" w:cs="Miriam" w:hint="eastAsia"/>
          <w:b/>
          <w:spacing w:val="0"/>
          <w:szCs w:val="24"/>
          <w:rtl/>
        </w:rPr>
        <w:t>שבעצם</w:t>
      </w:r>
      <w:r w:rsidRPr="0082440F">
        <w:rPr>
          <w:rFonts w:ascii="Century" w:hAnsi="Century" w:cs="Miriam"/>
          <w:b/>
          <w:spacing w:val="0"/>
          <w:szCs w:val="24"/>
          <w:rtl/>
        </w:rPr>
        <w:t xml:space="preserve"> </w:t>
      </w:r>
      <w:r w:rsidRPr="0082440F">
        <w:rPr>
          <w:rFonts w:ascii="Century" w:hAnsi="Century" w:cs="Miriam" w:hint="eastAsia"/>
          <w:b/>
          <w:spacing w:val="0"/>
          <w:szCs w:val="24"/>
          <w:rtl/>
        </w:rPr>
        <w:t>הוא</w:t>
      </w:r>
      <w:r w:rsidRPr="0082440F">
        <w:rPr>
          <w:rFonts w:ascii="Century" w:hAnsi="Century" w:cs="Miriam"/>
          <w:b/>
          <w:spacing w:val="0"/>
          <w:szCs w:val="24"/>
          <w:rtl/>
        </w:rPr>
        <w:t xml:space="preserve"> </w:t>
      </w:r>
      <w:r w:rsidRPr="0082440F">
        <w:rPr>
          <w:rFonts w:ascii="Century" w:hAnsi="Century" w:cs="Miriam" w:hint="eastAsia"/>
          <w:b/>
          <w:spacing w:val="0"/>
          <w:szCs w:val="24"/>
          <w:rtl/>
        </w:rPr>
        <w:t>תפוס</w:t>
      </w:r>
      <w:r w:rsidRPr="0082440F">
        <w:rPr>
          <w:rFonts w:ascii="Century" w:hAnsi="Century" w:cs="Miriam"/>
          <w:b/>
          <w:spacing w:val="0"/>
          <w:szCs w:val="24"/>
          <w:rtl/>
        </w:rPr>
        <w:t xml:space="preserve"> </w:t>
      </w:r>
      <w:r w:rsidRPr="0082440F">
        <w:rPr>
          <w:rFonts w:ascii="Century" w:hAnsi="Century" w:cs="Miriam" w:hint="eastAsia"/>
          <w:b/>
          <w:spacing w:val="0"/>
          <w:szCs w:val="24"/>
          <w:rtl/>
        </w:rPr>
        <w:t>לצרכים</w:t>
      </w:r>
      <w:r w:rsidRPr="0082440F">
        <w:rPr>
          <w:rFonts w:ascii="Century" w:hAnsi="Century" w:cs="Miriam"/>
          <w:b/>
          <w:spacing w:val="0"/>
          <w:szCs w:val="24"/>
          <w:rtl/>
        </w:rPr>
        <w:t xml:space="preserve"> </w:t>
      </w:r>
      <w:r w:rsidRPr="0082440F">
        <w:rPr>
          <w:rFonts w:ascii="Century" w:hAnsi="Century" w:cs="Miriam" w:hint="eastAsia"/>
          <w:b/>
          <w:spacing w:val="0"/>
          <w:szCs w:val="24"/>
          <w:rtl/>
        </w:rPr>
        <w:t>צבאיים</w:t>
      </w:r>
      <w:r w:rsidRPr="0082440F">
        <w:rPr>
          <w:rFonts w:ascii="Century" w:hAnsi="Century" w:cs="Miriam"/>
          <w:b/>
          <w:spacing w:val="0"/>
          <w:szCs w:val="24"/>
          <w:rtl/>
        </w:rPr>
        <w:t xml:space="preserve">, </w:t>
      </w:r>
      <w:r w:rsidRPr="0082440F">
        <w:rPr>
          <w:rFonts w:ascii="Century" w:hAnsi="Century" w:cs="Miriam" w:hint="eastAsia"/>
          <w:b/>
          <w:spacing w:val="0"/>
          <w:szCs w:val="24"/>
          <w:rtl/>
        </w:rPr>
        <w:t>בהחלט</w:t>
      </w:r>
      <w:r w:rsidRPr="0082440F">
        <w:rPr>
          <w:rFonts w:ascii="Century" w:hAnsi="Century" w:cs="Miriam"/>
          <w:b/>
          <w:spacing w:val="0"/>
          <w:szCs w:val="24"/>
          <w:rtl/>
        </w:rPr>
        <w:t xml:space="preserve"> </w:t>
      </w:r>
      <w:r w:rsidRPr="0082440F">
        <w:rPr>
          <w:rFonts w:ascii="Century" w:hAnsi="Century" w:cs="Miriam" w:hint="eastAsia"/>
          <w:b/>
          <w:spacing w:val="0"/>
          <w:szCs w:val="24"/>
          <w:rtl/>
        </w:rPr>
        <w:t>כן</w:t>
      </w:r>
      <w:r w:rsidRPr="0082440F">
        <w:rPr>
          <w:rFonts w:ascii="Century" w:hAnsi="Century" w:cs="Miriam" w:hint="cs"/>
          <w:b/>
          <w:spacing w:val="0"/>
          <w:szCs w:val="24"/>
          <w:rtl/>
        </w:rPr>
        <w:t>"</w:t>
      </w:r>
      <w:r>
        <w:rPr>
          <w:rFonts w:hint="cs"/>
          <w:rtl/>
        </w:rPr>
        <w:t xml:space="preserve"> (עמ' 105, שורות 12-6, לפרוטוקול הדיון). בהקשר זה מציין חברי, כי דבריו אלה של פוליטיס משקפים מדיניות מרחיקת לכת, שלפיה </w:t>
      </w:r>
      <w:r w:rsidRPr="0082440F">
        <w:rPr>
          <w:rFonts w:ascii="Century" w:hAnsi="Century" w:cs="Miriam"/>
          <w:b/>
          <w:spacing w:val="0"/>
          <w:szCs w:val="24"/>
          <w:rtl/>
        </w:rPr>
        <w:t>"התכנית היא זו שהכתיבה את גבולות התפיסה"</w:t>
      </w:r>
      <w:r>
        <w:rPr>
          <w:rFonts w:hint="cs"/>
          <w:rtl/>
        </w:rPr>
        <w:t xml:space="preserve">. עובדה זו כשלעצמה, נתפסת בעיני חברי כחוסר תום לב (פסקה 94 לחוות דעתו). אינני רואה את הדברים עין בעין עם חברי. להבנתי, פוליטיס העיד, כפי שניתן להבין גם מעדויות נוספות, כי גבולות התכנית שיקפו את גבולות התפיסה </w:t>
      </w:r>
      <w:r w:rsidRPr="00230BDE">
        <w:rPr>
          <w:rFonts w:ascii="Century" w:hAnsi="Century" w:cs="Miriam" w:hint="eastAsia"/>
          <w:b/>
          <w:spacing w:val="0"/>
          <w:szCs w:val="24"/>
          <w:rtl/>
        </w:rPr>
        <w:t>בפועל</w:t>
      </w:r>
      <w:r>
        <w:rPr>
          <w:rFonts w:hint="cs"/>
          <w:rtl/>
        </w:rPr>
        <w:t xml:space="preserve">, כפי שהובנו על ידם. אין להבין מכך כי התכנית, היא שהתוותה או יצרה גבולות אלה (כך גם עולה מתצהירו, בפסקה 11). כך או אחרת, לכל היותר, מדובר בטעות </w:t>
      </w:r>
      <w:r w:rsidRPr="00327A17">
        <w:rPr>
          <w:rFonts w:ascii="Miriam" w:hAnsi="Miriam" w:cs="Miriam"/>
          <w:sz w:val="24"/>
          <w:szCs w:val="24"/>
          <w:rtl/>
        </w:rPr>
        <w:t>משפטית</w:t>
      </w:r>
      <w:r>
        <w:rPr>
          <w:rFonts w:hint="cs"/>
          <w:rtl/>
        </w:rPr>
        <w:t xml:space="preserve"> (ואזכיר, מדובר ביועץ המשפטי לאזור יהודה ושומרון, שעמדתו המשפטית מחייבת את הממונה ואת יתר גורמי המינהל האזרחי). מכאן ועד המסקנה בדבר חוסר תום לב </w:t>
      </w:r>
      <w:r>
        <w:rPr>
          <w:rtl/>
        </w:rPr>
        <w:t>–</w:t>
      </w:r>
      <w:r>
        <w:rPr>
          <w:rFonts w:hint="cs"/>
          <w:rtl/>
        </w:rPr>
        <w:t xml:space="preserve"> המרחק גדול ורב.</w:t>
      </w:r>
    </w:p>
    <w:p w:rsidR="00295623" w:rsidRPr="003A6E98" w:rsidRDefault="00295623" w:rsidP="00295623">
      <w:pPr>
        <w:pStyle w:val="Ruller41"/>
        <w:tabs>
          <w:tab w:val="left" w:pos="90"/>
        </w:tabs>
        <w:spacing w:line="240" w:lineRule="auto"/>
      </w:pPr>
    </w:p>
    <w:p w:rsidR="00295623" w:rsidRDefault="00295623" w:rsidP="00295623">
      <w:pPr>
        <w:pStyle w:val="Ruller41"/>
      </w:pPr>
      <w:r>
        <w:rPr>
          <w:rFonts w:hint="cs"/>
          <w:rtl/>
        </w:rPr>
        <w:t>95.</w:t>
      </w:r>
      <w:r>
        <w:rPr>
          <w:rFonts w:hint="cs"/>
          <w:rtl/>
        </w:rPr>
        <w:tab/>
        <w:t xml:space="preserve">סבורני אפוא, כי הנתונים שמניתי עולים כדי 'מסה קריטית', המלמדת על      תום-לב סובייקטיבי </w:t>
      </w:r>
      <w:r w:rsidRPr="00C0449D">
        <w:rPr>
          <w:rFonts w:ascii="Century" w:hAnsi="Century" w:cs="Miriam"/>
          <w:b/>
          <w:spacing w:val="0"/>
          <w:szCs w:val="24"/>
          <w:rtl/>
        </w:rPr>
        <w:t>"ברף הגבוה"</w:t>
      </w:r>
      <w:r>
        <w:rPr>
          <w:rFonts w:hint="cs"/>
          <w:rtl/>
        </w:rPr>
        <w:t xml:space="preserve">, אף אם תום-הלב </w:t>
      </w:r>
      <w:r w:rsidRPr="00A9448E">
        <w:rPr>
          <w:rtl/>
        </w:rPr>
        <w:t>יִ</w:t>
      </w:r>
      <w:r>
        <w:rPr>
          <w:rFonts w:hint="cs"/>
          <w:rtl/>
        </w:rPr>
        <w:t>בּחן לפי אמת מידה קפדנית, מצד אנשי המינהל האזרחי (הממונה כמוסד). מנגד, חברי המשנה לנשיאה</w:t>
      </w:r>
      <w:r>
        <w:rPr>
          <w:rFonts w:ascii="Century" w:hAnsi="Century" w:cs="Miriam" w:hint="cs"/>
          <w:b/>
          <w:spacing w:val="0"/>
          <w:szCs w:val="24"/>
          <w:rtl/>
        </w:rPr>
        <w:t xml:space="preserve"> </w:t>
      </w:r>
      <w:r w:rsidRPr="00C35F06">
        <w:rPr>
          <w:rFonts w:ascii="Century" w:hAnsi="Century" w:hint="eastAsia"/>
          <w:rtl/>
        </w:rPr>
        <w:t>סבור</w:t>
      </w:r>
      <w:r>
        <w:rPr>
          <w:rFonts w:hint="cs"/>
          <w:rtl/>
        </w:rPr>
        <w:t xml:space="preserve">, כי בענייננו ישנן כמה 'נורות אזהרה', שהיו צריכות להידלק אצל הצדדים להסכם, ולעורר אותם לערוך בדיקות נוספות, ובירורים מקיפים אף יותר, ביחס לשטח שעליו הוקם מצפה </w:t>
      </w:r>
      <w:r>
        <w:rPr>
          <w:rFonts w:hint="cs"/>
          <w:rtl/>
        </w:rPr>
        <w:lastRenderedPageBreak/>
        <w:t xml:space="preserve">כרמים. התעלמות הצדדים מאזהרות אלו, שוללת לדעתו את תום ליבם. אין בידי להצטרף למסקנה זו. </w:t>
      </w:r>
    </w:p>
    <w:p w:rsidR="00295623" w:rsidRDefault="00295623" w:rsidP="00295623">
      <w:pPr>
        <w:pStyle w:val="Ruller4"/>
        <w:numPr>
          <w:ilvl w:val="0"/>
          <w:numId w:val="0"/>
        </w:numPr>
        <w:tabs>
          <w:tab w:val="left" w:pos="90"/>
        </w:tabs>
        <w:spacing w:line="240" w:lineRule="auto"/>
      </w:pPr>
    </w:p>
    <w:p w:rsidR="00295623" w:rsidRDefault="00295623" w:rsidP="00295623">
      <w:pPr>
        <w:pStyle w:val="Ruller41"/>
      </w:pPr>
      <w:r>
        <w:rPr>
          <w:rFonts w:hint="cs"/>
          <w:rtl/>
        </w:rPr>
        <w:t>96.</w:t>
      </w:r>
      <w:r>
        <w:rPr>
          <w:rFonts w:hint="cs"/>
          <w:rtl/>
        </w:rPr>
        <w:tab/>
        <w:t xml:space="preserve">'נורת האזהרה' הראשונה שעליה מצביע חברי, נעוצה בפער שבין השטח הכלול במפות צווי הסגירה והתפיסה, לבין זה שנכלל בתכנית 223; פער שעולה כדי כמה מאות דונמים. חברי רואה בחוסר ההתאמה האמור </w:t>
      </w:r>
      <w:r w:rsidRPr="0019116B">
        <w:rPr>
          <w:rFonts w:ascii="Century" w:hAnsi="Century" w:cs="Miriam" w:hint="cs"/>
          <w:b/>
          <w:spacing w:val="0"/>
          <w:szCs w:val="24"/>
          <w:rtl/>
        </w:rPr>
        <w:t>"נורה אדומה בוהקת"</w:t>
      </w:r>
      <w:r>
        <w:rPr>
          <w:rFonts w:hint="cs"/>
          <w:rtl/>
        </w:rPr>
        <w:t xml:space="preserve">, ומוצא פגם בכך שהממונה לא ביצע בדיקות נוספות, ובירורים מקיפים, כדי לנסות ליתן מענה לפער זה. דא עקא, 'נורת אזהרה' זו לוקה לטעמי, במידה מסוימת, בהנחת המבוקש. כיום, בדיעבד, הפער בן מאות הדונמים, מצלצל לחברי כ'פעמון אזהרה'. ואולם, בזמן אמת, כפי שחזרו והעידו כל בעלי התפקידים שפעלו בתקופה הרלבנטית, גורמי המינהל השונים לא ראו בפער זה כל קושי, ולמעשה </w:t>
      </w:r>
      <w:r>
        <w:rPr>
          <w:rtl/>
        </w:rPr>
        <w:t>–</w:t>
      </w:r>
      <w:r>
        <w:rPr>
          <w:rFonts w:hint="cs"/>
          <w:rtl/>
        </w:rPr>
        <w:t xml:space="preserve"> כלל לא התייחסו אליו כ'פער'. זאת, שכן הסברה המקובלת היתה, כפי שהוסבר לעיל, שהשטח שנתפס </w:t>
      </w:r>
      <w:r w:rsidRPr="00230BDE">
        <w:rPr>
          <w:rFonts w:ascii="Century" w:hAnsi="Century" w:cs="Miriam" w:hint="eastAsia"/>
          <w:b/>
          <w:spacing w:val="0"/>
          <w:szCs w:val="24"/>
          <w:rtl/>
        </w:rPr>
        <w:t>בפועל</w:t>
      </w:r>
      <w:r>
        <w:rPr>
          <w:rFonts w:hint="cs"/>
          <w:rtl/>
        </w:rPr>
        <w:t>,</w:t>
      </w:r>
      <w:r w:rsidRPr="006A5898">
        <w:rPr>
          <w:rtl/>
        </w:rPr>
        <w:t xml:space="preserve"> </w:t>
      </w:r>
      <w:r>
        <w:rPr>
          <w:rFonts w:hint="cs"/>
          <w:rtl/>
        </w:rPr>
        <w:t xml:space="preserve">הוא שחופף לשטחה של תכנית 223, ואילו המפות שצורפו לצווי הסגירה והתפיסה </w:t>
      </w:r>
      <w:r>
        <w:rPr>
          <w:rtl/>
        </w:rPr>
        <w:t>–</w:t>
      </w:r>
      <w:r>
        <w:rPr>
          <w:rFonts w:hint="cs"/>
          <w:rtl/>
        </w:rPr>
        <w:t xml:space="preserve"> אינן משקפות את השטח התפוס. אחרת, לא היה עולה על הדעת לאשר את תכניות 223 ו-223/1. מכאן, שגם אם למפרע התברר כי נפלה טעות בהיקף השטח שנתפס בפועל, אין בכך כדי ללמד כי במועד אישור תכנית 223, הצדדים להסכם ההרשאה, כמו גם הממונה לפי צו 997, סברו שקיים פער כאמור. אזכיר שוב, בית המשפט המחוזי קיבל את עדותו של בלומנטל, שלפיה הוא ירד לשטח ואיתר סימונים (</w:t>
      </w:r>
      <w:r w:rsidRPr="001E5D76">
        <w:rPr>
          <w:rFonts w:ascii="Century" w:hAnsi="Century" w:cs="Miriam"/>
          <w:b/>
          <w:spacing w:val="0"/>
          <w:szCs w:val="24"/>
          <w:rtl/>
        </w:rPr>
        <w:t>"הגידור הישן"</w:t>
      </w:r>
      <w:r>
        <w:rPr>
          <w:rFonts w:hint="cs"/>
          <w:rtl/>
        </w:rPr>
        <w:t>), שמהם הסיק כי השטח נכלל בתחום התפיסה הצבאית (וזאת גם אם בדיעבד התברר שטעה), ובהקשר זה קבע כדברים האלה:</w:t>
      </w:r>
    </w:p>
    <w:p w:rsidR="00295623" w:rsidRPr="000A483E" w:rsidRDefault="00295623" w:rsidP="00295623">
      <w:pPr>
        <w:pStyle w:val="Ruller41"/>
        <w:tabs>
          <w:tab w:val="left" w:pos="90"/>
        </w:tabs>
      </w:pPr>
      <w:r>
        <w:rPr>
          <w:rFonts w:hint="cs"/>
          <w:rtl/>
        </w:rPr>
        <w:t xml:space="preserve"> </w:t>
      </w:r>
    </w:p>
    <w:p w:rsidR="00295623" w:rsidRDefault="00295623" w:rsidP="00295623">
      <w:pPr>
        <w:pStyle w:val="Ruller5"/>
        <w:tabs>
          <w:tab w:val="left" w:pos="90"/>
        </w:tabs>
        <w:ind w:left="1649"/>
        <w:rPr>
          <w:rFonts w:ascii="Century" w:hAnsi="Century" w:cs="Miriam"/>
          <w:b/>
          <w:spacing w:val="0"/>
          <w:szCs w:val="24"/>
          <w:rtl/>
        </w:rPr>
      </w:pPr>
      <w:r w:rsidRPr="000A483E">
        <w:rPr>
          <w:rFonts w:ascii="Century" w:hAnsi="Century" w:cs="Miriam" w:hint="cs"/>
          <w:b/>
          <w:spacing w:val="0"/>
          <w:szCs w:val="24"/>
          <w:rtl/>
        </w:rPr>
        <w:t>"</w:t>
      </w:r>
      <w:r w:rsidRPr="000A483E">
        <w:rPr>
          <w:rFonts w:ascii="Century" w:hAnsi="Century" w:cs="Miriam"/>
          <w:b/>
          <w:spacing w:val="0"/>
          <w:szCs w:val="24"/>
          <w:rtl/>
        </w:rPr>
        <w:t>איני מקבל את טענת הנתבעים לכך שהדברים נעשו בחיפזון ולכן הונחו הקרוואנים ללא בדיקה. שוכנעתי כי נערכה בדיקה ואף אם יתכן ונפלה טעות במהלך הבדיקה אין הדבר מלמד אלא על כך שהקצאת השטח להסתדרות הציונית כללה את מלוא השטח שבתכנית לרבות המקרקעין שעליהם ממוקמת מצפה כרמים</w:t>
      </w:r>
      <w:r w:rsidRPr="000A483E">
        <w:rPr>
          <w:rFonts w:ascii="Century" w:hAnsi="Century" w:cs="Miriam" w:hint="cs"/>
          <w:b/>
          <w:spacing w:val="0"/>
          <w:szCs w:val="24"/>
          <w:rtl/>
        </w:rPr>
        <w:t>"</w:t>
      </w:r>
      <w:r w:rsidRPr="000A483E">
        <w:rPr>
          <w:rFonts w:ascii="Century" w:hAnsi="Century" w:hint="cs"/>
          <w:rtl/>
        </w:rPr>
        <w:t xml:space="preserve"> (שם, פסקה 136).</w:t>
      </w:r>
      <w:r w:rsidRPr="000A483E">
        <w:rPr>
          <w:rFonts w:ascii="Century" w:hAnsi="Century" w:cs="Miriam" w:hint="cs"/>
          <w:b/>
          <w:spacing w:val="0"/>
          <w:szCs w:val="24"/>
          <w:rtl/>
        </w:rPr>
        <w:t xml:space="preserve"> </w:t>
      </w:r>
    </w:p>
    <w:p w:rsidR="00295623" w:rsidRPr="00230BDE" w:rsidRDefault="00295623" w:rsidP="00295623">
      <w:pPr>
        <w:pStyle w:val="Ruller41"/>
        <w:tabs>
          <w:tab w:val="left" w:pos="90"/>
        </w:tabs>
        <w:spacing w:line="480" w:lineRule="auto"/>
      </w:pPr>
    </w:p>
    <w:p w:rsidR="00295623" w:rsidRDefault="00295623" w:rsidP="00295623">
      <w:pPr>
        <w:pStyle w:val="Ruller4"/>
        <w:numPr>
          <w:ilvl w:val="0"/>
          <w:numId w:val="0"/>
        </w:numPr>
        <w:tabs>
          <w:tab w:val="left" w:pos="90"/>
        </w:tabs>
        <w:rPr>
          <w:rtl/>
        </w:rPr>
      </w:pPr>
      <w:r>
        <w:rPr>
          <w:rtl/>
        </w:rPr>
        <w:tab/>
      </w:r>
      <w:r>
        <w:rPr>
          <w:rtl/>
        </w:rPr>
        <w:tab/>
      </w:r>
      <w:r>
        <w:rPr>
          <w:rFonts w:hint="cs"/>
          <w:rtl/>
        </w:rPr>
        <w:t xml:space="preserve">למעשה, גם אין כל ראיה המצביעה על התעלמות, או על חשד 'שטואטא מתחת לשטיח', מצד אנשי המינהל האזרחי </w:t>
      </w:r>
      <w:r>
        <w:rPr>
          <w:rtl/>
        </w:rPr>
        <w:t>–</w:t>
      </w:r>
      <w:r>
        <w:rPr>
          <w:rFonts w:hint="cs"/>
          <w:rtl/>
        </w:rPr>
        <w:t xml:space="preserve"> לכל אורך השנים. כאמור, כאשר התעורר חשד ביחס למגרשים אחרים </w:t>
      </w:r>
      <w:r>
        <w:rPr>
          <w:rtl/>
        </w:rPr>
        <w:t>–</w:t>
      </w:r>
      <w:r>
        <w:rPr>
          <w:rFonts w:hint="cs"/>
          <w:rtl/>
        </w:rPr>
        <w:t xml:space="preserve"> הנושא טופל; אין סיבה להניח כי אם היה מתעורר חשד דומה, ביחס למקרקעין דנן, לא היה נעשה לגביו טיפול דומה. יפים לעניין זה הדברים הבאים:</w:t>
      </w:r>
      <w:r w:rsidRPr="00840092">
        <w:rPr>
          <w:rFonts w:hint="eastAsia"/>
          <w:rtl/>
        </w:rPr>
        <w:t xml:space="preserve"> </w:t>
      </w:r>
      <w:r w:rsidRPr="00DF04DF">
        <w:rPr>
          <w:rFonts w:ascii="Century" w:hAnsi="Century" w:cs="Miriam" w:hint="cs"/>
          <w:b/>
          <w:spacing w:val="0"/>
          <w:sz w:val="22"/>
          <w:szCs w:val="24"/>
          <w:rtl/>
        </w:rPr>
        <w:t>"</w:t>
      </w:r>
      <w:r w:rsidRPr="00DF04DF">
        <w:rPr>
          <w:rFonts w:ascii="Century" w:hAnsi="Century" w:cs="Miriam" w:hint="eastAsia"/>
          <w:b/>
          <w:spacing w:val="0"/>
          <w:sz w:val="22"/>
          <w:szCs w:val="24"/>
          <w:rtl/>
        </w:rPr>
        <w:t>אמנם</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נכון</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הדבר</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ש</w:t>
      </w:r>
      <w:r w:rsidRPr="00DF04DF">
        <w:rPr>
          <w:rFonts w:ascii="Century" w:hAnsi="Century" w:cs="Miriam"/>
          <w:b/>
          <w:spacing w:val="0"/>
          <w:sz w:val="22"/>
          <w:szCs w:val="24"/>
          <w:rtl/>
        </w:rPr>
        <w:t>'</w:t>
      </w:r>
      <w:r w:rsidRPr="00DF04DF">
        <w:rPr>
          <w:rFonts w:ascii="Century" w:hAnsi="Century" w:cs="Miriam" w:hint="eastAsia"/>
          <w:b/>
          <w:spacing w:val="0"/>
          <w:sz w:val="22"/>
          <w:szCs w:val="24"/>
          <w:rtl/>
        </w:rPr>
        <w:t>עצימת</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עיניים</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עשויה</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לשלול</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תום</w:t>
      </w:r>
      <w:r w:rsidRPr="00DF04DF">
        <w:rPr>
          <w:rFonts w:ascii="Century" w:hAnsi="Century" w:cs="Miriam"/>
          <w:b/>
          <w:spacing w:val="0"/>
          <w:sz w:val="22"/>
          <w:szCs w:val="24"/>
          <w:rtl/>
        </w:rPr>
        <w:t>-</w:t>
      </w:r>
      <w:r w:rsidRPr="00DF04DF">
        <w:rPr>
          <w:rFonts w:ascii="Century" w:hAnsi="Century" w:cs="Miriam" w:hint="eastAsia"/>
          <w:b/>
          <w:spacing w:val="0"/>
          <w:sz w:val="22"/>
          <w:szCs w:val="24"/>
          <w:rtl/>
        </w:rPr>
        <w:t>לב</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אולם</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כדי</w:t>
      </w:r>
      <w:r w:rsidRPr="00DF04DF">
        <w:rPr>
          <w:rFonts w:ascii="Century" w:hAnsi="Century" w:cs="Miriam" w:hint="cs"/>
          <w:b/>
          <w:spacing w:val="0"/>
          <w:sz w:val="22"/>
          <w:szCs w:val="24"/>
          <w:rtl/>
        </w:rPr>
        <w:t xml:space="preserve"> </w:t>
      </w:r>
      <w:r w:rsidRPr="00DF04DF">
        <w:rPr>
          <w:rFonts w:ascii="Century" w:hAnsi="Century" w:cs="Miriam" w:hint="eastAsia"/>
          <w:b/>
          <w:spacing w:val="0"/>
          <w:sz w:val="22"/>
          <w:szCs w:val="24"/>
          <w:rtl/>
        </w:rPr>
        <w:t>להוביל</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למסקנה</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זו</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צריך</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הטוען</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להוכיח</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כי</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עוצם</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העיניים</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עשה</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כן</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בשל</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החשש</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שבעיניים</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פקוחות</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ילמד</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עובדות</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שעשויות</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להיות</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להן</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השלכות</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שליליות</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לגבי</w:t>
      </w:r>
      <w:r w:rsidRPr="00DF04DF">
        <w:rPr>
          <w:rFonts w:ascii="Century" w:hAnsi="Century" w:cs="Miriam"/>
          <w:b/>
          <w:spacing w:val="0"/>
          <w:sz w:val="22"/>
          <w:szCs w:val="24"/>
          <w:rtl/>
        </w:rPr>
        <w:t xml:space="preserve"> </w:t>
      </w:r>
      <w:r w:rsidRPr="00DF04DF">
        <w:rPr>
          <w:rFonts w:ascii="Century" w:hAnsi="Century" w:cs="Miriam" w:hint="eastAsia"/>
          <w:b/>
          <w:spacing w:val="0"/>
          <w:sz w:val="22"/>
          <w:szCs w:val="24"/>
          <w:rtl/>
        </w:rPr>
        <w:t>זכויותיו</w:t>
      </w:r>
      <w:r w:rsidRPr="00DF04DF">
        <w:rPr>
          <w:rFonts w:ascii="Century" w:hAnsi="Century" w:cs="Miriam" w:hint="cs"/>
          <w:b/>
          <w:spacing w:val="0"/>
          <w:sz w:val="22"/>
          <w:szCs w:val="24"/>
          <w:rtl/>
        </w:rPr>
        <w:t>"</w:t>
      </w:r>
      <w:r>
        <w:rPr>
          <w:rFonts w:hint="cs"/>
          <w:rtl/>
        </w:rPr>
        <w:t xml:space="preserve"> (ע"א 318/83 </w:t>
      </w:r>
      <w:r w:rsidRPr="00DF04DF">
        <w:rPr>
          <w:rFonts w:ascii="Century" w:hAnsi="Century" w:cs="Miriam" w:hint="cs"/>
          <w:b/>
          <w:spacing w:val="0"/>
          <w:sz w:val="22"/>
          <w:szCs w:val="24"/>
          <w:rtl/>
        </w:rPr>
        <w:t>אגוזי שפע בע"מ (בפירוק מרצון) נ' שיבר</w:t>
      </w:r>
      <w:r>
        <w:rPr>
          <w:rFonts w:hint="cs"/>
          <w:rtl/>
        </w:rPr>
        <w:t xml:space="preserve">, פ"ד לט(4) 322, 330-329 (1985)). </w:t>
      </w:r>
    </w:p>
    <w:p w:rsidR="00295623" w:rsidRPr="0019116B" w:rsidRDefault="00295623" w:rsidP="00295623">
      <w:pPr>
        <w:pStyle w:val="Ruller41"/>
        <w:tabs>
          <w:tab w:val="left" w:pos="90"/>
        </w:tabs>
        <w:spacing w:line="240" w:lineRule="auto"/>
      </w:pPr>
    </w:p>
    <w:p w:rsidR="00295623" w:rsidRDefault="00295623" w:rsidP="00295623">
      <w:pPr>
        <w:pStyle w:val="Ruller41"/>
        <w:rPr>
          <w:rtl/>
        </w:rPr>
      </w:pPr>
    </w:p>
    <w:p w:rsidR="00295623" w:rsidRDefault="00295623" w:rsidP="00295623">
      <w:pPr>
        <w:pStyle w:val="Ruller41"/>
        <w:rPr>
          <w:rtl/>
        </w:rPr>
      </w:pPr>
      <w:r>
        <w:rPr>
          <w:rFonts w:hint="cs"/>
          <w:rtl/>
        </w:rPr>
        <w:t>97.</w:t>
      </w:r>
      <w:r>
        <w:rPr>
          <w:rFonts w:hint="cs"/>
          <w:rtl/>
        </w:rPr>
        <w:tab/>
        <w:t xml:space="preserve">אשר ל'נורת האזהרה' השניה </w:t>
      </w:r>
      <w:r>
        <w:rPr>
          <w:rtl/>
        </w:rPr>
        <w:t>–</w:t>
      </w:r>
      <w:r>
        <w:rPr>
          <w:rFonts w:hint="cs"/>
          <w:rtl/>
        </w:rPr>
        <w:t xml:space="preserve"> סיווג הקרקע כמקרקעין מוסדרים </w:t>
      </w:r>
      <w:r>
        <w:rPr>
          <w:rtl/>
        </w:rPr>
        <w:t>–</w:t>
      </w:r>
      <w:r>
        <w:rPr>
          <w:rFonts w:hint="cs"/>
          <w:rtl/>
        </w:rPr>
        <w:t xml:space="preserve"> עלַי להודות, כי לא ירדתי לסוף דעתו של חברי. עסקינן במקרקעין שנתפסו בתפיסה צבאית. במקרקעין מסוג זה, היקף השטח שנתפס מוכתב על-ידי הצורך הצבאי, ולא על-ידי זכויות הקניין הפרטיות (זאת כמובן, מבלי לגרוע מזכותו של בעל הקרקע לקבלת דמי שימוש), ועל כך כבר עמדתי לעיל. לפיכך, הידיעה כי מדובר בקרקע מוסדרת פרטית </w:t>
      </w:r>
      <w:r>
        <w:rPr>
          <w:rtl/>
        </w:rPr>
        <w:t>–</w:t>
      </w:r>
      <w:r>
        <w:rPr>
          <w:rFonts w:hint="cs"/>
          <w:rtl/>
        </w:rPr>
        <w:t xml:space="preserve"> אינה רלבנטית. למעשה, אין צורך להרחיק עדותנו לעניין זה. בלומנטל העיד במפורש, כי מאחר שהקרקע נתפסה בתפיסה צבאית </w:t>
      </w:r>
      <w:r>
        <w:rPr>
          <w:rtl/>
        </w:rPr>
        <w:t>–</w:t>
      </w:r>
      <w:r>
        <w:rPr>
          <w:rFonts w:hint="cs"/>
          <w:rtl/>
        </w:rPr>
        <w:t xml:space="preserve"> כפי שהאמינו הצדדים בזמן אמת </w:t>
      </w:r>
      <w:r>
        <w:rPr>
          <w:rtl/>
        </w:rPr>
        <w:t>–</w:t>
      </w:r>
      <w:r>
        <w:rPr>
          <w:rFonts w:hint="cs"/>
          <w:rtl/>
        </w:rPr>
        <w:t xml:space="preserve"> שאלת הבעלות הפרטית לא היתה פרמטר, לטוב או לרע, לגבי בחירת המיקום שאליו יועתק הישוב (עמ' 269, שורות 21-4 לפרוטוקול הדיון). לפיכך, קביעתו של חברי, כי </w:t>
      </w:r>
      <w:r w:rsidRPr="00DF04DF">
        <w:rPr>
          <w:rFonts w:ascii="Century" w:hAnsi="Century" w:cs="Miriam" w:hint="cs"/>
          <w:b/>
          <w:spacing w:val="0"/>
          <w:szCs w:val="24"/>
          <w:rtl/>
        </w:rPr>
        <w:t>"היה זה בידיעת הממונה כי מדובר במקרקעין שייתכנו להם בעלים וכי בדיקה פשוטה [...] יכולה לבאר את הבעלות בהם"</w:t>
      </w:r>
      <w:r>
        <w:rPr>
          <w:rFonts w:hint="cs"/>
          <w:rtl/>
        </w:rPr>
        <w:t xml:space="preserve"> (פסקה 87 לחוות דעתו) </w:t>
      </w:r>
      <w:r>
        <w:rPr>
          <w:rtl/>
        </w:rPr>
        <w:t>–</w:t>
      </w:r>
      <w:r>
        <w:rPr>
          <w:rFonts w:hint="cs"/>
          <w:rtl/>
        </w:rPr>
        <w:t xml:space="preserve"> אינה ברורה לי. עוד אעיר, כי ההתייחסות בחוות דעת היועץ המשפטי לממשלה מיום 7.12.2016 (שם, בסעיף 5ג), שאליה מפנה חברי, אינה מתייחסת, להבנתי, להחלת תקנת השוק בשטח שנתפס בתפיסה צבאית (בשים לב לכך שהיועץ סבור כי סעיף 5 חל גם בקרקע מסוג זה), אלא רק להקצאות שנעשו בקרקעות מדינה. מטעם דומה, גם ההשוואה לדברים שנקבעו בעניין </w:t>
      </w:r>
      <w:r w:rsidRPr="000A2813">
        <w:rPr>
          <w:rFonts w:ascii="Century" w:hAnsi="Century" w:cs="Miriam" w:hint="cs"/>
          <w:b/>
          <w:spacing w:val="0"/>
          <w:szCs w:val="24"/>
          <w:rtl/>
        </w:rPr>
        <w:t>צלאח</w:t>
      </w:r>
      <w:r>
        <w:rPr>
          <w:rFonts w:hint="cs"/>
          <w:rtl/>
        </w:rPr>
        <w:t xml:space="preserve"> </w:t>
      </w:r>
      <w:r>
        <w:rPr>
          <w:rtl/>
        </w:rPr>
        <w:t>–</w:t>
      </w:r>
      <w:r>
        <w:rPr>
          <w:rFonts w:hint="cs"/>
          <w:rtl/>
        </w:rPr>
        <w:t xml:space="preserve"> אינה יכולה לעמוד. </w:t>
      </w:r>
    </w:p>
    <w:p w:rsidR="00295623" w:rsidRPr="00BF1936" w:rsidRDefault="00295623" w:rsidP="00295623">
      <w:pPr>
        <w:pStyle w:val="Ruller41"/>
        <w:tabs>
          <w:tab w:val="left" w:pos="90"/>
        </w:tabs>
      </w:pPr>
    </w:p>
    <w:p w:rsidR="00295623" w:rsidRDefault="00295623" w:rsidP="00295623">
      <w:pPr>
        <w:pStyle w:val="Ruller41"/>
      </w:pPr>
      <w:r>
        <w:rPr>
          <w:rFonts w:hint="cs"/>
          <w:rtl/>
        </w:rPr>
        <w:t>98.</w:t>
      </w:r>
      <w:r>
        <w:rPr>
          <w:rFonts w:hint="cs"/>
          <w:rtl/>
        </w:rPr>
        <w:tab/>
        <w:t xml:space="preserve">'נורת האזהרה' השלישית שעליה מצביע חברי, נוגעת לתחלופת המכתבים, מהחודשים מאי-יוני 1990, שהתנהלה לגבי מגרשים מסוימים בחלקו הצפוני של כוכב השחר, ובמכתבים נוספים שנשלחו ביחס למגרשים אלה, במהלך השנים 1995-1994. חברי לומד מתכתובות אלו, כי כבר בשנת 1990, ידע הממונה כי גבולות תכנית 223, אינם חופפים את הגבולות שנקבעו במפות הסגירה והתפיסה, וכי </w:t>
      </w:r>
      <w:r w:rsidRPr="0050612E">
        <w:rPr>
          <w:rFonts w:ascii="Century" w:hAnsi="Century" w:cs="Miriam" w:hint="cs"/>
          <w:b/>
          <w:spacing w:val="0"/>
          <w:szCs w:val="24"/>
          <w:rtl/>
        </w:rPr>
        <w:t>"חוסר התאמה"</w:t>
      </w:r>
      <w:r>
        <w:rPr>
          <w:rFonts w:hint="cs"/>
          <w:rtl/>
        </w:rPr>
        <w:t xml:space="preserve"> זה היה צריך להדליק אצל גורמי המינהל האזרחי נורה אדומה. כשלעצמי, וכפי שציינתי לעיל, אני סבור שמכתבים אלה מוליכים דווקא למסקנה אחרת. </w:t>
      </w:r>
      <w:r w:rsidRPr="003D3C86">
        <w:rPr>
          <w:rFonts w:ascii="Century" w:hAnsi="Century" w:cs="Miriam" w:hint="cs"/>
          <w:b/>
          <w:spacing w:val="0"/>
          <w:szCs w:val="24"/>
          <w:rtl/>
        </w:rPr>
        <w:t>ראשית</w:t>
      </w:r>
      <w:r>
        <w:rPr>
          <w:rFonts w:hint="cs"/>
          <w:rtl/>
        </w:rPr>
        <w:t xml:space="preserve">, כאמור, המכתבים הנ"ל אך מחזקים את תום הלב של הגורמים המעורבים בדבר: כאשר עלה חשד </w:t>
      </w:r>
      <w:r>
        <w:rPr>
          <w:rtl/>
        </w:rPr>
        <w:t>–</w:t>
      </w:r>
      <w:r>
        <w:rPr>
          <w:rFonts w:hint="cs"/>
          <w:rtl/>
        </w:rPr>
        <w:t xml:space="preserve"> הוא טופל, ואילו במקרים שבהם לא עלה חשד, דוגמת המקרקעין דנן </w:t>
      </w:r>
      <w:r>
        <w:rPr>
          <w:rtl/>
        </w:rPr>
        <w:t>–</w:t>
      </w:r>
      <w:r>
        <w:rPr>
          <w:rFonts w:hint="cs"/>
          <w:rtl/>
        </w:rPr>
        <w:t xml:space="preserve"> כלל לא נדלקה 'נורה'. </w:t>
      </w:r>
      <w:r w:rsidRPr="003D3C86">
        <w:rPr>
          <w:rFonts w:ascii="Century" w:hAnsi="Century" w:cs="Miriam" w:hint="cs"/>
          <w:b/>
          <w:spacing w:val="0"/>
          <w:szCs w:val="24"/>
          <w:rtl/>
        </w:rPr>
        <w:t>שנית</w:t>
      </w:r>
      <w:r>
        <w:rPr>
          <w:rFonts w:hint="cs"/>
          <w:rtl/>
        </w:rPr>
        <w:t xml:space="preserve">, המגרשים שחליפת המכתבים נוגעת אליהם, היו לכל הדעות מחוץ </w:t>
      </w:r>
      <w:r w:rsidRPr="00DF04DF">
        <w:rPr>
          <w:rFonts w:ascii="Century" w:hAnsi="Century" w:cs="Miriam" w:hint="cs"/>
          <w:b/>
          <w:spacing w:val="0"/>
          <w:szCs w:val="24"/>
          <w:rtl/>
        </w:rPr>
        <w:t>"לגדר המקורית של התפיסה"</w:t>
      </w:r>
      <w:r>
        <w:rPr>
          <w:rFonts w:hint="cs"/>
          <w:rtl/>
        </w:rPr>
        <w:t xml:space="preserve"> (מכתבו של בלומנטל מיום 6.10.1990), וזאת בניגוד למקרקעין דנן </w:t>
      </w:r>
      <w:r>
        <w:rPr>
          <w:rtl/>
        </w:rPr>
        <w:t>–</w:t>
      </w:r>
      <w:r>
        <w:rPr>
          <w:rFonts w:hint="cs"/>
          <w:rtl/>
        </w:rPr>
        <w:t xml:space="preserve"> שהסברה לגביהם היתה כי נכללו בשטח התפוס (כך כאמור הסיק בלומנטל מסיור בשטח). כפי שציינתי בהתייחסותי ל'נורת האזהרה' הראשונה, </w:t>
      </w:r>
      <w:r w:rsidRPr="0050612E">
        <w:rPr>
          <w:rFonts w:ascii="Century" w:hAnsi="Century" w:cs="Miriam" w:hint="cs"/>
          <w:b/>
          <w:spacing w:val="0"/>
          <w:szCs w:val="24"/>
          <w:rtl/>
        </w:rPr>
        <w:t>"ידיעת הממונה"</w:t>
      </w:r>
      <w:r>
        <w:rPr>
          <w:rFonts w:hint="cs"/>
          <w:rtl/>
        </w:rPr>
        <w:t xml:space="preserve"> ביחס לפער בין מפות התפיסה והסגירה, לבין מפת תכנית 223 </w:t>
      </w:r>
      <w:r>
        <w:rPr>
          <w:rtl/>
        </w:rPr>
        <w:t>–</w:t>
      </w:r>
      <w:r>
        <w:rPr>
          <w:rFonts w:hint="cs"/>
          <w:rtl/>
        </w:rPr>
        <w:t xml:space="preserve"> אין בה כל רבותא לגבי תום ליבו. זאת, נוכח אמונתו הכנה באשר לשטח התפיסה בפועל, ולגבי חוסר הנפקות של מפות אלה. </w:t>
      </w:r>
    </w:p>
    <w:p w:rsidR="00295623" w:rsidRPr="00F80EF6" w:rsidRDefault="00295623" w:rsidP="00295623">
      <w:pPr>
        <w:pStyle w:val="Ruller41"/>
        <w:tabs>
          <w:tab w:val="left" w:pos="90"/>
        </w:tabs>
      </w:pPr>
    </w:p>
    <w:p w:rsidR="00295623" w:rsidRDefault="00295623" w:rsidP="00295623">
      <w:pPr>
        <w:pStyle w:val="Ruller41"/>
      </w:pPr>
      <w:r>
        <w:rPr>
          <w:rFonts w:hint="cs"/>
          <w:rtl/>
        </w:rPr>
        <w:lastRenderedPageBreak/>
        <w:t>99.</w:t>
      </w:r>
      <w:r>
        <w:rPr>
          <w:rFonts w:hint="cs"/>
          <w:rtl/>
        </w:rPr>
        <w:tab/>
        <w:t xml:space="preserve">לבסוף, בכל הנוגע לתום ליבה של ההסתדרות הציונית, אף כאן איני שותף למסקנתו של חברי. כאמור, נקודת המוצא </w:t>
      </w:r>
      <w:r w:rsidRPr="00503BF0">
        <w:rPr>
          <w:rFonts w:ascii="Century" w:hAnsi="Century" w:cs="Miriam" w:hint="cs"/>
          <w:b/>
          <w:spacing w:val="0"/>
          <w:szCs w:val="24"/>
          <w:rtl/>
        </w:rPr>
        <w:t>העובדתית</w:t>
      </w:r>
      <w:r w:rsidRPr="00503BF0">
        <w:rPr>
          <w:rFonts w:hint="cs"/>
          <w:rtl/>
        </w:rPr>
        <w:t xml:space="preserve"> </w:t>
      </w:r>
      <w:r>
        <w:rPr>
          <w:rFonts w:hint="cs"/>
          <w:rtl/>
        </w:rPr>
        <w:t xml:space="preserve">היא, שהצדדים להסכם ההרשאה האמינו, אמונה כנה ואמתית, כי היקף השטח של תכנית 223 שיקף, הלכה למעשה, את השטח שנתפס בפועל בתפיסה צבאית. על יסוד הלך מחשבה זה, הוגשה תכנית 223, ולימים גם אושרה. בית המשפט המחוזי לא פקפק בעדותו של מר יוסי שגב, שהעיד מטעם ההסתדרות הציונית, כי הקרקע לא היתה מוקצית למחזיקים, </w:t>
      </w:r>
      <w:r w:rsidRPr="001934E8">
        <w:rPr>
          <w:rFonts w:ascii="Century" w:hAnsi="Century" w:cs="Miriam" w:hint="cs"/>
          <w:b/>
          <w:spacing w:val="0"/>
          <w:szCs w:val="24"/>
          <w:rtl/>
        </w:rPr>
        <w:t>"אלמלא היינו בטוחים כי מדובר בקרקעות שהוקצו לנו כדין מאת הממונה"</w:t>
      </w:r>
      <w:r w:rsidRPr="00C0449D">
        <w:rPr>
          <w:rFonts w:hint="cs"/>
          <w:rtl/>
        </w:rPr>
        <w:t xml:space="preserve"> </w:t>
      </w:r>
      <w:r>
        <w:rPr>
          <w:rFonts w:hint="cs"/>
          <w:rtl/>
        </w:rPr>
        <w:t xml:space="preserve">(סעיף 9 לתצהירו). לטעמי, די בכך כדי להסיק כי ההסתדרות הציונית עמדה בחובת תום הלב הסובייקטיבית המוטלת עליה. עוד אוסיף בהקשר זה, כי אין בידינו די ראיות כדי לקבוע מה הוביל את ההסתדרות הציונית לשרטט את תכנית 223, בהיקף שבו תוכננה (כאמור, עמדת ההסתדרות הציונית היא ששטח זה הוא השטח שהמפקד הצבאי תפס בפועל, ולכל הפחות </w:t>
      </w:r>
      <w:r>
        <w:rPr>
          <w:rtl/>
        </w:rPr>
        <w:t>–</w:t>
      </w:r>
      <w:r>
        <w:rPr>
          <w:rFonts w:hint="cs"/>
          <w:rtl/>
        </w:rPr>
        <w:t xml:space="preserve"> זו היתה הבנתה במועדים הרלבנטיים; כך גם הבין בלומנטל, שכאמור ערך סיור בשטח, ערב העתקת מצפה כרמים אל מיקומו הנוכחי). במצב של אי-בהירות ראייתי, דומני כי יש לחזור לכלל חזקת תקינות המעשה המינהלי, ולכך שנטל הראיה להוכיח חוסר תום לב, מוטל על הטוען לאי-תחולתו של סעיף 5 (ראו והשוו: עניין </w:t>
      </w:r>
      <w:r w:rsidRPr="001934E8">
        <w:rPr>
          <w:rFonts w:ascii="Century" w:hAnsi="Century" w:cs="Miriam" w:hint="cs"/>
          <w:b/>
          <w:spacing w:val="0"/>
          <w:szCs w:val="24"/>
          <w:rtl/>
        </w:rPr>
        <w:t>עקל</w:t>
      </w:r>
      <w:r>
        <w:rPr>
          <w:rFonts w:hint="cs"/>
          <w:rtl/>
        </w:rPr>
        <w:t xml:space="preserve">, פסקה 20). לגישתי, חובת תום הלב שחברי מטיל על ההסתדרות הציונית, חורגת מ'עצימת עיניים' גרידא, ועולה כדי סטנדרט של חובת זהירות. דא עקא, חובה שכזו אינה תנאי לקיומה של תקנת השוק, שאף צוין לגביה: </w:t>
      </w:r>
      <w:r w:rsidRPr="00F32309">
        <w:rPr>
          <w:rFonts w:ascii="Century" w:hAnsi="Century" w:cs="Miriam"/>
          <w:b/>
          <w:spacing w:val="0"/>
          <w:szCs w:val="24"/>
          <w:rtl/>
        </w:rPr>
        <w:t>"</w:t>
      </w:r>
      <w:r w:rsidRPr="00F32309">
        <w:rPr>
          <w:rFonts w:ascii="Century" w:hAnsi="Century" w:cs="Miriam" w:hint="eastAsia"/>
          <w:b/>
          <w:spacing w:val="0"/>
          <w:szCs w:val="24"/>
          <w:rtl/>
        </w:rPr>
        <w:t>ראוי</w:t>
      </w:r>
      <w:r w:rsidRPr="00F32309">
        <w:rPr>
          <w:rFonts w:ascii="Century" w:hAnsi="Century" w:cs="Miriam"/>
          <w:b/>
          <w:spacing w:val="0"/>
          <w:szCs w:val="24"/>
          <w:rtl/>
        </w:rPr>
        <w:t xml:space="preserve"> </w:t>
      </w:r>
      <w:r w:rsidRPr="00F32309">
        <w:rPr>
          <w:rFonts w:ascii="Century" w:hAnsi="Century" w:cs="Miriam" w:hint="eastAsia"/>
          <w:b/>
          <w:spacing w:val="0"/>
          <w:szCs w:val="24"/>
          <w:rtl/>
        </w:rPr>
        <w:t>כי</w:t>
      </w:r>
      <w:r w:rsidRPr="00F32309">
        <w:rPr>
          <w:rFonts w:ascii="Century" w:hAnsi="Century" w:cs="Miriam"/>
          <w:b/>
          <w:spacing w:val="0"/>
          <w:szCs w:val="24"/>
          <w:rtl/>
        </w:rPr>
        <w:t xml:space="preserve"> </w:t>
      </w:r>
      <w:r w:rsidRPr="00F32309">
        <w:rPr>
          <w:rFonts w:ascii="Century" w:hAnsi="Century" w:cs="Miriam" w:hint="eastAsia"/>
          <w:b/>
          <w:spacing w:val="0"/>
          <w:szCs w:val="24"/>
          <w:rtl/>
        </w:rPr>
        <w:t>החובה</w:t>
      </w:r>
      <w:r w:rsidRPr="00F32309">
        <w:rPr>
          <w:rFonts w:ascii="Century" w:hAnsi="Century" w:cs="Miriam"/>
          <w:b/>
          <w:spacing w:val="0"/>
          <w:szCs w:val="24"/>
          <w:rtl/>
        </w:rPr>
        <w:t xml:space="preserve"> </w:t>
      </w:r>
      <w:r w:rsidRPr="00F32309">
        <w:rPr>
          <w:rFonts w:ascii="Century" w:hAnsi="Century" w:cs="Miriam" w:hint="eastAsia"/>
          <w:b/>
          <w:spacing w:val="0"/>
          <w:szCs w:val="24"/>
          <w:rtl/>
        </w:rPr>
        <w:t>האובייקטיבית</w:t>
      </w:r>
      <w:r w:rsidRPr="00F32309">
        <w:rPr>
          <w:rFonts w:ascii="Century" w:hAnsi="Century" w:cs="Miriam"/>
          <w:b/>
          <w:spacing w:val="0"/>
          <w:szCs w:val="24"/>
          <w:rtl/>
        </w:rPr>
        <w:t xml:space="preserve"> </w:t>
      </w:r>
      <w:r w:rsidRPr="00F32309">
        <w:rPr>
          <w:rFonts w:ascii="Century" w:hAnsi="Century" w:cs="Miriam" w:hint="eastAsia"/>
          <w:b/>
          <w:spacing w:val="0"/>
          <w:szCs w:val="24"/>
          <w:rtl/>
        </w:rPr>
        <w:t>המוטלת</w:t>
      </w:r>
      <w:r w:rsidRPr="00F32309">
        <w:rPr>
          <w:rFonts w:ascii="Century" w:hAnsi="Century" w:cs="Miriam"/>
          <w:b/>
          <w:spacing w:val="0"/>
          <w:szCs w:val="24"/>
          <w:rtl/>
        </w:rPr>
        <w:t xml:space="preserve"> </w:t>
      </w:r>
      <w:r w:rsidRPr="00F32309">
        <w:rPr>
          <w:rFonts w:ascii="Century" w:hAnsi="Century" w:cs="Miriam" w:hint="eastAsia"/>
          <w:b/>
          <w:spacing w:val="0"/>
          <w:szCs w:val="24"/>
          <w:rtl/>
        </w:rPr>
        <w:t>בנדון</w:t>
      </w:r>
      <w:r w:rsidRPr="00F32309">
        <w:rPr>
          <w:rFonts w:ascii="Century" w:hAnsi="Century" w:cs="Miriam"/>
          <w:b/>
          <w:spacing w:val="0"/>
          <w:szCs w:val="24"/>
          <w:rtl/>
        </w:rPr>
        <w:t xml:space="preserve"> </w:t>
      </w:r>
      <w:r w:rsidRPr="00F32309">
        <w:rPr>
          <w:rFonts w:ascii="Century" w:hAnsi="Century" w:cs="Miriam" w:hint="eastAsia"/>
          <w:b/>
          <w:spacing w:val="0"/>
          <w:szCs w:val="24"/>
          <w:rtl/>
        </w:rPr>
        <w:t>על</w:t>
      </w:r>
      <w:r w:rsidRPr="00F32309">
        <w:rPr>
          <w:rFonts w:ascii="Century" w:hAnsi="Century" w:cs="Miriam"/>
          <w:b/>
          <w:spacing w:val="0"/>
          <w:szCs w:val="24"/>
          <w:rtl/>
        </w:rPr>
        <w:t xml:space="preserve"> </w:t>
      </w:r>
      <w:r w:rsidRPr="00F32309">
        <w:rPr>
          <w:rFonts w:ascii="Century" w:hAnsi="Century" w:cs="Miriam" w:hint="eastAsia"/>
          <w:b/>
          <w:spacing w:val="0"/>
          <w:szCs w:val="24"/>
          <w:rtl/>
        </w:rPr>
        <w:t>הרוכש</w:t>
      </w:r>
      <w:r w:rsidRPr="00F32309">
        <w:rPr>
          <w:rFonts w:ascii="Century" w:hAnsi="Century" w:cs="Miriam"/>
          <w:b/>
          <w:spacing w:val="0"/>
          <w:szCs w:val="24"/>
          <w:rtl/>
        </w:rPr>
        <w:t xml:space="preserve"> </w:t>
      </w:r>
      <w:r w:rsidRPr="00F32309">
        <w:rPr>
          <w:rFonts w:ascii="Century" w:hAnsi="Century" w:cs="Miriam" w:hint="eastAsia"/>
          <w:b/>
          <w:spacing w:val="0"/>
          <w:szCs w:val="24"/>
          <w:rtl/>
        </w:rPr>
        <w:t>תהיה</w:t>
      </w:r>
      <w:r w:rsidRPr="00F32309">
        <w:rPr>
          <w:rFonts w:ascii="Century" w:hAnsi="Century" w:cs="Miriam"/>
          <w:b/>
          <w:spacing w:val="0"/>
          <w:szCs w:val="24"/>
          <w:rtl/>
        </w:rPr>
        <w:t xml:space="preserve"> </w:t>
      </w:r>
      <w:r w:rsidRPr="00F32309">
        <w:rPr>
          <w:rFonts w:ascii="Century" w:hAnsi="Century" w:cs="Miriam" w:hint="eastAsia"/>
          <w:b/>
          <w:spacing w:val="0"/>
          <w:szCs w:val="24"/>
          <w:rtl/>
        </w:rPr>
        <w:t>מתונה</w:t>
      </w:r>
      <w:r w:rsidRPr="00F32309">
        <w:rPr>
          <w:rFonts w:ascii="Century" w:hAnsi="Century" w:cs="Miriam"/>
          <w:b/>
          <w:spacing w:val="0"/>
          <w:szCs w:val="24"/>
          <w:rtl/>
        </w:rPr>
        <w:t xml:space="preserve"> </w:t>
      </w:r>
      <w:r w:rsidRPr="00F32309">
        <w:rPr>
          <w:rFonts w:ascii="Century" w:hAnsi="Century" w:cs="Miriam" w:hint="eastAsia"/>
          <w:b/>
          <w:spacing w:val="0"/>
          <w:szCs w:val="24"/>
          <w:rtl/>
        </w:rPr>
        <w:t>במיוחד</w:t>
      </w:r>
      <w:r w:rsidRPr="00F32309">
        <w:rPr>
          <w:rFonts w:ascii="Century" w:hAnsi="Century" w:cs="Miriam"/>
          <w:b/>
          <w:spacing w:val="0"/>
          <w:szCs w:val="24"/>
          <w:rtl/>
        </w:rPr>
        <w:t>"</w:t>
      </w:r>
      <w:r>
        <w:rPr>
          <w:rFonts w:hint="cs"/>
          <w:rtl/>
        </w:rPr>
        <w:t xml:space="preserve"> (</w:t>
      </w:r>
      <w:r w:rsidRPr="00F32309">
        <w:rPr>
          <w:rFonts w:ascii="Century" w:hAnsi="Century" w:cs="Miriam" w:hint="eastAsia"/>
          <w:b/>
          <w:spacing w:val="0"/>
          <w:szCs w:val="24"/>
          <w:rtl/>
        </w:rPr>
        <w:t>דויטש</w:t>
      </w:r>
      <w:r w:rsidRPr="00F32309">
        <w:rPr>
          <w:rFonts w:ascii="Century" w:hAnsi="Century" w:cs="Miriam"/>
          <w:b/>
          <w:spacing w:val="0"/>
          <w:szCs w:val="24"/>
          <w:rtl/>
        </w:rPr>
        <w:t xml:space="preserve"> </w:t>
      </w:r>
      <w:r w:rsidRPr="00F32309">
        <w:rPr>
          <w:rFonts w:ascii="Century" w:hAnsi="Century"/>
          <w:rtl/>
        </w:rPr>
        <w:t>–</w:t>
      </w:r>
      <w:r w:rsidRPr="00F32309">
        <w:rPr>
          <w:rFonts w:ascii="Century" w:hAnsi="Century" w:cs="Miriam"/>
          <w:b/>
          <w:spacing w:val="0"/>
          <w:szCs w:val="24"/>
          <w:rtl/>
        </w:rPr>
        <w:t xml:space="preserve"> </w:t>
      </w:r>
      <w:r w:rsidRPr="00F32309">
        <w:rPr>
          <w:rFonts w:ascii="Century" w:hAnsi="Century" w:cs="Miriam" w:hint="eastAsia"/>
          <w:b/>
          <w:spacing w:val="0"/>
          <w:szCs w:val="24"/>
          <w:rtl/>
        </w:rPr>
        <w:t>כרך</w:t>
      </w:r>
      <w:r w:rsidRPr="00F32309">
        <w:rPr>
          <w:rFonts w:ascii="Century" w:hAnsi="Century" w:cs="Miriam"/>
          <w:b/>
          <w:spacing w:val="0"/>
          <w:szCs w:val="24"/>
          <w:rtl/>
        </w:rPr>
        <w:t xml:space="preserve"> </w:t>
      </w:r>
      <w:r w:rsidRPr="00F32309">
        <w:rPr>
          <w:rFonts w:ascii="Century" w:hAnsi="Century" w:cs="Miriam" w:hint="eastAsia"/>
          <w:b/>
          <w:spacing w:val="0"/>
          <w:szCs w:val="24"/>
          <w:rtl/>
        </w:rPr>
        <w:t>ד</w:t>
      </w:r>
      <w:r>
        <w:rPr>
          <w:rFonts w:hint="cs"/>
          <w:rtl/>
        </w:rPr>
        <w:t xml:space="preserve">, בעמ' 309). לזאת אוסיף, כי בגדרי ההליך שלפנינו, אין חולק על כך שהמחזיקים היו תמי לב (ראו פסקאות 22-21 לעיל). החמרה בעת בחינת תום ליבה של ההסתדרות הציונית, תביא, דה פקטו, לפגיעה במחזיקים, שהם 'הצד האמיתי' בהתנגשות הזכויות שלפנינו. גם בנתון זה עלינו להתחשב.  </w:t>
      </w:r>
    </w:p>
    <w:p w:rsidR="00295623" w:rsidRPr="00277043" w:rsidRDefault="00295623" w:rsidP="00295623">
      <w:pPr>
        <w:pStyle w:val="Ruller4"/>
        <w:numPr>
          <w:ilvl w:val="0"/>
          <w:numId w:val="0"/>
        </w:numPr>
        <w:tabs>
          <w:tab w:val="left" w:pos="90"/>
        </w:tabs>
        <w:spacing w:line="240" w:lineRule="auto"/>
      </w:pPr>
    </w:p>
    <w:p w:rsidR="00295623" w:rsidRDefault="00295623" w:rsidP="00295623">
      <w:pPr>
        <w:pStyle w:val="Ruller41"/>
        <w:rPr>
          <w:rtl/>
        </w:rPr>
      </w:pPr>
      <w:r>
        <w:rPr>
          <w:rFonts w:hint="cs"/>
          <w:rtl/>
        </w:rPr>
        <w:t>100.</w:t>
      </w:r>
      <w:r>
        <w:rPr>
          <w:rFonts w:hint="cs"/>
          <w:rtl/>
        </w:rPr>
        <w:tab/>
        <w:t xml:space="preserve">סיכומו של דבר: אינני סבור כי יש להעניק 'פרס' לממונה, או לפקידי המינהל האזרחי, על התנהלותם לאורך השנים. אינני סבור גם כי התנהלותם היתה ללא כל רבב. רק לשם הדוגמה: צירוף מפה הדומה למפת הסגירה להסכמי ההרשאה, תוך ציון המילים </w:t>
      </w:r>
      <w:r>
        <w:rPr>
          <w:rFonts w:ascii="Century" w:hAnsi="Century" w:cs="Miriam" w:hint="cs"/>
          <w:b/>
          <w:spacing w:val="0"/>
          <w:szCs w:val="24"/>
          <w:rtl/>
        </w:rPr>
        <w:t xml:space="preserve">"צו </w:t>
      </w:r>
      <w:r w:rsidRPr="00A562ED">
        <w:rPr>
          <w:rFonts w:ascii="Century" w:hAnsi="Century" w:cs="Miriam" w:hint="cs"/>
          <w:b/>
          <w:spacing w:val="0"/>
          <w:szCs w:val="24"/>
          <w:rtl/>
        </w:rPr>
        <w:t>תפיסה"</w:t>
      </w:r>
      <w:r>
        <w:rPr>
          <w:rFonts w:hint="cs"/>
          <w:rtl/>
        </w:rPr>
        <w:t xml:space="preserve"> על-גביה, מעידה על אי-סדר בעייתי. היה גם מקום לצרף מפות מדויקות ועדכניות להסכמים אלה. אין ספק, ניתן היה להתנהל טוב יותר. ואולם, אי-הסדרים שנפלו בהתנהלות גורמי המדינה, חלקם נוכח מכשירי מדידה בלתי-מדויקים, חלקם מחמת נהלים ישנים והנחות לא מבוססות, אינה מביאה לכלל מסקנה כי הממונה, או ההסתדרות הציונית, לא עמדו בדרישת תום הלב שבסעיף 5, כפי פרשנותו הראויה בעינַי. לגבי דידי, מסקנה זו היא מרחיקת לכת בנסיבות ענייננו, בפרט נוכח הפגיעה האנושה בזכויותיהם של המחזיקים, שאין חולק על תום ליבם (בהקשר הקנייני), למצער של מי שהתיישבו בקרקע, עוד בטרם נודעו הבעיות המשפטיות.</w:t>
      </w:r>
    </w:p>
    <w:p w:rsidR="00295623" w:rsidRDefault="00295623" w:rsidP="00295623">
      <w:pPr>
        <w:pStyle w:val="Ruller41"/>
        <w:rPr>
          <w:rtl/>
        </w:rPr>
      </w:pPr>
    </w:p>
    <w:p w:rsidR="00295623" w:rsidRDefault="00295623" w:rsidP="00295623">
      <w:pPr>
        <w:pStyle w:val="Ruller41"/>
        <w:rPr>
          <w:rtl/>
        </w:rPr>
      </w:pPr>
      <w:r>
        <w:rPr>
          <w:rFonts w:hint="cs"/>
          <w:rtl/>
        </w:rPr>
        <w:t>101.</w:t>
      </w:r>
      <w:r>
        <w:rPr>
          <w:rtl/>
        </w:rPr>
        <w:tab/>
      </w:r>
      <w:r>
        <w:rPr>
          <w:rFonts w:hint="cs"/>
          <w:rtl/>
        </w:rPr>
        <w:t xml:space="preserve">אשר על כן, לוּ תישמע דעתי, נורה על קבלת העתירה לדיון נוסף, כך שיקָבע כי סעיף 5 חל בנסיבות העניין. המשמעות האופרטיבית של הדברים היא שהערעור בע"א 7668/18 ידחה; פסק הדין של בית המשפט המחוזי בת"א 29754-11-13 יוותר על כנו; והעתירה בבג"ץ 953/11 </w:t>
      </w:r>
      <w:r>
        <w:rPr>
          <w:rtl/>
        </w:rPr>
        <w:t>–</w:t>
      </w:r>
      <w:r>
        <w:rPr>
          <w:rFonts w:hint="cs"/>
          <w:rtl/>
        </w:rPr>
        <w:t xml:space="preserve"> הנגררת אחר תוצאת ההליך האזרחי </w:t>
      </w:r>
      <w:r>
        <w:rPr>
          <w:rtl/>
        </w:rPr>
        <w:t>–</w:t>
      </w:r>
      <w:r>
        <w:rPr>
          <w:rFonts w:hint="cs"/>
          <w:rtl/>
        </w:rPr>
        <w:t xml:space="preserve"> תימחק.</w:t>
      </w:r>
    </w:p>
    <w:p w:rsidR="00295623" w:rsidRDefault="00295623" w:rsidP="00295623">
      <w:pPr>
        <w:pStyle w:val="Ruller41"/>
        <w:tabs>
          <w:tab w:val="left" w:pos="90"/>
        </w:tabs>
        <w:rPr>
          <w:rtl/>
        </w:rPr>
      </w:pPr>
    </w:p>
    <w:p w:rsidR="00295623" w:rsidRPr="006475FD" w:rsidRDefault="00295623" w:rsidP="00295623">
      <w:pPr>
        <w:pStyle w:val="Ruller41"/>
        <w:tabs>
          <w:tab w:val="left" w:pos="90"/>
        </w:tabs>
        <w:spacing w:line="480" w:lineRule="auto"/>
        <w:rPr>
          <w:rFonts w:ascii="Century" w:hAnsi="Century" w:cs="Miriam"/>
          <w:b/>
          <w:spacing w:val="0"/>
          <w:szCs w:val="24"/>
          <w:rtl/>
        </w:rPr>
      </w:pPr>
      <w:r w:rsidRPr="006475FD">
        <w:rPr>
          <w:rFonts w:ascii="Century" w:hAnsi="Century" w:cs="Miriam" w:hint="cs"/>
          <w:b/>
          <w:spacing w:val="0"/>
          <w:szCs w:val="24"/>
          <w:rtl/>
        </w:rPr>
        <w:t>סוף דבר</w:t>
      </w:r>
    </w:p>
    <w:p w:rsidR="00295623" w:rsidRDefault="00295623" w:rsidP="00295623">
      <w:pPr>
        <w:pStyle w:val="Ruller41"/>
        <w:rPr>
          <w:rtl/>
        </w:rPr>
      </w:pPr>
      <w:r>
        <w:rPr>
          <w:rFonts w:hint="cs"/>
          <w:rtl/>
        </w:rPr>
        <w:t xml:space="preserve">102.     </w:t>
      </w:r>
      <w:r>
        <w:rPr>
          <w:rFonts w:hint="cs"/>
          <w:rtl/>
        </w:rPr>
        <w:tab/>
        <w:t xml:space="preserve">אסכם בקצרה את עמדתי. המקרה שלפנינו עוסק ב'תאונה משפטית', שבמוקדהּ 'תחרות זכויות' בין שני צדדים רחוקים, כאשר תקנת השוק שבסעיף 5 נועדה ליתן מענה לסיטואציה שכזו. לגישתי, קיימות הצדקות לא מבוטלות, ואף יחודיות, לקיומו של הסדר תקנת שוק בעסקאות שערך הממונה במקרקעין המנוהלים על-ידו באיו"ש. על כן, איני סבור כי אמת המידה הפרשנית שאותה עלינו לאמץ, נדרש שתהיה קמוצה ומצמצמת. במקרה הספציפי שלפנינו, קיימת הצדקה קונקרטית נוספת, הנעוצה בכך שהעימות אינו בין בעלי זכויות במעמד שווה, בעוצמתן ובמידת הוכחתן. </w:t>
      </w:r>
    </w:p>
    <w:p w:rsidR="00295623" w:rsidRPr="00E92471" w:rsidRDefault="00295623" w:rsidP="00295623">
      <w:pPr>
        <w:pStyle w:val="Ruller41"/>
        <w:tabs>
          <w:tab w:val="left" w:pos="90"/>
        </w:tabs>
        <w:spacing w:line="240" w:lineRule="auto"/>
      </w:pPr>
    </w:p>
    <w:p w:rsidR="00295623" w:rsidRDefault="00295623" w:rsidP="00295623">
      <w:pPr>
        <w:pStyle w:val="Ruller41"/>
        <w:rPr>
          <w:rtl/>
        </w:rPr>
      </w:pPr>
      <w:r>
        <w:rPr>
          <w:rFonts w:hint="cs"/>
          <w:rtl/>
        </w:rPr>
        <w:t>103.</w:t>
      </w:r>
      <w:r>
        <w:rPr>
          <w:rFonts w:hint="cs"/>
          <w:rtl/>
        </w:rPr>
        <w:tab/>
        <w:t xml:space="preserve">בפן העקרוני, אני סבור כי הפרשנות הנכונה לסעיף 5 אינה כוללת דרישה שה'עסקה' תסתיים ברישום; לא במרשם ההרשאות ולא במרשם המקרקעין. עוד סבור אני, כי סעיף 5 חל גם בנסיבות שבהן ההתקשרות נעשתה בין הממונה לבין גורם מיישב, דוגמת ההסתדרות הציונית או משרד השיכון. על רקע מסקנתי כי דרישת התמורה התקיימה בענייננו באופן מובהק, ומשלא נשמע טיעון מסודר ומלא בעניין, לא ראיתי מקום להכריע בשאלה זו. לבסוף, לגישתי-שלי, סעיף 5 עשוי לחול גם כאשר עסקינן במקרקעין שנתפסו בתפיסה צבאית. </w:t>
      </w:r>
    </w:p>
    <w:p w:rsidR="00295623" w:rsidRPr="000A483E" w:rsidRDefault="00295623" w:rsidP="00295623">
      <w:pPr>
        <w:pStyle w:val="Ruller41"/>
        <w:tabs>
          <w:tab w:val="left" w:pos="90"/>
        </w:tabs>
        <w:spacing w:line="240" w:lineRule="auto"/>
      </w:pPr>
    </w:p>
    <w:p w:rsidR="00295623" w:rsidRDefault="00295623" w:rsidP="00295623">
      <w:pPr>
        <w:pStyle w:val="Ruller4"/>
        <w:numPr>
          <w:ilvl w:val="0"/>
          <w:numId w:val="0"/>
        </w:numPr>
        <w:tabs>
          <w:tab w:val="left" w:pos="90"/>
        </w:tabs>
      </w:pPr>
      <w:r>
        <w:rPr>
          <w:rFonts w:hint="cs"/>
          <w:rtl/>
        </w:rPr>
        <w:t xml:space="preserve">104. </w:t>
      </w:r>
      <w:r>
        <w:rPr>
          <w:rtl/>
        </w:rPr>
        <w:tab/>
      </w:r>
      <w:r>
        <w:rPr>
          <w:rFonts w:hint="cs"/>
          <w:rtl/>
        </w:rPr>
        <w:t>בפן היי</w:t>
      </w:r>
      <w:r w:rsidRPr="00C27278">
        <w:rPr>
          <w:rtl/>
        </w:rPr>
        <w:t>שׂ</w:t>
      </w:r>
      <w:r>
        <w:rPr>
          <w:rFonts w:hint="cs"/>
          <w:rtl/>
        </w:rPr>
        <w:t xml:space="preserve">ומי, באתי לכלל מסקנה, כי הקרקע שעליה הוקם מצפה כרמים נכללה בשטח שהוקצה מאת הממונה להסתדרות הציונית, במסגרת הסכמי ההרשאה, וכי שני הצדדים להסכמים הללו, האמינו אמונה כנה ואמתית </w:t>
      </w:r>
      <w:r>
        <w:rPr>
          <w:rtl/>
        </w:rPr>
        <w:t>–</w:t>
      </w:r>
      <w:r>
        <w:rPr>
          <w:rFonts w:hint="cs"/>
          <w:rtl/>
        </w:rPr>
        <w:t xml:space="preserve"> והעיקר, בתום לב </w:t>
      </w:r>
      <w:r>
        <w:rPr>
          <w:rtl/>
        </w:rPr>
        <w:t>–</w:t>
      </w:r>
      <w:r>
        <w:rPr>
          <w:rFonts w:hint="cs"/>
          <w:rtl/>
        </w:rPr>
        <w:t xml:space="preserve"> כי שטח זה הוא חלק מהשטח שנתפס (בפועל) בתפיסה צבאית. לפיכך, בהתקיים תנאֵי תום הלב, ויתר תנאי סעיף 5, אני סבור כי ניתן, ואף צריך, להחיל הסדר זה בנסיבות העניין. </w:t>
      </w:r>
    </w:p>
    <w:p w:rsidR="00295623" w:rsidRDefault="00295623" w:rsidP="00295623">
      <w:pPr>
        <w:pStyle w:val="Ruller4"/>
        <w:numPr>
          <w:ilvl w:val="0"/>
          <w:numId w:val="0"/>
        </w:numPr>
        <w:tabs>
          <w:tab w:val="left" w:pos="90"/>
        </w:tabs>
        <w:spacing w:line="240" w:lineRule="auto"/>
      </w:pPr>
    </w:p>
    <w:p w:rsidR="00295623" w:rsidRDefault="00295623" w:rsidP="00295623">
      <w:pPr>
        <w:pStyle w:val="Ruller41"/>
      </w:pPr>
      <w:r>
        <w:rPr>
          <w:rFonts w:hint="cs"/>
          <w:rtl/>
        </w:rPr>
        <w:t>105.</w:t>
      </w:r>
      <w:r>
        <w:rPr>
          <w:rFonts w:hint="cs"/>
          <w:rtl/>
        </w:rPr>
        <w:tab/>
        <w:t xml:space="preserve">אין לכחד: הפגיעה בזכויות הקניין של בעלי הקרקע המקוריים (שאינם לפנינו) </w:t>
      </w:r>
      <w:r>
        <w:rPr>
          <w:rtl/>
        </w:rPr>
        <w:t>–</w:t>
      </w:r>
      <w:r>
        <w:rPr>
          <w:rFonts w:hint="cs"/>
          <w:rtl/>
        </w:rPr>
        <w:t xml:space="preserve"> עשויה להיות קשה. גם פיצוי כספי לא תמיד יקהה את הפגיעה (אשר לשאלת הפיצוי הכספי בנסיבות של סעיף 5, הצדדים לא מיצו את הטיעון בענין זה, וממילא איני מכריע בכך. ואולם, דומני כי עמדה המחייבת פיצוי למי שיוכיח זכויות בקרקע, שהיא גם עמדת היועץ המשפטי לממשלה (ראו: סעיף 6 לחוות דעתו, מיום 7.12.2016), היא טבעית </w:t>
      </w:r>
      <w:r>
        <w:rPr>
          <w:rFonts w:hint="cs"/>
          <w:rtl/>
        </w:rPr>
        <w:lastRenderedPageBreak/>
        <w:t xml:space="preserve">ומתבקשת בנסיבות העניין, בפרט נוכח קיומם של הסדרים מקבילים, בעניינים אחרים, ואני נוטה לקבלה (זאת חרף דברים שאמרתי בעניין </w:t>
      </w:r>
      <w:r w:rsidRPr="00DC0F24">
        <w:rPr>
          <w:rFonts w:ascii="Century" w:hAnsi="Century" w:cs="Miriam" w:hint="cs"/>
          <w:b/>
          <w:spacing w:val="0"/>
          <w:szCs w:val="24"/>
          <w:rtl/>
        </w:rPr>
        <w:t>חוק ההסדרה</w:t>
      </w:r>
      <w:r>
        <w:rPr>
          <w:rFonts w:hint="cs"/>
          <w:rtl/>
        </w:rPr>
        <w:t xml:space="preserve"> (בפסקה 54 לחוות דעתי)). יחד עם זאת, פרשנותו הראויה של ההסדר החוקי, והתעמקות בחומר הראיות, הביאוני לכלל מסקנה כי זו התוצאה הנכונה והמתחייבת בנדון דידן.  </w:t>
      </w:r>
    </w:p>
    <w:p w:rsidR="00295623" w:rsidRPr="00F72FE7" w:rsidRDefault="00295623" w:rsidP="00295623">
      <w:pPr>
        <w:pStyle w:val="Ruller4"/>
        <w:numPr>
          <w:ilvl w:val="0"/>
          <w:numId w:val="0"/>
        </w:numPr>
        <w:tabs>
          <w:tab w:val="left" w:pos="90"/>
        </w:tabs>
        <w:rPr>
          <w:rtl/>
        </w:rPr>
      </w:pPr>
    </w:p>
    <w:p w:rsidR="00295623" w:rsidRDefault="00295623" w:rsidP="00295623">
      <w:pPr>
        <w:pStyle w:val="Ruller41"/>
        <w:tabs>
          <w:tab w:val="left" w:pos="90"/>
        </w:tabs>
        <w:spacing w:line="480" w:lineRule="auto"/>
        <w:rPr>
          <w:rFonts w:ascii="Century" w:hAnsi="Century" w:cs="Miriam"/>
          <w:b/>
          <w:spacing w:val="0"/>
          <w:szCs w:val="24"/>
        </w:rPr>
      </w:pPr>
      <w:r>
        <w:rPr>
          <w:rFonts w:ascii="Century" w:hAnsi="Century" w:cs="Miriam"/>
          <w:b/>
          <w:spacing w:val="0"/>
          <w:szCs w:val="24"/>
          <w:rtl/>
        </w:rPr>
        <w:t>אחר הדברים האלה</w:t>
      </w:r>
    </w:p>
    <w:p w:rsidR="00295623" w:rsidRDefault="00295623" w:rsidP="00295623">
      <w:pPr>
        <w:pStyle w:val="Ruller4"/>
        <w:numPr>
          <w:ilvl w:val="0"/>
          <w:numId w:val="0"/>
        </w:numPr>
      </w:pPr>
      <w:r>
        <w:rPr>
          <w:rtl/>
        </w:rPr>
        <w:t>10</w:t>
      </w:r>
      <w:r>
        <w:rPr>
          <w:rFonts w:hint="cs"/>
          <w:rtl/>
        </w:rPr>
        <w:t>6</w:t>
      </w:r>
      <w:r>
        <w:rPr>
          <w:rtl/>
        </w:rPr>
        <w:t>.</w:t>
      </w:r>
      <w:r>
        <w:rPr>
          <w:rtl/>
        </w:rPr>
        <w:tab/>
        <w:t xml:space="preserve">אחר הדברים האלה, עיינתי בחווֹת הדעת של חברַי, השופט </w:t>
      </w:r>
      <w:r>
        <w:rPr>
          <w:rFonts w:ascii="Century" w:hAnsi="Century" w:cs="Miriam"/>
          <w:b/>
          <w:spacing w:val="0"/>
          <w:sz w:val="22"/>
          <w:szCs w:val="24"/>
          <w:rtl/>
        </w:rPr>
        <w:t>י' עמית</w:t>
      </w:r>
      <w:r>
        <w:rPr>
          <w:rtl/>
        </w:rPr>
        <w:t xml:space="preserve">, והשופטת </w:t>
      </w:r>
      <w:r>
        <w:rPr>
          <w:rFonts w:ascii="Century" w:hAnsi="Century" w:cs="Miriam"/>
          <w:b/>
          <w:spacing w:val="0"/>
          <w:sz w:val="22"/>
          <w:szCs w:val="24"/>
          <w:rtl/>
        </w:rPr>
        <w:t>ד' ברק-ארז</w:t>
      </w:r>
      <w:r>
        <w:rPr>
          <w:rtl/>
        </w:rPr>
        <w:t xml:space="preserve">. בדומה לדעתי, ולדעת חברי המשנה לנשיאה (בדימ') </w:t>
      </w:r>
      <w:r>
        <w:rPr>
          <w:rFonts w:ascii="Century" w:hAnsi="Century" w:cs="Miriam"/>
          <w:b/>
          <w:spacing w:val="0"/>
          <w:sz w:val="22"/>
          <w:szCs w:val="24"/>
          <w:rtl/>
        </w:rPr>
        <w:t>נ' הנדל</w:t>
      </w:r>
      <w:r>
        <w:rPr>
          <w:rtl/>
        </w:rPr>
        <w:t xml:space="preserve">, </w:t>
      </w:r>
      <w:r>
        <w:rPr>
          <w:rFonts w:hint="cs"/>
          <w:rtl/>
        </w:rPr>
        <w:t xml:space="preserve">סבורים חברַי, </w:t>
      </w:r>
      <w:r>
        <w:rPr>
          <w:rtl/>
        </w:rPr>
        <w:t>כי יש להחיל את סעיף 5 על המקרקעין מושא ענייננו, אף שלמסקנתם זו הם מגיעים בדרך שונה; זה בדרכו וזו בדרכה. עד כאן מסקנתנו אחת.</w:t>
      </w:r>
    </w:p>
    <w:p w:rsidR="00295623" w:rsidRDefault="00295623" w:rsidP="00295623">
      <w:pPr>
        <w:pStyle w:val="Ruller4"/>
        <w:numPr>
          <w:ilvl w:val="0"/>
          <w:numId w:val="0"/>
        </w:numPr>
        <w:spacing w:line="240" w:lineRule="auto"/>
      </w:pPr>
      <w:r>
        <w:rPr>
          <w:rtl/>
        </w:rPr>
        <w:t xml:space="preserve"> </w:t>
      </w:r>
    </w:p>
    <w:p w:rsidR="00295623" w:rsidRDefault="00295623" w:rsidP="00295623">
      <w:pPr>
        <w:pStyle w:val="Ruller41"/>
        <w:rPr>
          <w:rtl/>
        </w:rPr>
      </w:pPr>
      <w:r>
        <w:rPr>
          <w:rtl/>
        </w:rPr>
        <w:t>10</w:t>
      </w:r>
      <w:r>
        <w:rPr>
          <w:rFonts w:hint="cs"/>
          <w:rtl/>
        </w:rPr>
        <w:t>7</w:t>
      </w:r>
      <w:r>
        <w:rPr>
          <w:rtl/>
        </w:rPr>
        <w:t>.</w:t>
      </w:r>
      <w:r>
        <w:rPr>
          <w:rtl/>
        </w:rPr>
        <w:tab/>
        <w:t>ברם, במישור הי</w:t>
      </w:r>
      <w:r>
        <w:rPr>
          <w:rFonts w:hint="cs"/>
          <w:rtl/>
        </w:rPr>
        <w:t>ִ</w:t>
      </w:r>
      <w:r>
        <w:rPr>
          <w:rtl/>
        </w:rPr>
        <w:t>ש</w:t>
      </w:r>
      <w:r>
        <w:rPr>
          <w:rFonts w:hint="cs"/>
          <w:rtl/>
        </w:rPr>
        <w:t>ׂ</w:t>
      </w:r>
      <w:r>
        <w:rPr>
          <w:rtl/>
        </w:rPr>
        <w:t>ו</w:t>
      </w:r>
      <w:r>
        <w:rPr>
          <w:rFonts w:hint="cs"/>
          <w:rtl/>
        </w:rPr>
        <w:t>ּ</w:t>
      </w:r>
      <w:r>
        <w:rPr>
          <w:rtl/>
        </w:rPr>
        <w:t>מי, קיימים בינינו חילוקי דעות מסוימים. כמפורט בהרחבה לעיל, לשיטתי יש להחיל את סעיף 5 על העסקה שנחתמה בין הממונה לבין ההסתדרות הציונית. בהתאם, תקנת השוק חלה על כלל השטח שהצדדים להסכם ההרשאה האמינו, באמונה שלמה, כי נתפס (בפועל) בתפיסה צבאית, ומשכך, אין מקום להגביל עתה את פעולות המחזיקים בתחומי שטח זה כולו; לא בחלקות שלגביהן נטען על-ידי המשיבים, מבלי שהוּכח, כי נתונות להם בהן זכויות קנייניות (חלקות 13 ו-23), ולא ביתר החלקות (12, 14 ו-15), שלגביהן כלל לא ניצב לפנינו בעל</w:t>
      </w:r>
      <w:r>
        <w:rPr>
          <w:rFonts w:hint="cs"/>
          <w:rtl/>
        </w:rPr>
        <w:t>-</w:t>
      </w:r>
      <w:r>
        <w:rPr>
          <w:rtl/>
        </w:rPr>
        <w:t xml:space="preserve">דין הטוען לזכויות בהן. תוצאה זו היא פועל יוצא של חוות דעתי, ואליה שותף גם חברי המשנה לנשיאה (בדימ') </w:t>
      </w:r>
      <w:r>
        <w:rPr>
          <w:rFonts w:ascii="Century" w:hAnsi="Century" w:cs="Miriam"/>
          <w:b/>
          <w:spacing w:val="0"/>
          <w:szCs w:val="24"/>
          <w:rtl/>
        </w:rPr>
        <w:t>נ' הנדל</w:t>
      </w:r>
      <w:r>
        <w:rPr>
          <w:rtl/>
        </w:rPr>
        <w:t>.</w:t>
      </w:r>
    </w:p>
    <w:p w:rsidR="00295623" w:rsidRDefault="00295623" w:rsidP="00295623">
      <w:pPr>
        <w:pStyle w:val="Ruller41"/>
        <w:spacing w:line="240" w:lineRule="auto"/>
        <w:rPr>
          <w:rtl/>
        </w:rPr>
      </w:pPr>
    </w:p>
    <w:p w:rsidR="00295623" w:rsidRDefault="00295623" w:rsidP="00295623">
      <w:pPr>
        <w:pStyle w:val="Ruller4"/>
        <w:numPr>
          <w:ilvl w:val="0"/>
          <w:numId w:val="0"/>
        </w:numPr>
        <w:rPr>
          <w:rtl/>
        </w:rPr>
      </w:pPr>
      <w:r>
        <w:rPr>
          <w:rFonts w:hint="cs"/>
          <w:rtl/>
        </w:rPr>
        <w:t>108.</w:t>
      </w:r>
      <w:r>
        <w:rPr>
          <w:rtl/>
        </w:rPr>
        <w:tab/>
        <w:t xml:space="preserve">לעומת זאת, חברַי השופטים </w:t>
      </w:r>
      <w:r>
        <w:rPr>
          <w:rFonts w:ascii="Century" w:hAnsi="Century" w:cs="Miriam"/>
          <w:b/>
          <w:spacing w:val="0"/>
          <w:sz w:val="22"/>
          <w:szCs w:val="24"/>
          <w:rtl/>
        </w:rPr>
        <w:t>עמית</w:t>
      </w:r>
      <w:r>
        <w:rPr>
          <w:rtl/>
        </w:rPr>
        <w:t xml:space="preserve"> ו-</w:t>
      </w:r>
      <w:r>
        <w:rPr>
          <w:rFonts w:ascii="Century" w:hAnsi="Century" w:cs="Miriam"/>
          <w:b/>
          <w:spacing w:val="0"/>
          <w:sz w:val="22"/>
          <w:szCs w:val="24"/>
          <w:rtl/>
        </w:rPr>
        <w:t>ברק-ארז</w:t>
      </w:r>
      <w:r>
        <w:rPr>
          <w:rtl/>
        </w:rPr>
        <w:t xml:space="preserve"> מסייגים את האופן שבו יוחל סעיף 5 בענייננו, כך ש</w:t>
      </w:r>
      <w:r>
        <w:rPr>
          <w:rFonts w:ascii="Century" w:hAnsi="Century" w:cs="Miriam"/>
          <w:b/>
          <w:spacing w:val="0"/>
          <w:sz w:val="22"/>
          <w:szCs w:val="24"/>
          <w:rtl/>
        </w:rPr>
        <w:t>"התנאים יחולו, לכל היותר ביחס לחלקות הקונקרטיות בבעלות פרטית שצוינו בכתב התביעה כפי שהוגש בבית המשפט המחוזי, שנמצאות בשימוש ולגביהן התבקש סעד"</w:t>
      </w:r>
      <w:r>
        <w:rPr>
          <w:rtl/>
        </w:rPr>
        <w:t xml:space="preserve">. לעניין זה הבהירו חברַי, כי </w:t>
      </w:r>
      <w:r>
        <w:rPr>
          <w:rFonts w:ascii="Century" w:hAnsi="Century" w:cs="Miriam"/>
          <w:b/>
          <w:spacing w:val="0"/>
          <w:sz w:val="22"/>
          <w:szCs w:val="24"/>
          <w:rtl/>
        </w:rPr>
        <w:t xml:space="preserve">"עיקר השטח הבנוי בפועל ביישוב מצוי על גבי חלקות 12, 13 ו-23, שבהן קיימת בנייה צפופה של מבנים ותשתיות. על כן, בהיבט היישומי ההסדר בסעיף 5 לצו יחול על שטח חלקות אלו בשלמותו. שונים פני הדברים ביחס לחלקות 14 ו-15 (ששטחן הכולל הוא כ-38 דונם) ואשר חלקים נרחבים מהן (ולמעשה רובן המכריע) הם פנויים, ללא בינוי בפועל. לפיכך, לשיטתי, הסדר תקנת השוק יחול אך על חלק מצומצם מתוך שטחן הכולל של חלקות אלה </w:t>
      </w:r>
      <w:r>
        <w:rPr>
          <w:rFonts w:ascii="Century" w:hAnsi="Century"/>
          <w:sz w:val="22"/>
          <w:rtl/>
        </w:rPr>
        <w:t>–</w:t>
      </w:r>
      <w:r>
        <w:rPr>
          <w:rFonts w:ascii="Century" w:hAnsi="Century" w:cs="Miriam"/>
          <w:b/>
          <w:spacing w:val="0"/>
          <w:sz w:val="22"/>
          <w:szCs w:val="24"/>
          <w:rtl/>
        </w:rPr>
        <w:t xml:space="preserve"> הוא רק אותו שטח שבו עומדים כיום הבתים והחצרות על מכונם"</w:t>
      </w:r>
      <w:r>
        <w:rPr>
          <w:rtl/>
        </w:rPr>
        <w:t xml:space="preserve"> (פסקה 57 לחוות הדעת של חברתי השופטת </w:t>
      </w:r>
      <w:r>
        <w:rPr>
          <w:rFonts w:ascii="Century" w:hAnsi="Century" w:cs="Miriam"/>
          <w:b/>
          <w:spacing w:val="0"/>
          <w:sz w:val="22"/>
          <w:szCs w:val="24"/>
          <w:rtl/>
        </w:rPr>
        <w:t>ברק-ארז</w:t>
      </w:r>
      <w:r>
        <w:rPr>
          <w:rtl/>
        </w:rPr>
        <w:t xml:space="preserve">, שאליה הצטרף חברי השופט </w:t>
      </w:r>
      <w:r>
        <w:rPr>
          <w:rFonts w:ascii="Century" w:hAnsi="Century" w:cs="Miriam"/>
          <w:b/>
          <w:spacing w:val="0"/>
          <w:sz w:val="22"/>
          <w:szCs w:val="24"/>
          <w:rtl/>
        </w:rPr>
        <w:t>עמית</w:t>
      </w:r>
      <w:r>
        <w:rPr>
          <w:rtl/>
        </w:rPr>
        <w:t xml:space="preserve">, בפסקה </w:t>
      </w:r>
      <w:r>
        <w:rPr>
          <w:rFonts w:hint="cs"/>
          <w:rtl/>
        </w:rPr>
        <w:t>20 סיפא</w:t>
      </w:r>
      <w:r>
        <w:rPr>
          <w:rtl/>
        </w:rPr>
        <w:t xml:space="preserve"> לחוות דעתו). </w:t>
      </w:r>
    </w:p>
    <w:p w:rsidR="00295623" w:rsidRDefault="00295623" w:rsidP="00295623">
      <w:pPr>
        <w:pStyle w:val="Ruller41"/>
        <w:spacing w:line="240" w:lineRule="auto"/>
        <w:rPr>
          <w:rtl/>
        </w:rPr>
      </w:pPr>
    </w:p>
    <w:p w:rsidR="00295623" w:rsidRDefault="00295623" w:rsidP="00295623">
      <w:pPr>
        <w:pStyle w:val="Ruller41"/>
        <w:rPr>
          <w:rtl/>
        </w:rPr>
      </w:pPr>
      <w:r>
        <w:rPr>
          <w:rFonts w:hint="cs"/>
          <w:rtl/>
        </w:rPr>
        <w:t>109.</w:t>
      </w:r>
      <w:r>
        <w:rPr>
          <w:rtl/>
        </w:rPr>
        <w:tab/>
      </w:r>
      <w:r>
        <w:rPr>
          <w:rFonts w:hint="cs"/>
          <w:rtl/>
        </w:rPr>
        <w:t>במקביל לשתי הדעות הללו</w:t>
      </w:r>
      <w:r>
        <w:rPr>
          <w:rtl/>
        </w:rPr>
        <w:t xml:space="preserve">, קיימת גם דעה שלישית, </w:t>
      </w:r>
      <w:r>
        <w:rPr>
          <w:rFonts w:hint="cs"/>
          <w:rtl/>
        </w:rPr>
        <w:t>שבאה לידי ביטוי ב</w:t>
      </w:r>
      <w:r>
        <w:rPr>
          <w:rtl/>
        </w:rPr>
        <w:t>חווֹת הדעת של חברַי</w:t>
      </w:r>
      <w:r>
        <w:rPr>
          <w:rFonts w:hint="cs"/>
          <w:rtl/>
        </w:rPr>
        <w:t>,</w:t>
      </w:r>
      <w:r>
        <w:rPr>
          <w:rtl/>
        </w:rPr>
        <w:t xml:space="preserve"> הנשיאה </w:t>
      </w:r>
      <w:r>
        <w:rPr>
          <w:rFonts w:ascii="Century" w:hAnsi="Century" w:cs="Miriam"/>
          <w:b/>
          <w:spacing w:val="0"/>
          <w:szCs w:val="24"/>
          <w:rtl/>
        </w:rPr>
        <w:t>חיות</w:t>
      </w:r>
      <w:r>
        <w:rPr>
          <w:rtl/>
        </w:rPr>
        <w:t xml:space="preserve">, המשנה לנשיאה </w:t>
      </w:r>
      <w:r>
        <w:rPr>
          <w:rFonts w:ascii="Century" w:hAnsi="Century" w:cs="Miriam"/>
          <w:b/>
          <w:spacing w:val="0"/>
          <w:szCs w:val="24"/>
          <w:rtl/>
        </w:rPr>
        <w:t>פוגלמן</w:t>
      </w:r>
      <w:r>
        <w:rPr>
          <w:rtl/>
        </w:rPr>
        <w:t xml:space="preserve">, והשופטת </w:t>
      </w:r>
      <w:r>
        <w:rPr>
          <w:rFonts w:ascii="Century" w:hAnsi="Century" w:cs="Miriam"/>
          <w:b/>
          <w:spacing w:val="0"/>
          <w:szCs w:val="24"/>
          <w:rtl/>
        </w:rPr>
        <w:t>ברון</w:t>
      </w:r>
      <w:r>
        <w:rPr>
          <w:rtl/>
        </w:rPr>
        <w:t xml:space="preserve">. לפי </w:t>
      </w:r>
      <w:r>
        <w:rPr>
          <w:rFonts w:hint="cs"/>
          <w:rtl/>
        </w:rPr>
        <w:t>גיש</w:t>
      </w:r>
      <w:r>
        <w:rPr>
          <w:rtl/>
        </w:rPr>
        <w:t xml:space="preserve">תם, </w:t>
      </w:r>
      <w:r>
        <w:rPr>
          <w:rtl/>
        </w:rPr>
        <w:lastRenderedPageBreak/>
        <w:t>סעיף 5 כלל אינו חל בענייננו, כך שיש להותיר את תוצאת פסק הדין מושא הדיון הנוסף על כ</w:t>
      </w:r>
      <w:r>
        <w:rPr>
          <w:rFonts w:hint="cs"/>
          <w:rtl/>
        </w:rPr>
        <w:t>ּ</w:t>
      </w:r>
      <w:r>
        <w:rPr>
          <w:rtl/>
        </w:rPr>
        <w:t>נה. תוצאה זו, משמעה</w:t>
      </w:r>
      <w:r>
        <w:rPr>
          <w:rFonts w:hint="cs"/>
          <w:rtl/>
        </w:rPr>
        <w:t>ּ</w:t>
      </w:r>
      <w:r>
        <w:rPr>
          <w:rtl/>
        </w:rPr>
        <w:t xml:space="preserve"> פינוי הישוב כולו. </w:t>
      </w:r>
    </w:p>
    <w:p w:rsidR="00295623" w:rsidRDefault="00295623" w:rsidP="00295623">
      <w:pPr>
        <w:pStyle w:val="Ruller41"/>
        <w:spacing w:line="240" w:lineRule="auto"/>
        <w:rPr>
          <w:rtl/>
        </w:rPr>
      </w:pPr>
    </w:p>
    <w:p w:rsidR="00295623" w:rsidRDefault="00295623" w:rsidP="00F27BCE">
      <w:pPr>
        <w:pStyle w:val="Ruller41"/>
        <w:rPr>
          <w:rtl/>
        </w:rPr>
      </w:pPr>
      <w:r>
        <w:rPr>
          <w:rFonts w:hint="cs"/>
          <w:rtl/>
        </w:rPr>
        <w:t>110.</w:t>
      </w:r>
      <w:r>
        <w:rPr>
          <w:rtl/>
        </w:rPr>
        <w:tab/>
      </w:r>
      <w:r>
        <w:rPr>
          <w:rFonts w:hint="cs"/>
          <w:rtl/>
        </w:rPr>
        <w:t>במצב דברים זה</w:t>
      </w:r>
      <w:r>
        <w:rPr>
          <w:rtl/>
        </w:rPr>
        <w:t xml:space="preserve">, משלא התגבש רוב לדעה </w:t>
      </w:r>
      <w:r>
        <w:rPr>
          <w:rFonts w:hint="cs"/>
          <w:rtl/>
        </w:rPr>
        <w:t xml:space="preserve">אחת </w:t>
      </w:r>
      <w:r>
        <w:rPr>
          <w:rtl/>
        </w:rPr>
        <w:t>באשר לגורלו של מצפה כרמים</w:t>
      </w:r>
      <w:r w:rsidR="00F27BCE">
        <w:rPr>
          <w:rFonts w:hint="cs"/>
          <w:rtl/>
        </w:rPr>
        <w:t>;</w:t>
      </w:r>
      <w:r>
        <w:rPr>
          <w:rtl/>
        </w:rPr>
        <w:t xml:space="preserve"> </w:t>
      </w:r>
      <w:r>
        <w:rPr>
          <w:rFonts w:hint="cs"/>
          <w:rtl/>
        </w:rPr>
        <w:t>משנחלקנו, 7 שופטי המותב, ל-3 דעות שונות</w:t>
      </w:r>
      <w:r w:rsidR="00F27BCE">
        <w:rPr>
          <w:rFonts w:hint="cs"/>
          <w:rtl/>
        </w:rPr>
        <w:t>;</w:t>
      </w:r>
      <w:r>
        <w:rPr>
          <w:rFonts w:hint="cs"/>
          <w:rtl/>
        </w:rPr>
        <w:t xml:space="preserve"> ו</w:t>
      </w:r>
      <w:r>
        <w:rPr>
          <w:rtl/>
        </w:rPr>
        <w:t xml:space="preserve">בנסיבות הקונקרטיות של 'התאונה המשפטית' שלפנינו, ראיתי לנכון לצרף </w:t>
      </w:r>
      <w:r>
        <w:rPr>
          <w:rFonts w:hint="cs"/>
          <w:rtl/>
        </w:rPr>
        <w:t xml:space="preserve">את </w:t>
      </w:r>
      <w:r>
        <w:rPr>
          <w:rtl/>
        </w:rPr>
        <w:t xml:space="preserve">דעתי לדעתם של חברַי השופטים </w:t>
      </w:r>
      <w:r>
        <w:rPr>
          <w:rFonts w:ascii="Century" w:hAnsi="Century" w:cs="Miriam"/>
          <w:b/>
          <w:spacing w:val="0"/>
          <w:szCs w:val="24"/>
          <w:rtl/>
        </w:rPr>
        <w:t>עמית</w:t>
      </w:r>
      <w:r>
        <w:rPr>
          <w:rtl/>
        </w:rPr>
        <w:t xml:space="preserve"> ו-</w:t>
      </w:r>
      <w:r>
        <w:rPr>
          <w:rFonts w:ascii="Century" w:hAnsi="Century" w:cs="Miriam"/>
          <w:b/>
          <w:spacing w:val="0"/>
          <w:szCs w:val="24"/>
          <w:rtl/>
        </w:rPr>
        <w:t>ברק-ארז</w:t>
      </w:r>
      <w:r>
        <w:rPr>
          <w:rFonts w:hint="cs"/>
          <w:rtl/>
        </w:rPr>
        <w:t>,</w:t>
      </w:r>
      <w:r>
        <w:rPr>
          <w:rtl/>
        </w:rPr>
        <w:t xml:space="preserve"> במישור הי</w:t>
      </w:r>
      <w:r>
        <w:rPr>
          <w:rFonts w:hint="cs"/>
          <w:rtl/>
        </w:rPr>
        <w:t>ִ</w:t>
      </w:r>
      <w:r>
        <w:rPr>
          <w:rtl/>
        </w:rPr>
        <w:t>ש</w:t>
      </w:r>
      <w:r>
        <w:rPr>
          <w:rFonts w:hint="cs"/>
          <w:rtl/>
        </w:rPr>
        <w:t>ׂ</w:t>
      </w:r>
      <w:r>
        <w:rPr>
          <w:rtl/>
        </w:rPr>
        <w:t>ו</w:t>
      </w:r>
      <w:r>
        <w:rPr>
          <w:rFonts w:hint="cs"/>
          <w:rtl/>
        </w:rPr>
        <w:t>ּ</w:t>
      </w:r>
      <w:r>
        <w:rPr>
          <w:rtl/>
        </w:rPr>
        <w:t>מי. מכורח הנסיבות, עדיפה בעינ</w:t>
      </w:r>
      <w:r>
        <w:rPr>
          <w:rFonts w:hint="cs"/>
          <w:rtl/>
        </w:rPr>
        <w:t>ַ</w:t>
      </w:r>
      <w:r>
        <w:rPr>
          <w:rtl/>
        </w:rPr>
        <w:t xml:space="preserve">י התוצאה שאליה הגיעו חברַי השופטים </w:t>
      </w:r>
      <w:r>
        <w:rPr>
          <w:rFonts w:ascii="Century" w:hAnsi="Century" w:cs="Miriam"/>
          <w:b/>
          <w:spacing w:val="0"/>
          <w:szCs w:val="24"/>
          <w:rtl/>
        </w:rPr>
        <w:t>עמית</w:t>
      </w:r>
      <w:r>
        <w:rPr>
          <w:rtl/>
        </w:rPr>
        <w:t xml:space="preserve"> ו-</w:t>
      </w:r>
      <w:r>
        <w:rPr>
          <w:rFonts w:ascii="Century" w:hAnsi="Century" w:cs="Miriam"/>
          <w:b/>
          <w:spacing w:val="0"/>
          <w:szCs w:val="24"/>
          <w:rtl/>
        </w:rPr>
        <w:t>ברק-ארז</w:t>
      </w:r>
      <w:r>
        <w:rPr>
          <w:rtl/>
        </w:rPr>
        <w:t xml:space="preserve"> בעניין זה, מן התוצאה שאליה הגיעו חברַי הנשיאה </w:t>
      </w:r>
      <w:r>
        <w:rPr>
          <w:rFonts w:ascii="Century" w:hAnsi="Century" w:cs="Miriam"/>
          <w:b/>
          <w:spacing w:val="0"/>
          <w:szCs w:val="24"/>
          <w:rtl/>
        </w:rPr>
        <w:t>חיות</w:t>
      </w:r>
      <w:r>
        <w:rPr>
          <w:rtl/>
        </w:rPr>
        <w:t xml:space="preserve">, המשנה לנשיאה </w:t>
      </w:r>
      <w:r>
        <w:rPr>
          <w:rFonts w:ascii="Century" w:hAnsi="Century" w:cs="Miriam"/>
          <w:b/>
          <w:spacing w:val="0"/>
          <w:szCs w:val="24"/>
          <w:rtl/>
        </w:rPr>
        <w:t>פוגלמן</w:t>
      </w:r>
      <w:r>
        <w:rPr>
          <w:rtl/>
        </w:rPr>
        <w:t xml:space="preserve">, והשופטת </w:t>
      </w:r>
      <w:r>
        <w:rPr>
          <w:rFonts w:ascii="Century" w:hAnsi="Century" w:cs="Miriam"/>
          <w:b/>
          <w:spacing w:val="0"/>
          <w:szCs w:val="24"/>
          <w:rtl/>
        </w:rPr>
        <w:t>ברון</w:t>
      </w:r>
      <w:r>
        <w:rPr>
          <w:rtl/>
        </w:rPr>
        <w:t xml:space="preserve">.  </w:t>
      </w:r>
    </w:p>
    <w:p w:rsidR="00295623" w:rsidRDefault="00295623" w:rsidP="00295623">
      <w:pPr>
        <w:pStyle w:val="Ruller41"/>
        <w:rPr>
          <w:rtl/>
        </w:rPr>
      </w:pPr>
    </w:p>
    <w:p w:rsidR="00295623" w:rsidRDefault="00295623" w:rsidP="00295623">
      <w:pPr>
        <w:pStyle w:val="Ruller41"/>
        <w:rPr>
          <w:rtl/>
        </w:rPr>
      </w:pPr>
    </w:p>
    <w:tbl>
      <w:tblPr>
        <w:bidiVisual/>
        <w:tblW w:w="8363" w:type="dxa"/>
        <w:tblLook w:val="01E0" w:firstRow="1" w:lastRow="1" w:firstColumn="1" w:lastColumn="1" w:noHBand="0" w:noVBand="0"/>
      </w:tblPr>
      <w:tblGrid>
        <w:gridCol w:w="2786"/>
        <w:gridCol w:w="2787"/>
        <w:gridCol w:w="2790"/>
      </w:tblGrid>
      <w:tr w:rsidR="00462244" w:rsidRPr="004C7127" w:rsidTr="00295623">
        <w:tc>
          <w:tcPr>
            <w:tcW w:w="2786" w:type="dxa"/>
            <w:shd w:val="clear" w:color="auto" w:fill="auto"/>
          </w:tcPr>
          <w:p w:rsidR="00462244" w:rsidRPr="004C7127" w:rsidRDefault="00462244" w:rsidP="00BA1299">
            <w:pPr>
              <w:pStyle w:val="Ruller41"/>
              <w:rPr>
                <w:rtl/>
              </w:rPr>
            </w:pPr>
          </w:p>
        </w:tc>
        <w:tc>
          <w:tcPr>
            <w:tcW w:w="2787" w:type="dxa"/>
            <w:shd w:val="clear" w:color="auto" w:fill="auto"/>
          </w:tcPr>
          <w:p w:rsidR="00462244" w:rsidRPr="004C7127" w:rsidRDefault="00462244" w:rsidP="00BA1299">
            <w:pPr>
              <w:pStyle w:val="Ruller41"/>
              <w:jc w:val="center"/>
              <w:rPr>
                <w:rtl/>
              </w:rPr>
            </w:pPr>
          </w:p>
        </w:tc>
        <w:tc>
          <w:tcPr>
            <w:tcW w:w="2790" w:type="dxa"/>
            <w:shd w:val="clear" w:color="auto" w:fill="auto"/>
          </w:tcPr>
          <w:p w:rsidR="00462244" w:rsidRPr="004C7127" w:rsidRDefault="00462244" w:rsidP="00BA1299">
            <w:pPr>
              <w:pStyle w:val="Ruller41"/>
              <w:jc w:val="right"/>
              <w:rPr>
                <w:rtl/>
              </w:rPr>
            </w:pPr>
            <w:r>
              <w:rPr>
                <w:rFonts w:hint="cs"/>
                <w:rtl/>
              </w:rPr>
              <w:t>ש ו פ ט</w:t>
            </w:r>
          </w:p>
        </w:tc>
      </w:tr>
    </w:tbl>
    <w:p w:rsidR="00462244" w:rsidRDefault="00462244" w:rsidP="004C7127">
      <w:pPr>
        <w:pStyle w:val="Ruller41"/>
        <w:rPr>
          <w:rFonts w:ascii="Century" w:hAnsi="Century"/>
          <w:rtl/>
        </w:rPr>
      </w:pPr>
    </w:p>
    <w:p w:rsidR="00462244" w:rsidRPr="00A56E77" w:rsidRDefault="00462244" w:rsidP="00A56E77">
      <w:pPr>
        <w:pStyle w:val="1"/>
        <w:spacing w:before="0"/>
        <w:rPr>
          <w:rFonts w:ascii="Century" w:hAnsi="Century" w:cs="Miriam"/>
          <w:b/>
          <w:color w:val="auto"/>
          <w:spacing w:val="0"/>
          <w:sz w:val="22"/>
          <w:szCs w:val="24"/>
          <w:u w:val="single"/>
          <w:rtl/>
        </w:rPr>
      </w:pPr>
      <w:r w:rsidRPr="00A56E77">
        <w:rPr>
          <w:rFonts w:ascii="Century" w:hAnsi="Century" w:cs="Miriam" w:hint="cs"/>
          <w:b/>
          <w:color w:val="auto"/>
          <w:spacing w:val="0"/>
          <w:sz w:val="22"/>
          <w:szCs w:val="24"/>
          <w:u w:val="single"/>
          <w:rtl/>
        </w:rPr>
        <w:t>המשנה לנשיאה (בדימ') נ' הנדל</w:t>
      </w:r>
      <w:r w:rsidRPr="00A56E77">
        <w:rPr>
          <w:rFonts w:ascii="Century" w:hAnsi="Century" w:cs="Miriam" w:hint="cs"/>
          <w:b/>
          <w:color w:val="auto"/>
          <w:spacing w:val="0"/>
          <w:sz w:val="22"/>
          <w:szCs w:val="24"/>
          <w:rtl/>
        </w:rPr>
        <w:t>:</w:t>
      </w:r>
    </w:p>
    <w:p w:rsidR="00373062" w:rsidRPr="001C4638" w:rsidRDefault="00373062" w:rsidP="00373062">
      <w:pPr>
        <w:pStyle w:val="Ruller41"/>
        <w:rPr>
          <w:rtl/>
        </w:rPr>
      </w:pPr>
    </w:p>
    <w:p w:rsidR="00373062" w:rsidRPr="001C4638" w:rsidRDefault="00373062" w:rsidP="00373062">
      <w:pPr>
        <w:pStyle w:val="3"/>
        <w:rPr>
          <w:color w:val="auto"/>
          <w:rtl/>
        </w:rPr>
      </w:pPr>
      <w:r w:rsidRPr="001C4638">
        <w:rPr>
          <w:rFonts w:hint="cs"/>
          <w:color w:val="auto"/>
          <w:rtl/>
        </w:rPr>
        <w:t xml:space="preserve">את עמדתי בהליך זה, לפיה דין הערעור להידחות ודין העתירה להימחק, פרשתי בהרחבה בפסק הדין מושא הדיון הנוסף. מעמדה זו לא שיניתי גם לאחר ששמעתי את טענות הצדדים, בדיון שהתקיים בהרכב מורחב, וקראתי את חוות דעתו של חברי המשנה לנשיאה </w:t>
      </w:r>
      <w:r w:rsidRPr="001C4638">
        <w:rPr>
          <w:rStyle w:val="23"/>
          <w:rFonts w:hint="cs"/>
          <w:color w:val="auto"/>
          <w:rtl/>
        </w:rPr>
        <w:t>ע' פוגלמן</w:t>
      </w:r>
      <w:r w:rsidRPr="001C4638">
        <w:rPr>
          <w:rFonts w:hint="cs"/>
          <w:color w:val="auto"/>
          <w:rtl/>
        </w:rPr>
        <w:t xml:space="preserve">. </w:t>
      </w:r>
    </w:p>
    <w:p w:rsidR="00373062" w:rsidRPr="001C4638" w:rsidRDefault="00373062" w:rsidP="00373062">
      <w:pPr>
        <w:pStyle w:val="afd"/>
        <w:rPr>
          <w:rtl/>
        </w:rPr>
      </w:pPr>
    </w:p>
    <w:p w:rsidR="00373062" w:rsidRPr="001C4638" w:rsidRDefault="00373062" w:rsidP="00373062">
      <w:pPr>
        <w:pStyle w:val="afd"/>
        <w:rPr>
          <w:rtl/>
        </w:rPr>
      </w:pPr>
      <w:r w:rsidRPr="001C4638">
        <w:rPr>
          <w:rFonts w:hint="cs"/>
          <w:rtl/>
        </w:rPr>
        <w:t>הסוגיה המרכזית שמתעוררת בהליך זה עניינה דרישת תום הלב הקבועה בסעיף 5 ל</w:t>
      </w:r>
      <w:r w:rsidRPr="001C4638">
        <w:rPr>
          <w:rFonts w:hint="eastAsia"/>
          <w:rtl/>
        </w:rPr>
        <w:t>צו</w:t>
      </w:r>
      <w:r w:rsidRPr="001C4638">
        <w:rPr>
          <w:rtl/>
        </w:rPr>
        <w:t xml:space="preserve"> </w:t>
      </w:r>
      <w:r w:rsidRPr="001C4638">
        <w:rPr>
          <w:rFonts w:hint="eastAsia"/>
          <w:rtl/>
        </w:rPr>
        <w:t>בדבר</w:t>
      </w:r>
      <w:r w:rsidRPr="001C4638">
        <w:rPr>
          <w:rtl/>
        </w:rPr>
        <w:t xml:space="preserve"> </w:t>
      </w:r>
      <w:r w:rsidRPr="001C4638">
        <w:rPr>
          <w:rFonts w:hint="eastAsia"/>
          <w:rtl/>
        </w:rPr>
        <w:t>רכוש</w:t>
      </w:r>
      <w:r w:rsidRPr="001C4638">
        <w:rPr>
          <w:rtl/>
        </w:rPr>
        <w:t xml:space="preserve"> </w:t>
      </w:r>
      <w:r w:rsidRPr="001C4638">
        <w:rPr>
          <w:rFonts w:hint="eastAsia"/>
          <w:rtl/>
        </w:rPr>
        <w:t>ממשלתי</w:t>
      </w:r>
      <w:r w:rsidRPr="001C4638">
        <w:rPr>
          <w:rtl/>
        </w:rPr>
        <w:t xml:space="preserve"> (</w:t>
      </w:r>
      <w:r w:rsidRPr="001C4638">
        <w:rPr>
          <w:rFonts w:hint="eastAsia"/>
          <w:rtl/>
        </w:rPr>
        <w:t>יהודה</w:t>
      </w:r>
      <w:r w:rsidRPr="001C4638">
        <w:rPr>
          <w:rtl/>
        </w:rPr>
        <w:t xml:space="preserve"> </w:t>
      </w:r>
      <w:r w:rsidRPr="001C4638">
        <w:rPr>
          <w:rFonts w:hint="eastAsia"/>
          <w:rtl/>
        </w:rPr>
        <w:t>והשומרון</w:t>
      </w:r>
      <w:r w:rsidRPr="001C4638">
        <w:rPr>
          <w:rtl/>
        </w:rPr>
        <w:t>) (</w:t>
      </w:r>
      <w:r w:rsidRPr="001C4638">
        <w:rPr>
          <w:rFonts w:hint="eastAsia"/>
          <w:rtl/>
        </w:rPr>
        <w:t>מס</w:t>
      </w:r>
      <w:r w:rsidRPr="001C4638">
        <w:rPr>
          <w:rtl/>
        </w:rPr>
        <w:t>' 59)</w:t>
      </w:r>
      <w:r w:rsidRPr="001C4638">
        <w:rPr>
          <w:rFonts w:hint="cs"/>
          <w:rtl/>
        </w:rPr>
        <w:t>, התשכ"ז-1967, שקובע מעין תקנת שוק ביהודה ושומרון. הסעיף קובע כי "כל עיסקה שנעשתה בתום לב בין הממונה ובין אדם אחר בכל נכס שהממונה חשבו בשעת העיסקה לרכוש ממשלתי, לא תיפסל ותעמוד בתקפה גם אם יוכח שהנכס לא היה אותה שעה רכוש ממשלתי". כפי שפורט בחוות דעתי בפסק הדין, סעיף זה שייך למשפחת דברי החקיקה שמסדירים את תוצאותיהן של "תאונות משפטיות", שבהן גורם מסוים רוכש בתום לב ותמורה זכויות ממי שלא אחז בהן. המפתח להכרעה כשמתרחשת תאונה מעין זו מצוי, כרגיל, בקיומו של תום לב, כפי שהסעיף הרלוונטי מעצבו באותו הקשר.</w:t>
      </w:r>
    </w:p>
    <w:p w:rsidR="00373062" w:rsidRPr="001C4638" w:rsidRDefault="00373062" w:rsidP="00373062">
      <w:pPr>
        <w:pStyle w:val="afd"/>
        <w:rPr>
          <w:rtl/>
        </w:rPr>
      </w:pPr>
    </w:p>
    <w:p w:rsidR="00373062" w:rsidRPr="001C4638" w:rsidRDefault="00373062" w:rsidP="00373062">
      <w:pPr>
        <w:pStyle w:val="afd"/>
        <w:rPr>
          <w:rtl/>
        </w:rPr>
      </w:pPr>
      <w:r w:rsidRPr="001C4638">
        <w:rPr>
          <w:rFonts w:hint="cs"/>
          <w:rtl/>
        </w:rPr>
        <w:t xml:space="preserve">האם בעת שנחתם הסכם ההרשאה בין הממונה על הרכוש הממשלתי להסתדרות הציונית, בשנת 1997, אמונתם של הצדדים כי המקרקעין נתפסו בידי המפקד הצבאי עמדה במבחן "תום הלב" לעניין סעיף 5? אם התשובה לכך חיובית, הרי שבאותה עת (ולמצער בשנת 1999, בעת שהוקם היישוב מצפה כרמים במיקומו הנוכחי תוך הסתמכות </w:t>
      </w:r>
      <w:r w:rsidRPr="001C4638">
        <w:rPr>
          <w:rFonts w:hint="cs"/>
          <w:rtl/>
        </w:rPr>
        <w:lastRenderedPageBreak/>
        <w:t xml:space="preserve">על הסכם ההרשאה) רכשו הסוכנות היהודית ומי שהתקשר עמה זכויות טובות במקרקעין. אם, לעומת זאת, אחד מן הצדדים להסכם ההרשאה לא סבר בתום לב כי הממונה הוא בעל הזכויות במקרקעין שהועברו לסוכנות היהודית </w:t>
      </w:r>
      <w:r w:rsidRPr="001C4638">
        <w:rPr>
          <w:rtl/>
        </w:rPr>
        <w:t>–</w:t>
      </w:r>
      <w:r w:rsidRPr="001C4638">
        <w:rPr>
          <w:rFonts w:hint="cs"/>
          <w:rtl/>
        </w:rPr>
        <w:t xml:space="preserve"> אין בכוחו של הסכם ההרשאה לפגוע בזכות הקניין של בעלי המקרקעין. </w:t>
      </w:r>
    </w:p>
    <w:p w:rsidR="00373062" w:rsidRPr="001C4638" w:rsidRDefault="00373062" w:rsidP="00373062">
      <w:pPr>
        <w:pStyle w:val="afd"/>
        <w:rPr>
          <w:rtl/>
        </w:rPr>
      </w:pPr>
    </w:p>
    <w:p w:rsidR="00373062" w:rsidRPr="001C4638" w:rsidRDefault="00373062" w:rsidP="00373062">
      <w:pPr>
        <w:pStyle w:val="3"/>
        <w:rPr>
          <w:color w:val="auto"/>
          <w:rtl/>
        </w:rPr>
      </w:pPr>
      <w:r w:rsidRPr="001C4638">
        <w:rPr>
          <w:rFonts w:hint="cs"/>
          <w:color w:val="auto"/>
          <w:rtl/>
        </w:rPr>
        <w:t xml:space="preserve">להלן אביא את עיקרי חוות דעתי בפסק הדין, ולאחר מכן אתייחס למספר נקודות בעקבות דבריו של חברי, המשנה לנשיאה. אך קודם לכן, כבר בפתח הדברים, אחדד את נקודת המחלוקת המרכזית ביני ובין חברי. להבנתי, עמדתו של חברי מבטאת גישה שלפיה במסגרת סעיף 5 יש לבחון האם הממונה מילא את חובותיו על פי המשפט המינהלי והבינלאומי. בכובעו כגורם מינהלי שאחראי גם על תושבים מוגנים, יש להטיל עליו סטנדרט גבוה ולקבוע אמת מידה מחמירה לבחינת התנהלותו. אם לא עמד הממונה בדרישות אלה, לא תיכון הגנת סעיף 5 על העסקה. בשונה מכך, לשיטתי סעיף 5 אינו מתמקד רק בממונה ובחובתו המינהלית, אלא גם בצד השני לעסקה. חובת תום הלב שמוטלת על הממונה במסגרת הסעיף אינה סטנדרט "מינהלי" שחל עליו, אלא סטנדרט "אזרחי" שמתחשב בעסקה ונסיבותיה. הסעיף יוצר פער בין החובה שמוטלת על הממונה ככזה, ובין הערכת התנהלותו לעניין מתן תוקף לעסקה מכוח תקנת השוק. לא בכדי נקבע בפסיקה קודמת, כפי שהזכירו כל חבריי, כי הסטנדרט שמטיל סעיף 5 אינו סטנדרט של העדר רשלנות. האם פירוש הדבר כי לממונה מותר להתרשל? ברי כי התשובה לכך שלילית. משמעות הפסיקה היא כי יש להבחין בין הסטנדרט שחל על הממונה כגורם מינהלי </w:t>
      </w:r>
      <w:r w:rsidRPr="001C4638">
        <w:rPr>
          <w:color w:val="auto"/>
          <w:rtl/>
        </w:rPr>
        <w:t>–</w:t>
      </w:r>
      <w:r w:rsidRPr="001C4638">
        <w:rPr>
          <w:rFonts w:hint="cs"/>
          <w:color w:val="auto"/>
          <w:rtl/>
        </w:rPr>
        <w:t xml:space="preserve"> שכולל, למשל, גם חובה שלא להתרשל </w:t>
      </w:r>
      <w:r w:rsidRPr="001C4638">
        <w:rPr>
          <w:color w:val="auto"/>
          <w:rtl/>
        </w:rPr>
        <w:t>–</w:t>
      </w:r>
      <w:r w:rsidRPr="001C4638">
        <w:rPr>
          <w:rFonts w:hint="cs"/>
          <w:color w:val="auto"/>
          <w:rtl/>
        </w:rPr>
        <w:t xml:space="preserve"> והסטנדרט שחל על אופן בחינת התנהלותו במסגרת עסקה שבה יש צדדים נוספים, דהיינו השאלה האם פעל "בתום לב". במסגרת סעיף 5 המיקוד אינו רק בממונה, אלא גם בצדדים נוספים ובהגנה עליהם. מן הפסיקה הענפה עולה בבירור כי תהא חובת "תום הלב" אשר תהא </w:t>
      </w:r>
      <w:r w:rsidRPr="001C4638">
        <w:rPr>
          <w:color w:val="auto"/>
          <w:rtl/>
        </w:rPr>
        <w:t>–</w:t>
      </w:r>
      <w:r w:rsidRPr="001C4638">
        <w:rPr>
          <w:rFonts w:hint="cs"/>
          <w:color w:val="auto"/>
          <w:rtl/>
        </w:rPr>
        <w:t xml:space="preserve"> אין היא זהה לחובה המוטלת על הממונה ככזה. התוצאה היא שהמבחן אינו האם הממונה פעל כמצופה ממנו, אלא האם פעולתו הייתה כזו שניתן להסתמך עליה במסגרת עסקה קניינית. אין לבחון רק את השאלה האם הממונה קיים את כל חובותיו, אלא יש לתת משקל במסגרת המבחן גם להסתמכותם של צדדים נוספים על העסקה. </w:t>
      </w:r>
    </w:p>
    <w:p w:rsidR="00373062" w:rsidRPr="001C4638" w:rsidRDefault="00373062" w:rsidP="00373062">
      <w:pPr>
        <w:pStyle w:val="afd"/>
        <w:rPr>
          <w:rtl/>
        </w:rPr>
      </w:pPr>
    </w:p>
    <w:p w:rsidR="00373062" w:rsidRPr="001C4638" w:rsidRDefault="00373062" w:rsidP="00373062">
      <w:pPr>
        <w:pStyle w:val="afd"/>
        <w:rPr>
          <w:rtl/>
        </w:rPr>
      </w:pPr>
      <w:r w:rsidRPr="001C4638">
        <w:rPr>
          <w:rFonts w:hint="cs"/>
          <w:rtl/>
        </w:rPr>
        <w:t xml:space="preserve">אוסיף כי נכון אני להסכים עם חברי שבכובעו של הממונה כגורם מינהלי, ובמשקפי המשפט המינהלי והבינלאומי, אפשר ונכון להטיל עליו סטנדרט בירור מחמיר, בפרט כאשר עסקינן בזכויות קניין של תושבים מוגנים ביהודה ושומרון. אפשר לדרוש ממנו שלא להתרשל, ואף יותר מכך. ככל שעסקינן באופן ביצוע תפקידו של הממונה, אין מניעה לנקוט גישה קפדנית ולהציב רף גבוה. כך, למשל, מסכים אני עם ביקורתו של חברי ביחס להעדרה של עבודת מטה מסודרת (לפחות לפי החומר שלפנינו) לשם בחירת </w:t>
      </w:r>
      <w:r w:rsidRPr="001C4638">
        <w:rPr>
          <w:rFonts w:hint="cs"/>
          <w:rtl/>
        </w:rPr>
        <w:lastRenderedPageBreak/>
        <w:t xml:space="preserve">המיקום הנוכחי של היישוב מצפה כרמים. כך בגדרי המשפט המינהלי וחובתו של הממונה. אך ברגע שהממונה מבצע עסקה ונוצרת הסתמכות של גורמים אחרים </w:t>
      </w:r>
      <w:r w:rsidRPr="001C4638">
        <w:rPr>
          <w:rtl/>
        </w:rPr>
        <w:t>–</w:t>
      </w:r>
      <w:r w:rsidRPr="001C4638">
        <w:rPr>
          <w:rFonts w:hint="cs"/>
          <w:rtl/>
        </w:rPr>
        <w:t xml:space="preserve"> יוצאים אנו מתחומי המשפט המינהלי ונכנסים אל תחומי המשפט האזרחי החל על עסקאות בין מספר גורמים. מנקודת מבטם של הצדדים האחרים, המבחן המשפטי אינו השאלה האם הממונה עמד בסטנדרט המינהלי המצופה ממנו, אלא אם "הממונה חשב [</w:t>
      </w:r>
      <w:r w:rsidRPr="001C4638">
        <w:rPr>
          <w:rFonts w:hint="cs"/>
          <w:sz w:val="20"/>
          <w:szCs w:val="24"/>
          <w:rtl/>
        </w:rPr>
        <w:t>את הנכס</w:t>
      </w:r>
      <w:r w:rsidRPr="001C4638">
        <w:rPr>
          <w:rFonts w:hint="cs"/>
          <w:rtl/>
        </w:rPr>
        <w:t xml:space="preserve">] בשעת העיסקה לרכוש ממשלתי", כלשון סעיף 5. זוהי דרישה הנטועה בדין האזרחי, שתכליתה אזרחית </w:t>
      </w:r>
      <w:r w:rsidRPr="001C4638">
        <w:rPr>
          <w:rtl/>
        </w:rPr>
        <w:t>–</w:t>
      </w:r>
      <w:r w:rsidRPr="001C4638">
        <w:rPr>
          <w:rFonts w:hint="cs"/>
          <w:rtl/>
        </w:rPr>
        <w:t xml:space="preserve"> הגנה על מבצעי עסקאות תוך איזון ביניהם ובין בעל הקניין. אם נאמר למתקשר "זכויותיך מוגנות, ובלבד שהממונה עמד בסטנדרט המינהלי המחמיר המצופה ממנו", עלולים אנו לפגוע קשות בתכלית האזרחית של תקנת השוק, שהרי אין זה נדיר כי נופל פגם בפעולתו של גורם מינהלי. זאת בשונה מעסקה שתלויה בכך שהגורם המינהלי סבור בזמן אמת </w:t>
      </w:r>
      <w:r w:rsidRPr="001C4638">
        <w:rPr>
          <w:rtl/>
        </w:rPr>
        <w:t>–</w:t>
      </w:r>
      <w:r w:rsidRPr="001C4638">
        <w:rPr>
          <w:rFonts w:hint="cs"/>
          <w:rtl/>
        </w:rPr>
        <w:t xml:space="preserve"> ולו מחמת שגגה או הפרה של כלל במשפט המינהלי </w:t>
      </w:r>
      <w:r w:rsidRPr="001C4638">
        <w:rPr>
          <w:rtl/>
        </w:rPr>
        <w:t>–</w:t>
      </w:r>
      <w:r w:rsidRPr="001C4638">
        <w:rPr>
          <w:rFonts w:hint="cs"/>
          <w:rtl/>
        </w:rPr>
        <w:t xml:space="preserve"> כי עמדתו נכונה. אכן, המתקשר עדיין חשוף לסיכון שהממונה אינו סבור </w:t>
      </w:r>
      <w:r w:rsidRPr="001C4638">
        <w:rPr>
          <w:rtl/>
        </w:rPr>
        <w:t>–</w:t>
      </w:r>
      <w:r w:rsidRPr="001C4638">
        <w:rPr>
          <w:rFonts w:hint="cs"/>
          <w:rtl/>
        </w:rPr>
        <w:t xml:space="preserve"> חרף המצג שיצר </w:t>
      </w:r>
      <w:r w:rsidRPr="001C4638">
        <w:rPr>
          <w:rtl/>
        </w:rPr>
        <w:t>–</w:t>
      </w:r>
      <w:r w:rsidRPr="001C4638">
        <w:rPr>
          <w:rFonts w:hint="cs"/>
          <w:rtl/>
        </w:rPr>
        <w:t xml:space="preserve"> כי מדובר ברכוש ממשלתי, או שהוא חושד בכך ואינו מנסה לברר את הדברים; אך זהו סיכון קטן בהרבה מהסיכון שנפל פגם בהתנהלות הממונה לפי הדינים החלים עליו. סיכון קטן כזה יכול להיחשב כסביר מבחינת התכלית האזרחית של תקנת השוק, ולכן אין הוא חותר תחתיה. לפיכך הניתוח התכליתי של הסעיף מוביל לקביעה שזהו הנטל הרלוונטי. לא בכדי תלויה העסקה ב"תום לב" של הממונה, ולא ב"העדר רשלנות" או בביצוען של בדיקות מקיפות ונשנות. מטרת סעיף 5 אינה רק להכווין את התנהגותו של הממונה, אלא גם להגן על מי שהתקשר עמו. </w:t>
      </w:r>
    </w:p>
    <w:p w:rsidR="00373062" w:rsidRPr="001C4638" w:rsidRDefault="00373062" w:rsidP="00373062">
      <w:pPr>
        <w:pStyle w:val="afd"/>
        <w:rPr>
          <w:rtl/>
        </w:rPr>
      </w:pPr>
    </w:p>
    <w:p w:rsidR="00373062" w:rsidRPr="001C4638" w:rsidRDefault="00373062" w:rsidP="00373062">
      <w:pPr>
        <w:pStyle w:val="afd"/>
        <w:rPr>
          <w:rtl/>
        </w:rPr>
      </w:pPr>
      <w:r w:rsidRPr="001C4638">
        <w:rPr>
          <w:rFonts w:hint="cs"/>
          <w:rtl/>
        </w:rPr>
        <w:t xml:space="preserve">לאחר הקדמה זו, אביא בקצרה את עיקרי דבריי בפסק הדין. </w:t>
      </w:r>
    </w:p>
    <w:p w:rsidR="00373062" w:rsidRPr="001C4638" w:rsidRDefault="00373062" w:rsidP="00373062">
      <w:pPr>
        <w:pStyle w:val="afd"/>
        <w:rPr>
          <w:rtl/>
        </w:rPr>
      </w:pPr>
    </w:p>
    <w:p w:rsidR="00373062" w:rsidRPr="001C4638" w:rsidRDefault="00373062" w:rsidP="00373062">
      <w:pPr>
        <w:pStyle w:val="3"/>
        <w:rPr>
          <w:color w:val="auto"/>
        </w:rPr>
      </w:pPr>
      <w:r w:rsidRPr="001C4638">
        <w:rPr>
          <w:rFonts w:hint="cs"/>
          <w:color w:val="auto"/>
          <w:rtl/>
        </w:rPr>
        <w:t xml:space="preserve">מענה לשאלת תום הלב דורש להגדיר תחילה את הסטנדרט המשפטי שמטיל סעיף 5, ולאחר מכן ליישם את הדברים על נסיבות העניין. אשר לסטנדרט המשפטי, קבעתי בחוות דעתי כי המפתח לעיצובו מצוי בתכלית הוראת הדין. בכל הנוגע לסעיף 5, על המבחן המשפטי לבטא באופן מאוזן וראוי את שתי התכליות המרכזיות של הסעיף: מצד אחד הגנה על הקניין של בעל המקרקעין, ומצד שני הגנה על מי שמבצע עסקאות עם הממונה, מסתמך עליהן, ולעיתים אף משקיע ממון רב ומשנה את מסלול חייו תוך הסתמכות על כשרות העסקה. הגנה כזו דרושה גם כדי לעודד עסקאות ולהעניק למתקשרים עם הממונה ודאות ואפשרות להסתמך על העסקה </w:t>
      </w:r>
      <w:r w:rsidRPr="001C4638">
        <w:rPr>
          <w:color w:val="auto"/>
          <w:rtl/>
        </w:rPr>
        <w:t>–</w:t>
      </w:r>
      <w:r w:rsidRPr="001C4638">
        <w:rPr>
          <w:rFonts w:hint="cs"/>
          <w:color w:val="auto"/>
          <w:rtl/>
        </w:rPr>
        <w:t xml:space="preserve"> תוצאה שהייתה נמנעת אם היה הדין בוחר להעדיף תמיד את בעל המקרקעין במסגרת תחרות הזכויות בין שני הצדדים תמי הלב. כפי שפורט בחוות דעתי, סטנדרט שמחמיר מדי עם הממונה </w:t>
      </w:r>
      <w:r w:rsidRPr="001C4638">
        <w:rPr>
          <w:color w:val="auto"/>
          <w:rtl/>
        </w:rPr>
        <w:t>–</w:t>
      </w:r>
      <w:r w:rsidRPr="001C4638">
        <w:rPr>
          <w:rFonts w:hint="cs"/>
          <w:color w:val="auto"/>
          <w:rtl/>
        </w:rPr>
        <w:t xml:space="preserve"> במסגרת דרישת "תום הלב" האזרחית </w:t>
      </w:r>
      <w:r w:rsidRPr="001C4638">
        <w:rPr>
          <w:color w:val="auto"/>
          <w:rtl/>
        </w:rPr>
        <w:t>–</w:t>
      </w:r>
      <w:r w:rsidRPr="001C4638">
        <w:rPr>
          <w:rFonts w:hint="cs"/>
          <w:color w:val="auto"/>
          <w:rtl/>
        </w:rPr>
        <w:t xml:space="preserve"> פוגע, לשיטתי, בתכליתו של סעיף 5. מי שמתקשר עמו חשוף לסיכון ממשי שיתברר בדיעבד כי מדובר ברכוש פרטי וכי תקנת </w:t>
      </w:r>
      <w:r w:rsidRPr="001C4638">
        <w:rPr>
          <w:rFonts w:hint="cs"/>
          <w:color w:val="auto"/>
          <w:rtl/>
        </w:rPr>
        <w:lastRenderedPageBreak/>
        <w:t xml:space="preserve">השוק אינה חלה </w:t>
      </w:r>
      <w:r w:rsidRPr="001C4638">
        <w:rPr>
          <w:color w:val="auto"/>
          <w:rtl/>
        </w:rPr>
        <w:t>–</w:t>
      </w:r>
      <w:r w:rsidRPr="001C4638">
        <w:rPr>
          <w:rFonts w:hint="cs"/>
          <w:color w:val="auto"/>
          <w:rtl/>
        </w:rPr>
        <w:t xml:space="preserve"> תוצאה שמשמעותה עלולה להיות, כבמקרנו, הריסת בית המגורים של מי שהתקשר בתום לב עם הממונה או הסתמך על התקשרות זו. קושי מרכזי הוא בכך שבשונה מתקנות שוק אחרות, שבהן תום הלב של הנהנה מתקנת השוק תלוי בהתנהגותו שלו, באופן שמאפשר לו מידת ודאות גבוהה יחסית </w:t>
      </w:r>
      <w:r w:rsidRPr="001C4638">
        <w:rPr>
          <w:color w:val="auto"/>
          <w:rtl/>
        </w:rPr>
        <w:t>–</w:t>
      </w:r>
      <w:r w:rsidRPr="001C4638">
        <w:rPr>
          <w:rFonts w:hint="cs"/>
          <w:color w:val="auto"/>
          <w:rtl/>
        </w:rPr>
        <w:t xml:space="preserve"> במסגרת סעיף 5 חשוף המתקשר לסיכון שאינו תלוי בהתנהגותו אלא בהתנהגותו של גורם אחר, הממונה. כפי שהסברתי בחוות דעתי, בנסיבות של עסקה עם הממונה יש לכך הצדקה, אולם מכיוון שעיצוב ההסדר באופן זה יוצר מתח עם התכלית של הגנה על מי שהתקשר עם הממונה </w:t>
      </w:r>
      <w:r w:rsidRPr="001C4638">
        <w:rPr>
          <w:color w:val="auto"/>
          <w:rtl/>
        </w:rPr>
        <w:t>–</w:t>
      </w:r>
      <w:r w:rsidRPr="001C4638">
        <w:rPr>
          <w:rFonts w:hint="cs"/>
          <w:color w:val="auto"/>
          <w:rtl/>
        </w:rPr>
        <w:t xml:space="preserve"> ראוי שלא להטיל על הממונה נטל שיאיין בפועל את פעולתו של סעיף 5. </w:t>
      </w:r>
    </w:p>
    <w:p w:rsidR="00373062" w:rsidRPr="001C4638" w:rsidRDefault="00373062" w:rsidP="00373062">
      <w:pPr>
        <w:pStyle w:val="afd"/>
        <w:rPr>
          <w:rtl/>
        </w:rPr>
      </w:pPr>
    </w:p>
    <w:p w:rsidR="00373062" w:rsidRPr="001C4638" w:rsidRDefault="00373062" w:rsidP="00373062">
      <w:pPr>
        <w:pStyle w:val="3"/>
        <w:numPr>
          <w:ilvl w:val="0"/>
          <w:numId w:val="0"/>
        </w:numPr>
        <w:tabs>
          <w:tab w:val="left" w:pos="720"/>
          <w:tab w:val="num" w:pos="1049"/>
        </w:tabs>
        <w:rPr>
          <w:color w:val="auto"/>
          <w:rtl/>
        </w:rPr>
      </w:pPr>
      <w:r w:rsidRPr="001C4638">
        <w:rPr>
          <w:color w:val="auto"/>
          <w:rtl/>
        </w:rPr>
        <w:tab/>
      </w:r>
      <w:r w:rsidRPr="001C4638">
        <w:rPr>
          <w:rFonts w:hint="cs"/>
          <w:color w:val="auto"/>
          <w:rtl/>
        </w:rPr>
        <w:t xml:space="preserve">אשר לנסיבות המקרה, הבהרתי בחוות דעתי כי מחומר הראיות עולה </w:t>
      </w:r>
      <w:r w:rsidRPr="001C4638">
        <w:rPr>
          <w:color w:val="auto"/>
          <w:rtl/>
        </w:rPr>
        <w:t>–</w:t>
      </w:r>
      <w:r w:rsidRPr="001C4638">
        <w:rPr>
          <w:rFonts w:hint="cs"/>
          <w:color w:val="auto"/>
          <w:rtl/>
        </w:rPr>
        <w:t xml:space="preserve"> במידה הנדרשת בהליך אזרחי, ועסקינן בערעור אזרחי </w:t>
      </w:r>
      <w:r w:rsidRPr="001C4638">
        <w:rPr>
          <w:color w:val="auto"/>
          <w:rtl/>
        </w:rPr>
        <w:t>–</w:t>
      </w:r>
      <w:r w:rsidRPr="001C4638">
        <w:rPr>
          <w:rFonts w:hint="cs"/>
          <w:color w:val="auto"/>
          <w:rtl/>
        </w:rPr>
        <w:t xml:space="preserve"> שכל הצדדים להסכם, הן הממונה והן ההסתדרות הציונית, סברו כי המקרקעין הרלוונטיים נתפסו בידי המפקד הצבאי. אלמלא כן, קשה להבין מדוע הוחלט, אם כבר "הזיזו" את מיקומו של היישוב לצורך האפשרות של הסדרה עתידית, להזיזו לנקודה שאינה מאפשרת הסדרה כזו. כל זאת, כאשר ברקע הוכח כי העמדה המשפטית שרווחה בשנת 1997, בעת החתימה על הסכם ההרשאה, הייתה שהנתון הקובע הוא התפיסה בפועל ולא המפה שצורפה בשנת 1980 לצו התפיסה. בנוסף לכך הוכח כי הצדדים גרסו כי אכן נתפס בפועל שטח שחורג ממפת צו הסגירה, וכי ישנה התאמה טובה בין שטח תכנית המתאר לשטח שנתפס בפועל (גם אם החפיפה לא הייתה מלאה </w:t>
      </w:r>
      <w:r w:rsidRPr="001C4638">
        <w:rPr>
          <w:color w:val="auto"/>
          <w:rtl/>
        </w:rPr>
        <w:t>–</w:t>
      </w:r>
      <w:r w:rsidRPr="001C4638">
        <w:rPr>
          <w:rFonts w:hint="cs"/>
          <w:color w:val="auto"/>
          <w:rtl/>
        </w:rPr>
        <w:t xml:space="preserve"> כפי שעולה מתכתובות ביחס למגרשים אחרים שנכללו בתכנית). אף הוצגו ראיות לכך שעמדה זו, שלפיה הייתה תפיסה בפועל שחרגה ממפת צו התפיסה, נתמכה בסימונים שונים בשטח שחרגו מגבולות מפת צו התפיסה. אין לכחד כי מבחינת החובה החלה על הממונה, בכובעו כגורם מינהלי, נראה שראוי היה לבצע בירורים נוספים וטובים יותר; ברם, וכפי שהובהר, בתיק זה אין עסקינן בחובתו של הממונה </w:t>
      </w:r>
      <w:r w:rsidRPr="001C4638">
        <w:rPr>
          <w:color w:val="auto"/>
          <w:rtl/>
        </w:rPr>
        <w:t>–</w:t>
      </w:r>
      <w:r w:rsidRPr="001C4638">
        <w:rPr>
          <w:rFonts w:hint="cs"/>
          <w:color w:val="auto"/>
          <w:rtl/>
        </w:rPr>
        <w:t xml:space="preserve"> שעליו ניתן להטיל, כאמור, סטנדרט התנהגות מחמיר </w:t>
      </w:r>
      <w:r w:rsidRPr="001C4638">
        <w:rPr>
          <w:color w:val="auto"/>
          <w:rtl/>
        </w:rPr>
        <w:t>–</w:t>
      </w:r>
      <w:r w:rsidRPr="001C4638">
        <w:rPr>
          <w:rFonts w:hint="cs"/>
          <w:color w:val="auto"/>
          <w:rtl/>
        </w:rPr>
        <w:t xml:space="preserve"> אלא בשאלת תום לבו לצורך סעיף 5. במובן זה הוכח כי הגורמים השונים הגיעו למסקנה שנראתה סבירה בזמן אמת, ולפיה בפועל נתפס שטח גדול משטח מפת צו התפיסה, וכי ככלל יש התאמה בין השטח שנתפס לשטח תכנית המתאר. הדגש הושם בשילוב בין שניים: המשקל הראייתי שנתנו גורמי המקצוע ונציגי הצדדים לכך שהשטח נכלל בתכנית שאושרה בידי גורמי התכנון; לצד העמדה העקבית לאורך שנות התשעים של הגורמים המשפטיים, לפיה יש לבחון את השטח שנתפס בפועל וסומן, שאינו חופף לשטח שצוין במפת צו התפיסה. </w:t>
      </w:r>
    </w:p>
    <w:p w:rsidR="00373062" w:rsidRPr="001C4638" w:rsidRDefault="00373062" w:rsidP="00373062">
      <w:pPr>
        <w:pStyle w:val="afd"/>
        <w:rPr>
          <w:rtl/>
        </w:rPr>
      </w:pPr>
    </w:p>
    <w:p w:rsidR="00373062" w:rsidRPr="001C4638" w:rsidRDefault="00373062" w:rsidP="00373062">
      <w:pPr>
        <w:pStyle w:val="afd"/>
        <w:rPr>
          <w:rtl/>
        </w:rPr>
      </w:pPr>
      <w:r w:rsidRPr="001C4638">
        <w:rPr>
          <w:rFonts w:hint="cs"/>
          <w:rtl/>
        </w:rPr>
        <w:t xml:space="preserve">למען שלמות התמונה, התייחסתי בחוות דעתי למספר נקודות נוספות. קבעתי כי מן החומר עולה שהמקרקעין שעליהם הוקם היישוב מצפה כרמים נכללו ב"הסכם ההרשאה" שנערך בשנת 1997 בין הממונה על הרכוש הממשלתי להסתדרות הציונית: זו </w:t>
      </w:r>
      <w:r w:rsidRPr="001C4638">
        <w:rPr>
          <w:rFonts w:hint="cs"/>
          <w:rtl/>
        </w:rPr>
        <w:lastRenderedPageBreak/>
        <w:t xml:space="preserve">הייתה כוונתם המשותפת של הצדדים, לנוכח העמדה שמקרקעין אלה נתפסו בפועל בידי המפקד הצבאי, וכוונתם לערוך עסקה בכל השטח התפוס שנכלל בתכנית המתאר של היישוב כוכב השחר. כל הצדדים להסכם העידו שזו הייתה כוונתם, והגורם השלישי ה"מתערב" </w:t>
      </w:r>
      <w:r w:rsidRPr="001C4638">
        <w:rPr>
          <w:rtl/>
        </w:rPr>
        <w:t>–</w:t>
      </w:r>
      <w:r w:rsidRPr="001C4638">
        <w:rPr>
          <w:rFonts w:hint="cs"/>
          <w:rtl/>
        </w:rPr>
        <w:t xml:space="preserve"> משיבים 3-1 </w:t>
      </w:r>
      <w:r w:rsidRPr="001C4638">
        <w:rPr>
          <w:rtl/>
        </w:rPr>
        <w:t>–</w:t>
      </w:r>
      <w:r w:rsidRPr="001C4638">
        <w:rPr>
          <w:rFonts w:hint="cs"/>
          <w:rtl/>
        </w:rPr>
        <w:t xml:space="preserve"> לא הניח תשתית לקבוע ששני הצדדים אינם מעידים על כוונתם האמיתית באותה עת. כן קבעתי כי סעיף 5 חל על המקרקעין מושא המחלוקת, וזאת מבלי שיש הכרח לקבוע מסמרות בשאלת פרשנות המונח "רכוש ממשלתי" בסעיף 1 לצו מספר 59. לבסוף, קבעתי כי לעניין סעיף 5 עסקינן ב"עסקה" ולא רק בהתחייבות לעשות עסקה, כי אין בסיס לטענה שיש לממונה זכות חוזית להשתחרר באופן חד צדדי מהסכם ההרשאה בנסיבות העניין, וכי אין צורך להכריע במקרה זה מה דינה של עסקה שנערכה ללא תמורה או הסתמכות מטעם מי שהתקשר עם הממונה. הואיל ושאלות אלה אינן מצויות במרכז הבקשה לדיון נוסף, אסתפק בדברים שנאמרו בהקשר זה בחוות דעתי בפסק הדין. </w:t>
      </w:r>
    </w:p>
    <w:p w:rsidR="00373062" w:rsidRPr="001C4638" w:rsidRDefault="00373062" w:rsidP="00373062">
      <w:pPr>
        <w:pStyle w:val="afd"/>
        <w:rPr>
          <w:rtl/>
        </w:rPr>
      </w:pPr>
    </w:p>
    <w:p w:rsidR="00373062" w:rsidRPr="001C4638" w:rsidRDefault="00373062" w:rsidP="00373062">
      <w:pPr>
        <w:pStyle w:val="afd"/>
        <w:rPr>
          <w:rtl/>
        </w:rPr>
      </w:pPr>
      <w:r w:rsidRPr="001C4638">
        <w:rPr>
          <w:rFonts w:hint="cs"/>
          <w:rtl/>
        </w:rPr>
        <w:t>לצד האמור, ולשם חידוד עמדתי, ברצוני להוסיף ולהתייחס לשני עניינים שעולים מחוות דעתו של חברי המשנה לנשיאה: ראשון,</w:t>
      </w:r>
      <w:r w:rsidRPr="001C4638">
        <w:rPr>
          <w:rFonts w:hint="cs"/>
        </w:rPr>
        <w:t xml:space="preserve"> </w:t>
      </w:r>
      <w:r w:rsidRPr="001C4638">
        <w:rPr>
          <w:rFonts w:hint="cs"/>
          <w:rtl/>
        </w:rPr>
        <w:t xml:space="preserve">הפן העיוני של חובת תום הלב שמוטלת על הממונה. שני, הפן היישומי של חובה זו בנסיבות העניין. </w:t>
      </w:r>
    </w:p>
    <w:p w:rsidR="00373062" w:rsidRPr="001C4638" w:rsidRDefault="00373062" w:rsidP="00373062">
      <w:pPr>
        <w:pStyle w:val="afd"/>
        <w:rPr>
          <w:rtl/>
        </w:rPr>
      </w:pPr>
    </w:p>
    <w:p w:rsidR="00373062" w:rsidRPr="001C4638" w:rsidRDefault="00373062" w:rsidP="00373062">
      <w:pPr>
        <w:pStyle w:val="3"/>
        <w:rPr>
          <w:color w:val="auto"/>
        </w:rPr>
      </w:pPr>
      <w:r w:rsidRPr="001C4638">
        <w:rPr>
          <w:rStyle w:val="23"/>
          <w:rFonts w:hint="cs"/>
          <w:color w:val="auto"/>
          <w:rtl/>
        </w:rPr>
        <w:t xml:space="preserve">תום לבו של הממונה </w:t>
      </w:r>
      <w:r w:rsidRPr="001C4638">
        <w:rPr>
          <w:rStyle w:val="23"/>
          <w:color w:val="auto"/>
          <w:rtl/>
        </w:rPr>
        <w:t>–</w:t>
      </w:r>
      <w:r w:rsidRPr="001C4638">
        <w:rPr>
          <w:rStyle w:val="23"/>
          <w:rFonts w:hint="cs"/>
          <w:color w:val="auto"/>
          <w:rtl/>
        </w:rPr>
        <w:t xml:space="preserve"> הפן העיוני</w:t>
      </w:r>
      <w:r w:rsidRPr="001C4638">
        <w:rPr>
          <w:rFonts w:hint="cs"/>
          <w:color w:val="auto"/>
          <w:rtl/>
        </w:rPr>
        <w:t xml:space="preserve">. חברי המשנה לנשיאה סבור כי המחלוקת בין גישתי לגישת הרוב בפסק הדין </w:t>
      </w:r>
      <w:r w:rsidRPr="001C4638">
        <w:rPr>
          <w:color w:val="auto"/>
          <w:rtl/>
        </w:rPr>
        <w:t>–</w:t>
      </w:r>
      <w:r w:rsidRPr="001C4638">
        <w:rPr>
          <w:rFonts w:hint="cs"/>
          <w:color w:val="auto"/>
          <w:rtl/>
        </w:rPr>
        <w:t xml:space="preserve"> שאותה אימץ חברי בחוות דעתו </w:t>
      </w:r>
      <w:r w:rsidRPr="001C4638">
        <w:rPr>
          <w:color w:val="auto"/>
          <w:rtl/>
        </w:rPr>
        <w:t>–</w:t>
      </w:r>
      <w:r w:rsidRPr="001C4638">
        <w:rPr>
          <w:rFonts w:hint="cs"/>
          <w:color w:val="auto"/>
          <w:rtl/>
        </w:rPr>
        <w:t xml:space="preserve"> נעוצה בעיקר באופן יישום חובת תום הלב המוטלת על הממונה על נסיבות העניין, ולא בפן העיוני שלה (פסקה 51 לחוות הדעת). דעתי שונה. אני סבור כי המחלוקת שנוצרה בין השופטים בהליך קמא ובהליך זה אינה נובעת רק מיישום שונה של אותה נורמה, אלא מהבדל השקפה עקרוני ביחס לחובת תום הלב של הממונה במסגרת סעיף 5 לצו.</w:t>
      </w:r>
    </w:p>
    <w:p w:rsidR="00373062" w:rsidRPr="001C4638" w:rsidRDefault="00373062" w:rsidP="00373062">
      <w:pPr>
        <w:pStyle w:val="3"/>
        <w:numPr>
          <w:ilvl w:val="0"/>
          <w:numId w:val="0"/>
        </w:numPr>
        <w:tabs>
          <w:tab w:val="left" w:pos="720"/>
        </w:tabs>
        <w:rPr>
          <w:color w:val="auto"/>
          <w:rtl/>
        </w:rPr>
      </w:pPr>
      <w:r w:rsidRPr="001C4638">
        <w:rPr>
          <w:color w:val="auto"/>
          <w:rtl/>
        </w:rPr>
        <w:t xml:space="preserve"> </w:t>
      </w:r>
    </w:p>
    <w:p w:rsidR="00373062" w:rsidRPr="001C4638" w:rsidRDefault="00373062" w:rsidP="00373062">
      <w:pPr>
        <w:pStyle w:val="afd"/>
        <w:rPr>
          <w:rtl/>
        </w:rPr>
      </w:pPr>
      <w:r w:rsidRPr="001C4638">
        <w:rPr>
          <w:rFonts w:hint="cs"/>
          <w:rtl/>
        </w:rPr>
        <w:t xml:space="preserve">קו המנחה את חברי בחוות דעתו הוא כי יש לפרש את סעיף 5 בצמצום, הן מכוח עקרון כללי לפיו יש לפרש תקנות שוק בצמצום, והן על רקע חובתו של המפקד הצבאי להגן על זכויות הקניין של התושבים המוגנים ביהודה ושומרון (פסקאות 37-34 לחוות דעתו של חברי). כפי שהובהר, לעמדתי הניתוח של הסוגיה צריך להיות תכליתי. הנטל המוטל על הממונה צריך לשרת את תכליתו של סעיף 5. הנטל אינו גבוה כשם שאינו נמוך, אין הוא מרחיב כשם שאין הוא מצמצם. הוא מוכוון מטרה. המטרה היא להגן על שני גורמים (בעל המקרקעין ומי שהתקשר עם הממונה), תוך התחשבות גם בפעולתו של גורם שלישי (הממונה). הסעיף יוצר איזון משולש, גם אם לא משולש שווה צלעות. כשם שסטנדרט שמקל מדי עם הממונה פוגע באופן בלתי ראוי בבעל המקרקעין, סטנדרט מחמיר מדי פוגע באופן בלתי ראוי במי שהתקשר עם הממונה בתום לב ובתמורה, או </w:t>
      </w:r>
      <w:r w:rsidRPr="001C4638">
        <w:rPr>
          <w:rFonts w:hint="cs"/>
          <w:rtl/>
        </w:rPr>
        <w:lastRenderedPageBreak/>
        <w:t xml:space="preserve">הסתמך על התקשרות כזו. כך גם נפגעת האפשרות להסתמך על עסקאות עם הממונה ולפתח את נכסי הרכוש הממשלתי. כאן, כאמור, נקודת המחלוקת העיקרית ביני ובין חברי. מעמדתו עולה כי יש לראות את דרישת תום הלב לפי סעיף 5 לצו כזהה לחובה שחלה על הממונה כגורם מינהלי, באופן שסטייה מחובה זו עולה גם לכדי חוסר תום לב לעניין הסעיף. לשיטתי, לעומת זאת, קו כזה אינו נותן משקל מספיק למי שמונח על הכף השנייה </w:t>
      </w:r>
      <w:r w:rsidRPr="001C4638">
        <w:rPr>
          <w:rtl/>
        </w:rPr>
        <w:t>–</w:t>
      </w:r>
      <w:r w:rsidRPr="001C4638">
        <w:rPr>
          <w:rFonts w:hint="cs"/>
          <w:rtl/>
        </w:rPr>
        <w:t xml:space="preserve"> מי שהתקשר בתום לב ובתמורה עם הממונה. במקום איזון בין שני צדדים, נוצר מבחן שמטה את הכף לצד אחד. זוהי תוצאה מתבקשת של בחינת סעיף 5 תחת קו מנחה של "צמצום". בשונה מכך, מההסדר שקבוע בסעיף 5 לא עולה "צמצום", אלא איזון. יש להעניק את המשקל הראוי לשתי כפות המאזניים. </w:t>
      </w:r>
    </w:p>
    <w:p w:rsidR="00373062" w:rsidRPr="001C4638" w:rsidRDefault="00373062" w:rsidP="00373062">
      <w:pPr>
        <w:pStyle w:val="3"/>
        <w:numPr>
          <w:ilvl w:val="0"/>
          <w:numId w:val="0"/>
        </w:numPr>
        <w:rPr>
          <w:color w:val="auto"/>
          <w:rtl/>
        </w:rPr>
      </w:pPr>
    </w:p>
    <w:p w:rsidR="00373062" w:rsidRPr="001C4638" w:rsidRDefault="00373062" w:rsidP="00373062">
      <w:pPr>
        <w:pStyle w:val="3"/>
        <w:numPr>
          <w:ilvl w:val="0"/>
          <w:numId w:val="0"/>
        </w:numPr>
        <w:rPr>
          <w:color w:val="auto"/>
        </w:rPr>
      </w:pPr>
      <w:r w:rsidRPr="001C4638">
        <w:rPr>
          <w:color w:val="auto"/>
          <w:rtl/>
        </w:rPr>
        <w:tab/>
      </w:r>
      <w:r w:rsidRPr="001C4638">
        <w:rPr>
          <w:rFonts w:hint="cs"/>
          <w:color w:val="auto"/>
          <w:rtl/>
        </w:rPr>
        <w:t xml:space="preserve">לפי הבנתי, גישתו של חברי מתאימה למצבים שבהם, למשל, ניצב התושב המוגן מול הממונה. לו היה סכסוך בין שניהם בלבד, ללא מעורבות של גורם שלישי, נכון היה להטיל על הממונה נטל מחמיר. אך לא זהו המצב במסגרת סעיף 5. אין עסקינן, למשל, במעין "הפקעה" של מקרקעין בידי הממונה לצרכי ציבור על יסוד הנחה מוטעית, שאז רשאי היה בעל המקרקעין לטעון כי אין להגן ולהנציח טעויות, ולו כאלה שנגרמו בתום לב. יש צד נוסף בסיפור </w:t>
      </w:r>
      <w:r w:rsidRPr="001C4638">
        <w:rPr>
          <w:color w:val="auto"/>
          <w:rtl/>
        </w:rPr>
        <w:t>–</w:t>
      </w:r>
      <w:r w:rsidRPr="001C4638">
        <w:rPr>
          <w:rFonts w:hint="cs"/>
          <w:color w:val="auto"/>
          <w:rtl/>
        </w:rPr>
        <w:t xml:space="preserve"> מי שהתקשר עם הממונה. צד זה, ככל שהוא תם לב ואף הוציא הוצאות ניכרות תוך הסתמכות על כשרות העסקה, זכאי גם הוא לפי הסעיף להגנה. סיפורו של סעיף 5 הוא גם הסיפור שלו, ולא רק הסיפור של הממונה ובעל המקרקעין. </w:t>
      </w:r>
    </w:p>
    <w:p w:rsidR="00373062" w:rsidRPr="001C4638" w:rsidRDefault="00373062" w:rsidP="00373062">
      <w:pPr>
        <w:pStyle w:val="3"/>
        <w:numPr>
          <w:ilvl w:val="0"/>
          <w:numId w:val="0"/>
        </w:numPr>
        <w:rPr>
          <w:color w:val="auto"/>
        </w:rPr>
      </w:pPr>
      <w:r w:rsidRPr="001C4638">
        <w:rPr>
          <w:color w:val="auto"/>
          <w:rtl/>
        </w:rPr>
        <w:tab/>
      </w:r>
    </w:p>
    <w:p w:rsidR="00373062" w:rsidRPr="001C4638" w:rsidRDefault="00373062" w:rsidP="00373062">
      <w:pPr>
        <w:pStyle w:val="3"/>
        <w:rPr>
          <w:color w:val="auto"/>
        </w:rPr>
      </w:pPr>
      <w:r w:rsidRPr="001C4638">
        <w:rPr>
          <w:rStyle w:val="23"/>
          <w:rFonts w:hint="cs"/>
          <w:color w:val="auto"/>
          <w:rtl/>
        </w:rPr>
        <w:t>תום ליבו של הממונה – הפן היישומי</w:t>
      </w:r>
      <w:r w:rsidRPr="001C4638">
        <w:rPr>
          <w:rFonts w:hint="cs"/>
          <w:color w:val="auto"/>
          <w:rtl/>
        </w:rPr>
        <w:t xml:space="preserve">. בחוות דעתי בפסק הדין קבעתי כי חומר הראיות מלמד </w:t>
      </w:r>
      <w:r w:rsidRPr="001C4638">
        <w:rPr>
          <w:color w:val="auto"/>
          <w:rtl/>
        </w:rPr>
        <w:t>–</w:t>
      </w:r>
      <w:r w:rsidRPr="001C4638">
        <w:rPr>
          <w:rFonts w:hint="cs"/>
          <w:color w:val="auto"/>
          <w:rtl/>
        </w:rPr>
        <w:t xml:space="preserve"> במידה הדרושה בהליך אזרחי </w:t>
      </w:r>
      <w:r w:rsidRPr="001C4638">
        <w:rPr>
          <w:color w:val="auto"/>
          <w:rtl/>
        </w:rPr>
        <w:t>–</w:t>
      </w:r>
      <w:r w:rsidRPr="001C4638">
        <w:rPr>
          <w:rFonts w:hint="cs"/>
          <w:color w:val="auto"/>
          <w:rtl/>
        </w:rPr>
        <w:t xml:space="preserve"> כי בסוף שנות התשעים הייתה סברת הצדדים להסכם ההרשאה כי המקרקעין מושא המחלוקת נתפסו בידי המפקד הצבאי. בנוסף לכך, קבעתי כי אין להכתיר עמדה זו כחוסר תום הלב, למרות חוסר התאמה בין תכנית המתאר למפה שצורפה לצו התפיסה, או חוסר ההתאמה בין המפה שצורפה להסכם ההרשאה ומיקום המקרקעין. חרף נתונים אלה, העמדה שמדובר במקרקעין תפוסים הייתה בעלת יסוד. היא לא התעלמה מהנתון ה"חשוד" </w:t>
      </w:r>
      <w:r w:rsidRPr="001C4638">
        <w:rPr>
          <w:color w:val="auto"/>
          <w:rtl/>
        </w:rPr>
        <w:t>–</w:t>
      </w:r>
      <w:r w:rsidRPr="001C4638">
        <w:rPr>
          <w:rFonts w:hint="cs"/>
          <w:color w:val="auto"/>
          <w:rtl/>
        </w:rPr>
        <w:t xml:space="preserve"> הפער בין המפות למצב בשטח </w:t>
      </w:r>
      <w:r w:rsidRPr="001C4638">
        <w:rPr>
          <w:color w:val="auto"/>
          <w:rtl/>
        </w:rPr>
        <w:t>–</w:t>
      </w:r>
      <w:r w:rsidRPr="001C4638">
        <w:rPr>
          <w:rFonts w:hint="cs"/>
          <w:color w:val="auto"/>
          <w:rtl/>
        </w:rPr>
        <w:t xml:space="preserve"> אלא נתנה עליו את הדעת במפורש. העמדה לא הייתה כי יש להתעלם מהפערים, אלא כי יש לתת עדיפות למצב בשטח על פני המפות </w:t>
      </w:r>
      <w:r w:rsidRPr="001C4638">
        <w:rPr>
          <w:color w:val="auto"/>
          <w:rtl/>
        </w:rPr>
        <w:t>–</w:t>
      </w:r>
      <w:r w:rsidRPr="001C4638">
        <w:rPr>
          <w:rFonts w:hint="cs"/>
          <w:color w:val="auto"/>
          <w:rtl/>
        </w:rPr>
        <w:t xml:space="preserve"> לבחון את התפיסה בפועל ולא את המפה שצורפה לצו התפיסה (כך עולה, למשל, מהמכתבים השונים שאליהם מתייחס חברי המשנה לנשיאה בפסקה 5 לחוות דעתו, מראשית ואמצע שנות התשעים). למעשה, וכפי שציינתי בפסק הדין, אפילו המומחית מטעם משיבים 3-1 </w:t>
      </w:r>
      <w:r w:rsidRPr="001C4638">
        <w:rPr>
          <w:color w:val="auto"/>
          <w:rtl/>
        </w:rPr>
        <w:t>–</w:t>
      </w:r>
      <w:r w:rsidRPr="001C4638">
        <w:rPr>
          <w:rFonts w:hint="cs"/>
          <w:color w:val="auto"/>
          <w:rtl/>
        </w:rPr>
        <w:t xml:space="preserve"> ד"ר רונית לוין-שנור </w:t>
      </w:r>
      <w:r w:rsidRPr="001C4638">
        <w:rPr>
          <w:color w:val="auto"/>
          <w:rtl/>
        </w:rPr>
        <w:t>–</w:t>
      </w:r>
      <w:r w:rsidRPr="001C4638">
        <w:rPr>
          <w:rFonts w:hint="cs"/>
          <w:color w:val="auto"/>
          <w:rtl/>
        </w:rPr>
        <w:t xml:space="preserve"> סברה כי העמדה שמדובר במקרקעין תפוסים היא עמדה "טובה יחסית", וכי זו העמדה שהיה על המדינה להציג בערכאות השיפוטיות: </w:t>
      </w:r>
      <w:r w:rsidRPr="001C4638">
        <w:rPr>
          <w:rFonts w:hint="cs"/>
          <w:color w:val="auto"/>
          <w:bdr w:val="none" w:sz="0" w:space="0" w:color="auto" w:frame="1"/>
          <w:rtl/>
        </w:rPr>
        <w:t>"</w:t>
      </w:r>
      <w:r w:rsidRPr="001C4638">
        <w:rPr>
          <w:color w:val="auto"/>
          <w:bdr w:val="none" w:sz="0" w:space="0" w:color="auto" w:frame="1"/>
          <w:rtl/>
        </w:rPr>
        <w:t xml:space="preserve">משהוגשה העתירה לבג״ץ כנגד החזקת </w:t>
      </w:r>
      <w:r w:rsidRPr="001C4638">
        <w:rPr>
          <w:color w:val="auto"/>
          <w:bdr w:val="none" w:sz="0" w:space="0" w:color="auto" w:frame="1"/>
          <w:rtl/>
        </w:rPr>
        <w:lastRenderedPageBreak/>
        <w:t>השטח בידי המתיישבים, צריכה היתה המדינה להשיב את התשובה הטובה (יחסית) הבאה: אף כי אין השטח כלול בתחום צו התפיסה הרשמי, הריהו שטח תפוס.</w:t>
      </w:r>
      <w:r w:rsidRPr="001C4638">
        <w:rPr>
          <w:rFonts w:hint="cs"/>
          <w:color w:val="auto"/>
          <w:bdr w:val="none" w:sz="0" w:space="0" w:color="auto" w:frame="1"/>
          <w:rtl/>
        </w:rPr>
        <w:t xml:space="preserve">.. </w:t>
      </w:r>
      <w:r w:rsidRPr="001C4638">
        <w:rPr>
          <w:color w:val="auto"/>
          <w:bdr w:val="none" w:sz="0" w:space="0" w:color="auto" w:frame="1"/>
          <w:rtl/>
        </w:rPr>
        <w:t>תשובה טובה זו היתה מאפשרת להימנע מתשובה רעה לעתירה, לפחות בעיניהם של תומכי השארת השכונה על כנה: כי יש הכרח בפינוי המקום נוכח פלישתו לקרקע פרטית</w:t>
      </w:r>
      <w:r w:rsidRPr="001C4638">
        <w:rPr>
          <w:rFonts w:hint="cs"/>
          <w:color w:val="auto"/>
          <w:bdr w:val="none" w:sz="0" w:space="0" w:color="auto" w:frame="1"/>
          <w:rtl/>
        </w:rPr>
        <w:t>" (</w:t>
      </w:r>
      <w:r w:rsidRPr="001C4638">
        <w:rPr>
          <w:rFonts w:hint="cs"/>
          <w:color w:val="auto"/>
          <w:rtl/>
        </w:rPr>
        <w:t>רונית לוין-שנור "הטוב, הרע והמכוער בפרשת 'מצפה כרמים'" (30.8.2018)</w:t>
      </w:r>
      <w:r w:rsidRPr="001C4638">
        <w:rPr>
          <w:rFonts w:hint="cs"/>
          <w:color w:val="auto"/>
          <w:bdr w:val="none" w:sz="0" w:space="0" w:color="auto" w:frame="1"/>
          <w:rtl/>
        </w:rPr>
        <w:t xml:space="preserve">, </w:t>
      </w:r>
      <w:hyperlink w:history="1">
        <w:r w:rsidRPr="001C4638">
          <w:rPr>
            <w:rStyle w:val="afe"/>
            <w:rFonts w:ascii="Garamond" w:hAnsi="Garamond"/>
            <w:color w:val="auto"/>
          </w:rPr>
          <w:t>https://ti</w:t>
        </w:r>
        <w:bookmarkStart w:id="6" w:name="_Hlt47958550"/>
        <w:bookmarkStart w:id="7" w:name="_Hlt47958551"/>
        <w:r w:rsidRPr="001C4638">
          <w:rPr>
            <w:rStyle w:val="afe"/>
            <w:rFonts w:ascii="Garamond" w:hAnsi="Garamond"/>
            <w:color w:val="auto"/>
          </w:rPr>
          <w:t>n</w:t>
        </w:r>
        <w:bookmarkEnd w:id="6"/>
        <w:bookmarkEnd w:id="7"/>
        <w:r w:rsidRPr="001C4638">
          <w:rPr>
            <w:rStyle w:val="afe"/>
            <w:rFonts w:ascii="Garamond" w:hAnsi="Garamond"/>
            <w:color w:val="auto"/>
          </w:rPr>
          <w:t>yurl.com/y4q32xhs</w:t>
        </w:r>
      </w:hyperlink>
      <w:r w:rsidRPr="001C4638">
        <w:rPr>
          <w:rStyle w:val="Hyperlink"/>
          <w:rFonts w:hint="cs"/>
          <w:color w:val="auto"/>
          <w:u w:val="none"/>
          <w:rtl/>
        </w:rPr>
        <w:t xml:space="preserve">). בסופו של דבר קבע בית </w:t>
      </w:r>
      <w:r w:rsidRPr="001C4638">
        <w:rPr>
          <w:rStyle w:val="afe"/>
          <w:rFonts w:hint="cs"/>
          <w:color w:val="auto"/>
          <w:rtl/>
        </w:rPr>
        <w:t>המשפט המחוזי כי "</w:t>
      </w:r>
      <w:r w:rsidRPr="001C4638">
        <w:rPr>
          <w:rStyle w:val="afe"/>
          <w:color w:val="auto"/>
          <w:rtl/>
        </w:rPr>
        <w:t>לא שוכנעתי כי קיימת תשתית ראייתית מספיקה לקבוע כי צו התפיסה חל גם על שטח המקרקעין של מצפה כרמים</w:t>
      </w:r>
      <w:r w:rsidRPr="001C4638">
        <w:rPr>
          <w:rStyle w:val="Hyperlink"/>
          <w:rFonts w:hint="cs"/>
          <w:color w:val="auto"/>
          <w:u w:val="none"/>
          <w:rtl/>
        </w:rPr>
        <w:t xml:space="preserve">" (פסקה 101 לפסק דינו של כב' השופט </w:t>
      </w:r>
      <w:r w:rsidRPr="001C4638">
        <w:rPr>
          <w:rStyle w:val="23"/>
          <w:rFonts w:hint="cs"/>
          <w:color w:val="auto"/>
          <w:rtl/>
        </w:rPr>
        <w:t>א' דראל</w:t>
      </w:r>
      <w:r w:rsidRPr="001C4638">
        <w:rPr>
          <w:rStyle w:val="Hyperlink"/>
          <w:rFonts w:hint="cs"/>
          <w:color w:val="auto"/>
          <w:u w:val="none"/>
          <w:rtl/>
        </w:rPr>
        <w:t xml:space="preserve"> בבית המשפט המחוזי); ברם, לא מדובר בעמדה חסרת יסוד, אלא בעמדה שרק לאחר בירור משפטי ארוך ומורכב </w:t>
      </w:r>
      <w:r w:rsidRPr="001C4638">
        <w:rPr>
          <w:rFonts w:hint="cs"/>
          <w:color w:val="auto"/>
          <w:rtl/>
        </w:rPr>
        <w:t xml:space="preserve">נקבע כי היא לא הוכחה בתשתית מספקת. אין לומר אפוא כי אחיזה בעמדה זו, בזמן אמת, עולה לכדי חוסר תום לב.              </w:t>
      </w:r>
    </w:p>
    <w:p w:rsidR="00373062" w:rsidRPr="001C4638" w:rsidRDefault="00373062" w:rsidP="00373062">
      <w:pPr>
        <w:pStyle w:val="3"/>
        <w:numPr>
          <w:ilvl w:val="0"/>
          <w:numId w:val="0"/>
        </w:numPr>
        <w:rPr>
          <w:color w:val="auto"/>
        </w:rPr>
      </w:pPr>
    </w:p>
    <w:p w:rsidR="00373062" w:rsidRPr="001C4638" w:rsidRDefault="00373062" w:rsidP="00373062">
      <w:pPr>
        <w:pStyle w:val="3"/>
        <w:numPr>
          <w:ilvl w:val="0"/>
          <w:numId w:val="0"/>
        </w:numPr>
        <w:rPr>
          <w:color w:val="auto"/>
        </w:rPr>
      </w:pPr>
      <w:r w:rsidRPr="001C4638">
        <w:rPr>
          <w:color w:val="auto"/>
          <w:rtl/>
        </w:rPr>
        <w:tab/>
      </w:r>
      <w:r w:rsidRPr="001C4638">
        <w:rPr>
          <w:rFonts w:hint="cs"/>
          <w:color w:val="auto"/>
          <w:rtl/>
        </w:rPr>
        <w:t xml:space="preserve">הדברים פורטו בהרחבה בפסק הדין, וחברי השופט </w:t>
      </w:r>
      <w:r w:rsidRPr="001C4638">
        <w:rPr>
          <w:rStyle w:val="23"/>
          <w:rFonts w:hint="cs"/>
          <w:color w:val="auto"/>
          <w:rtl/>
        </w:rPr>
        <w:t>נ' סולברג</w:t>
      </w:r>
      <w:r w:rsidRPr="001C4638">
        <w:rPr>
          <w:rFonts w:hint="cs"/>
          <w:color w:val="auto"/>
          <w:rtl/>
        </w:rPr>
        <w:t xml:space="preserve"> הוסיף והתייחס אליהם בהרחבה בהליך זה. בשלב זה אין אפוא צורך כי אשוב על מלוא הטענות, הראיות, ראיות הנגד, וההסברים שניתן להציע לכל אלה. אסתפק כעת בהתייחסות לארבע נקודות שעולות מתוך חוות דעתו של חברי המשנה לנשיאה בהקשר זה: אחת, משמעות סימני התפיסה שנמצאו בשטח. שנייה, מעמד המפה שצורפה להסכם ההרשאה. שלישית, מעמדה ומשקלה של תכנית המתאר. רביעית, המועד הרלוונטי לבחינת תום הלב. </w:t>
      </w:r>
    </w:p>
    <w:p w:rsidR="00373062" w:rsidRPr="001C4638" w:rsidRDefault="00373062" w:rsidP="00373062">
      <w:pPr>
        <w:pStyle w:val="3"/>
        <w:numPr>
          <w:ilvl w:val="0"/>
          <w:numId w:val="0"/>
        </w:numPr>
        <w:rPr>
          <w:color w:val="auto"/>
          <w:rtl/>
        </w:rPr>
      </w:pPr>
    </w:p>
    <w:p w:rsidR="00373062" w:rsidRPr="001C4638" w:rsidRDefault="00373062" w:rsidP="00373062">
      <w:pPr>
        <w:pStyle w:val="3"/>
        <w:rPr>
          <w:color w:val="auto"/>
        </w:rPr>
      </w:pPr>
      <w:r w:rsidRPr="001C4638">
        <w:rPr>
          <w:color w:val="auto"/>
          <w:rtl/>
        </w:rPr>
        <w:tab/>
      </w:r>
      <w:r w:rsidRPr="001C4638">
        <w:rPr>
          <w:rStyle w:val="23"/>
          <w:rFonts w:hint="cs"/>
          <w:color w:val="auto"/>
          <w:rtl/>
        </w:rPr>
        <w:t>משמעות סימני התפיסה שנמצאו בשטח</w:t>
      </w:r>
      <w:r w:rsidRPr="001C4638">
        <w:rPr>
          <w:rStyle w:val="afe"/>
          <w:rFonts w:hint="cs"/>
          <w:color w:val="auto"/>
          <w:rtl/>
        </w:rPr>
        <w:t>.</w:t>
      </w:r>
      <w:r w:rsidRPr="001C4638">
        <w:rPr>
          <w:rStyle w:val="23"/>
          <w:rFonts w:hint="cs"/>
          <w:color w:val="auto"/>
          <w:rtl/>
        </w:rPr>
        <w:t xml:space="preserve"> </w:t>
      </w:r>
      <w:r w:rsidRPr="001C4638">
        <w:rPr>
          <w:rFonts w:hint="cs"/>
          <w:color w:val="auto"/>
          <w:rtl/>
        </w:rPr>
        <w:t xml:space="preserve">אחד הנדבכים בהערכת תום הלב של הצדדים להסכם ההרשאה, בסברם כי יש לתת עדיפות לתפיסה בפועל על פני מפת צו התפיסה, הוא השאלה האם היה בסיס בשטח שמעיד על תפיסה שחורגת מגבולות מפת צו התפיסה. בחוות דעתי בפסק הדין ניתן משקל לעדותו של מר יאיר בלומנטל </w:t>
      </w:r>
      <w:r w:rsidRPr="001C4638">
        <w:rPr>
          <w:color w:val="auto"/>
          <w:rtl/>
        </w:rPr>
        <w:t>–</w:t>
      </w:r>
      <w:r w:rsidRPr="001C4638">
        <w:rPr>
          <w:rFonts w:hint="cs"/>
          <w:color w:val="auto"/>
          <w:rtl/>
        </w:rPr>
        <w:t xml:space="preserve"> שבית המשפט המחוזי מצאה כמהימנה </w:t>
      </w:r>
      <w:r w:rsidRPr="001C4638">
        <w:rPr>
          <w:color w:val="auto"/>
          <w:rtl/>
        </w:rPr>
        <w:t>–</w:t>
      </w:r>
      <w:r w:rsidRPr="001C4638">
        <w:rPr>
          <w:rFonts w:hint="cs"/>
          <w:color w:val="auto"/>
          <w:rtl/>
        </w:rPr>
        <w:t xml:space="preserve"> לפיה היו בשטח סימונים (גדר תלתלית) שהעידו על תפיסה בפועל של מקרקעין, מעבר לגבולות המפה שצורפה לצו התפיסה שהוציא המפקד הצבאי (פסקאות 7-6, 20 לחוות דעתי). חברי המשנה לנשיאה סבור שעדות זו אינה תומכת במסקנה שהמקרקעין שעליהם הוקמה מצפה כרמים נתפסו בתפיסה צבאית, שכן היישוב לא הוקם בסופו של דבר במקום שאליו התייחס בלומנטל בעדותו, ולא הוצגה ראיה לפיה גם המקרקעין שעליהם הוקם היישוב היו מגודרים בגדר (פסקה 93 לחוות דעתו של חברי). אבהיר אפוא את עמדתי בנקודה זו. </w:t>
      </w:r>
    </w:p>
    <w:p w:rsidR="00373062" w:rsidRPr="001C4638" w:rsidRDefault="00373062" w:rsidP="00373062">
      <w:pPr>
        <w:pStyle w:val="3"/>
        <w:numPr>
          <w:ilvl w:val="0"/>
          <w:numId w:val="0"/>
        </w:numPr>
        <w:rPr>
          <w:color w:val="auto"/>
          <w:rtl/>
        </w:rPr>
      </w:pPr>
    </w:p>
    <w:p w:rsidR="00373062" w:rsidRPr="001C4638" w:rsidRDefault="00373062" w:rsidP="00373062">
      <w:pPr>
        <w:pStyle w:val="afd"/>
        <w:rPr>
          <w:rtl/>
        </w:rPr>
      </w:pPr>
      <w:r w:rsidRPr="001C4638">
        <w:rPr>
          <w:rtl/>
        </w:rPr>
        <w:tab/>
      </w:r>
      <w:r w:rsidRPr="001C4638">
        <w:rPr>
          <w:rFonts w:hint="cs"/>
          <w:rtl/>
        </w:rPr>
        <w:t xml:space="preserve">כפי שעולה מהעדויות שבית המשפט המחוזי מצאן כמהימנות, עמדת הגורמים השונים לאורך שנות התשעים הייתה כי בפועל תפס המפקד הצבאי שטח גדול משטח </w:t>
      </w:r>
      <w:r w:rsidRPr="001C4638">
        <w:rPr>
          <w:rFonts w:hint="cs"/>
          <w:rtl/>
        </w:rPr>
        <w:lastRenderedPageBreak/>
        <w:t xml:space="preserve">המפה שצורפה לצו התפיסה. עוד סברו </w:t>
      </w:r>
      <w:r w:rsidRPr="001C4638">
        <w:rPr>
          <w:rtl/>
        </w:rPr>
        <w:t>–</w:t>
      </w:r>
      <w:r w:rsidRPr="001C4638">
        <w:rPr>
          <w:rFonts w:hint="cs"/>
          <w:rtl/>
        </w:rPr>
        <w:t xml:space="preserve"> לפחות מבחינה סובייקטיבית, לפי קביעות המהימנות של בית המשפט המחוזי </w:t>
      </w:r>
      <w:r w:rsidRPr="001C4638">
        <w:rPr>
          <w:rtl/>
        </w:rPr>
        <w:t>–</w:t>
      </w:r>
      <w:r w:rsidRPr="001C4638">
        <w:rPr>
          <w:rFonts w:hint="cs"/>
          <w:rtl/>
        </w:rPr>
        <w:t xml:space="preserve"> כי באופן עקרוני חופף שטח תכנית המתאר לשטח שנתפס. במקום שבו נתגלע בכל זאת פער מסוים בין העדויות על תפיסה בפועל לגבולות התכנית שהופקדה </w:t>
      </w:r>
      <w:r w:rsidRPr="001C4638">
        <w:rPr>
          <w:rtl/>
        </w:rPr>
        <w:t>–</w:t>
      </w:r>
      <w:r w:rsidRPr="001C4638">
        <w:rPr>
          <w:rFonts w:hint="cs"/>
          <w:rtl/>
        </w:rPr>
        <w:t xml:space="preserve"> לפחות קודם לאישורה </w:t>
      </w:r>
      <w:r w:rsidRPr="001C4638">
        <w:rPr>
          <w:rtl/>
        </w:rPr>
        <w:t>–</w:t>
      </w:r>
      <w:r w:rsidRPr="001C4638">
        <w:rPr>
          <w:rFonts w:hint="cs"/>
          <w:rtl/>
        </w:rPr>
        <w:t xml:space="preserve"> אף נשלחו מכתבים שונים בעניין (פער זה בין גבולות התכנית לשטח שנתפס בפועל אינו מתייחס למקרקעין מושא המחלוקת). המסקנה שהמקרקעין תפוסים נבעה, אם כן, מהשילוב בין שתי "ראיות נסיבתיות" לקיומה של תפיסה בפועל: גבולות התכנית שנחתמה בידי הממונה ואושרה בידי גורמי התכנון, וקיומה של גדר בשטח. אכן, לא הוצגה ראיה </w:t>
      </w:r>
      <w:r w:rsidRPr="001C4638">
        <w:rPr>
          <w:rtl/>
        </w:rPr>
        <w:t>–</w:t>
      </w:r>
      <w:r w:rsidRPr="001C4638">
        <w:rPr>
          <w:rFonts w:hint="cs"/>
          <w:rtl/>
        </w:rPr>
        <w:t xml:space="preserve"> לכאן או לכאן </w:t>
      </w:r>
      <w:r w:rsidRPr="001C4638">
        <w:rPr>
          <w:rtl/>
        </w:rPr>
        <w:t>–</w:t>
      </w:r>
      <w:r w:rsidRPr="001C4638">
        <w:rPr>
          <w:rFonts w:hint="cs"/>
          <w:rtl/>
        </w:rPr>
        <w:t xml:space="preserve"> ביחס לשאלה האם גם המקרקעין שעליהם נבנתה מצפה כרמים היו בתחומי הגידור (בלומנטל ציין בעדותו כי הוא לא היה בשטח, אך "</w:t>
      </w:r>
      <w:r w:rsidRPr="001C4638">
        <w:rPr>
          <w:rtl/>
        </w:rPr>
        <w:t xml:space="preserve">נאמר </w:t>
      </w:r>
      <w:bookmarkStart w:id="8" w:name="_ETM_Q_2457386"/>
      <w:bookmarkEnd w:id="8"/>
      <w:r w:rsidRPr="001C4638">
        <w:rPr>
          <w:rtl/>
        </w:rPr>
        <w:t xml:space="preserve">לי, נאמר לי בזמנו שזה בתחום התכנית שטח הקצאה של </w:t>
      </w:r>
      <w:bookmarkStart w:id="9" w:name="_ETM_Q_2465264"/>
      <w:bookmarkEnd w:id="9"/>
      <w:r w:rsidRPr="001C4638">
        <w:rPr>
          <w:rtl/>
        </w:rPr>
        <w:t xml:space="preserve">הממונה שהיא בגדול </w:t>
      </w:r>
      <w:r w:rsidRPr="001C4638">
        <w:rPr>
          <w:rFonts w:hint="cs"/>
          <w:rtl/>
        </w:rPr>
        <w:t>תא</w:t>
      </w:r>
      <w:r w:rsidRPr="001C4638">
        <w:rPr>
          <w:rtl/>
        </w:rPr>
        <w:t>מה את הגד</w:t>
      </w:r>
      <w:r w:rsidRPr="001C4638">
        <w:rPr>
          <w:rFonts w:hint="cs"/>
          <w:rtl/>
        </w:rPr>
        <w:t xml:space="preserve">ר" (עמוד 262 לפרוטוקול). וכן ראו את עדותו של האלוף משה (בוגי) יעלון, שהעיד כי במסגרת הדיון שנערך אצלו בנושא לא עלתה טענה </w:t>
      </w:r>
      <w:r w:rsidRPr="001C4638">
        <w:rPr>
          <w:rtl/>
        </w:rPr>
        <w:t>–</w:t>
      </w:r>
      <w:r w:rsidRPr="001C4638">
        <w:rPr>
          <w:rFonts w:hint="cs"/>
          <w:rtl/>
        </w:rPr>
        <w:t xml:space="preserve"> מצד ההסתדרות או מצד גורמי המינהל האזרחי </w:t>
      </w:r>
      <w:r w:rsidRPr="001C4638">
        <w:rPr>
          <w:rtl/>
        </w:rPr>
        <w:t>–</w:t>
      </w:r>
      <w:r w:rsidRPr="001C4638">
        <w:rPr>
          <w:rFonts w:hint="cs"/>
          <w:rtl/>
        </w:rPr>
        <w:t xml:space="preserve"> כי לא מדובר במקרקעין תפוסים, וכי ליווה בעצמו (גם אם לא באופן פיזי) את עליית התושבים לקרקע, וווידא כי הם מתיישבים במקום "הנכון" (עמודים 20, 22 לפרוטוקול)). ברם, ובראי יריעת המחלוקת </w:t>
      </w:r>
      <w:r w:rsidRPr="001C4638">
        <w:rPr>
          <w:rtl/>
        </w:rPr>
        <w:t>–</w:t>
      </w:r>
      <w:r w:rsidRPr="001C4638">
        <w:rPr>
          <w:rFonts w:hint="cs"/>
          <w:rtl/>
        </w:rPr>
        <w:t xml:space="preserve"> האם התפיסה הייתה רק בגבולות המפה, או שבפועל נתפס השטח שעליו מבוססת התכנית שאושרה </w:t>
      </w:r>
      <w:r w:rsidRPr="001C4638">
        <w:rPr>
          <w:rtl/>
        </w:rPr>
        <w:t>–</w:t>
      </w:r>
      <w:r w:rsidRPr="001C4638">
        <w:rPr>
          <w:rFonts w:hint="cs"/>
          <w:rtl/>
        </w:rPr>
        <w:t xml:space="preserve"> קיומה של גדר גם בחלק מהתוואי תומך באפשרות השנייה יותר מאשר בראשונה, וזאת גם אם הגדר לא הקיפה מאה אחוזים מהשטח אלא רק את חלקו. לשון אחר, איני מסכים עם חברי כי אין די בכך שהייתה גדר במקום "קרוב"</w:t>
      </w:r>
      <w:r w:rsidRPr="001C4638">
        <w:rPr>
          <w:rFonts w:hint="cs"/>
        </w:rPr>
        <w:t xml:space="preserve"> </w:t>
      </w:r>
      <w:r w:rsidRPr="001C4638">
        <w:rPr>
          <w:rFonts w:hint="cs"/>
          <w:rtl/>
        </w:rPr>
        <w:t xml:space="preserve">למקום שבו הוקם היישוב, וכי יש חשיבות רק לשאלה האם הוכח באופן ספציפי כי הגדר הקיפה את המיקום המדויק של היישוב. בעיני, הגדר במקרקעין סמוכים היא ראיה נסיבתית התומכת בסבירות התיזה של "תפיסה בפועל שעליה מבוססת התכנית" (גם אם החפיפה בין התפיסה לתכנית לא הייתה מושלמת) על פני התיזה של "לא הייתה תפיסה בפועל מעבר לגבולות המפה". ושוב: אין עסקינן כעת בשאלה האם המפקד הצבאי תפס את המקרקעין בפועל </w:t>
      </w:r>
      <w:r w:rsidRPr="001C4638">
        <w:rPr>
          <w:rtl/>
        </w:rPr>
        <w:t>–</w:t>
      </w:r>
      <w:r w:rsidRPr="001C4638">
        <w:rPr>
          <w:rFonts w:hint="cs"/>
          <w:rtl/>
        </w:rPr>
        <w:t xml:space="preserve"> בית המשפט המחוזי קבע שלא הונחה תשתית מתאימה לכך </w:t>
      </w:r>
      <w:r w:rsidRPr="001C4638">
        <w:rPr>
          <w:rtl/>
        </w:rPr>
        <w:t>–</w:t>
      </w:r>
      <w:r w:rsidRPr="001C4638">
        <w:rPr>
          <w:rFonts w:hint="cs"/>
          <w:rtl/>
        </w:rPr>
        <w:t xml:space="preserve"> אלא האם ניתן היה לסבור בתום לב בזמן אמת כי זה המצב, על סמך הגידור שהיה קיים בשילוב תכנית המתאר שאושרה. </w:t>
      </w:r>
    </w:p>
    <w:p w:rsidR="00373062" w:rsidRPr="001C4638" w:rsidRDefault="00373062" w:rsidP="00373062">
      <w:pPr>
        <w:pStyle w:val="afd"/>
        <w:rPr>
          <w:rtl/>
        </w:rPr>
      </w:pPr>
    </w:p>
    <w:p w:rsidR="00373062" w:rsidRPr="001C4638" w:rsidRDefault="00373062" w:rsidP="00373062">
      <w:pPr>
        <w:pStyle w:val="3"/>
        <w:rPr>
          <w:color w:val="auto"/>
        </w:rPr>
      </w:pPr>
      <w:r w:rsidRPr="001C4638">
        <w:rPr>
          <w:rStyle w:val="23"/>
          <w:rFonts w:hint="cs"/>
          <w:color w:val="auto"/>
          <w:rtl/>
        </w:rPr>
        <w:t>מעמד המפה שצורפה להסכם ההרשאה</w:t>
      </w:r>
      <w:r w:rsidRPr="001C4638">
        <w:rPr>
          <w:rFonts w:hint="cs"/>
          <w:color w:val="auto"/>
          <w:rtl/>
        </w:rPr>
        <w:t xml:space="preserve">. חברי המשנה לנשיאה מנה מספר "נורות אזהרה" שמעידות, לשיטתו, על כך שהממונה חשד, לכל הפחות, שהסכם ההרשאה (על בסיס גבולות תכנית המתאר) כולל מקרקעין שאינם תפוסים, ו"עצם את עיניו" מבלי לברר את החשד. חברי השופט </w:t>
      </w:r>
      <w:r w:rsidRPr="001C4638">
        <w:rPr>
          <w:rStyle w:val="23"/>
          <w:rFonts w:hint="cs"/>
          <w:color w:val="auto"/>
          <w:rtl/>
        </w:rPr>
        <w:t>סולברג</w:t>
      </w:r>
      <w:r w:rsidRPr="001C4638">
        <w:rPr>
          <w:rFonts w:hint="cs"/>
          <w:color w:val="auto"/>
          <w:rtl/>
        </w:rPr>
        <w:t xml:space="preserve"> התייחס לטענות אלה בחוות דעתו ונתן להן מענה (פסקאות 99-97 לחוות דעתו), ולפיכך ברצוני להתמקד כעת בנקודה אחת, שחברי המשנה לנשיאה ראה בה "נורה אדומה מובהקת" </w:t>
      </w:r>
      <w:r w:rsidRPr="001C4638">
        <w:rPr>
          <w:color w:val="auto"/>
          <w:rtl/>
        </w:rPr>
        <w:t>–</w:t>
      </w:r>
      <w:r w:rsidRPr="001C4638">
        <w:rPr>
          <w:rFonts w:hint="cs"/>
          <w:color w:val="auto"/>
          <w:rtl/>
        </w:rPr>
        <w:t xml:space="preserve"> קיומו של פער גדול </w:t>
      </w:r>
      <w:r w:rsidRPr="001C4638">
        <w:rPr>
          <w:rFonts w:hint="cs"/>
          <w:color w:val="auto"/>
          <w:rtl/>
        </w:rPr>
        <w:lastRenderedPageBreak/>
        <w:t xml:space="preserve">מאוד בין המפה שצורפה להסכם ההרשאה (שכללה כ-1071 דונם) והשטח שבו סבר הממונה כי ניתן להקים את היישוב (שכלל כ-1416 דונם) (פסקה 85 לחוות דעתו). לשיטתי, מחומר הראיות לא עולה כי המפה שצורפה להסכם ההרשאה עוררה חשד כלשהו מצד הממונה בכל הנוגע לזכויות הקניין במקרקעין שנכללו בתכנית המתאר. ממילא אין לומר כי הוא "נמנע מלברר" חשד כזה. מבחנים אלה עומדים בלב מבחן תום הלב, ובבחינת קיומו של חוסר תום לב. </w:t>
      </w:r>
    </w:p>
    <w:p w:rsidR="00373062" w:rsidRPr="001C4638" w:rsidRDefault="00373062" w:rsidP="00373062">
      <w:pPr>
        <w:pStyle w:val="3"/>
        <w:numPr>
          <w:ilvl w:val="0"/>
          <w:numId w:val="0"/>
        </w:numPr>
        <w:rPr>
          <w:color w:val="auto"/>
          <w:rtl/>
        </w:rPr>
      </w:pPr>
    </w:p>
    <w:p w:rsidR="00373062" w:rsidRPr="001C4638" w:rsidRDefault="00373062" w:rsidP="00373062">
      <w:pPr>
        <w:pStyle w:val="3"/>
        <w:numPr>
          <w:ilvl w:val="0"/>
          <w:numId w:val="0"/>
        </w:numPr>
        <w:rPr>
          <w:color w:val="auto"/>
          <w:rtl/>
        </w:rPr>
      </w:pPr>
      <w:r w:rsidRPr="001C4638">
        <w:rPr>
          <w:color w:val="auto"/>
          <w:rtl/>
        </w:rPr>
        <w:tab/>
      </w:r>
      <w:r w:rsidRPr="001C4638">
        <w:rPr>
          <w:rFonts w:hint="cs"/>
          <w:color w:val="auto"/>
          <w:rtl/>
        </w:rPr>
        <w:t xml:space="preserve">כפי שפרטתי בחוות דעתי בפסק הדין, מהעדויות שאותן אימץ בית המשפט המחוזי עלה כי למפות שצורפו להסכמי ההרשאה לא הייתה חשיבות רבה בעיני הצדדים באותה התקופה. ודאי כי מבחינת המינהל התקין מדובר בהתנהלות פגומה, אך כאמור </w:t>
      </w:r>
      <w:r w:rsidRPr="001C4638">
        <w:rPr>
          <w:color w:val="auto"/>
          <w:rtl/>
        </w:rPr>
        <w:t>–</w:t>
      </w:r>
      <w:r w:rsidRPr="001C4638">
        <w:rPr>
          <w:rFonts w:hint="cs"/>
          <w:color w:val="auto"/>
          <w:rtl/>
        </w:rPr>
        <w:t xml:space="preserve"> "תום הלב" לפי סעיף 5 לצו אינו נשלל בכל פעם שהממונה סוטה מכללי המינהל התקין. השאלה אינה אם התנהלות הצדדים הייתה תקינה, אלא האם חוסר תקינות זה שולל בנסיבות העניין את תום ליבם, במובן זה שהוא מעיד כי חשדו שחוסר התקינות מלמד על טעות בכל הנוגע לזכויות במקרקעין. התשובה השלילית לשאלה זו נתמכת לא רק בעדויות שנשמעו ובנוסח ההסכם, שאינו דבק בגבולות המפה שצורפה לו, אלא גם בהתנהלות הצדדים בענייננו לאורך השנים. כדי להבהיר את הנקודה, נזכיר כי לפי כוונת הצדדים, הסכם ההרשאה נועד לחול על כל שטחו של השטח ש"נתפס" בידי המפקד הצבאי (שתאם פחות או יותר, לפי עמדה זו, לגבולות תכנית המתאר). ניתן היה לצפות אפוא שהמפה שתצורף להסכם תהיה זו שצורפה לצו התפיסה או, לחלופין, של גבולות "התפיסה בפועל", דהיינו גבולות תכנית המתאר (850 דונם או 1416 דונם). למרות זאת, לאורך השנים צורפה להסכמים הרבים שנחתמו שוב ושוב מפה שצורפה לצו סגירה משנות השבעים, שחל על 1,071 דונם מן המקרקעין. אין כל הסבר להתנהלות זו. המפה שצורפה לא תומכת לא בעמדת המבקשים ולא בעמדת המשיבים, שכן עסקינן במפה שגויה בין אם נועד הסכם ההרשאה לחול על שטח מפת צו התפיסה (850 דונם) ובין אם הוא נועד לחול על שטח התפיסה בפועל לפי סברת הצדדים (1416 דונם). אף אין הסבר מדוע לאורך השנים וההסכמים אין תיעוד של תמיהה על עניין זה אלא להפך </w:t>
      </w:r>
      <w:r w:rsidRPr="001C4638">
        <w:rPr>
          <w:color w:val="auto"/>
          <w:rtl/>
        </w:rPr>
        <w:t>–</w:t>
      </w:r>
      <w:r w:rsidRPr="001C4638">
        <w:rPr>
          <w:rFonts w:hint="cs"/>
          <w:color w:val="auto"/>
          <w:rtl/>
        </w:rPr>
        <w:t xml:space="preserve"> פעם אחר פעם המשיכו הצדדים לצרף להסכמי ההרשאה מפה בלתי רלוונטית. התנהלות כזו תומכת בעדויות שנשמעו, לפיהן לא יוחסה למפה חשיבות באותה עת. </w:t>
      </w:r>
    </w:p>
    <w:p w:rsidR="00373062" w:rsidRPr="001C4638" w:rsidRDefault="00373062" w:rsidP="00373062">
      <w:pPr>
        <w:pStyle w:val="3"/>
        <w:numPr>
          <w:ilvl w:val="0"/>
          <w:numId w:val="0"/>
        </w:numPr>
        <w:rPr>
          <w:color w:val="auto"/>
          <w:rtl/>
        </w:rPr>
      </w:pPr>
    </w:p>
    <w:p w:rsidR="00373062" w:rsidRPr="001C4638" w:rsidRDefault="00373062" w:rsidP="00373062">
      <w:pPr>
        <w:pStyle w:val="3"/>
        <w:numPr>
          <w:ilvl w:val="0"/>
          <w:numId w:val="0"/>
        </w:numPr>
        <w:rPr>
          <w:color w:val="auto"/>
          <w:rtl/>
        </w:rPr>
      </w:pPr>
      <w:r w:rsidRPr="001C4638">
        <w:rPr>
          <w:color w:val="auto"/>
          <w:rtl/>
        </w:rPr>
        <w:tab/>
      </w:r>
      <w:r w:rsidRPr="001C4638">
        <w:rPr>
          <w:rFonts w:hint="cs"/>
          <w:color w:val="auto"/>
          <w:rtl/>
        </w:rPr>
        <w:t xml:space="preserve">בנסיבות כאלה, הפער בין המפה שצורפה להסכם להתנהלות בפועל אינו בגדר "נורת אזהרה". אמנם הפער הוא בגדר נתון "חשוד", דהיינו התנהלות שיש להסבירה, אולם ניתן הסבר שנתמך בחומר הראיות. בנסיבות אלה, ובהעדר ראיות אחרות שמעידות על כך שהמפה הבלתי מוסברת שצורפה להסכם ההרשאה הטרידה גורם כלשהו, אין לומר כי מדובר ב"נורת אזהרה" שמעידה על חשד ועצימת עיניים. לא מדובר, למשל, על מצב </w:t>
      </w:r>
      <w:r w:rsidRPr="001C4638">
        <w:rPr>
          <w:rFonts w:hint="cs"/>
          <w:color w:val="auto"/>
          <w:rtl/>
        </w:rPr>
        <w:lastRenderedPageBreak/>
        <w:t xml:space="preserve">שבו המפה עוררה אצל הממונה חשד בפועל כי המקרקעין לא נתפסו בידי המפקד הצבאי, והוא הסתפק בקיומו של גידור במקרקעין סמוכים מבלי להוסיף ולבצע בירורים נוספים. לשון אחר, עסקינן לא בנורת אזהרה אלא בנורמה פגומה שנהגה בעבר; ברם, מבחן תום הלב לפי סעיף 5 לא בוחן את תקינות התנהלות הממונה אלא את תום לבו. בנסיבות העניין ההתעלמות מהמפה אינה מעידה על חוסר תום לב מעין זה. לשם הבהרה נוספת, יתכן שאילו היו גורמים שונים מתעלמים מהמפה כיום </w:t>
      </w:r>
      <w:r w:rsidRPr="001C4638">
        <w:rPr>
          <w:color w:val="auto"/>
          <w:rtl/>
        </w:rPr>
        <w:t>–</w:t>
      </w:r>
      <w:r w:rsidRPr="001C4638">
        <w:rPr>
          <w:rFonts w:hint="cs"/>
          <w:color w:val="auto"/>
          <w:rtl/>
        </w:rPr>
        <w:t xml:space="preserve"> כאשר ההקפדה על הכללים טובה יותר מאשר בעבר </w:t>
      </w:r>
      <w:r w:rsidRPr="001C4638">
        <w:rPr>
          <w:color w:val="auto"/>
          <w:rtl/>
        </w:rPr>
        <w:t>–</w:t>
      </w:r>
      <w:r w:rsidRPr="001C4638">
        <w:rPr>
          <w:rFonts w:hint="cs"/>
          <w:color w:val="auto"/>
          <w:rtl/>
        </w:rPr>
        <w:t xml:space="preserve"> הייתה זו אינדיקציה טובה גם לחוסר תום לב. ברם, את התנהלות הצדדים יש להעריך על פי הנוהג בזמן אמת, ולא לפי חכמה או נוהל שבדיעבד. </w:t>
      </w:r>
    </w:p>
    <w:p w:rsidR="00373062" w:rsidRPr="001C4638" w:rsidRDefault="00373062" w:rsidP="00373062">
      <w:pPr>
        <w:pStyle w:val="3"/>
        <w:numPr>
          <w:ilvl w:val="0"/>
          <w:numId w:val="0"/>
        </w:numPr>
        <w:rPr>
          <w:color w:val="auto"/>
          <w:rtl/>
        </w:rPr>
      </w:pPr>
      <w:r w:rsidRPr="001C4638">
        <w:rPr>
          <w:color w:val="auto"/>
          <w:rtl/>
        </w:rPr>
        <w:tab/>
      </w:r>
    </w:p>
    <w:p w:rsidR="00373062" w:rsidRPr="001C4638" w:rsidRDefault="00373062" w:rsidP="00373062">
      <w:pPr>
        <w:pStyle w:val="3"/>
        <w:rPr>
          <w:color w:val="auto"/>
          <w:lang w:eastAsia="he-IL"/>
        </w:rPr>
      </w:pPr>
      <w:r w:rsidRPr="001C4638">
        <w:rPr>
          <w:rStyle w:val="23"/>
          <w:rFonts w:hint="cs"/>
          <w:color w:val="auto"/>
          <w:rtl/>
        </w:rPr>
        <w:t>מעמדה ומשקלה של תכנית המתאר</w:t>
      </w:r>
      <w:r w:rsidRPr="001C4638">
        <w:rPr>
          <w:rFonts w:hint="cs"/>
          <w:color w:val="auto"/>
          <w:rtl/>
        </w:rPr>
        <w:t xml:space="preserve">. חברי, המשנה לנשיאה, סבור כי מן החומר עולה ש"לא התפיסה בפועל הכתיבה את גבולות התכנית </w:t>
      </w:r>
      <w:r w:rsidRPr="001C4638">
        <w:rPr>
          <w:color w:val="auto"/>
          <w:rtl/>
        </w:rPr>
        <w:t>–</w:t>
      </w:r>
      <w:r w:rsidRPr="001C4638">
        <w:rPr>
          <w:rFonts w:hint="cs"/>
          <w:color w:val="auto"/>
          <w:rtl/>
        </w:rPr>
        <w:t xml:space="preserve"> כי אם התכנית היא זו שהכתיבה את גבולות התפיסה. עמדה זו משקפת עמדה שלפיה גבולות צו התפיסה אינם רלוונטיים לשאלה אם השטח תפוס או לא, אלא שטחה של התכנית המאושרת" (פסקה 94 לחוות דעתו של חברי). להבנתי, עמדה כזו אינה עולה מחומר הראיות. </w:t>
      </w:r>
    </w:p>
    <w:p w:rsidR="00373062" w:rsidRPr="001C4638" w:rsidRDefault="00373062" w:rsidP="00373062">
      <w:pPr>
        <w:pStyle w:val="afd"/>
        <w:rPr>
          <w:lang w:eastAsia="he-IL"/>
        </w:rPr>
      </w:pPr>
    </w:p>
    <w:p w:rsidR="00373062" w:rsidRPr="001C4638" w:rsidRDefault="00373062" w:rsidP="00373062">
      <w:pPr>
        <w:pStyle w:val="afd"/>
        <w:rPr>
          <w:lang w:eastAsia="he-IL"/>
        </w:rPr>
      </w:pPr>
      <w:r w:rsidRPr="001C4638">
        <w:rPr>
          <w:rFonts w:hint="cs"/>
          <w:rtl/>
        </w:rPr>
        <w:t xml:space="preserve">חברי סבור שהעמדה של "רק התכנית" עולה משתי עדויות. ראשית, דבריו של היועץ המשפטי לאזור דאז, אל"מ שלמה פוליטיס, לפיהם "שטח שתפוס לצרכים צבאיים זה לא רק השטח התפוס בפועל... ברגע שבעצם זה מופיע במסגרת התכנית... זה שטח שבעצם הוא תפוס לצרכים צבאיים". דא עקא, בהמשך עמוד הפרוטוקול שציטט חברי נשאל אל"מ פוליטיס ישירות האם כוונתו לכך שהתכנית </w:t>
      </w:r>
      <w:r w:rsidRPr="001C4638">
        <w:rPr>
          <w:rtl/>
        </w:rPr>
        <w:t>–</w:t>
      </w:r>
      <w:r w:rsidRPr="001C4638">
        <w:rPr>
          <w:rFonts w:hint="cs"/>
          <w:rtl/>
        </w:rPr>
        <w:t xml:space="preserve"> ולא הצו או התפיסה בפועל </w:t>
      </w:r>
      <w:r w:rsidRPr="001C4638">
        <w:rPr>
          <w:rtl/>
        </w:rPr>
        <w:t>–</w:t>
      </w:r>
      <w:r w:rsidRPr="001C4638">
        <w:rPr>
          <w:rFonts w:hint="cs"/>
          <w:rtl/>
        </w:rPr>
        <w:t xml:space="preserve"> היא שמכתיבה את גבולות התפיסה, ובתשובה לכך הובהר כי גם לשיטתו חייבים להיות צו או תפיסה בפועל, ואין די בתכנית המתאר: "ש. </w:t>
      </w:r>
      <w:r w:rsidRPr="001C4638">
        <w:rPr>
          <w:rtl/>
          <w:lang w:eastAsia="he-IL"/>
        </w:rPr>
        <w:t xml:space="preserve">כלומר שאם התכנית חורגת מצו </w:t>
      </w:r>
      <w:r w:rsidRPr="001C4638">
        <w:rPr>
          <w:rtl/>
        </w:rPr>
        <w:t xml:space="preserve">התפיסה, </w:t>
      </w:r>
      <w:bookmarkStart w:id="10" w:name="_ETM_Q_3139053"/>
      <w:bookmarkEnd w:id="10"/>
      <w:r w:rsidRPr="001C4638">
        <w:rPr>
          <w:rtl/>
        </w:rPr>
        <w:t xml:space="preserve">עצם קיומה תופס מקרקעין פרטיים והופך אותם לשטח תפוס מבחינה </w:t>
      </w:r>
      <w:bookmarkStart w:id="11" w:name="_ETM_Q_3145879"/>
      <w:bookmarkEnd w:id="11"/>
      <w:r w:rsidRPr="001C4638">
        <w:rPr>
          <w:rtl/>
        </w:rPr>
        <w:t>קניינית</w:t>
      </w:r>
      <w:r w:rsidRPr="001C4638">
        <w:rPr>
          <w:rFonts w:hint="cs"/>
          <w:rtl/>
        </w:rPr>
        <w:t>?" "</w:t>
      </w:r>
      <w:r w:rsidRPr="001C4638">
        <w:rPr>
          <w:rtl/>
        </w:rPr>
        <w:t xml:space="preserve">ת. </w:t>
      </w:r>
      <w:r w:rsidRPr="001C4638">
        <w:rPr>
          <w:rStyle w:val="23"/>
          <w:color w:val="auto"/>
          <w:rtl/>
        </w:rPr>
        <w:t>מבחינה קניינית, אם השטח היה תפוס בתפיסה ממשית</w:t>
      </w:r>
      <w:r w:rsidRPr="001C4638">
        <w:rPr>
          <w:rtl/>
        </w:rPr>
        <w:t xml:space="preserve">. </w:t>
      </w:r>
      <w:r w:rsidRPr="001C4638">
        <w:rPr>
          <w:rStyle w:val="23"/>
          <w:color w:val="auto"/>
          <w:rtl/>
        </w:rPr>
        <w:t xml:space="preserve">כלומר </w:t>
      </w:r>
      <w:bookmarkStart w:id="12" w:name="_ETM_Q_3152171"/>
      <w:bookmarkEnd w:id="12"/>
      <w:r w:rsidRPr="001C4638">
        <w:rPr>
          <w:rStyle w:val="23"/>
          <w:color w:val="auto"/>
          <w:rtl/>
        </w:rPr>
        <w:t>שני דברים</w:t>
      </w:r>
      <w:r w:rsidRPr="001C4638">
        <w:rPr>
          <w:rtl/>
        </w:rPr>
        <w:t xml:space="preserve">, אם יש לי תכנית של יישוב והוא נמצא </w:t>
      </w:r>
      <w:bookmarkStart w:id="13" w:name="_ETM_Q_3157525"/>
      <w:bookmarkEnd w:id="13"/>
      <w:r w:rsidRPr="001C4638">
        <w:rPr>
          <w:rtl/>
        </w:rPr>
        <w:t>באותו, השטח המסויים לא מומש אבל הוא נמצא בת</w:t>
      </w:r>
      <w:bookmarkStart w:id="14" w:name="_ETM_Q_3162229"/>
      <w:bookmarkEnd w:id="14"/>
      <w:r w:rsidRPr="001C4638">
        <w:rPr>
          <w:rtl/>
        </w:rPr>
        <w:t>חום התכנית ועל פי החלטת הממשלה, השטח תפוס לצרכים צבאיים</w:t>
      </w:r>
      <w:r w:rsidRPr="001C4638">
        <w:rPr>
          <w:rFonts w:hint="cs"/>
          <w:rtl/>
        </w:rPr>
        <w:t>" [..</w:t>
      </w:r>
      <w:r w:rsidRPr="001C4638">
        <w:rPr>
          <w:rFonts w:hint="cs"/>
          <w:rtl/>
          <w:lang w:eastAsia="he-IL"/>
        </w:rPr>
        <w:t>.] "</w:t>
      </w:r>
      <w:r w:rsidRPr="001C4638">
        <w:rPr>
          <w:rtl/>
          <w:lang w:eastAsia="he-IL"/>
        </w:rPr>
        <w:t xml:space="preserve">המפקד </w:t>
      </w:r>
      <w:bookmarkStart w:id="15" w:name="_ETM_Q_3193251"/>
      <w:bookmarkEnd w:id="15"/>
      <w:r w:rsidRPr="001C4638">
        <w:rPr>
          <w:rtl/>
          <w:lang w:eastAsia="he-IL"/>
        </w:rPr>
        <w:t>הצבאי הוא מוציא בפועל בעצם</w:t>
      </w:r>
      <w:r w:rsidRPr="001C4638">
        <w:rPr>
          <w:rFonts w:hint="cs"/>
          <w:rtl/>
          <w:lang w:eastAsia="he-IL"/>
        </w:rPr>
        <w:t xml:space="preserve">... </w:t>
      </w:r>
      <w:r w:rsidRPr="001C4638">
        <w:rPr>
          <w:rtl/>
          <w:lang w:eastAsia="he-IL"/>
        </w:rPr>
        <w:t xml:space="preserve">מי </w:t>
      </w:r>
      <w:bookmarkStart w:id="16" w:name="_ETM_Q_3204195"/>
      <w:bookmarkEnd w:id="16"/>
      <w:r w:rsidRPr="001C4638">
        <w:rPr>
          <w:rtl/>
          <w:lang w:eastAsia="he-IL"/>
        </w:rPr>
        <w:t xml:space="preserve">שבעצם בסופו של דבר מוציא את הצו ואת הצורך </w:t>
      </w:r>
      <w:bookmarkStart w:id="17" w:name="_ETM_Q_3208025"/>
      <w:bookmarkEnd w:id="17"/>
      <w:r w:rsidRPr="001C4638">
        <w:rPr>
          <w:rtl/>
          <w:lang w:eastAsia="he-IL"/>
        </w:rPr>
        <w:t xml:space="preserve">הצבאי, והוא נותן ביטוי לצורך הצבאי, זה המפקד הצבאי כמובן, </w:t>
      </w:r>
      <w:bookmarkStart w:id="18" w:name="_ETM_Q_3213205"/>
      <w:bookmarkEnd w:id="18"/>
      <w:r w:rsidRPr="001C4638">
        <w:rPr>
          <w:rtl/>
          <w:lang w:eastAsia="he-IL"/>
        </w:rPr>
        <w:t xml:space="preserve">וזה לא ראש הממשלה ולא הממשלה, וזה המפקד </w:t>
      </w:r>
      <w:bookmarkStart w:id="19" w:name="_ETM_Q_3212986"/>
      <w:bookmarkEnd w:id="19"/>
      <w:r w:rsidRPr="001C4638">
        <w:rPr>
          <w:rtl/>
          <w:lang w:eastAsia="he-IL"/>
        </w:rPr>
        <w:t>הצבאי</w:t>
      </w:r>
      <w:r w:rsidRPr="001C4638">
        <w:rPr>
          <w:rFonts w:hint="cs"/>
          <w:rtl/>
          <w:lang w:eastAsia="he-IL"/>
        </w:rPr>
        <w:t xml:space="preserve">" (עמודים 106-105 לפרוטוקול הדיון. ההדגשה נוספה). במילים אחרות, אל"מ פוליטיס הבהיר שגם לשיטתו אין די בתכנית, ולא התכנית היא שקבעה באופן בלעדי את גבולות התפיסה. </w:t>
      </w:r>
    </w:p>
    <w:p w:rsidR="00373062" w:rsidRPr="001C4638" w:rsidRDefault="00373062" w:rsidP="00373062">
      <w:pPr>
        <w:pStyle w:val="3"/>
        <w:numPr>
          <w:ilvl w:val="0"/>
          <w:numId w:val="0"/>
        </w:numPr>
        <w:rPr>
          <w:color w:val="auto"/>
          <w:rtl/>
          <w:lang w:eastAsia="he-IL"/>
        </w:rPr>
      </w:pPr>
    </w:p>
    <w:p w:rsidR="00373062" w:rsidRPr="001C4638" w:rsidRDefault="00373062" w:rsidP="00373062">
      <w:pPr>
        <w:pStyle w:val="3"/>
        <w:numPr>
          <w:ilvl w:val="0"/>
          <w:numId w:val="0"/>
        </w:numPr>
        <w:rPr>
          <w:color w:val="auto"/>
          <w:rtl/>
          <w:lang w:eastAsia="he-IL"/>
        </w:rPr>
      </w:pPr>
      <w:r w:rsidRPr="001C4638">
        <w:rPr>
          <w:color w:val="auto"/>
          <w:rtl/>
          <w:lang w:eastAsia="he-IL"/>
        </w:rPr>
        <w:tab/>
      </w:r>
      <w:r w:rsidRPr="001C4638">
        <w:rPr>
          <w:rFonts w:hint="cs"/>
          <w:color w:val="auto"/>
          <w:rtl/>
          <w:lang w:eastAsia="he-IL"/>
        </w:rPr>
        <w:t xml:space="preserve">שנית, חברי ביסס את מסקנתו על עדותו של בלומנטל, שהוזכרה לעיל, לפיה "שרטוט צו התפיסה 'לא מעניין' אותו" (פסקה 94 לחוות הדעת). ברם, מתצהירו </w:t>
      </w:r>
      <w:r w:rsidRPr="001C4638">
        <w:rPr>
          <w:rFonts w:hint="cs"/>
          <w:color w:val="auto"/>
          <w:rtl/>
          <w:lang w:eastAsia="he-IL"/>
        </w:rPr>
        <w:lastRenderedPageBreak/>
        <w:t xml:space="preserve">ומעדותו של בלומנטל לא עולה כלל העמדה לפיה גבולות התפיסה נקבעים על יסוד התכנית. מעדותו עולה כי הגישה דאז הייתה כי המפקד הצבאי תפס בפועל מקרקעין מעבר לגבולות "שרטוט צו התפיסה" (דהיינו המפה שצורפה לצו התפיסה). גישה זו לא נסמכה באופן בלעדי על קיומה של תכנית, אלא ניתן משקל רב לעדויות בשטח לתפיסה כזו. הנתון המכונן לא היה התכנית כשלעצמה, אלא התפיסה כשלעצמה, והמפה "נדחתה" מפני התפיסה בפועל ולא מפני התכנית. במסגרת בחינה זו יש חשיבות ראייתית גם לגבולות התכנית </w:t>
      </w:r>
      <w:r w:rsidRPr="001C4638">
        <w:rPr>
          <w:color w:val="auto"/>
          <w:rtl/>
          <w:lang w:eastAsia="he-IL"/>
        </w:rPr>
        <w:t>–</w:t>
      </w:r>
      <w:r w:rsidRPr="001C4638">
        <w:rPr>
          <w:rFonts w:hint="cs"/>
          <w:color w:val="auto"/>
          <w:rtl/>
          <w:lang w:eastAsia="he-IL"/>
        </w:rPr>
        <w:t xml:space="preserve"> לא כשלעצמה אלא לאור ההנחה ש"</w:t>
      </w:r>
      <w:r w:rsidRPr="001C4638">
        <w:rPr>
          <w:color w:val="auto"/>
          <w:rtl/>
        </w:rPr>
        <w:t>אלמלא היתה הקרקע תפוסה, לא היו לגביה תכניות בנות תוקף, שקיבלו את אישור כל הגורמים המקצועיים (ובהם הממונה על הרכוש הממשלתי והנטוש, מנהלת לשכת התכנון והממונה מכוח צו 997)</w:t>
      </w:r>
      <w:r w:rsidRPr="001C4638">
        <w:rPr>
          <w:rFonts w:hint="cs"/>
          <w:color w:val="auto"/>
          <w:rtl/>
        </w:rPr>
        <w:t xml:space="preserve">" (סעיף 6 לתצהיר בלומנטל). זוהי אפוא אינדיקציה ראייתית, אולם יש חשיבות גם לנתונים אחרים, כגון סימני התפיסה בשטח (ראו למשל עמוד 261 לפרוטוקול הדיון). </w:t>
      </w:r>
      <w:r w:rsidRPr="001C4638">
        <w:rPr>
          <w:rFonts w:hint="cs"/>
          <w:color w:val="auto"/>
          <w:rtl/>
          <w:lang w:eastAsia="he-IL"/>
        </w:rPr>
        <w:t xml:space="preserve">גישה זו, הרואה באישור התכנית אינדיקציה לכך שהגורמים המאשרים עיינו בחומר שהניח את דעתם, אינה מלמדת על חוסר תום לב אלא מתיישבת עם דרישה זו. </w:t>
      </w:r>
    </w:p>
    <w:p w:rsidR="00373062" w:rsidRPr="001C4638" w:rsidRDefault="00373062" w:rsidP="00373062">
      <w:pPr>
        <w:pStyle w:val="3"/>
        <w:numPr>
          <w:ilvl w:val="0"/>
          <w:numId w:val="0"/>
        </w:numPr>
        <w:rPr>
          <w:color w:val="auto"/>
          <w:rtl/>
          <w:lang w:eastAsia="he-IL"/>
        </w:rPr>
      </w:pPr>
    </w:p>
    <w:p w:rsidR="00373062" w:rsidRPr="001C4638" w:rsidRDefault="00373062" w:rsidP="00373062">
      <w:pPr>
        <w:pStyle w:val="3"/>
        <w:rPr>
          <w:color w:val="auto"/>
          <w:lang w:eastAsia="he-IL"/>
        </w:rPr>
      </w:pPr>
      <w:r w:rsidRPr="001C4638">
        <w:rPr>
          <w:rStyle w:val="23"/>
          <w:rFonts w:hint="cs"/>
          <w:color w:val="auto"/>
          <w:rtl/>
        </w:rPr>
        <w:t>המועד הרלוונטי לבחינת תום הלב</w:t>
      </w:r>
      <w:r w:rsidRPr="001C4638">
        <w:rPr>
          <w:rFonts w:hint="cs"/>
          <w:color w:val="auto"/>
          <w:rtl/>
          <w:lang w:eastAsia="he-IL"/>
        </w:rPr>
        <w:t xml:space="preserve">. בפסק הדין קבעתי כי המועד הרלוונטי לבחינת תום הלב הוא המועד שבו נחתם ההסכם ההרשאה האחרון והתקף כיום </w:t>
      </w:r>
      <w:r w:rsidRPr="001C4638">
        <w:rPr>
          <w:color w:val="auto"/>
          <w:rtl/>
          <w:lang w:eastAsia="he-IL"/>
        </w:rPr>
        <w:t>–</w:t>
      </w:r>
      <w:r w:rsidRPr="001C4638">
        <w:rPr>
          <w:rFonts w:hint="cs"/>
          <w:color w:val="auto"/>
          <w:rtl/>
          <w:lang w:eastAsia="he-IL"/>
        </w:rPr>
        <w:t xml:space="preserve"> בשנת 1997. כך </w:t>
      </w:r>
      <w:r w:rsidRPr="001C4638">
        <w:rPr>
          <w:color w:val="auto"/>
          <w:rtl/>
          <w:lang w:eastAsia="he-IL"/>
        </w:rPr>
        <w:t>–</w:t>
      </w:r>
      <w:r w:rsidRPr="001C4638">
        <w:rPr>
          <w:rFonts w:hint="cs"/>
          <w:color w:val="auto"/>
          <w:rtl/>
          <w:lang w:eastAsia="he-IL"/>
        </w:rPr>
        <w:t xml:space="preserve"> ולא רק הסכמי הרשאה קודמים. כמובן, לו היה נקבע כי "תקנת השוק" התגבשה עוד קודם לכן ניתן היה להסתפק בזאת, אולם בחוות דעתי הודגש כי גם אם זה אינו המצב </w:t>
      </w:r>
      <w:r w:rsidRPr="001C4638">
        <w:rPr>
          <w:color w:val="auto"/>
          <w:rtl/>
          <w:lang w:eastAsia="he-IL"/>
        </w:rPr>
        <w:t>–</w:t>
      </w:r>
      <w:r w:rsidRPr="001C4638">
        <w:rPr>
          <w:rFonts w:hint="cs"/>
          <w:color w:val="auto"/>
          <w:rtl/>
          <w:lang w:eastAsia="he-IL"/>
        </w:rPr>
        <w:t xml:space="preserve"> יש להוסיף ולבדוק האם התגבשה תקנת השוק במועד מאוחר יותר. הטעם לכך הוא שגם אם נניח כי בשנים עברו, לא חל סעיף 5 על הסכמי ההרשאה (ויוזכר כי בית המשפט המחוזי קבע כי הסעיף חל כבר על הסכם ההרשאה הראשון, בתחילת שנות השמונים) </w:t>
      </w:r>
      <w:r w:rsidRPr="001C4638">
        <w:rPr>
          <w:color w:val="auto"/>
          <w:rtl/>
          <w:lang w:eastAsia="he-IL"/>
        </w:rPr>
        <w:t>–</w:t>
      </w:r>
      <w:r w:rsidRPr="001C4638">
        <w:rPr>
          <w:rFonts w:hint="cs"/>
          <w:color w:val="auto"/>
          <w:rtl/>
          <w:lang w:eastAsia="he-IL"/>
        </w:rPr>
        <w:t xml:space="preserve"> אין לשלול את האפשרות שתקנת השוק לא תחול על עסקה מסוימת אך כן תחול על עסקה אחרת ומאוחרת באותם מקרקעין, לאחר חלוף שנים ושינוי הנפשות הפועלות והנסיבות. גם חברי המשנה לנשיאה מסכים כי בחלוף השנים ה"אור האדום" שנשקף, לדעתו, מתכנית המתאר </w:t>
      </w:r>
      <w:r w:rsidRPr="001C4638">
        <w:rPr>
          <w:color w:val="auto"/>
          <w:rtl/>
          <w:lang w:eastAsia="he-IL"/>
        </w:rPr>
        <w:t>–</w:t>
      </w:r>
      <w:r w:rsidRPr="001C4638">
        <w:rPr>
          <w:rFonts w:hint="cs"/>
          <w:color w:val="auto"/>
          <w:rtl/>
          <w:lang w:eastAsia="he-IL"/>
        </w:rPr>
        <w:t xml:space="preserve"> "עומעם" ו"אין תימה כי בשלב זה היו גורמים שסברו כי עצם קיומן של תכניות מאושרות ביחס לקרקע... מלמד שמדובר בקרקע תפוסה" (פסקה 92 לחוות דעתו). בנוסף לכך, קבעתי בחוות דעתי כי נכון אני להניח שתקנת השוק לא השתכללה באופן סופי עד למועד שבו מוקם היישוב מצפה כרמים במיקומו הנוכחי </w:t>
      </w:r>
      <w:r w:rsidRPr="001C4638">
        <w:rPr>
          <w:color w:val="auto"/>
          <w:rtl/>
          <w:lang w:eastAsia="he-IL"/>
        </w:rPr>
        <w:t>–</w:t>
      </w:r>
      <w:r w:rsidRPr="001C4638">
        <w:rPr>
          <w:rFonts w:hint="cs"/>
          <w:color w:val="auto"/>
          <w:rtl/>
          <w:lang w:eastAsia="he-IL"/>
        </w:rPr>
        <w:t xml:space="preserve"> ככל הנראה בסוף שנת 1999 או תחילת שנת 2000. זאת, לנוכח שאלות משפטיות ועובדתיות שונות ביחס לתחולת סעיף 5 לצו על הסכם ההרשאה בין הסוכנות היהודית לממונה קודם שהסתמכו תושבי מצפה כרמים על ההסכם. ביחס לקביעה אחרונה זו העלה חברי המשנה לנשיאה מספר סימני שאלה. אבהיר אפוא גם נקודה זו. </w:t>
      </w:r>
    </w:p>
    <w:p w:rsidR="00373062" w:rsidRPr="001C4638" w:rsidRDefault="00373062" w:rsidP="00373062">
      <w:pPr>
        <w:pStyle w:val="3"/>
        <w:numPr>
          <w:ilvl w:val="0"/>
          <w:numId w:val="0"/>
        </w:numPr>
        <w:rPr>
          <w:color w:val="auto"/>
          <w:rtl/>
          <w:lang w:eastAsia="he-IL"/>
        </w:rPr>
      </w:pPr>
    </w:p>
    <w:p w:rsidR="00373062" w:rsidRPr="001C4638" w:rsidRDefault="00373062" w:rsidP="00373062">
      <w:pPr>
        <w:pStyle w:val="3"/>
        <w:numPr>
          <w:ilvl w:val="0"/>
          <w:numId w:val="0"/>
        </w:numPr>
        <w:rPr>
          <w:color w:val="auto"/>
          <w:rtl/>
          <w:lang w:eastAsia="he-IL"/>
        </w:rPr>
      </w:pPr>
      <w:r w:rsidRPr="001C4638">
        <w:rPr>
          <w:color w:val="auto"/>
          <w:rtl/>
          <w:lang w:eastAsia="he-IL"/>
        </w:rPr>
        <w:lastRenderedPageBreak/>
        <w:tab/>
      </w:r>
      <w:r w:rsidRPr="001C4638">
        <w:rPr>
          <w:rFonts w:hint="cs"/>
          <w:color w:val="auto"/>
          <w:rtl/>
          <w:lang w:eastAsia="he-IL"/>
        </w:rPr>
        <w:t xml:space="preserve">חברי העלה ספק האם במועד מאוחר זה ניתן היה לדבר על "עסקה" (שם). התשובה לשאלה זו היא שהעסקה הרלוונטית לסעיף 5 היא הסכם ההרשאה משנת 1997. ברם, לא תמיד חלה תקנת השוק במועד ביצוע העסקה. כך, למשל, במקרה שבו בוצעה עסקת מקרקעין בישראל, תוך הסתמכות על מרשם המקרקעין בתום לב, אולם נקבע כי התמורה תשולם בתוך שנתיים. אם התברר קודם לתשלום התמורה כי הרישום שגוי </w:t>
      </w:r>
      <w:r w:rsidRPr="001C4638">
        <w:rPr>
          <w:color w:val="auto"/>
          <w:rtl/>
          <w:lang w:eastAsia="he-IL"/>
        </w:rPr>
        <w:t>–</w:t>
      </w:r>
      <w:r w:rsidRPr="001C4638">
        <w:rPr>
          <w:rFonts w:hint="cs"/>
          <w:color w:val="auto"/>
          <w:rtl/>
          <w:lang w:eastAsia="he-IL"/>
        </w:rPr>
        <w:t xml:space="preserve"> יש אחיזה לעמדה שהרוכש </w:t>
      </w:r>
      <w:r w:rsidRPr="001C4638">
        <w:rPr>
          <w:color w:val="auto"/>
          <w:rtl/>
          <w:lang w:eastAsia="he-IL"/>
        </w:rPr>
        <w:t>–</w:t>
      </w:r>
      <w:r w:rsidRPr="001C4638">
        <w:rPr>
          <w:rFonts w:hint="cs"/>
          <w:color w:val="auto"/>
          <w:rtl/>
          <w:lang w:eastAsia="he-IL"/>
        </w:rPr>
        <w:t xml:space="preserve"> שטרם שילם </w:t>
      </w:r>
      <w:r w:rsidRPr="001C4638">
        <w:rPr>
          <w:color w:val="auto"/>
          <w:rtl/>
          <w:lang w:eastAsia="he-IL"/>
        </w:rPr>
        <w:t>–</w:t>
      </w:r>
      <w:r w:rsidRPr="001C4638">
        <w:rPr>
          <w:rFonts w:hint="cs"/>
          <w:color w:val="auto"/>
          <w:rtl/>
          <w:lang w:eastAsia="he-IL"/>
        </w:rPr>
        <w:t xml:space="preserve"> לא יגבר על בעל המקרקעין. באופן דומה, אפשר לטעון שתקנת השוק מכוח סעיף 5 טרם "התגבשה" ביחס למקרקעין מושא המחלוקת עד להסתמכות התושבים על ההסכם </w:t>
      </w:r>
      <w:r w:rsidRPr="001C4638">
        <w:rPr>
          <w:color w:val="auto"/>
          <w:rtl/>
          <w:lang w:eastAsia="he-IL"/>
        </w:rPr>
        <w:t>–</w:t>
      </w:r>
      <w:r w:rsidRPr="001C4638">
        <w:rPr>
          <w:rFonts w:hint="cs"/>
          <w:color w:val="auto"/>
          <w:rtl/>
          <w:lang w:eastAsia="he-IL"/>
        </w:rPr>
        <w:t xml:space="preserve"> זאת הגם שההסכם עצמו נחתם בשנת 1997. </w:t>
      </w:r>
    </w:p>
    <w:p w:rsidR="00373062" w:rsidRPr="001C4638" w:rsidRDefault="00373062" w:rsidP="00373062">
      <w:pPr>
        <w:pStyle w:val="3"/>
        <w:numPr>
          <w:ilvl w:val="0"/>
          <w:numId w:val="0"/>
        </w:numPr>
        <w:rPr>
          <w:color w:val="auto"/>
          <w:rtl/>
          <w:lang w:eastAsia="he-IL"/>
        </w:rPr>
      </w:pPr>
    </w:p>
    <w:p w:rsidR="00373062" w:rsidRPr="001C4638" w:rsidRDefault="00373062" w:rsidP="00373062">
      <w:pPr>
        <w:pStyle w:val="3"/>
        <w:numPr>
          <w:ilvl w:val="0"/>
          <w:numId w:val="0"/>
        </w:numPr>
        <w:rPr>
          <w:color w:val="auto"/>
          <w:rtl/>
          <w:lang w:eastAsia="he-IL"/>
        </w:rPr>
      </w:pPr>
      <w:r w:rsidRPr="001C4638">
        <w:rPr>
          <w:color w:val="auto"/>
          <w:rtl/>
          <w:lang w:eastAsia="he-IL"/>
        </w:rPr>
        <w:tab/>
      </w:r>
      <w:r w:rsidRPr="001C4638">
        <w:rPr>
          <w:rFonts w:hint="cs"/>
          <w:color w:val="auto"/>
          <w:rtl/>
          <w:lang w:eastAsia="he-IL"/>
        </w:rPr>
        <w:t xml:space="preserve">תמיהות נוספות של חברי נגעו למעמד הבירורים שבוצעו בשנת 1999 ביחס למיקום הגדר בשטח (פסקאות 94-93 לחוות דעתו). כפי שכתבתי בחוות דעתי בפסק הדין, הבירורים שבוצעו רלוונטיים בשתי צורות. ראשית, יש בהתנהלות הצדדים בשנת 1999 כדי לשפוך אור על תום לבם גם בשנת 1997, באותו אופן שבו ניתן ללמוד מהתנהגות צדדים לחוזה לאחר כריתתו מה היה אומד דעתם בעת הכריתה. כך, למשל, ביצוע הבדיקות בשנת 1999 מלמד כי "גישת התפיסה בפועל" לא נסמכה רק על עצם קיומה של תכנית אלא גם על המצב בשטח, ומציאת הסימון בשטח מלמדת על כך שהיה יסוד בשטח לעמדה </w:t>
      </w:r>
      <w:r w:rsidRPr="001C4638">
        <w:rPr>
          <w:color w:val="auto"/>
          <w:rtl/>
          <w:lang w:eastAsia="he-IL"/>
        </w:rPr>
        <w:t>–</w:t>
      </w:r>
      <w:r w:rsidRPr="001C4638">
        <w:rPr>
          <w:rFonts w:hint="cs"/>
          <w:color w:val="auto"/>
          <w:rtl/>
          <w:lang w:eastAsia="he-IL"/>
        </w:rPr>
        <w:t xml:space="preserve"> לאורך כל שנות התשעים </w:t>
      </w:r>
      <w:r w:rsidRPr="001C4638">
        <w:rPr>
          <w:color w:val="auto"/>
          <w:rtl/>
          <w:lang w:eastAsia="he-IL"/>
        </w:rPr>
        <w:t>–</w:t>
      </w:r>
      <w:r w:rsidRPr="001C4638">
        <w:rPr>
          <w:rFonts w:hint="cs"/>
          <w:color w:val="auto"/>
          <w:rtl/>
          <w:lang w:eastAsia="he-IL"/>
        </w:rPr>
        <w:t xml:space="preserve"> לפיה התפיסה בפועל חרגה מגבולות המפה שצורפה לצו התפיסה. שנית, ככל שתקנת השוק לא התגבשה עד למועד העברת היישוב למיקומו הנוכחי, הרי שתום הלב נבחן עד למועד זה. אם היה מתברר </w:t>
      </w:r>
      <w:r w:rsidRPr="001C4638">
        <w:rPr>
          <w:color w:val="auto"/>
          <w:rtl/>
          <w:lang w:eastAsia="he-IL"/>
        </w:rPr>
        <w:t>–</w:t>
      </w:r>
      <w:r w:rsidRPr="001C4638">
        <w:rPr>
          <w:rFonts w:hint="cs"/>
          <w:color w:val="auto"/>
          <w:rtl/>
          <w:lang w:eastAsia="he-IL"/>
        </w:rPr>
        <w:t xml:space="preserve"> כפי שאכן נטען </w:t>
      </w:r>
      <w:r w:rsidRPr="001C4638">
        <w:rPr>
          <w:color w:val="auto"/>
          <w:rtl/>
          <w:lang w:eastAsia="he-IL"/>
        </w:rPr>
        <w:t>–</w:t>
      </w:r>
      <w:r w:rsidRPr="001C4638">
        <w:rPr>
          <w:rFonts w:hint="cs"/>
          <w:color w:val="auto"/>
          <w:rtl/>
          <w:lang w:eastAsia="he-IL"/>
        </w:rPr>
        <w:t xml:space="preserve"> שחומר הראיות מלמד על חוסר תום לב סביב העברת מיקום היישוב, היה בכך (במסגרת קו זה) לשלול את תחולת סעיף 5. מכאן שיש לבחון גם את התנהלות הצדדים במועד המאוחר. לשון אחר, בחינת ההתנהלות בשנת 1999 אינה מתוך הנחה שתום לב במועד זה היה יכול "לרפא" חוסר תום לב שנלווה לכריתת הסכם ההרשאה בשנת 1997, אלא להפך </w:t>
      </w:r>
      <w:r w:rsidRPr="001C4638">
        <w:rPr>
          <w:color w:val="auto"/>
          <w:rtl/>
          <w:lang w:eastAsia="he-IL"/>
        </w:rPr>
        <w:t>–</w:t>
      </w:r>
      <w:r w:rsidRPr="001C4638">
        <w:rPr>
          <w:rFonts w:hint="cs"/>
          <w:color w:val="auto"/>
          <w:rtl/>
          <w:lang w:eastAsia="he-IL"/>
        </w:rPr>
        <w:t xml:space="preserve"> כדי לבחון האם במועד המאוחר פעלו הצדדים בחוסר תום לב ששולל את תחולת סעיף 5 על המקרה (בהנחה שקודם לכן לא התגבשה תקנת השוק). לגוף העניין, קבעתי בחוות דעתי כי ההתנהלות המאוחרת מעידה גם היא על תום הלב של הצדדים, הן בשנת 1997 והן בשנת 1999. </w:t>
      </w:r>
    </w:p>
    <w:p w:rsidR="00373062" w:rsidRPr="001C4638" w:rsidRDefault="00373062" w:rsidP="00373062">
      <w:pPr>
        <w:pStyle w:val="3"/>
        <w:numPr>
          <w:ilvl w:val="0"/>
          <w:numId w:val="0"/>
        </w:numPr>
        <w:rPr>
          <w:color w:val="auto"/>
          <w:rtl/>
          <w:lang w:eastAsia="he-IL"/>
        </w:rPr>
      </w:pPr>
    </w:p>
    <w:p w:rsidR="00373062" w:rsidRPr="001C4638" w:rsidRDefault="00373062" w:rsidP="00373062">
      <w:pPr>
        <w:pStyle w:val="3"/>
        <w:rPr>
          <w:color w:val="auto"/>
        </w:rPr>
      </w:pPr>
      <w:r w:rsidRPr="001C4638">
        <w:rPr>
          <w:rFonts w:hint="cs"/>
          <w:color w:val="auto"/>
          <w:rtl/>
          <w:lang w:eastAsia="he-IL"/>
        </w:rPr>
        <w:t xml:space="preserve">סוף דבר, </w:t>
      </w:r>
      <w:r w:rsidRPr="001C4638">
        <w:rPr>
          <w:rFonts w:hint="cs"/>
          <w:color w:val="auto"/>
          <w:rtl/>
        </w:rPr>
        <w:t xml:space="preserve">תיק זה עוסק </w:t>
      </w:r>
      <w:r w:rsidRPr="001C4638">
        <w:rPr>
          <w:color w:val="auto"/>
          <w:rtl/>
        </w:rPr>
        <w:t>בתאונה משפטית</w:t>
      </w:r>
      <w:r w:rsidRPr="001C4638">
        <w:rPr>
          <w:rFonts w:hint="cs"/>
          <w:color w:val="auto"/>
          <w:rtl/>
        </w:rPr>
        <w:t xml:space="preserve">. סעיף 5 לצו קובע כי ההכרעה בדבר תוצאות התאונה נגזרת, בין היתר, מדרישת תום הלב </w:t>
      </w:r>
      <w:r w:rsidRPr="001C4638">
        <w:rPr>
          <w:color w:val="auto"/>
          <w:rtl/>
        </w:rPr>
        <w:t>–</w:t>
      </w:r>
      <w:r w:rsidRPr="001C4638">
        <w:rPr>
          <w:rFonts w:hint="cs"/>
          <w:color w:val="auto"/>
          <w:rtl/>
        </w:rPr>
        <w:t xml:space="preserve"> לא רק של מי שרכש את הזכויות מאת הממונה, אלא גם של הממונה עצמו. לאחרון תפקיד כפול: גורם מינהלי וצד לעסקה. כפל התפקידים מתבטא גם בחובות שונות במסגרת כל תפקיד. כגורם מינהלי, עליו לפעול לפי כל כללי המשפט המינהלי, לרבות החובה שלא להתרשל. כמתקשר </w:t>
      </w:r>
      <w:r w:rsidRPr="001C4638">
        <w:rPr>
          <w:rFonts w:hint="cs"/>
          <w:color w:val="auto"/>
          <w:rtl/>
        </w:rPr>
        <w:lastRenderedPageBreak/>
        <w:t xml:space="preserve">בעסקה עליו לפעול "בתום לב", כלשון סעיף 5. תום לב לחוד ורשלנות לחוד. ודוקו, בכל הנוגע לסוגיות של רשלנות יש להעריך את פעולתו של מזיק בשעת המעשה. הדרישה מבית חולים כיום, במסגרת חובתו על פי דיני הנזיקין, אינה זהה לדרישה מבית החולים לפני עשרים שנה. אם כך ברשלנות, על אחת כמה וכמה בכל הנוגע להערכת תום הלב, שבגדרו יש מקום רב יותר לנקודת המבט הסובייקטיבית של הצדדים לעסקה. </w:t>
      </w:r>
    </w:p>
    <w:p w:rsidR="00373062" w:rsidRPr="001C4638" w:rsidRDefault="00373062" w:rsidP="00373062">
      <w:pPr>
        <w:pStyle w:val="3"/>
        <w:numPr>
          <w:ilvl w:val="0"/>
          <w:numId w:val="0"/>
        </w:numPr>
        <w:rPr>
          <w:color w:val="auto"/>
          <w:rtl/>
        </w:rPr>
      </w:pPr>
    </w:p>
    <w:p w:rsidR="00373062" w:rsidRPr="001C4638" w:rsidRDefault="00373062" w:rsidP="00373062">
      <w:pPr>
        <w:pStyle w:val="afd"/>
      </w:pPr>
      <w:r w:rsidRPr="001C4638">
        <w:rPr>
          <w:rFonts w:hint="cs"/>
          <w:rtl/>
        </w:rPr>
        <w:t xml:space="preserve">לשיטתי חובת תום הלב המוטלת על הצדדים צריכה להיקבע בהתאם לתכלית הסעיף המטיל אותה. סעיף 5 לצו </w:t>
      </w:r>
      <w:r w:rsidRPr="001C4638">
        <w:rPr>
          <w:rtl/>
        </w:rPr>
        <w:t>–</w:t>
      </w:r>
      <w:r w:rsidRPr="001C4638">
        <w:rPr>
          <w:rFonts w:hint="cs"/>
          <w:rtl/>
        </w:rPr>
        <w:t xml:space="preserve"> בדומה לתקנות שוק אחרות </w:t>
      </w:r>
      <w:r w:rsidRPr="001C4638">
        <w:rPr>
          <w:rtl/>
        </w:rPr>
        <w:t>–</w:t>
      </w:r>
      <w:r w:rsidRPr="001C4638">
        <w:rPr>
          <w:rFonts w:hint="cs"/>
          <w:rtl/>
        </w:rPr>
        <w:t xml:space="preserve"> אינו מורה לבחון את "מאזן הנזק" בין הצדדים לתאונה המשפטית. ברם, תכליתו </w:t>
      </w:r>
      <w:r w:rsidRPr="001C4638">
        <w:rPr>
          <w:rtl/>
        </w:rPr>
        <w:t>–</w:t>
      </w:r>
      <w:r w:rsidRPr="001C4638">
        <w:rPr>
          <w:rFonts w:hint="cs"/>
          <w:rtl/>
        </w:rPr>
        <w:t xml:space="preserve"> שלאורה יש לפרש את הסעיף </w:t>
      </w:r>
      <w:r w:rsidRPr="001C4638">
        <w:rPr>
          <w:rtl/>
        </w:rPr>
        <w:t>–</w:t>
      </w:r>
      <w:r w:rsidRPr="001C4638">
        <w:rPr>
          <w:rFonts w:hint="cs"/>
          <w:rtl/>
        </w:rPr>
        <w:t xml:space="preserve"> היא גם להגן על מי שהתקשר עם הממונה. תכלית זו מודעת להשלכות המעשיות שיכולות להיות, כבמקרנו, לקביעה שתקנת השוק אינה חלה על ההתקשרות. פעמים רבות, אם לא תמיד, ההתקשרות עם הממונה אינה אלא שלב בדרך להתקשרות נוספת עם גורם שלישי שמסתמך על ההתקשרות עם הממונה. כאן, הצדדים הישירים להסכם ההרשאה </w:t>
      </w:r>
      <w:r w:rsidRPr="001C4638">
        <w:rPr>
          <w:rtl/>
        </w:rPr>
        <w:t>–</w:t>
      </w:r>
      <w:r w:rsidRPr="001C4638">
        <w:rPr>
          <w:rFonts w:hint="cs"/>
          <w:rtl/>
        </w:rPr>
        <w:t xml:space="preserve"> הממונה וההסתדרות הציונית </w:t>
      </w:r>
      <w:r w:rsidRPr="001C4638">
        <w:rPr>
          <w:rtl/>
        </w:rPr>
        <w:t>–</w:t>
      </w:r>
      <w:r w:rsidRPr="001C4638">
        <w:rPr>
          <w:rFonts w:hint="cs"/>
          <w:rtl/>
        </w:rPr>
        <w:t xml:space="preserve"> הם גורמים שפועלים בספירה הציבורית. אולם ניתן לצפות, ולו ברמה העובדתית, שהתאונה המשפטית תשפיע על צדדים נוספים שהם אנשים פרטיים, שאף עלולים לאבד את ביתם. כאמור, עמדתי היא כי יש לבחון את סעיף 5 על פי תכליתו, שמתייחסת לצדדים לעסקה. ואכן, מיקוד בצדדים הישירים להסכם ההרשאה על פי מצוות סעיף 5, מוביל </w:t>
      </w:r>
      <w:r w:rsidRPr="001C4638">
        <w:rPr>
          <w:rtl/>
        </w:rPr>
        <w:t>–</w:t>
      </w:r>
      <w:r w:rsidRPr="001C4638">
        <w:rPr>
          <w:rFonts w:hint="cs"/>
          <w:rtl/>
        </w:rPr>
        <w:t xml:space="preserve"> מבחינת הנסיבות, הפרשנות התכליתית, ויישום של תום לב </w:t>
      </w:r>
      <w:r w:rsidRPr="001C4638">
        <w:rPr>
          <w:rtl/>
        </w:rPr>
        <w:t>–</w:t>
      </w:r>
      <w:r>
        <w:rPr>
          <w:rFonts w:hint="cs"/>
          <w:rtl/>
        </w:rPr>
        <w:t xml:space="preserve"> </w:t>
      </w:r>
      <w:r w:rsidRPr="001C4638">
        <w:rPr>
          <w:rFonts w:hint="cs"/>
          <w:rtl/>
        </w:rPr>
        <w:t xml:space="preserve">למסקנה שסעיף 5 חל על נסיבות העניין. </w:t>
      </w:r>
    </w:p>
    <w:p w:rsidR="00373062" w:rsidRPr="009B264E" w:rsidRDefault="00373062" w:rsidP="00373062">
      <w:pPr>
        <w:pStyle w:val="afd"/>
        <w:rPr>
          <w:lang w:eastAsia="he-IL"/>
        </w:rPr>
      </w:pPr>
    </w:p>
    <w:p w:rsidR="00373062" w:rsidRPr="009B264E" w:rsidRDefault="00373062" w:rsidP="00373062">
      <w:pPr>
        <w:pStyle w:val="3"/>
        <w:rPr>
          <w:color w:val="auto"/>
          <w:rtl/>
        </w:rPr>
      </w:pPr>
      <w:r>
        <w:rPr>
          <w:rFonts w:hint="cs"/>
          <w:color w:val="auto"/>
          <w:rtl/>
        </w:rPr>
        <w:t xml:space="preserve">לאחר הדברים האלה: </w:t>
      </w:r>
      <w:r w:rsidRPr="009B264E">
        <w:rPr>
          <w:rFonts w:hint="cs"/>
          <w:color w:val="auto"/>
          <w:rtl/>
        </w:rPr>
        <w:t xml:space="preserve">בתגובתו לחוות דעת זו סבור חברי, המשנה לנשיאה, כי בכל מקרה לא </w:t>
      </w:r>
      <w:r>
        <w:rPr>
          <w:rFonts w:hint="cs"/>
          <w:color w:val="auto"/>
          <w:rtl/>
        </w:rPr>
        <w:t>הוכח</w:t>
      </w:r>
      <w:r w:rsidRPr="009B264E">
        <w:rPr>
          <w:rFonts w:hint="cs"/>
          <w:color w:val="auto"/>
          <w:rtl/>
        </w:rPr>
        <w:t>ה</w:t>
      </w:r>
      <w:r>
        <w:rPr>
          <w:rFonts w:hint="cs"/>
          <w:color w:val="auto"/>
          <w:rtl/>
        </w:rPr>
        <w:t xml:space="preserve"> </w:t>
      </w:r>
      <w:r w:rsidRPr="009B264E">
        <w:rPr>
          <w:rFonts w:hint="cs"/>
          <w:color w:val="auto"/>
          <w:rtl/>
        </w:rPr>
        <w:t>"הסתמכות" של צד שלישי על הסכם ההרשאה</w:t>
      </w:r>
      <w:r>
        <w:rPr>
          <w:rFonts w:hint="cs"/>
          <w:color w:val="auto"/>
          <w:rtl/>
        </w:rPr>
        <w:t xml:space="preserve"> </w:t>
      </w:r>
      <w:r w:rsidRPr="009B264E">
        <w:rPr>
          <w:rFonts w:hint="cs"/>
          <w:color w:val="auto"/>
          <w:rtl/>
        </w:rPr>
        <w:t xml:space="preserve">בשנת 1999 או 2000. שלוש תשובות לכך. האחת במישור העובדתי. בעניין זה די להפנות את הקורא לממצאים העובדתיים שנקבעו בבית המשפט המחוזי, לרבות הקמת היישוב מצפה כרמים במועד זה בליווי וסיוע של גורמים מטעם המפקד הצבאי ומטעם ההסתדרות. השנייה, במישור העיוני המובהק. כפי שציינתי, עמדתי היא כי יש לפרש את סעיף 5 פרשנות תכליתית, ולא פרשנות מצמצמת. זה הבסיס למבחן בחוק, ומשקיים מבחן בחוק </w:t>
      </w:r>
      <w:r w:rsidRPr="009B264E">
        <w:rPr>
          <w:color w:val="auto"/>
          <w:rtl/>
        </w:rPr>
        <w:t>–</w:t>
      </w:r>
      <w:r w:rsidRPr="009B264E">
        <w:rPr>
          <w:rFonts w:hint="cs"/>
          <w:color w:val="auto"/>
          <w:rtl/>
        </w:rPr>
        <w:t xml:space="preserve"> לא בוחנים אותו מחדש </w:t>
      </w:r>
      <w:r>
        <w:rPr>
          <w:rFonts w:hint="cs"/>
          <w:color w:val="auto"/>
          <w:rtl/>
        </w:rPr>
        <w:t>ב</w:t>
      </w:r>
      <w:r w:rsidRPr="009B264E">
        <w:rPr>
          <w:rFonts w:hint="cs"/>
          <w:color w:val="auto"/>
          <w:rtl/>
        </w:rPr>
        <w:t xml:space="preserve">כל פעם על פי עובדות המקרה הקונקרטיות. עמדה זו משייכת את סעיף 5 למשפחה של מקרים בהם התרחשה תאונה משפטית ויש צורך לדון בתקנת השוק או מעין תקנת השוק. השלישית היא עיונית קונקרטית. הדגשתי כי מבחן תום הלב ייעשה בפריזמה של הצדדים הישירים לחוזה, שהם הממונה וההסתדרות. כך נהגתי בהגיעי למסקנה אליה הגעתי, לפיה הצדדים פעלו בתום לב. ואולם ניתן גם ניתן שלא להתעלם מעובדות המקרה. תאונה משפטית, כמו כל תאונה, בכוחה לפגוע גם במי שאינו הצד </w:t>
      </w:r>
      <w:r w:rsidRPr="009B264E">
        <w:rPr>
          <w:rFonts w:hint="cs"/>
          <w:color w:val="auto"/>
          <w:rtl/>
        </w:rPr>
        <w:lastRenderedPageBreak/>
        <w:t xml:space="preserve">הישיר לתאונה </w:t>
      </w:r>
      <w:r w:rsidRPr="009B264E">
        <w:rPr>
          <w:color w:val="auto"/>
          <w:rtl/>
        </w:rPr>
        <w:t>–</w:t>
      </w:r>
      <w:r w:rsidRPr="009B264E">
        <w:rPr>
          <w:rFonts w:hint="cs"/>
          <w:color w:val="auto"/>
          <w:rtl/>
        </w:rPr>
        <w:t xml:space="preserve"> ובמקרה זה הצדדים שחתמו על הסכם ההרשאה. גם אם יסבור מי שיסבור כי תושבי מצפה כרמים מצויים ברקע, עדיין הם בתמונה. וארחיב מה. </w:t>
      </w:r>
    </w:p>
    <w:p w:rsidR="00373062" w:rsidRPr="009B264E" w:rsidRDefault="00373062" w:rsidP="00373062">
      <w:pPr>
        <w:pStyle w:val="3"/>
        <w:numPr>
          <w:ilvl w:val="0"/>
          <w:numId w:val="0"/>
        </w:numPr>
        <w:rPr>
          <w:color w:val="auto"/>
          <w:rtl/>
        </w:rPr>
      </w:pPr>
    </w:p>
    <w:p w:rsidR="00373062" w:rsidRPr="00F61239" w:rsidRDefault="00373062" w:rsidP="00373062">
      <w:pPr>
        <w:pStyle w:val="3"/>
        <w:numPr>
          <w:ilvl w:val="0"/>
          <w:numId w:val="0"/>
        </w:numPr>
        <w:rPr>
          <w:color w:val="auto"/>
          <w:rtl/>
        </w:rPr>
      </w:pPr>
      <w:r>
        <w:rPr>
          <w:color w:val="auto"/>
          <w:rtl/>
        </w:rPr>
        <w:tab/>
      </w:r>
      <w:r w:rsidRPr="009B264E">
        <w:rPr>
          <w:rFonts w:hint="cs"/>
          <w:color w:val="auto"/>
          <w:rtl/>
        </w:rPr>
        <w:t xml:space="preserve">הייתי נכון להניח כי תקנת השוק התגבשה באופן סופי </w:t>
      </w:r>
      <w:r w:rsidRPr="009B264E">
        <w:rPr>
          <w:color w:val="auto"/>
          <w:rtl/>
        </w:rPr>
        <w:t>–</w:t>
      </w:r>
      <w:r w:rsidRPr="009B264E">
        <w:rPr>
          <w:rFonts w:hint="cs"/>
          <w:color w:val="auto"/>
          <w:rtl/>
        </w:rPr>
        <w:t xml:space="preserve"> מבחינת היבט ה"תמורה" או ההסתמכות </w:t>
      </w:r>
      <w:r w:rsidRPr="009B264E">
        <w:rPr>
          <w:color w:val="auto"/>
          <w:rtl/>
        </w:rPr>
        <w:t>–</w:t>
      </w:r>
      <w:r w:rsidRPr="009B264E">
        <w:rPr>
          <w:rFonts w:hint="cs"/>
          <w:color w:val="auto"/>
          <w:rtl/>
        </w:rPr>
        <w:t xml:space="preserve"> רק עם הסתמכותם של צדדים שלישיים על הסכם ההרשאה, בעת העברת היישוב למיקומו הנוכחי; אולם אותה הסתמכות (בסוף שנת 1999 או תחילת שנת 2000) אינה תלויה בזהות של כל אחד ואחד מיושבי מצפה כרמים </w:t>
      </w:r>
      <w:r w:rsidRPr="009B264E">
        <w:rPr>
          <w:rStyle w:val="23"/>
          <w:rFonts w:hint="cs"/>
          <w:color w:val="auto"/>
          <w:rtl/>
        </w:rPr>
        <w:t>כיום</w:t>
      </w:r>
      <w:r w:rsidRPr="009B264E">
        <w:rPr>
          <w:rFonts w:hint="cs"/>
          <w:color w:val="auto"/>
          <w:rtl/>
        </w:rPr>
        <w:t xml:space="preserve">. ההסתמכות של התושבים באותן שנים </w:t>
      </w:r>
      <w:r w:rsidRPr="009B264E">
        <w:rPr>
          <w:color w:val="auto"/>
          <w:rtl/>
        </w:rPr>
        <w:t>–</w:t>
      </w:r>
      <w:r w:rsidRPr="009B264E">
        <w:rPr>
          <w:rFonts w:hint="cs"/>
          <w:color w:val="auto"/>
          <w:rtl/>
        </w:rPr>
        <w:t xml:space="preserve"> שהתבטאה בהקמת היישוב בליווי גורמים מטעם </w:t>
      </w:r>
      <w:r>
        <w:rPr>
          <w:rFonts w:hint="cs"/>
          <w:color w:val="auto"/>
          <w:rtl/>
        </w:rPr>
        <w:t>המפקד הצבאי</w:t>
      </w:r>
      <w:r w:rsidRPr="009B264E">
        <w:rPr>
          <w:rFonts w:hint="cs"/>
          <w:color w:val="auto"/>
          <w:rtl/>
        </w:rPr>
        <w:t xml:space="preserve"> וההסתדרות </w:t>
      </w:r>
      <w:r w:rsidRPr="009B264E">
        <w:rPr>
          <w:color w:val="auto"/>
          <w:rtl/>
        </w:rPr>
        <w:t>–</w:t>
      </w:r>
      <w:r w:rsidRPr="009B264E">
        <w:rPr>
          <w:rFonts w:hint="cs"/>
          <w:color w:val="auto"/>
          <w:rtl/>
        </w:rPr>
        <w:t xml:space="preserve"> גרמה להשתכללות הזכויות של ההסתדרות מכוח הסכם ההרשאה, ככל שאלה לא השתכללו קודם לכן, והעובדה שתושבי היישוב התחלפו עם השנים אינה פוגעת בזכויות ההסתדרות מתוקף הסכם ההרשאה. פועלו של סעיף 5 לצו, בדומה </w:t>
      </w:r>
      <w:r w:rsidRPr="00F61239">
        <w:rPr>
          <w:rFonts w:hint="cs"/>
          <w:color w:val="auto"/>
          <w:rtl/>
        </w:rPr>
        <w:t>לפעולתם של סעיפים דומים בחקיקה בישראל, לצו הוא "קנייני". כך במובן זה שהוא אינו יוצר אך ורק זכות אישית שאינה ניתנת להעברה, כפי אפשר להבין מעמדתו של חברי.</w:t>
      </w:r>
    </w:p>
    <w:p w:rsidR="00373062" w:rsidRPr="00F61239" w:rsidRDefault="00373062" w:rsidP="00373062">
      <w:pPr>
        <w:pStyle w:val="3"/>
        <w:numPr>
          <w:ilvl w:val="0"/>
          <w:numId w:val="0"/>
        </w:numPr>
        <w:rPr>
          <w:color w:val="auto"/>
        </w:rPr>
      </w:pPr>
    </w:p>
    <w:p w:rsidR="00373062" w:rsidRPr="00F61239" w:rsidRDefault="00373062" w:rsidP="00373062">
      <w:pPr>
        <w:pStyle w:val="3"/>
        <w:rPr>
          <w:color w:val="auto"/>
          <w:rtl/>
        </w:rPr>
      </w:pPr>
      <w:r w:rsidRPr="00F61239">
        <w:rPr>
          <w:rFonts w:hint="cs"/>
          <w:color w:val="auto"/>
          <w:rtl/>
        </w:rPr>
        <w:t>לאחר כתיבת חוות דעתי עיינתי בחוות הדעת של חבר</w:t>
      </w:r>
      <w:r>
        <w:rPr>
          <w:rFonts w:hint="cs"/>
          <w:color w:val="auto"/>
          <w:rtl/>
        </w:rPr>
        <w:t>י</w:t>
      </w:r>
      <w:r w:rsidRPr="00F61239">
        <w:rPr>
          <w:rFonts w:hint="cs"/>
          <w:color w:val="auto"/>
          <w:rtl/>
        </w:rPr>
        <w:t xml:space="preserve">י, הנשיאה </w:t>
      </w:r>
      <w:r w:rsidRPr="00F61239">
        <w:rPr>
          <w:rStyle w:val="23"/>
          <w:rFonts w:hint="cs"/>
          <w:color w:val="auto"/>
          <w:rtl/>
        </w:rPr>
        <w:t>א' חיות</w:t>
      </w:r>
      <w:r>
        <w:rPr>
          <w:rFonts w:hint="cs"/>
          <w:color w:val="auto"/>
          <w:rtl/>
        </w:rPr>
        <w:t xml:space="preserve">, </w:t>
      </w:r>
      <w:r w:rsidRPr="00F61239">
        <w:rPr>
          <w:rFonts w:hint="cs"/>
          <w:color w:val="auto"/>
          <w:rtl/>
        </w:rPr>
        <w:t xml:space="preserve">השופט </w:t>
      </w:r>
      <w:r w:rsidRPr="00F61239">
        <w:rPr>
          <w:rStyle w:val="23"/>
          <w:rFonts w:hint="cs"/>
          <w:color w:val="auto"/>
          <w:rtl/>
        </w:rPr>
        <w:t>י' עמית</w:t>
      </w:r>
      <w:r>
        <w:rPr>
          <w:rFonts w:hint="cs"/>
          <w:color w:val="auto"/>
          <w:rtl/>
        </w:rPr>
        <w:t xml:space="preserve"> והשופטת </w:t>
      </w:r>
      <w:r w:rsidRPr="00531238">
        <w:rPr>
          <w:rFonts w:ascii="Century" w:hAnsi="Century" w:cs="Miriam" w:hint="cs"/>
          <w:b/>
          <w:color w:val="auto"/>
          <w:spacing w:val="0"/>
          <w:sz w:val="22"/>
          <w:szCs w:val="24"/>
          <w:rtl/>
        </w:rPr>
        <w:t>ד' ברק-ארז</w:t>
      </w:r>
      <w:r>
        <w:rPr>
          <w:rFonts w:hint="cs"/>
          <w:color w:val="auto"/>
          <w:rtl/>
        </w:rPr>
        <w:t>,</w:t>
      </w:r>
      <w:r w:rsidRPr="00F61239">
        <w:rPr>
          <w:rFonts w:hint="cs"/>
          <w:color w:val="auto"/>
          <w:rtl/>
        </w:rPr>
        <w:t xml:space="preserve"> ובעקבותיהן ראיתי להוסיף ולהבהיר בקצרה נקודות שעלו בחוות הדעת. תחילה אתייחס לדברי חבר</w:t>
      </w:r>
      <w:r>
        <w:rPr>
          <w:rFonts w:hint="cs"/>
          <w:color w:val="auto"/>
          <w:rtl/>
        </w:rPr>
        <w:t xml:space="preserve">תי הנשיאה, ולאחר מכן לדברי חברתי, השופטת </w:t>
      </w:r>
      <w:r w:rsidRPr="00FA51E4">
        <w:rPr>
          <w:rFonts w:ascii="Century" w:hAnsi="Century" w:cs="Miriam" w:hint="cs"/>
          <w:b/>
          <w:color w:val="auto"/>
          <w:spacing w:val="0"/>
          <w:sz w:val="22"/>
          <w:szCs w:val="24"/>
          <w:rtl/>
        </w:rPr>
        <w:t>ד' ברק-ארז</w:t>
      </w:r>
      <w:r w:rsidRPr="00F61239">
        <w:rPr>
          <w:rFonts w:hint="cs"/>
          <w:color w:val="auto"/>
          <w:rtl/>
        </w:rPr>
        <w:t xml:space="preserve">. </w:t>
      </w:r>
    </w:p>
    <w:p w:rsidR="00373062" w:rsidRPr="00F61239" w:rsidRDefault="00373062" w:rsidP="00373062">
      <w:pPr>
        <w:pStyle w:val="afd"/>
        <w:rPr>
          <w:rtl/>
        </w:rPr>
      </w:pPr>
    </w:p>
    <w:p w:rsidR="00373062" w:rsidRDefault="00373062" w:rsidP="00373062">
      <w:pPr>
        <w:pStyle w:val="afd"/>
        <w:rPr>
          <w:rtl/>
        </w:rPr>
      </w:pPr>
      <w:r>
        <w:rPr>
          <w:rFonts w:hint="cs"/>
          <w:rtl/>
        </w:rPr>
        <w:t xml:space="preserve">חברתי הנשיאה ציינה את דברי השופטת </w:t>
      </w:r>
      <w:r w:rsidRPr="00FA51E4">
        <w:rPr>
          <w:rFonts w:ascii="Century" w:hAnsi="Century" w:cs="Miriam" w:hint="cs"/>
          <w:b/>
          <w:spacing w:val="0"/>
          <w:sz w:val="22"/>
          <w:szCs w:val="24"/>
          <w:rtl/>
        </w:rPr>
        <w:t>ברק-ארז</w:t>
      </w:r>
      <w:r>
        <w:rPr>
          <w:rFonts w:hint="cs"/>
          <w:rtl/>
        </w:rPr>
        <w:t xml:space="preserve">, כי "ראתה השופטת </w:t>
      </w:r>
      <w:r w:rsidRPr="0086756E">
        <w:rPr>
          <w:rFonts w:ascii="Century" w:hAnsi="Century" w:cs="Miriam" w:hint="cs"/>
          <w:b/>
          <w:spacing w:val="0"/>
          <w:sz w:val="22"/>
          <w:szCs w:val="24"/>
          <w:rtl/>
        </w:rPr>
        <w:t xml:space="preserve">ברק-ארז </w:t>
      </w:r>
      <w:r>
        <w:rPr>
          <w:rFonts w:hint="cs"/>
          <w:rtl/>
        </w:rPr>
        <w:t xml:space="preserve">להסתייג </w:t>
      </w:r>
      <w:r>
        <w:rPr>
          <w:rtl/>
        </w:rPr>
        <w:t>–</w:t>
      </w:r>
      <w:r>
        <w:rPr>
          <w:rFonts w:hint="cs"/>
          <w:rtl/>
        </w:rPr>
        <w:t xml:space="preserve"> ולכך אין לי אלא להצטרף </w:t>
      </w:r>
      <w:r>
        <w:rPr>
          <w:rtl/>
        </w:rPr>
        <w:t>–</w:t>
      </w:r>
      <w:r>
        <w:rPr>
          <w:rFonts w:hint="cs"/>
          <w:rtl/>
        </w:rPr>
        <w:t xml:space="preserve"> מעמדתו של חברי המשנה לנשיאה (בדימ') </w:t>
      </w:r>
      <w:r w:rsidRPr="0086756E">
        <w:rPr>
          <w:rFonts w:ascii="Century" w:hAnsi="Century" w:cs="Miriam" w:hint="cs"/>
          <w:b/>
          <w:spacing w:val="0"/>
          <w:sz w:val="22"/>
          <w:szCs w:val="24"/>
          <w:rtl/>
        </w:rPr>
        <w:t>נ' הנדל</w:t>
      </w:r>
      <w:r w:rsidRPr="0086756E">
        <w:rPr>
          <w:rFonts w:hint="cs"/>
          <w:rtl/>
        </w:rPr>
        <w:t xml:space="preserve"> </w:t>
      </w:r>
      <w:r>
        <w:rPr>
          <w:rFonts w:hint="cs"/>
          <w:rtl/>
        </w:rPr>
        <w:t xml:space="preserve">המבקש לנתק בין סטנדרט הבחינה 'האזרחי' המוטל על הממונה בסעיף 5 לצו ובין החובות המוטלות עליו מכוח המשפט המנהלי והמשפט הבינלאומי". אבקש להבהיר את עמדתי בנדון. </w:t>
      </w:r>
    </w:p>
    <w:p w:rsidR="00373062" w:rsidRDefault="00373062" w:rsidP="00373062">
      <w:pPr>
        <w:pStyle w:val="afd"/>
        <w:rPr>
          <w:rtl/>
        </w:rPr>
      </w:pPr>
    </w:p>
    <w:p w:rsidR="00373062" w:rsidRPr="00F61239" w:rsidRDefault="00373062" w:rsidP="00373062">
      <w:pPr>
        <w:pStyle w:val="afd"/>
        <w:rPr>
          <w:rtl/>
        </w:rPr>
      </w:pPr>
      <w:r>
        <w:rPr>
          <w:rFonts w:hint="cs"/>
          <w:rtl/>
        </w:rPr>
        <w:t xml:space="preserve">איני סבור כי </w:t>
      </w:r>
      <w:r w:rsidRPr="00F61239">
        <w:rPr>
          <w:rFonts w:hint="cs"/>
          <w:rtl/>
        </w:rPr>
        <w:t xml:space="preserve">קיים "נתק" בין הסטנדרט שחל על הממונה בכובעו המינהלי לסטנדרט הבחינה האזרחי שמחיל סעיף 5, אלא כי "הסעיף יוצר פער בין החובה שמוטלת על הממונה ככזה, ובין הערכת התנהלותו לעניין מתן תוקף לעסקה מכוח תקנת השוק" (פסקה 2 לחוות דעתי בהליך זה). לאמור, עדיין יש חשיבות לכך שעסקינן בממונה ולחובותיו מכוח המשפט המינהלי והבינלאומי, ונתון זה אינו בלתי רלוונטי, אולם החובות האמורות מקבלות משקל חלקי </w:t>
      </w:r>
      <w:r w:rsidRPr="00F61239">
        <w:rPr>
          <w:rtl/>
        </w:rPr>
        <w:t>–</w:t>
      </w:r>
      <w:r w:rsidRPr="00F61239">
        <w:rPr>
          <w:rFonts w:hint="cs"/>
          <w:rtl/>
        </w:rPr>
        <w:t xml:space="preserve"> ולא </w:t>
      </w:r>
      <w:r>
        <w:rPr>
          <w:rFonts w:hint="cs"/>
          <w:rtl/>
        </w:rPr>
        <w:t>מוחלט</w:t>
      </w:r>
      <w:r w:rsidRPr="00F61239">
        <w:rPr>
          <w:rFonts w:hint="cs"/>
          <w:rtl/>
        </w:rPr>
        <w:t xml:space="preserve"> </w:t>
      </w:r>
      <w:r w:rsidRPr="00F61239">
        <w:rPr>
          <w:rtl/>
        </w:rPr>
        <w:t>–</w:t>
      </w:r>
      <w:r w:rsidRPr="00F61239">
        <w:rPr>
          <w:rFonts w:hint="cs"/>
          <w:rtl/>
        </w:rPr>
        <w:t xml:space="preserve"> בעת הערכת תחולת סעיף 5: "במסגרת סעיף 5 המיקוד אינו </w:t>
      </w:r>
      <w:r w:rsidRPr="00F61239">
        <w:rPr>
          <w:rStyle w:val="23"/>
          <w:rFonts w:hint="cs"/>
          <w:color w:val="auto"/>
          <w:rtl/>
        </w:rPr>
        <w:t>רק</w:t>
      </w:r>
      <w:r w:rsidRPr="00F61239">
        <w:rPr>
          <w:rFonts w:hint="cs"/>
          <w:rtl/>
        </w:rPr>
        <w:t xml:space="preserve"> בממונה, אלא </w:t>
      </w:r>
      <w:r w:rsidRPr="00F61239">
        <w:rPr>
          <w:rStyle w:val="23"/>
          <w:rFonts w:hint="cs"/>
          <w:color w:val="auto"/>
          <w:rtl/>
        </w:rPr>
        <w:t>גם</w:t>
      </w:r>
      <w:r w:rsidRPr="00F61239">
        <w:rPr>
          <w:rFonts w:hint="cs"/>
          <w:rtl/>
        </w:rPr>
        <w:t xml:space="preserve"> בצדדים נוספים ובהגנה עליהם... </w:t>
      </w:r>
      <w:r w:rsidRPr="00F61239">
        <w:rPr>
          <w:rFonts w:hint="cs"/>
          <w:rtl/>
        </w:rPr>
        <w:lastRenderedPageBreak/>
        <w:t xml:space="preserve">אין לבחון </w:t>
      </w:r>
      <w:r w:rsidRPr="00F61239">
        <w:rPr>
          <w:rStyle w:val="23"/>
          <w:rFonts w:hint="cs"/>
          <w:color w:val="auto"/>
          <w:rtl/>
        </w:rPr>
        <w:t>רק</w:t>
      </w:r>
      <w:r w:rsidRPr="00F61239">
        <w:rPr>
          <w:rFonts w:hint="cs"/>
          <w:rtl/>
        </w:rPr>
        <w:t xml:space="preserve"> את השאלה האם הממונה קיים את כל חובותיו, אלא יש לתת משקל במסגרת המבחן </w:t>
      </w:r>
      <w:r w:rsidRPr="00F61239">
        <w:rPr>
          <w:rStyle w:val="23"/>
          <w:rFonts w:hint="cs"/>
          <w:color w:val="auto"/>
          <w:rtl/>
        </w:rPr>
        <w:t>גם</w:t>
      </w:r>
      <w:r w:rsidRPr="00F61239">
        <w:rPr>
          <w:rFonts w:hint="cs"/>
          <w:rtl/>
        </w:rPr>
        <w:t xml:space="preserve"> להסתמכותם של צדדים נוספים על העסקה" (שם. ההדגשות נוספו). פער </w:t>
      </w:r>
      <w:r w:rsidRPr="00F61239">
        <w:rPr>
          <w:rtl/>
        </w:rPr>
        <w:t>–</w:t>
      </w:r>
      <w:r w:rsidRPr="00F61239">
        <w:rPr>
          <w:rFonts w:hint="cs"/>
          <w:rtl/>
        </w:rPr>
        <w:t xml:space="preserve"> שנובע מן הצורך לאזן בין מספר גורמים </w:t>
      </w:r>
      <w:r w:rsidRPr="00F61239">
        <w:rPr>
          <w:rtl/>
        </w:rPr>
        <w:t>–</w:t>
      </w:r>
      <w:r w:rsidRPr="00F61239">
        <w:rPr>
          <w:rFonts w:hint="cs"/>
          <w:rtl/>
        </w:rPr>
        <w:t xml:space="preserve"> אך לא נתק. כפי שהבהרתי בחוות דעתי בערעור האזרחי, "אמנם המשפט המינהלי מטיל על הממונה חובות שונות בעת עריכת העסקה, אך בשונה מתקנות שוק אחרות </w:t>
      </w:r>
      <w:r w:rsidRPr="00F61239">
        <w:rPr>
          <w:rtl/>
        </w:rPr>
        <w:t>–</w:t>
      </w:r>
      <w:r w:rsidRPr="00F61239">
        <w:rPr>
          <w:rFonts w:hint="cs"/>
          <w:rtl/>
        </w:rPr>
        <w:t xml:space="preserve"> כאן הממונה אינו 'נייטרלי' אלא צד לעסקה. התנאת ההגנה על הרוכש בתום לבה של הרשות מונעת מצב שבו הרשות הרלוונטית הופכת, בחסות תקנת השוק, למעין רשות מפקיעה הלכה למעשה, ובפרט כאשר מדובר בנכסים שמועדים יותר לטעויות ולתאונות משפטיות. האחריות המוטלת על הרשות חובשת לראשה כובע נוסף </w:t>
      </w:r>
      <w:r w:rsidRPr="00F61239">
        <w:rPr>
          <w:rtl/>
        </w:rPr>
        <w:t>–</w:t>
      </w:r>
      <w:r w:rsidRPr="00F61239">
        <w:rPr>
          <w:rFonts w:hint="cs"/>
          <w:rtl/>
        </w:rPr>
        <w:t xml:space="preserve"> לא רק צד לעסקה, אלא גם גורם מפקח... דרישה זו נועדה להוסיף שכבת הגנה </w:t>
      </w:r>
      <w:r>
        <w:rPr>
          <w:rFonts w:hint="cs"/>
          <w:rtl/>
        </w:rPr>
        <w:t xml:space="preserve">על בעליו של הנכס" (שם, פסקה 16). </w:t>
      </w:r>
    </w:p>
    <w:p w:rsidR="00373062" w:rsidRPr="00F61239" w:rsidRDefault="00373062" w:rsidP="00373062">
      <w:pPr>
        <w:pStyle w:val="afd"/>
        <w:rPr>
          <w:rtl/>
        </w:rPr>
      </w:pPr>
    </w:p>
    <w:p w:rsidR="00373062" w:rsidRPr="00CB769E" w:rsidRDefault="00373062" w:rsidP="00373062">
      <w:pPr>
        <w:pStyle w:val="3"/>
        <w:rPr>
          <w:color w:val="auto"/>
          <w:rtl/>
        </w:rPr>
      </w:pPr>
      <w:r w:rsidRPr="00CB769E">
        <w:rPr>
          <w:rFonts w:hint="cs"/>
          <w:color w:val="auto"/>
          <w:rtl/>
        </w:rPr>
        <w:t xml:space="preserve">חברתי, השופטת </w:t>
      </w:r>
      <w:r w:rsidRPr="00CB769E">
        <w:rPr>
          <w:rStyle w:val="23"/>
          <w:rFonts w:hint="cs"/>
          <w:color w:val="auto"/>
          <w:rtl/>
        </w:rPr>
        <w:t>ברק-ארז</w:t>
      </w:r>
      <w:r w:rsidRPr="00CB769E">
        <w:rPr>
          <w:rFonts w:hint="cs"/>
          <w:color w:val="auto"/>
          <w:rtl/>
        </w:rPr>
        <w:t>, מסכימה כי סעיף 5 לצו חל בענייננו על החלק הבנוי בגבולות היישוב מצפה כרמים, אך לא על כל</w:t>
      </w:r>
      <w:r>
        <w:rPr>
          <w:rFonts w:hint="cs"/>
          <w:color w:val="auto"/>
          <w:rtl/>
        </w:rPr>
        <w:t xml:space="preserve"> שטח</w:t>
      </w:r>
      <w:r w:rsidRPr="00CB769E">
        <w:rPr>
          <w:rFonts w:hint="cs"/>
          <w:color w:val="auto"/>
          <w:rtl/>
        </w:rPr>
        <w:t xml:space="preserve">ו, והכל כמפורט בפסקה 57 לחוות דעתה. לתוצאה זו הצטרף גם חברי, השופט </w:t>
      </w:r>
      <w:r w:rsidRPr="00CB769E">
        <w:rPr>
          <w:rFonts w:ascii="Century" w:hAnsi="Century" w:cs="Miriam" w:hint="cs"/>
          <w:b/>
          <w:color w:val="auto"/>
          <w:spacing w:val="0"/>
          <w:sz w:val="22"/>
          <w:szCs w:val="24"/>
          <w:rtl/>
        </w:rPr>
        <w:t>עמית</w:t>
      </w:r>
      <w:r w:rsidRPr="00CB769E">
        <w:rPr>
          <w:rFonts w:hint="cs"/>
          <w:color w:val="auto"/>
          <w:rtl/>
        </w:rPr>
        <w:t>. עמדתי המשפטית שונה בשל שני היבטים.</w:t>
      </w:r>
      <w:r w:rsidRPr="00CB769E">
        <w:rPr>
          <w:rFonts w:ascii="Century" w:hAnsi="Century" w:cs="Miriam" w:hint="cs"/>
          <w:b/>
          <w:color w:val="auto"/>
          <w:spacing w:val="0"/>
          <w:sz w:val="22"/>
          <w:szCs w:val="24"/>
          <w:rtl/>
        </w:rPr>
        <w:t xml:space="preserve"> ראשית</w:t>
      </w:r>
      <w:r w:rsidRPr="00CB769E">
        <w:rPr>
          <w:rFonts w:hint="cs"/>
          <w:color w:val="auto"/>
          <w:rtl/>
        </w:rPr>
        <w:t xml:space="preserve">, מבחינה דיונית הצדדים לא התייחסו לסוגיה זו, שמעוררת שאלות משפטיות ועובדתיות שונות. מכאן הקושי להידרש לעניין זה במסגרת ההליך דנן. </w:t>
      </w:r>
      <w:r w:rsidRPr="00CB769E">
        <w:rPr>
          <w:rFonts w:ascii="Century" w:hAnsi="Century" w:cs="Miriam" w:hint="cs"/>
          <w:b/>
          <w:color w:val="auto"/>
          <w:spacing w:val="0"/>
          <w:sz w:val="22"/>
          <w:szCs w:val="24"/>
          <w:rtl/>
        </w:rPr>
        <w:t>שנית</w:t>
      </w:r>
      <w:r w:rsidRPr="00CB769E">
        <w:rPr>
          <w:rFonts w:hint="cs"/>
          <w:color w:val="auto"/>
          <w:rtl/>
        </w:rPr>
        <w:t xml:space="preserve">, מבחינת הדין החל. אני סבור כי גם אם נניח שה"תמורה" הנדרשת לעניין סעיף 5 היא הבינוי הקיים בפועל במקרקעין, "תמורה" זו מחילה את תקנת השוק הקבועה בסעיף 5 על הסכם ההרשאה כולו, ולכל הפחות על שטח היישוב כולו, שלגביו הייתה הסתמכות על ההסכם. לאמור, סעיף 5 מתייחס לעסקה ולהסכם מסוימים, ואם הסעיף חל </w:t>
      </w:r>
      <w:r w:rsidRPr="00CB769E">
        <w:rPr>
          <w:color w:val="auto"/>
          <w:rtl/>
        </w:rPr>
        <w:t>–</w:t>
      </w:r>
      <w:r w:rsidRPr="00CB769E">
        <w:rPr>
          <w:rFonts w:hint="cs"/>
          <w:color w:val="auto"/>
          <w:rtl/>
        </w:rPr>
        <w:t xml:space="preserve"> הוא חל על כל השטח שנכלל בעסקה.</w:t>
      </w:r>
    </w:p>
    <w:p w:rsidR="00373062" w:rsidRPr="00A32233" w:rsidRDefault="00373062" w:rsidP="00373062">
      <w:pPr>
        <w:pStyle w:val="3"/>
        <w:numPr>
          <w:ilvl w:val="0"/>
          <w:numId w:val="0"/>
        </w:numPr>
        <w:rPr>
          <w:color w:val="auto"/>
          <w:rtl/>
        </w:rPr>
      </w:pPr>
    </w:p>
    <w:p w:rsidR="00373062" w:rsidRPr="00A32233" w:rsidRDefault="00373062" w:rsidP="00373062">
      <w:pPr>
        <w:pStyle w:val="3"/>
        <w:numPr>
          <w:ilvl w:val="0"/>
          <w:numId w:val="0"/>
        </w:numPr>
        <w:rPr>
          <w:color w:val="auto"/>
          <w:rtl/>
        </w:rPr>
      </w:pPr>
      <w:r w:rsidRPr="00A32233">
        <w:rPr>
          <w:color w:val="auto"/>
          <w:rtl/>
        </w:rPr>
        <w:tab/>
      </w:r>
      <w:r w:rsidRPr="00A32233">
        <w:rPr>
          <w:rFonts w:hint="cs"/>
          <w:color w:val="auto"/>
          <w:rtl/>
        </w:rPr>
        <w:t xml:space="preserve">לסיכום, לא מצאתי לשנות מעמדתי ב"גלגול הראשון" של תיק זה, בו קבעתי בדעת מיעוט כי סעיף 5 חל על כל שטח היישוב מצפה כרמים. אלא, הכרעת השופט לחוד והכרעת רוב חברי ההרכב לחוד. אשר לראשון, השופט חייב להחליט על פי הבנתו, תוך התייחסות לעובדות המקרה והדין החל. אשר לשני, התוצאה כאשר שופט הוא חלק מהרכב תלויה ברוב, בהתאם לכלל ההכרעה שנקבע בדין. כל שופט אחראי להחלטתו, ואם נוצרה מחלוקת בהרכב יש כללי הכרעה עצמאיים. בענייננו ישנן שלוש דעות. חברי, השופט </w:t>
      </w:r>
      <w:r w:rsidRPr="00A32233">
        <w:rPr>
          <w:rFonts w:ascii="Century" w:hAnsi="Century" w:cs="Miriam" w:hint="cs"/>
          <w:b/>
          <w:color w:val="auto"/>
          <w:spacing w:val="0"/>
          <w:sz w:val="22"/>
          <w:szCs w:val="24"/>
          <w:rtl/>
        </w:rPr>
        <w:t>סולברג</w:t>
      </w:r>
      <w:r w:rsidRPr="00A32233">
        <w:rPr>
          <w:rFonts w:hint="cs"/>
          <w:color w:val="auto"/>
          <w:rtl/>
        </w:rPr>
        <w:t xml:space="preserve">, סבור </w:t>
      </w:r>
      <w:r w:rsidRPr="00A32233">
        <w:rPr>
          <w:color w:val="auto"/>
          <w:rtl/>
        </w:rPr>
        <w:t>–</w:t>
      </w:r>
      <w:r w:rsidRPr="00A32233">
        <w:rPr>
          <w:rFonts w:hint="cs"/>
          <w:color w:val="auto"/>
          <w:rtl/>
        </w:rPr>
        <w:t xml:space="preserve"> כפי שסברתי בהליך קמא </w:t>
      </w:r>
      <w:r w:rsidRPr="00A32233">
        <w:rPr>
          <w:color w:val="auto"/>
          <w:rtl/>
        </w:rPr>
        <w:t>–</w:t>
      </w:r>
      <w:r w:rsidRPr="00A32233">
        <w:rPr>
          <w:rFonts w:hint="cs"/>
          <w:color w:val="auto"/>
          <w:rtl/>
        </w:rPr>
        <w:t xml:space="preserve"> כי סעיף 5 חל על כל שטח היישוב. חברתי הנשיאה </w:t>
      </w:r>
      <w:r w:rsidRPr="00A32233">
        <w:rPr>
          <w:rFonts w:ascii="Century" w:hAnsi="Century" w:cs="Miriam" w:hint="cs"/>
          <w:b/>
          <w:color w:val="auto"/>
          <w:spacing w:val="0"/>
          <w:sz w:val="22"/>
          <w:szCs w:val="24"/>
          <w:rtl/>
        </w:rPr>
        <w:t>חיות</w:t>
      </w:r>
      <w:r w:rsidRPr="00A32233">
        <w:rPr>
          <w:rFonts w:hint="cs"/>
          <w:color w:val="auto"/>
          <w:rtl/>
        </w:rPr>
        <w:t xml:space="preserve">, וחבריי המשנה לנשיאה </w:t>
      </w:r>
      <w:r w:rsidRPr="00A32233">
        <w:rPr>
          <w:rFonts w:ascii="Century" w:hAnsi="Century" w:cs="Miriam" w:hint="cs"/>
          <w:b/>
          <w:color w:val="auto"/>
          <w:spacing w:val="0"/>
          <w:sz w:val="22"/>
          <w:szCs w:val="24"/>
          <w:rtl/>
        </w:rPr>
        <w:t>פוגלמן</w:t>
      </w:r>
      <w:r w:rsidRPr="00A32233">
        <w:rPr>
          <w:rFonts w:hint="cs"/>
          <w:color w:val="auto"/>
          <w:rtl/>
        </w:rPr>
        <w:t xml:space="preserve"> והשופטת </w:t>
      </w:r>
      <w:r w:rsidRPr="00A32233">
        <w:rPr>
          <w:rFonts w:ascii="Century" w:hAnsi="Century" w:cs="Miriam" w:hint="cs"/>
          <w:b/>
          <w:color w:val="auto"/>
          <w:spacing w:val="0"/>
          <w:sz w:val="22"/>
          <w:szCs w:val="24"/>
          <w:rtl/>
        </w:rPr>
        <w:t>ע' ברון</w:t>
      </w:r>
      <w:r w:rsidRPr="00A32233">
        <w:rPr>
          <w:rFonts w:hint="cs"/>
          <w:color w:val="auto"/>
          <w:rtl/>
        </w:rPr>
        <w:t xml:space="preserve"> סבורים כי דין הבקשה לדיון נוסף להידחות, ובכך הצטרפו לדעת הרוב בהליך קמא </w:t>
      </w:r>
      <w:r w:rsidRPr="00A32233">
        <w:rPr>
          <w:color w:val="auto"/>
          <w:rtl/>
        </w:rPr>
        <w:t>–</w:t>
      </w:r>
      <w:r w:rsidRPr="00A32233">
        <w:rPr>
          <w:rFonts w:hint="cs"/>
          <w:color w:val="auto"/>
          <w:rtl/>
        </w:rPr>
        <w:t xml:space="preserve"> מפי הנשיאה </w:t>
      </w:r>
      <w:r w:rsidRPr="00A32233">
        <w:rPr>
          <w:rFonts w:ascii="Century" w:hAnsi="Century" w:cs="Miriam" w:hint="cs"/>
          <w:b/>
          <w:color w:val="auto"/>
          <w:spacing w:val="0"/>
          <w:sz w:val="22"/>
          <w:szCs w:val="24"/>
          <w:rtl/>
        </w:rPr>
        <w:t>חיות</w:t>
      </w:r>
      <w:r w:rsidRPr="00A32233">
        <w:rPr>
          <w:rFonts w:hint="cs"/>
          <w:color w:val="auto"/>
          <w:rtl/>
        </w:rPr>
        <w:t xml:space="preserve"> ובהסכמת המשנה לנשיאה </w:t>
      </w:r>
      <w:r w:rsidRPr="00A32233">
        <w:rPr>
          <w:rFonts w:ascii="Century" w:hAnsi="Century" w:cs="Miriam" w:hint="cs"/>
          <w:b/>
          <w:color w:val="auto"/>
          <w:spacing w:val="0"/>
          <w:sz w:val="22"/>
          <w:szCs w:val="24"/>
          <w:rtl/>
        </w:rPr>
        <w:t>ח' מלצר</w:t>
      </w:r>
      <w:r w:rsidRPr="00A32233">
        <w:rPr>
          <w:rFonts w:hint="cs"/>
          <w:color w:val="auto"/>
          <w:rtl/>
        </w:rPr>
        <w:t xml:space="preserve">. לעומת מחלוקת זו, חבריי, השופטת </w:t>
      </w:r>
      <w:r w:rsidRPr="00A32233">
        <w:rPr>
          <w:rFonts w:ascii="Century" w:hAnsi="Century" w:cs="Miriam" w:hint="cs"/>
          <w:b/>
          <w:color w:val="auto"/>
          <w:spacing w:val="0"/>
          <w:sz w:val="22"/>
          <w:szCs w:val="24"/>
          <w:rtl/>
        </w:rPr>
        <w:t>ברק-ארז</w:t>
      </w:r>
      <w:r w:rsidRPr="00A32233">
        <w:rPr>
          <w:rFonts w:hint="cs"/>
          <w:color w:val="auto"/>
          <w:rtl/>
        </w:rPr>
        <w:t xml:space="preserve"> והשופט </w:t>
      </w:r>
      <w:r w:rsidRPr="00A32233">
        <w:rPr>
          <w:rFonts w:ascii="Century" w:hAnsi="Century" w:cs="Miriam" w:hint="cs"/>
          <w:b/>
          <w:color w:val="auto"/>
          <w:spacing w:val="0"/>
          <w:sz w:val="22"/>
          <w:szCs w:val="24"/>
          <w:rtl/>
        </w:rPr>
        <w:t>עמית</w:t>
      </w:r>
      <w:r w:rsidRPr="00A32233">
        <w:rPr>
          <w:rFonts w:hint="cs"/>
          <w:color w:val="auto"/>
          <w:rtl/>
        </w:rPr>
        <w:t xml:space="preserve"> דוגלים בגישה שלישית, לפיה סעיף 5 חל על </w:t>
      </w:r>
      <w:r w:rsidRPr="00CB769E">
        <w:rPr>
          <w:rFonts w:hint="cs"/>
          <w:color w:val="auto"/>
          <w:rtl/>
        </w:rPr>
        <w:t xml:space="preserve">החלק הבנוי בגבולות </w:t>
      </w:r>
      <w:r w:rsidRPr="00CB769E">
        <w:rPr>
          <w:rFonts w:hint="cs"/>
          <w:color w:val="auto"/>
          <w:rtl/>
        </w:rPr>
        <w:lastRenderedPageBreak/>
        <w:t>היישוב</w:t>
      </w:r>
      <w:r w:rsidRPr="00A32233">
        <w:rPr>
          <w:rFonts w:hint="cs"/>
          <w:color w:val="auto"/>
          <w:rtl/>
        </w:rPr>
        <w:t>, ולא על כ</w:t>
      </w:r>
      <w:r>
        <w:rPr>
          <w:rFonts w:hint="cs"/>
          <w:color w:val="auto"/>
          <w:rtl/>
        </w:rPr>
        <w:t>ולו</w:t>
      </w:r>
      <w:r w:rsidRPr="00A32233">
        <w:rPr>
          <w:rFonts w:hint="cs"/>
          <w:color w:val="auto"/>
          <w:rtl/>
        </w:rPr>
        <w:t xml:space="preserve">, וכן קבעו מנגנון פיצוי לבעלים הרשומים או למי שיוכיחו את בעלותם במקרקעין. </w:t>
      </w:r>
    </w:p>
    <w:p w:rsidR="00373062" w:rsidRPr="00A32233" w:rsidRDefault="00373062" w:rsidP="00373062">
      <w:pPr>
        <w:pStyle w:val="3"/>
        <w:numPr>
          <w:ilvl w:val="0"/>
          <w:numId w:val="0"/>
        </w:numPr>
        <w:rPr>
          <w:color w:val="auto"/>
          <w:rtl/>
        </w:rPr>
      </w:pPr>
    </w:p>
    <w:p w:rsidR="00373062" w:rsidRPr="00A32233" w:rsidRDefault="00373062" w:rsidP="00373062">
      <w:pPr>
        <w:pStyle w:val="3"/>
        <w:numPr>
          <w:ilvl w:val="0"/>
          <w:numId w:val="0"/>
        </w:numPr>
        <w:rPr>
          <w:color w:val="auto"/>
          <w:rtl/>
        </w:rPr>
      </w:pPr>
      <w:r>
        <w:rPr>
          <w:color w:val="auto"/>
          <w:rtl/>
        </w:rPr>
        <w:tab/>
      </w:r>
      <w:r w:rsidRPr="00A32233">
        <w:rPr>
          <w:rFonts w:hint="cs"/>
          <w:color w:val="auto"/>
          <w:rtl/>
        </w:rPr>
        <w:t xml:space="preserve">בצומת משולש זה, השאלה היא מה דעת הרוב בשורה התחתונה. לדעתי יש עמדת רוב לקבלת הבקשה באופן חלקי כאמור בחוות דעתה של השופטת </w:t>
      </w:r>
      <w:r w:rsidRPr="000F595F">
        <w:rPr>
          <w:rFonts w:ascii="Century" w:hAnsi="Century" w:cs="Miriam" w:hint="cs"/>
          <w:b/>
          <w:color w:val="auto"/>
          <w:spacing w:val="0"/>
          <w:sz w:val="22"/>
          <w:szCs w:val="24"/>
          <w:rtl/>
        </w:rPr>
        <w:t>ברק-ארז</w:t>
      </w:r>
      <w:r w:rsidRPr="00A32233">
        <w:rPr>
          <w:rFonts w:hint="cs"/>
          <w:color w:val="auto"/>
          <w:rtl/>
        </w:rPr>
        <w:t xml:space="preserve">, שעמה הסכים השופט </w:t>
      </w:r>
      <w:r w:rsidRPr="000F595F">
        <w:rPr>
          <w:rFonts w:ascii="Century" w:hAnsi="Century" w:cs="Miriam" w:hint="cs"/>
          <w:b/>
          <w:color w:val="auto"/>
          <w:spacing w:val="0"/>
          <w:sz w:val="22"/>
          <w:szCs w:val="24"/>
          <w:rtl/>
        </w:rPr>
        <w:t>עמית</w:t>
      </w:r>
      <w:r w:rsidRPr="00A32233">
        <w:rPr>
          <w:rFonts w:hint="cs"/>
          <w:color w:val="auto"/>
          <w:rtl/>
        </w:rPr>
        <w:t xml:space="preserve">, אך למען הסר ספק </w:t>
      </w:r>
      <w:r w:rsidRPr="00A32233">
        <w:rPr>
          <w:color w:val="auto"/>
          <w:rtl/>
        </w:rPr>
        <w:t>–</w:t>
      </w:r>
      <w:r w:rsidRPr="00A32233">
        <w:rPr>
          <w:rFonts w:hint="cs"/>
          <w:color w:val="auto"/>
          <w:rtl/>
        </w:rPr>
        <w:t xml:space="preserve"> ואף משיקולים מעשיים </w:t>
      </w:r>
      <w:r w:rsidRPr="00A32233">
        <w:rPr>
          <w:color w:val="auto"/>
          <w:rtl/>
        </w:rPr>
        <w:t>–</w:t>
      </w:r>
      <w:r w:rsidRPr="00A32233">
        <w:rPr>
          <w:rFonts w:hint="cs"/>
          <w:color w:val="auto"/>
          <w:rtl/>
        </w:rPr>
        <w:t xml:space="preserve"> אציין כי אני מצטרף לדעתם</w:t>
      </w:r>
      <w:r>
        <w:rPr>
          <w:rFonts w:hint="cs"/>
          <w:color w:val="auto"/>
          <w:rtl/>
        </w:rPr>
        <w:t xml:space="preserve">. יצוין כי גם חברי </w:t>
      </w:r>
      <w:r w:rsidRPr="00A32233">
        <w:rPr>
          <w:rFonts w:hint="cs"/>
          <w:color w:val="auto"/>
          <w:rtl/>
        </w:rPr>
        <w:t xml:space="preserve">השופט </w:t>
      </w:r>
      <w:r w:rsidRPr="00A32233">
        <w:rPr>
          <w:rFonts w:ascii="Century" w:hAnsi="Century" w:cs="Miriam" w:hint="cs"/>
          <w:b/>
          <w:color w:val="auto"/>
          <w:spacing w:val="0"/>
          <w:sz w:val="22"/>
          <w:szCs w:val="24"/>
          <w:rtl/>
        </w:rPr>
        <w:t>סולברג</w:t>
      </w:r>
      <w:r>
        <w:rPr>
          <w:rFonts w:ascii="Century" w:hAnsi="Century" w:cs="Miriam" w:hint="cs"/>
          <w:b/>
          <w:color w:val="auto"/>
          <w:spacing w:val="0"/>
          <w:sz w:val="22"/>
          <w:szCs w:val="24"/>
          <w:rtl/>
        </w:rPr>
        <w:t xml:space="preserve"> </w:t>
      </w:r>
      <w:r>
        <w:rPr>
          <w:rFonts w:ascii="Century" w:hAnsi="Century" w:hint="cs"/>
          <w:color w:val="auto"/>
          <w:sz w:val="22"/>
          <w:rtl/>
        </w:rPr>
        <w:t xml:space="preserve">הצטרף לדעתם במישור היישומי ומטעמים מעשיים </w:t>
      </w:r>
      <w:r w:rsidRPr="00A32233">
        <w:rPr>
          <w:rFonts w:hint="cs"/>
          <w:color w:val="auto"/>
          <w:rtl/>
        </w:rPr>
        <w:t>(ראו סעיפים 110-106 לחוות דעתו)</w:t>
      </w:r>
      <w:r>
        <w:rPr>
          <w:rFonts w:hint="cs"/>
          <w:color w:val="auto"/>
          <w:rtl/>
        </w:rPr>
        <w:t>.</w:t>
      </w:r>
    </w:p>
    <w:p w:rsidR="00373062" w:rsidRPr="00A32233" w:rsidRDefault="00373062" w:rsidP="00373062">
      <w:pPr>
        <w:pStyle w:val="3"/>
        <w:numPr>
          <w:ilvl w:val="0"/>
          <w:numId w:val="0"/>
        </w:numPr>
        <w:rPr>
          <w:color w:val="auto"/>
          <w:lang w:eastAsia="he-IL"/>
        </w:rPr>
      </w:pPr>
    </w:p>
    <w:p w:rsidR="00373062" w:rsidRPr="00A32233" w:rsidRDefault="00373062" w:rsidP="00373062">
      <w:pPr>
        <w:pStyle w:val="3"/>
        <w:rPr>
          <w:color w:val="auto"/>
          <w:lang w:eastAsia="he-IL"/>
        </w:rPr>
      </w:pPr>
      <w:r w:rsidRPr="00A32233">
        <w:rPr>
          <w:rFonts w:hint="cs"/>
          <w:color w:val="auto"/>
          <w:rtl/>
          <w:lang w:eastAsia="he-IL"/>
        </w:rPr>
        <w:t>סוף דבר, לו הייתה דעתי נשמעת, היינו מקבלים את הבקשה לדיון נוסף, ומורים על דחיית הערעור שהגישו משיבים 3-1 על פסק דינו של בית המשפט המחוזי ומחיקת העתירה שנדונה יחד עם הערעור, תוך ביטול החיוב בהוצאות שהוטל בפסק הדין בערעור, והוראה לפיה כל צד יישא בהוצאותיו במסגרת ההליכים בבית משפט זה. ברם,</w:t>
      </w:r>
    </w:p>
    <w:p w:rsidR="00373062" w:rsidRPr="00A32233" w:rsidRDefault="00373062" w:rsidP="00373062">
      <w:pPr>
        <w:pStyle w:val="Ruller41"/>
        <w:rPr>
          <w:rtl/>
        </w:rPr>
      </w:pPr>
      <w:r>
        <w:rPr>
          <w:rFonts w:hint="cs"/>
          <w:rtl/>
        </w:rPr>
        <w:t xml:space="preserve">משלא התקבלה דעתי, וגם </w:t>
      </w:r>
      <w:r w:rsidRPr="00A32233">
        <w:rPr>
          <w:rFonts w:hint="cs"/>
          <w:rtl/>
        </w:rPr>
        <w:t xml:space="preserve">מטעמים </w:t>
      </w:r>
      <w:r>
        <w:rPr>
          <w:rFonts w:hint="cs"/>
          <w:rtl/>
        </w:rPr>
        <w:t>מעשיים ולמען הבהירות,</w:t>
      </w:r>
      <w:r w:rsidRPr="00A32233">
        <w:rPr>
          <w:rFonts w:hint="cs"/>
          <w:rtl/>
        </w:rPr>
        <w:t xml:space="preserve"> מצטרף אני, מבחינת התוצאה האופרטיבית, לעמדת חבריי, הש</w:t>
      </w:r>
      <w:r>
        <w:rPr>
          <w:rFonts w:hint="cs"/>
          <w:rtl/>
        </w:rPr>
        <w:t xml:space="preserve">ופט </w:t>
      </w:r>
      <w:r w:rsidRPr="000F595F">
        <w:rPr>
          <w:rFonts w:ascii="Century" w:hAnsi="Century" w:cs="Miriam" w:hint="cs"/>
          <w:b/>
          <w:spacing w:val="0"/>
          <w:szCs w:val="24"/>
          <w:rtl/>
        </w:rPr>
        <w:t>עמית</w:t>
      </w:r>
      <w:r w:rsidRPr="000F595F">
        <w:rPr>
          <w:rFonts w:hint="cs"/>
          <w:rtl/>
        </w:rPr>
        <w:t xml:space="preserve"> </w:t>
      </w:r>
      <w:r>
        <w:rPr>
          <w:rFonts w:hint="cs"/>
          <w:rtl/>
        </w:rPr>
        <w:t>ו</w:t>
      </w:r>
      <w:r w:rsidRPr="00A32233">
        <w:rPr>
          <w:rFonts w:hint="cs"/>
          <w:rtl/>
        </w:rPr>
        <w:t xml:space="preserve">השופטת </w:t>
      </w:r>
      <w:r w:rsidRPr="000F595F">
        <w:rPr>
          <w:rFonts w:ascii="Century" w:hAnsi="Century" w:cs="Miriam" w:hint="cs"/>
          <w:b/>
          <w:spacing w:val="0"/>
          <w:szCs w:val="24"/>
          <w:rtl/>
        </w:rPr>
        <w:t>ברק-ארז</w:t>
      </w:r>
      <w:r w:rsidRPr="00A32233">
        <w:rPr>
          <w:rFonts w:hint="cs"/>
          <w:rtl/>
        </w:rPr>
        <w:t>, כמפורט בסעיף 57 לחוות דעתה</w:t>
      </w:r>
      <w:r>
        <w:rPr>
          <w:rFonts w:hint="cs"/>
          <w:rtl/>
        </w:rPr>
        <w:t>, וכן למנגנון הפיצוי שנקבע על ידה</w:t>
      </w:r>
      <w:r w:rsidRPr="00A32233">
        <w:rPr>
          <w:rFonts w:hint="cs"/>
          <w:rtl/>
        </w:rPr>
        <w:t>.</w:t>
      </w:r>
    </w:p>
    <w:p w:rsidR="00373062" w:rsidRPr="001C4638" w:rsidRDefault="00373062" w:rsidP="00373062">
      <w:pPr>
        <w:pStyle w:val="Ruller41"/>
        <w:rPr>
          <w:rtl/>
        </w:rPr>
      </w:pPr>
    </w:p>
    <w:p w:rsidR="00373062" w:rsidRPr="00462244" w:rsidRDefault="00373062" w:rsidP="004C7127">
      <w:pPr>
        <w:pStyle w:val="Ruller41"/>
        <w:rPr>
          <w:rFonts w:ascii="Century" w:hAnsi="Century"/>
          <w:rtl/>
        </w:rPr>
      </w:pPr>
    </w:p>
    <w:p w:rsidR="00462244" w:rsidRPr="00462244" w:rsidRDefault="00462244" w:rsidP="004C7127">
      <w:pPr>
        <w:pStyle w:val="Ruller41"/>
        <w:rPr>
          <w:rFonts w:ascii="Century" w:hAnsi="Century"/>
          <w:rtl/>
        </w:rPr>
      </w:pPr>
    </w:p>
    <w:tbl>
      <w:tblPr>
        <w:bidiVisual/>
        <w:tblW w:w="8363" w:type="dxa"/>
        <w:tblLook w:val="01E0" w:firstRow="1" w:lastRow="1" w:firstColumn="1" w:lastColumn="1" w:noHBand="0" w:noVBand="0"/>
      </w:tblPr>
      <w:tblGrid>
        <w:gridCol w:w="2782"/>
        <w:gridCol w:w="2782"/>
        <w:gridCol w:w="2799"/>
      </w:tblGrid>
      <w:tr w:rsidR="00462244" w:rsidRPr="004C7127" w:rsidTr="00BA1299">
        <w:tc>
          <w:tcPr>
            <w:tcW w:w="2842" w:type="dxa"/>
            <w:shd w:val="clear" w:color="auto" w:fill="auto"/>
          </w:tcPr>
          <w:p w:rsidR="00462244" w:rsidRPr="004C7127" w:rsidRDefault="00462244" w:rsidP="00BA1299">
            <w:pPr>
              <w:pStyle w:val="Ruller41"/>
              <w:rPr>
                <w:rtl/>
              </w:rPr>
            </w:pPr>
          </w:p>
        </w:tc>
        <w:tc>
          <w:tcPr>
            <w:tcW w:w="2843" w:type="dxa"/>
            <w:shd w:val="clear" w:color="auto" w:fill="auto"/>
          </w:tcPr>
          <w:p w:rsidR="00462244" w:rsidRPr="004C7127" w:rsidRDefault="00462244" w:rsidP="00BA1299">
            <w:pPr>
              <w:pStyle w:val="Ruller41"/>
              <w:jc w:val="center"/>
              <w:rPr>
                <w:rtl/>
              </w:rPr>
            </w:pPr>
          </w:p>
        </w:tc>
        <w:tc>
          <w:tcPr>
            <w:tcW w:w="2843" w:type="dxa"/>
            <w:shd w:val="clear" w:color="auto" w:fill="auto"/>
          </w:tcPr>
          <w:p w:rsidR="00462244" w:rsidRPr="004C7127" w:rsidRDefault="00462244" w:rsidP="00BA1299">
            <w:pPr>
              <w:pStyle w:val="Ruller41"/>
              <w:jc w:val="right"/>
              <w:rPr>
                <w:rtl/>
              </w:rPr>
            </w:pPr>
            <w:r>
              <w:rPr>
                <w:rFonts w:hint="cs"/>
                <w:rtl/>
              </w:rPr>
              <w:t>המשנה לנשיאה (בדימ')</w:t>
            </w:r>
          </w:p>
        </w:tc>
      </w:tr>
    </w:tbl>
    <w:p w:rsidR="00462244" w:rsidRDefault="00462244" w:rsidP="004C7127">
      <w:pPr>
        <w:pStyle w:val="Ruller41"/>
        <w:rPr>
          <w:rFonts w:ascii="Century" w:hAnsi="Century"/>
          <w:rtl/>
        </w:rPr>
      </w:pPr>
    </w:p>
    <w:p w:rsidR="00462244" w:rsidRPr="00A56E77" w:rsidRDefault="00207478" w:rsidP="00A56E77">
      <w:pPr>
        <w:pStyle w:val="1"/>
        <w:spacing w:before="0"/>
        <w:rPr>
          <w:rFonts w:ascii="Century" w:hAnsi="Century" w:cs="Miriam"/>
          <w:b/>
          <w:color w:val="auto"/>
          <w:spacing w:val="0"/>
          <w:sz w:val="22"/>
          <w:szCs w:val="24"/>
          <w:u w:val="single"/>
          <w:rtl/>
        </w:rPr>
      </w:pPr>
      <w:r w:rsidRPr="00A56E77">
        <w:rPr>
          <w:rFonts w:ascii="Century" w:hAnsi="Century" w:cs="Miriam" w:hint="cs"/>
          <w:b/>
          <w:color w:val="auto"/>
          <w:spacing w:val="0"/>
          <w:sz w:val="22"/>
          <w:szCs w:val="24"/>
          <w:u w:val="single"/>
          <w:rtl/>
        </w:rPr>
        <w:t>השופט י' עמית</w:t>
      </w:r>
      <w:r w:rsidRPr="00A56E77">
        <w:rPr>
          <w:rFonts w:ascii="Century" w:hAnsi="Century" w:cs="Miriam" w:hint="cs"/>
          <w:b/>
          <w:color w:val="auto"/>
          <w:spacing w:val="0"/>
          <w:sz w:val="22"/>
          <w:szCs w:val="24"/>
          <w:rtl/>
        </w:rPr>
        <w:t>:</w:t>
      </w:r>
    </w:p>
    <w:p w:rsidR="001D2596" w:rsidRPr="001D2596" w:rsidRDefault="001D2596" w:rsidP="001D2596">
      <w:pPr>
        <w:tabs>
          <w:tab w:val="left" w:pos="800"/>
        </w:tabs>
        <w:jc w:val="both"/>
        <w:rPr>
          <w:rFonts w:ascii="Arial TUR" w:hAnsi="Arial TUR" w:cs="FrankRuehl"/>
          <w:spacing w:val="10"/>
          <w:sz w:val="22"/>
          <w:szCs w:val="28"/>
          <w:rtl/>
        </w:rPr>
      </w:pPr>
    </w:p>
    <w:p w:rsidR="001D2596" w:rsidRPr="001D2596" w:rsidRDefault="001D2596" w:rsidP="00420FF4">
      <w:pPr>
        <w:spacing w:line="360" w:lineRule="auto"/>
        <w:jc w:val="both"/>
        <w:rPr>
          <w:rFonts w:ascii="Century" w:hAnsi="Century" w:cs="FrankRuehl"/>
          <w:spacing w:val="10"/>
          <w:szCs w:val="28"/>
          <w:rtl/>
        </w:rPr>
      </w:pPr>
      <w:r w:rsidRPr="001D2596">
        <w:rPr>
          <w:rFonts w:ascii="Century" w:hAnsi="Century" w:cs="FrankRuehl"/>
          <w:spacing w:val="10"/>
          <w:szCs w:val="28"/>
          <w:rtl/>
        </w:rPr>
        <w:t>1.</w:t>
      </w:r>
      <w:r w:rsidRPr="001D2596">
        <w:rPr>
          <w:rFonts w:ascii="Century" w:hAnsi="Century" w:cs="FrankRuehl"/>
          <w:spacing w:val="10"/>
          <w:szCs w:val="28"/>
          <w:rtl/>
        </w:rPr>
        <w:tab/>
        <w:t>תקנת שוק היא סוג אחד מני מספר סוגים של מקרים שבהם נוצרת תחרות בין זכויות. למשל, תחרות בין קונה מוקדם לקונה מאוחר או תחרות בין נמחה מוקדם לנמחה מאוחר (ראו סעי</w:t>
      </w:r>
      <w:r w:rsidR="00420FF4">
        <w:rPr>
          <w:rFonts w:ascii="Century" w:hAnsi="Century" w:cs="FrankRuehl" w:hint="cs"/>
          <w:spacing w:val="10"/>
          <w:szCs w:val="28"/>
          <w:rtl/>
        </w:rPr>
        <w:t>ף</w:t>
      </w:r>
      <w:r w:rsidRPr="001D2596">
        <w:rPr>
          <w:rFonts w:ascii="Century" w:hAnsi="Century" w:cs="FrankRuehl"/>
          <w:spacing w:val="10"/>
          <w:szCs w:val="28"/>
          <w:rtl/>
        </w:rPr>
        <w:t xml:space="preserve"> 9 לחוק המקרקעין, התשכ"ט-1969 (להלן: </w:t>
      </w:r>
      <w:r w:rsidRPr="001D2596">
        <w:rPr>
          <w:rFonts w:ascii="Century" w:hAnsi="Century" w:cs="Miriam"/>
          <w:b/>
          <w:rtl/>
        </w:rPr>
        <w:t>חוק המקרקעין</w:t>
      </w:r>
      <w:r w:rsidRPr="001D2596">
        <w:rPr>
          <w:rFonts w:ascii="Century" w:hAnsi="Century" w:cs="FrankRuehl"/>
          <w:spacing w:val="10"/>
          <w:szCs w:val="28"/>
          <w:rtl/>
        </w:rPr>
        <w:t xml:space="preserve">), סעיף 4 לחוק המחאת זכויות, התשכ"ט-1969); תחרות בין צד שלישי לבין הבעלים המקורי שביטל את ההסכם בינו לבין רוכש הנכס (ראו, לדוגמה, ע"א 248/77 </w:t>
      </w:r>
      <w:r w:rsidRPr="001D2596">
        <w:rPr>
          <w:rFonts w:ascii="Century" w:hAnsi="Century" w:cs="Miriam"/>
          <w:b/>
          <w:rtl/>
        </w:rPr>
        <w:t>בנק הפועלים בע"מ נ' גרבורג</w:t>
      </w:r>
      <w:r w:rsidRPr="001D2596">
        <w:rPr>
          <w:rFonts w:ascii="Century" w:hAnsi="Century" w:cs="FrankRuehl"/>
          <w:spacing w:val="10"/>
          <w:szCs w:val="28"/>
          <w:rtl/>
        </w:rPr>
        <w:t xml:space="preserve">, פ"ד לב(1) 253 (1977), ע"א 459/78 </w:t>
      </w:r>
      <w:r w:rsidRPr="001D2596">
        <w:rPr>
          <w:rFonts w:ascii="Century" w:hAnsi="Century" w:cs="Miriam"/>
          <w:b/>
          <w:rtl/>
        </w:rPr>
        <w:t>חברת בני פיפשקוביץ בע"מ נ' חברת אבני יצחק בע"מ</w:t>
      </w:r>
      <w:r w:rsidRPr="001D2596">
        <w:rPr>
          <w:rFonts w:ascii="Century" w:hAnsi="Century" w:cs="FrankRuehl"/>
          <w:spacing w:val="10"/>
          <w:szCs w:val="28"/>
          <w:rtl/>
        </w:rPr>
        <w:t xml:space="preserve">, פ"ד לה(3) 169 (1981)); תחרות בין רוכש מוקדם לנושה מאוחר (ראו, לדוגמה, ע"א 189/95 </w:t>
      </w:r>
      <w:r w:rsidRPr="001D2596">
        <w:rPr>
          <w:rFonts w:ascii="Century" w:hAnsi="Century" w:cs="Miriam"/>
          <w:b/>
          <w:rtl/>
        </w:rPr>
        <w:t>בנק אוצר החייל נ' אהרונוב</w:t>
      </w:r>
      <w:r w:rsidRPr="001D2596">
        <w:rPr>
          <w:rFonts w:ascii="Century" w:hAnsi="Century" w:cs="FrankRuehl"/>
          <w:spacing w:val="10"/>
          <w:szCs w:val="28"/>
          <w:rtl/>
        </w:rPr>
        <w:t xml:space="preserve">, פ"ד נג(4) 199 (1999)); תחרות בין בעל משכנתא לבין בן זוג הטוען לחזקת שיתוף (ראו, לדוגמה, ע"א 3002/93 </w:t>
      </w:r>
      <w:r w:rsidRPr="001D2596">
        <w:rPr>
          <w:rFonts w:ascii="Century" w:hAnsi="Century" w:cs="Miriam"/>
          <w:b/>
          <w:rtl/>
        </w:rPr>
        <w:t>בן-צבי נ' סיטין</w:t>
      </w:r>
      <w:r w:rsidRPr="001D2596">
        <w:rPr>
          <w:rFonts w:ascii="Century" w:hAnsi="Century" w:cs="FrankRuehl"/>
          <w:spacing w:val="10"/>
          <w:szCs w:val="28"/>
          <w:rtl/>
        </w:rPr>
        <w:t xml:space="preserve">, פ"ד מט(3) 5, 16 (1995)). </w:t>
      </w:r>
    </w:p>
    <w:p w:rsidR="001D2596" w:rsidRPr="001D2596" w:rsidRDefault="001D2596" w:rsidP="001D2596">
      <w:pPr>
        <w:spacing w:line="360" w:lineRule="auto"/>
        <w:jc w:val="both"/>
        <w:rPr>
          <w:rFonts w:ascii="Century" w:hAnsi="Century" w:cs="FrankRuehl"/>
          <w:spacing w:val="10"/>
          <w:szCs w:val="28"/>
          <w:rtl/>
        </w:rPr>
      </w:pPr>
    </w:p>
    <w:p w:rsidR="001D2596" w:rsidRPr="001D2596" w:rsidRDefault="001D2596" w:rsidP="001D2596">
      <w:pPr>
        <w:spacing w:line="360" w:lineRule="auto"/>
        <w:ind w:firstLine="720"/>
        <w:jc w:val="both"/>
        <w:rPr>
          <w:rFonts w:ascii="Century" w:hAnsi="Century" w:cs="FrankRuehl"/>
          <w:spacing w:val="10"/>
          <w:szCs w:val="28"/>
          <w:rtl/>
        </w:rPr>
      </w:pPr>
      <w:r w:rsidRPr="001D2596">
        <w:rPr>
          <w:rFonts w:ascii="Century" w:hAnsi="Century" w:cs="FrankRuehl"/>
          <w:spacing w:val="10"/>
          <w:szCs w:val="28"/>
          <w:rtl/>
        </w:rPr>
        <w:lastRenderedPageBreak/>
        <w:t xml:space="preserve">גם תקנת שוק באה להסדיר תחרות בין זכויות, ורבות הן תקנות השוק במשפט הישראלי. המשותף כמעט לכל תקנות השוק למיניהן ולסוגיהן השונים, שהן באו להסדיר מצב עניינים שבו נגזל נכס והועבר לצד שלישי, כך שנוצר משולש: בעלים מקורי – גזלן – צד שלישי, כאשר התחרות היא בין זכותו של הבעלים המקורי לבין זכותו של הצד השלישי. כך, לדוגמה, שמעון שרכש מגזלן מכשיר טלוויזיה שנגנב מראובן, יזכה להגנת תקנת השוק רק אם עמד בתנאי סעיף 34 לחוק המכר, התשכ"ח-1968 (להלן: </w:t>
      </w:r>
      <w:r w:rsidRPr="001D2596">
        <w:rPr>
          <w:rFonts w:ascii="Century" w:hAnsi="Century" w:cs="Miriam"/>
          <w:b/>
          <w:rtl/>
        </w:rPr>
        <w:t>חוק המכר</w:t>
      </w:r>
      <w:r w:rsidRPr="001D2596">
        <w:rPr>
          <w:rFonts w:ascii="Century" w:hAnsi="Century" w:cs="FrankRuehl"/>
          <w:spacing w:val="10"/>
          <w:szCs w:val="28"/>
          <w:rtl/>
        </w:rPr>
        <w:t xml:space="preserve">). מי שרכש מקרקעין מוסדרים מגזלן שנרשם שלא כדין כבעלים של המקרקעין, יזכה להגנת תקנת השוק רק אם עמד בתנאי סעיף 10 לחוק המקרקעין, הכוללים תום לב ותמורה והשלמת הרישום על שם הצד השלישי (רע"א 2267/95 </w:t>
      </w:r>
      <w:r w:rsidRPr="001D2596">
        <w:rPr>
          <w:rFonts w:ascii="Century" w:hAnsi="Century" w:cs="Miriam"/>
          <w:b/>
          <w:rtl/>
        </w:rPr>
        <w:t>ב"כ היועץ המשפטי לממשלה נ' הרטפלד</w:t>
      </w:r>
      <w:r w:rsidRPr="001D2596">
        <w:rPr>
          <w:rFonts w:ascii="Century" w:hAnsi="Century" w:cs="FrankRuehl"/>
          <w:spacing w:val="10"/>
          <w:szCs w:val="28"/>
          <w:rtl/>
        </w:rPr>
        <w:t xml:space="preserve">, פ"ד מט(3) 854 (1995)), כאשר תום הלב של הצד השלישי אף צריך להימשך עד לסיום הליכי הרישום (ע"א 4609/99 </w:t>
      </w:r>
      <w:r w:rsidRPr="001D2596">
        <w:rPr>
          <w:rFonts w:ascii="Century" w:hAnsi="Century" w:cs="Miriam"/>
          <w:b/>
          <w:rtl/>
        </w:rPr>
        <w:t>בעלי מקצוע נכסים (1997) בע"מ נ' סונדרס</w:t>
      </w:r>
      <w:r w:rsidRPr="001D2596">
        <w:rPr>
          <w:rFonts w:ascii="Century" w:hAnsi="Century" w:cs="FrankRuehl"/>
          <w:spacing w:val="10"/>
          <w:szCs w:val="28"/>
          <w:rtl/>
        </w:rPr>
        <w:t>, פ"ד נו(6) 832 (2002)).</w:t>
      </w:r>
    </w:p>
    <w:p w:rsidR="001D2596" w:rsidRPr="001D2596" w:rsidRDefault="001D2596" w:rsidP="001D2596">
      <w:pPr>
        <w:overflowPunct/>
        <w:autoSpaceDE/>
        <w:autoSpaceDN/>
        <w:adjustRightInd/>
        <w:spacing w:line="360" w:lineRule="auto"/>
        <w:jc w:val="both"/>
        <w:textAlignment w:val="auto"/>
        <w:rPr>
          <w:rFonts w:ascii="FrankRuehl" w:hAnsi="FrankRuehl" w:cs="FrankRuehl"/>
          <w:sz w:val="28"/>
          <w:szCs w:val="28"/>
          <w:rtl/>
          <w:lang w:eastAsia="he-IL"/>
        </w:rPr>
      </w:pPr>
    </w:p>
    <w:p w:rsidR="001D2596" w:rsidRPr="001D2596" w:rsidRDefault="001D2596" w:rsidP="003F2F37">
      <w:pPr>
        <w:overflowPunct/>
        <w:autoSpaceDE/>
        <w:autoSpaceDN/>
        <w:adjustRightInd/>
        <w:spacing w:line="360" w:lineRule="auto"/>
        <w:jc w:val="both"/>
        <w:textAlignment w:val="auto"/>
        <w:rPr>
          <w:rFonts w:ascii="Century" w:hAnsi="Century" w:cs="FrankRuehl"/>
          <w:szCs w:val="28"/>
          <w:rtl/>
          <w:lang w:eastAsia="he-IL"/>
        </w:rPr>
      </w:pPr>
      <w:r w:rsidRPr="001D2596">
        <w:rPr>
          <w:rFonts w:ascii="FrankRuehl" w:hAnsi="FrankRuehl" w:cs="FrankRuehl"/>
          <w:sz w:val="28"/>
          <w:szCs w:val="28"/>
          <w:rtl/>
          <w:lang w:eastAsia="he-IL"/>
        </w:rPr>
        <w:tab/>
      </w:r>
      <w:r w:rsidRPr="001D2596">
        <w:rPr>
          <w:rFonts w:ascii="Century" w:hAnsi="Century" w:cs="FrankRuehl"/>
          <w:spacing w:val="10"/>
          <w:sz w:val="22"/>
          <w:szCs w:val="28"/>
          <w:rtl/>
          <w:lang w:eastAsia="he-IL"/>
        </w:rPr>
        <w:t>כאמור, תקנות השוק למיניהן באו להסדיר תחרות בין הבעלים המקורי ל</w:t>
      </w:r>
      <w:r w:rsidR="00420FF4">
        <w:rPr>
          <w:rFonts w:ascii="Century" w:hAnsi="Century" w:cs="FrankRuehl" w:hint="cs"/>
          <w:spacing w:val="10"/>
          <w:sz w:val="22"/>
          <w:szCs w:val="28"/>
          <w:rtl/>
          <w:lang w:eastAsia="he-IL"/>
        </w:rPr>
        <w:t xml:space="preserve">בין </w:t>
      </w:r>
      <w:r w:rsidRPr="001D2596">
        <w:rPr>
          <w:rFonts w:ascii="Century" w:hAnsi="Century" w:cs="FrankRuehl"/>
          <w:spacing w:val="10"/>
          <w:sz w:val="22"/>
          <w:szCs w:val="28"/>
          <w:rtl/>
          <w:lang w:eastAsia="he-IL"/>
        </w:rPr>
        <w:t xml:space="preserve">צד שלישי שרכש מגזלן. כפי שהודגם לעיל, מצב טיפוסי שבו תחול תקנת השוק הוא כאשר מדובר בנכס שנגנב במזיד מבעליו ונמכר לצד שלישי. אך לצורך תחולת תקנת השוק, גזל הנכס מהבעלים המקורי יכול להיות גם שלא מדעת, קרי, שלא מתוך מחשבת זדון. כך, סעיף 10 לחוק המקרקעין יחול גם אם ראובן שמכר מקרקעין לשמעון, נרשם כבעלים של המקרקעין מתוך טעות כנה בסברו שהוא הזכאי להירשם כיורש של המקרקעין. גזל, במובן המשפטי, אינו מצריך אפוא יסוד נפשי של זדון או כוונה, וענייננו בכל שלילה שלא כדין של נכס, וזאת בדומה לעוולות של הסגת גבול במקרקעין ובמיטלטלין (סעיפים 29 ו-31 לפקודת הנזיקין [נוסח חדש] (להלן: </w:t>
      </w:r>
      <w:r w:rsidRPr="001D2596">
        <w:rPr>
          <w:rFonts w:ascii="Century" w:hAnsi="Century" w:cs="Miriam"/>
          <w:b/>
          <w:rtl/>
          <w:lang w:eastAsia="he-IL"/>
        </w:rPr>
        <w:t>הפקודה</w:t>
      </w:r>
      <w:r w:rsidRPr="001D2596">
        <w:rPr>
          <w:rFonts w:ascii="Century" w:hAnsi="Century" w:cs="FrankRuehl"/>
          <w:spacing w:val="10"/>
          <w:sz w:val="22"/>
          <w:szCs w:val="28"/>
          <w:rtl/>
          <w:lang w:eastAsia="he-IL"/>
        </w:rPr>
        <w:t xml:space="preserve">) (ישראל גלעד </w:t>
      </w:r>
      <w:r w:rsidRPr="001D2596">
        <w:rPr>
          <w:rFonts w:ascii="Century" w:hAnsi="Century" w:cs="Miriam"/>
          <w:b/>
          <w:rtl/>
          <w:lang w:eastAsia="he-IL"/>
        </w:rPr>
        <w:t>דיני נזיקין – גבולות האחריות</w:t>
      </w:r>
      <w:r w:rsidRPr="001D2596">
        <w:rPr>
          <w:rFonts w:ascii="Century" w:hAnsi="Century" w:cs="FrankRuehl"/>
          <w:spacing w:val="10"/>
          <w:sz w:val="22"/>
          <w:szCs w:val="28"/>
          <w:rtl/>
          <w:lang w:eastAsia="he-IL"/>
        </w:rPr>
        <w:t xml:space="preserve"> כרך ב 1197 (2012); עם זאת, יוער כי עוולת </w:t>
      </w:r>
      <w:r w:rsidRPr="001D2596">
        <w:rPr>
          <w:rFonts w:ascii="Century" w:hAnsi="Century" w:cs="Miriam"/>
          <w:b/>
          <w:sz w:val="22"/>
          <w:rtl/>
          <w:lang w:eastAsia="he-IL"/>
        </w:rPr>
        <w:t>הגזל</w:t>
      </w:r>
      <w:r w:rsidRPr="001D2596">
        <w:rPr>
          <w:rFonts w:ascii="Century" w:hAnsi="Century" w:cs="FrankRuehl"/>
          <w:spacing w:val="10"/>
          <w:sz w:val="22"/>
          <w:szCs w:val="28"/>
          <w:rtl/>
          <w:lang w:eastAsia="he-IL"/>
        </w:rPr>
        <w:t>, כלשונה בסעיף 54 לפקוד</w:t>
      </w:r>
      <w:r w:rsidR="003F2F37">
        <w:rPr>
          <w:rFonts w:ascii="Century" w:hAnsi="Century" w:cs="FrankRuehl" w:hint="cs"/>
          <w:spacing w:val="10"/>
          <w:sz w:val="22"/>
          <w:szCs w:val="28"/>
          <w:rtl/>
          <w:lang w:eastAsia="he-IL"/>
        </w:rPr>
        <w:t>ה</w:t>
      </w:r>
      <w:r w:rsidRPr="001D2596">
        <w:rPr>
          <w:rFonts w:ascii="Century" w:hAnsi="Century" w:cs="FrankRuehl"/>
          <w:spacing w:val="10"/>
          <w:sz w:val="22"/>
          <w:szCs w:val="28"/>
          <w:rtl/>
          <w:lang w:eastAsia="he-IL"/>
        </w:rPr>
        <w:t xml:space="preserve">, עניינה </w:t>
      </w:r>
      <w:r w:rsidRPr="001D2596">
        <w:rPr>
          <w:rFonts w:ascii="Century" w:hAnsi="Century" w:cs="Miriam"/>
          <w:b/>
          <w:sz w:val="22"/>
          <w:rtl/>
          <w:lang w:eastAsia="he-IL"/>
        </w:rPr>
        <w:t>במיטלטלין</w:t>
      </w:r>
      <w:r w:rsidRPr="001D2596">
        <w:rPr>
          <w:rFonts w:ascii="Century" w:hAnsi="Century" w:cs="FrankRuehl"/>
          <w:spacing w:val="10"/>
          <w:sz w:val="22"/>
          <w:szCs w:val="28"/>
          <w:rtl/>
          <w:lang w:eastAsia="he-IL"/>
        </w:rPr>
        <w:t xml:space="preserve"> בלבד)</w:t>
      </w:r>
      <w:r w:rsidRPr="001D2596">
        <w:rPr>
          <w:rFonts w:ascii="Century" w:hAnsi="Century" w:cs="FrankRuehl"/>
          <w:szCs w:val="28"/>
          <w:rtl/>
          <w:lang w:eastAsia="he-IL"/>
        </w:rPr>
        <w:t>.</w:t>
      </w:r>
    </w:p>
    <w:p w:rsidR="001D2596" w:rsidRPr="001D2596" w:rsidRDefault="001D2596" w:rsidP="001D2596">
      <w:pPr>
        <w:overflowPunct/>
        <w:autoSpaceDE/>
        <w:autoSpaceDN/>
        <w:adjustRightInd/>
        <w:spacing w:line="360" w:lineRule="auto"/>
        <w:jc w:val="both"/>
        <w:textAlignment w:val="auto"/>
        <w:rPr>
          <w:rFonts w:ascii="Century" w:hAnsi="Century" w:cs="FrankRuehl"/>
          <w:szCs w:val="28"/>
          <w:rtl/>
          <w:lang w:eastAsia="he-IL"/>
        </w:rPr>
      </w:pPr>
    </w:p>
    <w:p w:rsidR="001D2596" w:rsidRPr="001D2596" w:rsidRDefault="001D2596" w:rsidP="001D2596">
      <w:pPr>
        <w:overflowPunct/>
        <w:autoSpaceDE/>
        <w:autoSpaceDN/>
        <w:adjustRightInd/>
        <w:spacing w:line="360" w:lineRule="auto"/>
        <w:ind w:firstLine="720"/>
        <w:jc w:val="both"/>
        <w:textAlignment w:val="auto"/>
        <w:rPr>
          <w:rFonts w:ascii="FrankRuehl" w:hAnsi="FrankRuehl" w:cs="FrankRuehl"/>
          <w:sz w:val="28"/>
          <w:szCs w:val="28"/>
          <w:rtl/>
          <w:lang w:eastAsia="he-IL"/>
        </w:rPr>
      </w:pPr>
      <w:r w:rsidRPr="001D2596">
        <w:rPr>
          <w:rFonts w:ascii="Century" w:hAnsi="Century" w:cs="FrankRuehl"/>
          <w:spacing w:val="10"/>
          <w:sz w:val="22"/>
          <w:szCs w:val="28"/>
          <w:rtl/>
          <w:lang w:eastAsia="he-IL"/>
        </w:rPr>
        <w:t xml:space="preserve">במאמר מוסגר: המשפט העברי מכיר בתקנת שוק במיטלטלין (ראו בהרחבה ישראל ציגנלאוב "תקנת השוק התפתחותה של תקנה ופיתוחו של דין" </w:t>
      </w:r>
      <w:r w:rsidRPr="001D2596">
        <w:rPr>
          <w:rFonts w:ascii="Century" w:hAnsi="Century" w:cs="Miriam"/>
          <w:b/>
          <w:sz w:val="22"/>
          <w:rtl/>
          <w:lang w:eastAsia="he-IL"/>
        </w:rPr>
        <w:t>משפטים</w:t>
      </w:r>
      <w:r w:rsidRPr="001D2596">
        <w:rPr>
          <w:rFonts w:ascii="Century" w:hAnsi="Century" w:cs="FrankRuehl"/>
          <w:spacing w:val="10"/>
          <w:sz w:val="22"/>
          <w:szCs w:val="28"/>
          <w:rtl/>
          <w:lang w:eastAsia="he-IL"/>
        </w:rPr>
        <w:t xml:space="preserve"> לא 837 (תשס"א)), אך אינו מכיר כלל בתקנת שוק במקרקעין ולכן "קרקע אינה נגזלת" (בבלי </w:t>
      </w:r>
      <w:r w:rsidRPr="001D2596">
        <w:rPr>
          <w:rFonts w:ascii="Century" w:hAnsi="Century" w:cs="Miriam"/>
          <w:b/>
          <w:sz w:val="22"/>
          <w:rtl/>
          <w:lang w:eastAsia="he-IL"/>
        </w:rPr>
        <w:t>סוכה</w:t>
      </w:r>
      <w:r w:rsidRPr="001D2596">
        <w:rPr>
          <w:rFonts w:ascii="Century" w:hAnsi="Century" w:cs="FrankRuehl"/>
          <w:spacing w:val="10"/>
          <w:sz w:val="22"/>
          <w:szCs w:val="28"/>
          <w:rtl/>
          <w:lang w:eastAsia="he-IL"/>
        </w:rPr>
        <w:t xml:space="preserve"> ל', ב'); "הקרקע אינה נקנית לגזלן לעולם, אלא ברשות בעליה עומדת. ואפילו נמכרה לאלף זה אחר זה ונתיאשו הבעלים, הרי זו חוזרת לנגזל בלא דמים" (רמב"ם </w:t>
      </w:r>
      <w:r w:rsidRPr="001D2596">
        <w:rPr>
          <w:rFonts w:ascii="Century" w:hAnsi="Century" w:cs="Miriam"/>
          <w:b/>
          <w:sz w:val="22"/>
          <w:rtl/>
          <w:lang w:eastAsia="he-IL"/>
        </w:rPr>
        <w:t>גזילה ואבידה</w:t>
      </w:r>
      <w:r w:rsidRPr="001D2596">
        <w:rPr>
          <w:rFonts w:ascii="Century" w:hAnsi="Century" w:cs="FrankRuehl"/>
          <w:spacing w:val="10"/>
          <w:sz w:val="22"/>
          <w:szCs w:val="28"/>
          <w:rtl/>
          <w:lang w:eastAsia="he-IL"/>
        </w:rPr>
        <w:t xml:space="preserve"> ג', י"ד; למקורות נוספים במשפט העברי ראו פסק דינו של השופט (כתוארו אז)</w:t>
      </w:r>
      <w:r w:rsidRPr="001D2596">
        <w:rPr>
          <w:rFonts w:ascii="Century" w:hAnsi="Century" w:cs="Miriam"/>
          <w:b/>
          <w:sz w:val="22"/>
          <w:rtl/>
          <w:lang w:eastAsia="he-IL"/>
        </w:rPr>
        <w:t xml:space="preserve"> א' רובינשטיין</w:t>
      </w:r>
      <w:r w:rsidRPr="001D2596">
        <w:rPr>
          <w:rFonts w:ascii="Century" w:hAnsi="Century" w:cs="FrankRuehl"/>
          <w:spacing w:val="10"/>
          <w:sz w:val="22"/>
          <w:szCs w:val="28"/>
          <w:rtl/>
          <w:lang w:eastAsia="he-IL"/>
        </w:rPr>
        <w:t xml:space="preserve"> בע"א 624/13 </w:t>
      </w:r>
      <w:r w:rsidRPr="001D2596">
        <w:rPr>
          <w:rFonts w:ascii="Century" w:hAnsi="Century" w:cs="Miriam"/>
          <w:b/>
          <w:sz w:val="22"/>
          <w:rtl/>
          <w:lang w:eastAsia="he-IL"/>
        </w:rPr>
        <w:t>מורדכיוב נ' מינץ</w:t>
      </w:r>
      <w:r w:rsidRPr="001D2596">
        <w:rPr>
          <w:rFonts w:ascii="Century" w:hAnsi="Century" w:cs="FrankRuehl"/>
          <w:spacing w:val="10"/>
          <w:sz w:val="22"/>
          <w:szCs w:val="28"/>
          <w:rtl/>
          <w:lang w:eastAsia="he-IL"/>
        </w:rPr>
        <w:t xml:space="preserve">, פסקה יז (2.8.2014)). </w:t>
      </w:r>
    </w:p>
    <w:p w:rsidR="001D2596" w:rsidRPr="001D2596" w:rsidRDefault="001D2596" w:rsidP="001D2596">
      <w:pPr>
        <w:overflowPunct/>
        <w:autoSpaceDE/>
        <w:autoSpaceDN/>
        <w:adjustRightInd/>
        <w:spacing w:line="360" w:lineRule="auto"/>
        <w:jc w:val="both"/>
        <w:textAlignment w:val="auto"/>
        <w:rPr>
          <w:rFonts w:ascii="FrankRuehl" w:hAnsi="FrankRuehl" w:cs="FrankRuehl"/>
          <w:sz w:val="28"/>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lastRenderedPageBreak/>
        <w:t>2.</w:t>
      </w:r>
      <w:r w:rsidRPr="001D2596">
        <w:rPr>
          <w:rFonts w:ascii="Century" w:hAnsi="Century" w:cs="FrankRuehl"/>
          <w:spacing w:val="10"/>
          <w:sz w:val="22"/>
          <w:szCs w:val="28"/>
          <w:rtl/>
          <w:lang w:eastAsia="he-IL"/>
        </w:rPr>
        <w:tab/>
        <w:t xml:space="preserve">במקרה דנן, אין חולק שעסקינן במקרקעין מוסדרים שבבעלות בעלים פרטיים פלסטיניים. השאלה שעומדת לפנינו היא אם המחזיקים, תושבי היישוב מצפה כרמים, יכולים להמשיך להחזיק ולהשתמש במקרקעין שעליהם בנו את בתיהם, ולהתגבר על זכותם של הבעלים, וזאת מכוח תקנת שוק מיוחדת שהותקנה בשטחי איו"ש, שטחים שנמצאים תחת משטר משפטי של תפיסה לוחמתית. </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lang w:eastAsia="he-IL"/>
        </w:rPr>
      </w:pP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lang w:eastAsia="he-IL"/>
        </w:rPr>
      </w:pPr>
      <w:r w:rsidRPr="001D2596">
        <w:rPr>
          <w:rFonts w:ascii="Century" w:hAnsi="Century" w:cs="FrankRuehl"/>
          <w:spacing w:val="10"/>
          <w:sz w:val="22"/>
          <w:szCs w:val="28"/>
          <w:rtl/>
          <w:lang w:eastAsia="he-IL"/>
        </w:rPr>
        <w:t xml:space="preserve">תקנת השוק המיוחדת שעליה נסב דיוננו מעוגנת בסעיף 5 לצו בדבר רכוש ממשלתי (יהודה ושומרון) (מס' 59), התשכ"ז-1967 (להלן: </w:t>
      </w:r>
      <w:r w:rsidRPr="001D2596">
        <w:rPr>
          <w:rFonts w:ascii="Century" w:hAnsi="Century" w:cs="Miriam"/>
          <w:b/>
          <w:sz w:val="22"/>
          <w:rtl/>
          <w:lang w:eastAsia="he-IL"/>
        </w:rPr>
        <w:t>הצו</w:t>
      </w:r>
      <w:r w:rsidRPr="001D2596">
        <w:rPr>
          <w:rFonts w:ascii="Century" w:hAnsi="Century" w:cs="FrankRuehl"/>
          <w:spacing w:val="10"/>
          <w:sz w:val="22"/>
          <w:szCs w:val="28"/>
          <w:rtl/>
          <w:lang w:eastAsia="he-IL"/>
        </w:rPr>
        <w:t>)</w:t>
      </w:r>
      <w:r w:rsidRPr="001D2596">
        <w:rPr>
          <w:rFonts w:ascii="Century" w:hAnsi="Century" w:cs="Miriam"/>
          <w:b/>
          <w:sz w:val="22"/>
          <w:rtl/>
          <w:lang w:eastAsia="he-IL"/>
        </w:rPr>
        <w:t xml:space="preserve"> </w:t>
      </w:r>
      <w:r w:rsidRPr="001D2596">
        <w:rPr>
          <w:rFonts w:ascii="Century" w:hAnsi="Century" w:cs="FrankRuehl"/>
          <w:spacing w:val="10"/>
          <w:sz w:val="22"/>
          <w:szCs w:val="28"/>
          <w:rtl/>
          <w:lang w:eastAsia="he-IL"/>
        </w:rPr>
        <w:t xml:space="preserve">הקובע כלהלן: </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p>
    <w:p w:rsidR="001D2596" w:rsidRPr="001D2596" w:rsidRDefault="001D2596" w:rsidP="001D2596">
      <w:pPr>
        <w:tabs>
          <w:tab w:val="left" w:pos="90"/>
          <w:tab w:val="left" w:pos="7030"/>
        </w:tabs>
        <w:ind w:left="1649" w:right="1282"/>
        <w:contextualSpacing/>
        <w:jc w:val="both"/>
        <w:rPr>
          <w:rFonts w:ascii="Century" w:hAnsi="Century" w:cs="Miriam"/>
          <w:b/>
          <w:sz w:val="22"/>
          <w:rtl/>
        </w:rPr>
      </w:pPr>
      <w:r w:rsidRPr="001D2596">
        <w:rPr>
          <w:rFonts w:ascii="Century" w:hAnsi="Century" w:cs="Miriam"/>
          <w:b/>
          <w:sz w:val="22"/>
          <w:rtl/>
        </w:rPr>
        <w:t xml:space="preserve">כשרות עיסקות </w:t>
      </w:r>
    </w:p>
    <w:p w:rsidR="001D2596" w:rsidRPr="001D2596" w:rsidRDefault="001D2596" w:rsidP="001D2596">
      <w:pPr>
        <w:tabs>
          <w:tab w:val="left" w:pos="90"/>
          <w:tab w:val="left" w:pos="7030"/>
        </w:tabs>
        <w:ind w:left="1649" w:right="1282"/>
        <w:contextualSpacing/>
        <w:jc w:val="both"/>
        <w:rPr>
          <w:rFonts w:ascii="Century" w:hAnsi="Century" w:cs="FrankRuehl"/>
          <w:spacing w:val="10"/>
          <w:sz w:val="22"/>
          <w:szCs w:val="28"/>
          <w:rtl/>
        </w:rPr>
      </w:pPr>
      <w:r w:rsidRPr="001D2596">
        <w:rPr>
          <w:rFonts w:ascii="Century" w:hAnsi="Century" w:cs="FrankRuehl"/>
          <w:spacing w:val="10"/>
          <w:sz w:val="22"/>
          <w:szCs w:val="28"/>
          <w:rtl/>
        </w:rPr>
        <w:t xml:space="preserve">5. כל עיסקה שנעשתה בתום לב בין הממונה ובין אדם אחר </w:t>
      </w:r>
      <w:r w:rsidRPr="001D2596">
        <w:rPr>
          <w:rFonts w:ascii="Century" w:hAnsi="Century" w:cs="Miriam"/>
          <w:b/>
          <w:sz w:val="22"/>
          <w:rtl/>
        </w:rPr>
        <w:t>בכל נכס שהממונה חשבו בשעת העיסקה לרכוש ממשלתי</w:t>
      </w:r>
      <w:r w:rsidRPr="001D2596">
        <w:rPr>
          <w:rFonts w:ascii="Century" w:hAnsi="Century" w:cs="FrankRuehl"/>
          <w:spacing w:val="10"/>
          <w:sz w:val="22"/>
          <w:szCs w:val="28"/>
          <w:rtl/>
        </w:rPr>
        <w:t>, לא תיפסל ותעמוד בתוקפה גם אם יוכח שהנכס לא היה אותה שעה רכוש ממשלתי.</w:t>
      </w:r>
    </w:p>
    <w:p w:rsidR="001D2596" w:rsidRPr="001D2596" w:rsidRDefault="001D2596" w:rsidP="001D2596">
      <w:pPr>
        <w:tabs>
          <w:tab w:val="left" w:pos="90"/>
          <w:tab w:val="left" w:pos="7030"/>
        </w:tabs>
        <w:ind w:left="1649" w:right="1282"/>
        <w:contextualSpacing/>
        <w:jc w:val="both"/>
        <w:rPr>
          <w:rFonts w:ascii="Century" w:hAnsi="Century" w:cs="FrankRuehl"/>
          <w:spacing w:val="10"/>
          <w:sz w:val="22"/>
          <w:szCs w:val="28"/>
          <w:rtl/>
        </w:rPr>
      </w:pPr>
    </w:p>
    <w:p w:rsidR="001D2596" w:rsidRPr="001D2596" w:rsidRDefault="001D2596" w:rsidP="001D2596">
      <w:pPr>
        <w:tabs>
          <w:tab w:val="left" w:pos="90"/>
          <w:tab w:val="left" w:pos="7030"/>
        </w:tabs>
        <w:ind w:left="1649" w:right="1282"/>
        <w:contextualSpacing/>
        <w:jc w:val="both"/>
        <w:rPr>
          <w:rFonts w:ascii="Century" w:hAnsi="Century" w:cs="FrankRuehl"/>
          <w:spacing w:val="10"/>
          <w:sz w:val="22"/>
          <w:szCs w:val="28"/>
          <w:rtl/>
        </w:rPr>
      </w:pP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נוסח הצו זהה, בשינויים המחוייבים, ללשונו של סעיף 10(א) לצו בדבר נכסים נטושים (רכוש הפרט) (אזור הגדה המערבית) (מס' 58), התשכ"ז-1967 הקובע כלהלן:</w:t>
      </w: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p>
    <w:p w:rsidR="001D2596" w:rsidRPr="001D2596" w:rsidRDefault="001D2596" w:rsidP="001D2596">
      <w:pPr>
        <w:spacing w:line="276" w:lineRule="auto"/>
        <w:ind w:left="1642" w:right="1282"/>
        <w:jc w:val="both"/>
        <w:rPr>
          <w:rFonts w:ascii="Century" w:hAnsi="Century" w:cs="Miriam"/>
          <w:b/>
          <w:sz w:val="22"/>
          <w:rtl/>
        </w:rPr>
      </w:pPr>
      <w:r w:rsidRPr="001D2596">
        <w:rPr>
          <w:rFonts w:ascii="Century" w:hAnsi="Century" w:cs="Miriam"/>
          <w:b/>
          <w:sz w:val="22"/>
          <w:rtl/>
        </w:rPr>
        <w:t>כשרות ותוקף של עסקות</w:t>
      </w:r>
    </w:p>
    <w:p w:rsidR="001D2596" w:rsidRPr="001D2596" w:rsidRDefault="001D2596" w:rsidP="001D2596">
      <w:pPr>
        <w:ind w:left="1642" w:right="1282"/>
        <w:jc w:val="both"/>
        <w:rPr>
          <w:rFonts w:ascii="Century" w:hAnsi="Century" w:cs="FrankRuehl"/>
          <w:spacing w:val="10"/>
          <w:sz w:val="22"/>
          <w:szCs w:val="28"/>
          <w:rtl/>
        </w:rPr>
      </w:pPr>
      <w:r w:rsidRPr="001D2596">
        <w:rPr>
          <w:rFonts w:ascii="Century" w:hAnsi="Century" w:cs="FrankRuehl"/>
          <w:spacing w:val="10"/>
          <w:sz w:val="22"/>
          <w:szCs w:val="28"/>
          <w:rtl/>
        </w:rPr>
        <w:t xml:space="preserve">10.(א) כל עסקה שנעשתה בתום לבב בין הממונה ובין אדם אחר, </w:t>
      </w:r>
      <w:r w:rsidRPr="001D2596">
        <w:rPr>
          <w:rFonts w:ascii="Century" w:hAnsi="Century" w:cs="Miriam"/>
          <w:b/>
          <w:sz w:val="22"/>
          <w:rtl/>
        </w:rPr>
        <w:t>בכל נכס, שהממונה חשבו בשעת העסקה לנכס מוקנה</w:t>
      </w:r>
      <w:r w:rsidRPr="001D2596">
        <w:rPr>
          <w:rFonts w:ascii="Century" w:hAnsi="Century" w:cs="FrankRuehl"/>
          <w:spacing w:val="10"/>
          <w:sz w:val="22"/>
          <w:szCs w:val="28"/>
          <w:rtl/>
        </w:rPr>
        <w:t xml:space="preserve">, לא תיפסל, ותעמוד בתוקפה, גם אם יוכח, שהנכס לא היה אותה שעה מוקנה. </w:t>
      </w:r>
    </w:p>
    <w:p w:rsidR="001D2596" w:rsidRPr="001D2596" w:rsidRDefault="001D2596" w:rsidP="001D2596">
      <w:pPr>
        <w:tabs>
          <w:tab w:val="left" w:pos="90"/>
          <w:tab w:val="left" w:pos="7030"/>
        </w:tabs>
        <w:ind w:left="1649" w:right="1282"/>
        <w:contextualSpacing/>
        <w:jc w:val="both"/>
        <w:rPr>
          <w:rFonts w:ascii="Century" w:hAnsi="Century" w:cs="FrankRuehl"/>
          <w:spacing w:val="10"/>
          <w:sz w:val="22"/>
          <w:szCs w:val="28"/>
          <w:rtl/>
        </w:rPr>
      </w:pPr>
    </w:p>
    <w:p w:rsidR="001D2596" w:rsidRPr="001D2596" w:rsidRDefault="001D2596" w:rsidP="001D2596">
      <w:pPr>
        <w:tabs>
          <w:tab w:val="left" w:pos="90"/>
          <w:tab w:val="left" w:pos="7030"/>
        </w:tabs>
        <w:ind w:left="1649" w:right="1282"/>
        <w:contextualSpacing/>
        <w:jc w:val="both"/>
        <w:rPr>
          <w:rFonts w:ascii="Century" w:hAnsi="Century" w:cs="FrankRuehl"/>
          <w:spacing w:val="10"/>
          <w:sz w:val="22"/>
          <w:szCs w:val="28"/>
          <w:rtl/>
        </w:rPr>
      </w:pP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 xml:space="preserve">נוסח הצו זהה, בשינויים המחוייבים, גם ללשונו של סעיף 17(א) לחוק נכסי נפקדים, התש"י-1950 (להלן: </w:t>
      </w:r>
      <w:r w:rsidRPr="001D2596">
        <w:rPr>
          <w:rFonts w:ascii="Century" w:hAnsi="Century" w:cs="Miriam"/>
          <w:b/>
          <w:sz w:val="22"/>
          <w:rtl/>
          <w:lang w:eastAsia="he-IL"/>
        </w:rPr>
        <w:t>חוק נכסי נפקדים</w:t>
      </w:r>
      <w:r w:rsidRPr="001D2596">
        <w:rPr>
          <w:rFonts w:ascii="Century" w:hAnsi="Century" w:cs="FrankRuehl"/>
          <w:spacing w:val="10"/>
          <w:sz w:val="22"/>
          <w:szCs w:val="28"/>
          <w:rtl/>
          <w:lang w:eastAsia="he-IL"/>
        </w:rPr>
        <w:t>) הקובע כלהלן:</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p>
    <w:p w:rsidR="001D2596" w:rsidRPr="001D2596" w:rsidRDefault="001D2596" w:rsidP="001D2596">
      <w:pPr>
        <w:spacing w:line="276" w:lineRule="auto"/>
        <w:ind w:left="1642" w:right="1282"/>
        <w:jc w:val="both"/>
        <w:rPr>
          <w:rFonts w:ascii="Century" w:hAnsi="Century" w:cs="Miriam"/>
          <w:b/>
          <w:sz w:val="22"/>
          <w:rtl/>
        </w:rPr>
      </w:pPr>
      <w:r w:rsidRPr="001D2596">
        <w:rPr>
          <w:rFonts w:ascii="Century" w:hAnsi="Century" w:cs="Miriam"/>
          <w:b/>
          <w:sz w:val="22"/>
          <w:rtl/>
        </w:rPr>
        <w:t xml:space="preserve">כשרותן של עסקאות </w:t>
      </w:r>
    </w:p>
    <w:p w:rsidR="001D2596" w:rsidRPr="001D2596" w:rsidRDefault="001D2596" w:rsidP="001D2596">
      <w:pPr>
        <w:ind w:left="1642" w:right="1282"/>
        <w:jc w:val="both"/>
        <w:rPr>
          <w:rFonts w:ascii="Century" w:hAnsi="Century" w:cs="FrankRuehl"/>
          <w:spacing w:val="10"/>
          <w:sz w:val="22"/>
          <w:szCs w:val="28"/>
          <w:rtl/>
        </w:rPr>
      </w:pPr>
      <w:r w:rsidRPr="001D2596">
        <w:rPr>
          <w:rFonts w:ascii="Century" w:hAnsi="Century" w:cs="FrankRuehl"/>
          <w:spacing w:val="10"/>
          <w:sz w:val="22"/>
          <w:szCs w:val="28"/>
          <w:rtl/>
        </w:rPr>
        <w:t xml:space="preserve">17.(א) כל עסקה שנעשתה בתום לבב בין האפוטרופוס ובין אדם אחר </w:t>
      </w:r>
      <w:r w:rsidRPr="001D2596">
        <w:rPr>
          <w:rFonts w:ascii="Century" w:hAnsi="Century" w:cs="Miriam"/>
          <w:b/>
          <w:sz w:val="22"/>
          <w:rtl/>
        </w:rPr>
        <w:t>בכל נכס שהאפוטרופוס חשבו בשעת העסקה לנכס מוקנה</w:t>
      </w:r>
      <w:r w:rsidRPr="001D2596">
        <w:rPr>
          <w:rFonts w:ascii="Century" w:hAnsi="Century" w:cs="FrankRuehl"/>
          <w:spacing w:val="10"/>
          <w:sz w:val="22"/>
          <w:szCs w:val="28"/>
          <w:rtl/>
        </w:rPr>
        <w:t xml:space="preserve"> לא תיפסל ותעמוד בתקפה גם אם יוכח שהנכס לא היה אותה שעה נכס מוקנה.</w:t>
      </w:r>
    </w:p>
    <w:p w:rsidR="001D2596" w:rsidRPr="001D2596" w:rsidRDefault="001D2596" w:rsidP="001D2596">
      <w:pPr>
        <w:tabs>
          <w:tab w:val="left" w:pos="90"/>
          <w:tab w:val="left" w:pos="7030"/>
        </w:tabs>
        <w:ind w:left="1649" w:right="1282"/>
        <w:contextualSpacing/>
        <w:jc w:val="both"/>
        <w:rPr>
          <w:rFonts w:ascii="Century" w:hAnsi="Century" w:cs="FrankRuehl"/>
          <w:spacing w:val="10"/>
          <w:sz w:val="22"/>
          <w:szCs w:val="28"/>
          <w:rtl/>
        </w:rPr>
      </w:pPr>
    </w:p>
    <w:p w:rsidR="001D2596" w:rsidRPr="001D2596" w:rsidRDefault="001D2596" w:rsidP="001D2596">
      <w:pPr>
        <w:tabs>
          <w:tab w:val="left" w:pos="90"/>
          <w:tab w:val="left" w:pos="7030"/>
        </w:tabs>
        <w:ind w:left="1649" w:right="1282"/>
        <w:contextualSpacing/>
        <w:jc w:val="both"/>
        <w:rPr>
          <w:rFonts w:ascii="Century" w:hAnsi="Century" w:cs="FrankRuehl"/>
          <w:spacing w:val="10"/>
          <w:sz w:val="22"/>
          <w:szCs w:val="28"/>
          <w:rtl/>
        </w:rPr>
      </w:pP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נוסח הצו זהה, בשינויים המחוייבים, גם ללשונו של סעיף 10 לחוק נכסי גרמנים, התש"י-1950 הקובע כלהלן:</w:t>
      </w:r>
    </w:p>
    <w:p w:rsidR="001D2596" w:rsidRPr="001D2596" w:rsidRDefault="001D2596" w:rsidP="001D2596">
      <w:pPr>
        <w:ind w:left="1642" w:right="1282"/>
        <w:jc w:val="both"/>
        <w:rPr>
          <w:rFonts w:ascii="Century" w:hAnsi="Century" w:cs="FrankRuehl"/>
          <w:spacing w:val="10"/>
          <w:sz w:val="22"/>
          <w:szCs w:val="28"/>
          <w:rtl/>
        </w:rPr>
      </w:pPr>
    </w:p>
    <w:p w:rsidR="001D2596" w:rsidRPr="001D2596" w:rsidRDefault="001D2596" w:rsidP="001D2596">
      <w:pPr>
        <w:spacing w:line="276" w:lineRule="auto"/>
        <w:ind w:left="1642" w:right="1282"/>
        <w:jc w:val="both"/>
        <w:rPr>
          <w:rFonts w:ascii="Century" w:hAnsi="Century" w:cs="FrankRuehl"/>
          <w:spacing w:val="10"/>
          <w:sz w:val="22"/>
          <w:szCs w:val="28"/>
          <w:rtl/>
        </w:rPr>
      </w:pPr>
      <w:r w:rsidRPr="001D2596">
        <w:rPr>
          <w:rFonts w:ascii="Century" w:hAnsi="Century" w:cs="Miriam"/>
          <w:b/>
          <w:sz w:val="22"/>
          <w:rtl/>
        </w:rPr>
        <w:t xml:space="preserve">כשרותן של עסקות </w:t>
      </w:r>
    </w:p>
    <w:p w:rsidR="001D2596" w:rsidRPr="001D2596" w:rsidRDefault="001D2596" w:rsidP="001D2596">
      <w:pPr>
        <w:ind w:left="1642" w:right="1282"/>
        <w:jc w:val="both"/>
        <w:rPr>
          <w:rFonts w:ascii="Century" w:hAnsi="Century" w:cs="FrankRuehl"/>
          <w:spacing w:val="10"/>
          <w:sz w:val="22"/>
          <w:szCs w:val="28"/>
          <w:rtl/>
        </w:rPr>
      </w:pPr>
      <w:r w:rsidRPr="001D2596">
        <w:rPr>
          <w:rFonts w:ascii="Century" w:hAnsi="Century" w:cs="FrankRuehl"/>
          <w:spacing w:val="10"/>
          <w:sz w:val="22"/>
          <w:szCs w:val="28"/>
          <w:rtl/>
        </w:rPr>
        <w:t xml:space="preserve">10. כל עסקה שנעשתה בתום לבב בין האפוטרופוס ובין אדם אחר </w:t>
      </w:r>
      <w:r w:rsidRPr="001D2596">
        <w:rPr>
          <w:rFonts w:ascii="Century" w:hAnsi="Century" w:cs="Miriam"/>
          <w:b/>
          <w:sz w:val="22"/>
          <w:rtl/>
        </w:rPr>
        <w:t xml:space="preserve">בכל נכס שהאפוטרופוס חשבו בשעת העסקה </w:t>
      </w:r>
      <w:r w:rsidRPr="001D2596">
        <w:rPr>
          <w:rFonts w:ascii="Century" w:hAnsi="Century" w:cs="Miriam"/>
          <w:b/>
          <w:sz w:val="22"/>
          <w:rtl/>
        </w:rPr>
        <w:lastRenderedPageBreak/>
        <w:t xml:space="preserve">לנכס מוקנה </w:t>
      </w:r>
      <w:r w:rsidRPr="001D2596">
        <w:rPr>
          <w:rFonts w:ascii="Century" w:hAnsi="Century" w:cs="FrankRuehl"/>
          <w:spacing w:val="10"/>
          <w:sz w:val="22"/>
          <w:szCs w:val="28"/>
          <w:rtl/>
        </w:rPr>
        <w:t xml:space="preserve">לא תיפסל ותעמוד בתקפה גם אם יוכח שהנכס לא היה אותה שעה נכס מוקנה. </w:t>
      </w:r>
    </w:p>
    <w:p w:rsidR="001D2596" w:rsidRPr="001D2596" w:rsidRDefault="001D2596" w:rsidP="001D2596">
      <w:pPr>
        <w:ind w:left="1642" w:right="1282"/>
        <w:jc w:val="both"/>
        <w:rPr>
          <w:rFonts w:ascii="Century" w:hAnsi="Century" w:cs="FrankRuehl"/>
          <w:spacing w:val="10"/>
          <w:sz w:val="22"/>
          <w:szCs w:val="28"/>
          <w:rtl/>
        </w:rPr>
      </w:pPr>
    </w:p>
    <w:p w:rsidR="001D2596" w:rsidRPr="001D2596" w:rsidRDefault="001D2596" w:rsidP="001D2596">
      <w:pPr>
        <w:ind w:left="1642" w:right="1282"/>
        <w:jc w:val="both"/>
        <w:rPr>
          <w:rFonts w:ascii="Century" w:hAnsi="Century" w:cs="FrankRuehl"/>
          <w:spacing w:val="10"/>
          <w:sz w:val="22"/>
          <w:szCs w:val="28"/>
          <w:rtl/>
        </w:rPr>
      </w:pP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נוסח הצו זהה, בשינויים המחוייבים, גם ללשונו של סעיף 70 לחוק נכסים של נספי השואה (השבה ליורשים והקדשה למטרות סיוע והנצחה), התשס"ו-2006 הקובע כלהלן:</w:t>
      </w: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p>
    <w:p w:rsidR="001D2596" w:rsidRPr="001D2596" w:rsidRDefault="001D2596" w:rsidP="001D2596">
      <w:pPr>
        <w:spacing w:line="276" w:lineRule="auto"/>
        <w:ind w:left="1642" w:right="1282"/>
        <w:jc w:val="both"/>
        <w:rPr>
          <w:rFonts w:ascii="Century" w:hAnsi="Century" w:cs="Miriam"/>
          <w:b/>
          <w:sz w:val="22"/>
          <w:rtl/>
        </w:rPr>
      </w:pPr>
      <w:r w:rsidRPr="001D2596">
        <w:rPr>
          <w:rFonts w:ascii="Century" w:hAnsi="Century" w:cs="Miriam"/>
          <w:b/>
          <w:sz w:val="26"/>
          <w:rtl/>
        </w:rPr>
        <w:t>כשרות פעולות</w:t>
      </w:r>
    </w:p>
    <w:p w:rsidR="001D2596" w:rsidRPr="005D0CFA" w:rsidRDefault="001D2596" w:rsidP="001D2596">
      <w:pPr>
        <w:ind w:left="1642" w:right="1282"/>
        <w:jc w:val="both"/>
        <w:rPr>
          <w:rFonts w:ascii="Century" w:hAnsi="Century" w:cs="FrankRuehl"/>
          <w:spacing w:val="10"/>
          <w:sz w:val="22"/>
          <w:szCs w:val="28"/>
          <w:rtl/>
        </w:rPr>
      </w:pPr>
      <w:r w:rsidRPr="005D0CFA">
        <w:rPr>
          <w:rFonts w:ascii="Century" w:hAnsi="Century" w:cs="FrankRuehl"/>
          <w:spacing w:val="10"/>
          <w:sz w:val="22"/>
          <w:szCs w:val="28"/>
          <w:rtl/>
        </w:rPr>
        <w:t xml:space="preserve">70. פעולה שנעשתה בתום לב בין החברה לבין אדם אחר, מתוך הנחה </w:t>
      </w:r>
      <w:r w:rsidRPr="005D0CFA">
        <w:rPr>
          <w:rFonts w:ascii="Century" w:hAnsi="Century" w:cs="Miriam"/>
          <w:b/>
          <w:sz w:val="22"/>
          <w:rtl/>
        </w:rPr>
        <w:t>שנכס פלוני הוא נכס של נספה השואה</w:t>
      </w:r>
      <w:r w:rsidRPr="005D0CFA">
        <w:rPr>
          <w:rFonts w:ascii="Century" w:hAnsi="Century" w:cs="FrankRuehl"/>
          <w:spacing w:val="10"/>
          <w:sz w:val="22"/>
          <w:szCs w:val="28"/>
          <w:rtl/>
        </w:rPr>
        <w:t>, תעמוד בתוקפה גם אם נתגלה לאחר מכן שהנכס לא היה נכס של נספה השואה.</w:t>
      </w:r>
    </w:p>
    <w:p w:rsidR="001D2596" w:rsidRPr="001D2596" w:rsidRDefault="001D2596" w:rsidP="001D2596">
      <w:pPr>
        <w:spacing w:line="360" w:lineRule="auto"/>
        <w:ind w:left="1642" w:right="1282"/>
        <w:jc w:val="both"/>
        <w:rPr>
          <w:rFonts w:ascii="Century" w:hAnsi="Century" w:cs="Times New Roman"/>
          <w:spacing w:val="10"/>
          <w:sz w:val="26"/>
          <w:szCs w:val="26"/>
          <w:rtl/>
        </w:rPr>
      </w:pP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וראו, בדומה, גם סעיף 16 לחוק האפוטרופוס הכללי, התשל"ח-1978 הקובע כלהלן:</w:t>
      </w:r>
    </w:p>
    <w:p w:rsidR="001D2596" w:rsidRPr="001D2596" w:rsidRDefault="001D2596" w:rsidP="001D2596">
      <w:pPr>
        <w:spacing w:line="276" w:lineRule="auto"/>
        <w:ind w:left="1642" w:right="1282"/>
        <w:jc w:val="both"/>
        <w:rPr>
          <w:rFonts w:ascii="Century" w:hAnsi="Century" w:cs="Miriam"/>
          <w:b/>
          <w:sz w:val="22"/>
          <w:rtl/>
        </w:rPr>
      </w:pPr>
    </w:p>
    <w:p w:rsidR="001D2596" w:rsidRPr="001D2596" w:rsidRDefault="001D2596" w:rsidP="001D2596">
      <w:pPr>
        <w:spacing w:line="276" w:lineRule="auto"/>
        <w:ind w:left="1642" w:right="1282"/>
        <w:jc w:val="both"/>
        <w:rPr>
          <w:rFonts w:ascii="Century" w:hAnsi="Century" w:cs="Miriam"/>
          <w:b/>
          <w:sz w:val="22"/>
          <w:rtl/>
        </w:rPr>
      </w:pPr>
      <w:r w:rsidRPr="001D2596">
        <w:rPr>
          <w:rFonts w:ascii="Century" w:hAnsi="Century" w:cs="Miriam"/>
          <w:b/>
          <w:sz w:val="22"/>
          <w:rtl/>
        </w:rPr>
        <w:t>כשרות פעולות</w:t>
      </w:r>
    </w:p>
    <w:p w:rsidR="001D2596" w:rsidRPr="001D2596" w:rsidRDefault="001D2596" w:rsidP="001D2596">
      <w:pPr>
        <w:ind w:left="1642" w:right="1282"/>
        <w:jc w:val="both"/>
        <w:rPr>
          <w:rFonts w:ascii="Century" w:hAnsi="Century" w:cs="FrankRuehl"/>
          <w:spacing w:val="10"/>
          <w:sz w:val="22"/>
          <w:szCs w:val="28"/>
          <w:rtl/>
        </w:rPr>
      </w:pPr>
      <w:r w:rsidRPr="001D2596">
        <w:rPr>
          <w:rFonts w:ascii="Century" w:hAnsi="Century" w:cs="FrankRuehl"/>
          <w:spacing w:val="10"/>
          <w:sz w:val="22"/>
          <w:szCs w:val="28"/>
          <w:rtl/>
        </w:rPr>
        <w:t xml:space="preserve">16. פעולה שנעשתה בתום לב בין האפוטרופוס הכללי לבין אדם אחר, </w:t>
      </w:r>
      <w:r w:rsidRPr="001D2596">
        <w:rPr>
          <w:rFonts w:ascii="Century" w:hAnsi="Century" w:cs="Miriam"/>
          <w:b/>
          <w:sz w:val="22"/>
          <w:rtl/>
        </w:rPr>
        <w:t>מתוך הנחה שנכס פלוני הוא נכס עזוב</w:t>
      </w:r>
      <w:r w:rsidRPr="001D2596">
        <w:rPr>
          <w:rFonts w:ascii="Century" w:hAnsi="Century" w:cs="FrankRuehl"/>
          <w:spacing w:val="10"/>
          <w:sz w:val="22"/>
          <w:szCs w:val="28"/>
          <w:rtl/>
        </w:rPr>
        <w:t>, תעמוד בתקפה גם אם נתגלה לאחר מכן שהנכס לא היה עזוב.</w:t>
      </w:r>
    </w:p>
    <w:p w:rsidR="001D2596" w:rsidRPr="001D2596" w:rsidRDefault="001D2596" w:rsidP="001D2596">
      <w:pPr>
        <w:ind w:left="1642" w:right="1282"/>
        <w:jc w:val="both"/>
        <w:rPr>
          <w:rFonts w:ascii="Century" w:hAnsi="Century" w:cs="FrankRuehl"/>
          <w:spacing w:val="10"/>
          <w:sz w:val="22"/>
          <w:szCs w:val="28"/>
          <w:rtl/>
        </w:rPr>
      </w:pPr>
    </w:p>
    <w:p w:rsidR="001D2596" w:rsidRPr="001D2596" w:rsidRDefault="001D2596" w:rsidP="001D2596">
      <w:pPr>
        <w:ind w:left="1642" w:right="1282"/>
        <w:jc w:val="both"/>
        <w:rPr>
          <w:rFonts w:ascii="Century" w:hAnsi="Century" w:cs="FrankRuehl"/>
          <w:spacing w:val="10"/>
          <w:sz w:val="22"/>
          <w:szCs w:val="28"/>
          <w:rtl/>
        </w:rPr>
      </w:pP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 xml:space="preserve">להבדיל מתקנות השוק "הרגילות", בתקנות שוק מיוחדות אלה (להלן: </w:t>
      </w:r>
      <w:r w:rsidRPr="001D2596">
        <w:rPr>
          <w:rFonts w:ascii="Century" w:hAnsi="Century" w:cs="Miriam"/>
          <w:b/>
          <w:sz w:val="22"/>
          <w:rtl/>
          <w:lang w:eastAsia="he-IL"/>
        </w:rPr>
        <w:t>תקנות השוק המיוחדות</w:t>
      </w:r>
      <w:r w:rsidRPr="001D2596">
        <w:rPr>
          <w:rFonts w:ascii="Century" w:hAnsi="Century" w:cs="FrankRuehl"/>
          <w:spacing w:val="10"/>
          <w:sz w:val="22"/>
          <w:szCs w:val="28"/>
          <w:rtl/>
          <w:lang w:eastAsia="he-IL"/>
        </w:rPr>
        <w:t xml:space="preserve">) אין מדובר כמובן בגזל בזדון, אלא בעסקה שנעשתה שעה שהממונה על הרכוש הנטוש או האפוטרופוס על נכסי נפקדים חשבו </w:t>
      </w:r>
      <w:r w:rsidRPr="001D2596">
        <w:rPr>
          <w:rFonts w:ascii="Century" w:hAnsi="Century" w:cs="Miriam"/>
          <w:b/>
          <w:sz w:val="22"/>
          <w:rtl/>
          <w:lang w:eastAsia="he-IL"/>
        </w:rPr>
        <w:t>בטעות</w:t>
      </w:r>
      <w:r w:rsidRPr="001D2596">
        <w:rPr>
          <w:rFonts w:ascii="Century" w:hAnsi="Century" w:cs="FrankRuehl"/>
          <w:spacing w:val="10"/>
          <w:sz w:val="22"/>
          <w:szCs w:val="28"/>
          <w:rtl/>
          <w:lang w:eastAsia="he-IL"/>
        </w:rPr>
        <w:t xml:space="preserve"> בשעת עשיית העסקה כי הנכס מושא העסקה הוא רכוש ממשלתי או נכס מוקנה. </w:t>
      </w: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3.</w:t>
      </w:r>
      <w:r w:rsidRPr="001D2596">
        <w:rPr>
          <w:rFonts w:ascii="Century" w:hAnsi="Century" w:cs="FrankRuehl"/>
          <w:spacing w:val="10"/>
          <w:sz w:val="22"/>
          <w:szCs w:val="28"/>
          <w:rtl/>
          <w:lang w:eastAsia="he-IL"/>
        </w:rPr>
        <w:tab/>
        <w:t xml:space="preserve">ככלל, "תקנת השוק נועדה לתמי לב ולעסקות שאין בהן סירכה, שאם לא כן לא ב'תקנה' עסקינן אלא בעיוות" (ע"א 1134/06 </w:t>
      </w:r>
      <w:r w:rsidRPr="001D2596">
        <w:rPr>
          <w:rFonts w:ascii="Century" w:hAnsi="Century" w:cs="Miriam"/>
          <w:b/>
          <w:sz w:val="22"/>
          <w:rtl/>
          <w:lang w:eastAsia="he-IL"/>
        </w:rPr>
        <w:t>רושרוש נ' מנסור</w:t>
      </w:r>
      <w:r w:rsidRPr="001D2596">
        <w:rPr>
          <w:rFonts w:ascii="Century" w:hAnsi="Century" w:cs="FrankRuehl"/>
          <w:spacing w:val="10"/>
          <w:sz w:val="22"/>
          <w:szCs w:val="28"/>
          <w:rtl/>
          <w:lang w:eastAsia="he-IL"/>
        </w:rPr>
        <w:t xml:space="preserve">, פסקה ט"ו (10.11.2009)). ברובן-ככולן של תקנות השוק "הרגילות", דרישת תום הלב מוטלת על הקונה-הצד השלישי בלבד ואינה מופנית כלפי המוכר, שהרי ברי כי איננו דורשים תום לב ממוכר שהוא גזלן זדוני. לכן, לדוגמה, סעיף 10 לחוק המקרקעין וסעיף 34 לחוק המכר לא כוללים דרישה שהמוכר יהיה תם לב. לעומת זאת, לנוכח ייחודה של תקנת השוק בענייננו שעניינה </w:t>
      </w:r>
      <w:r w:rsidRPr="001D2596">
        <w:rPr>
          <w:rFonts w:ascii="Century" w:hAnsi="Century" w:cs="Miriam"/>
          <w:b/>
          <w:sz w:val="22"/>
          <w:rtl/>
          <w:lang w:eastAsia="he-IL"/>
        </w:rPr>
        <w:t>בטעות</w:t>
      </w:r>
      <w:r w:rsidRPr="001D2596">
        <w:rPr>
          <w:rFonts w:ascii="Century" w:hAnsi="Century" w:cs="FrankRuehl"/>
          <w:spacing w:val="10"/>
          <w:sz w:val="22"/>
          <w:szCs w:val="28"/>
          <w:rtl/>
          <w:lang w:eastAsia="he-IL"/>
        </w:rPr>
        <w:t xml:space="preserve"> של הממונה-מעביר הנכס, ולנוכח מעמדו של הממונה וחזקת התקינות שאנו מייחסים למעשיו, יש לדרוש תום לב גם מהממונה. כך נעשה בפסיקה הנוגעת לסעיף 17(א) לחוק נכסי נפקדים, ולפיה נדרש כי האפוטרופוס על נכסי נפקדים יפעל בתום לב בעת ההכרזה על נפקדות (ראו, לדוגמה, ע"א 4636/07 </w:t>
      </w:r>
      <w:r w:rsidRPr="001D2596">
        <w:rPr>
          <w:rFonts w:ascii="Century" w:hAnsi="Century" w:cs="Miriam"/>
          <w:b/>
          <w:sz w:val="22"/>
          <w:rtl/>
          <w:lang w:eastAsia="he-IL"/>
        </w:rPr>
        <w:t xml:space="preserve">מרעי נ' </w:t>
      </w:r>
      <w:r w:rsidRPr="001D2596">
        <w:rPr>
          <w:rFonts w:ascii="Century" w:hAnsi="Century" w:cs="Miriam"/>
          <w:b/>
          <w:sz w:val="22"/>
          <w:rtl/>
          <w:lang w:eastAsia="he-IL"/>
        </w:rPr>
        <w:lastRenderedPageBreak/>
        <w:t>מרעי</w:t>
      </w:r>
      <w:r w:rsidRPr="001D2596">
        <w:rPr>
          <w:rFonts w:ascii="Century" w:hAnsi="Century" w:cs="FrankRuehl"/>
          <w:spacing w:val="10"/>
          <w:sz w:val="22"/>
          <w:szCs w:val="28"/>
          <w:rtl/>
          <w:lang w:eastAsia="he-IL"/>
        </w:rPr>
        <w:t>,</w:t>
      </w:r>
      <w:r w:rsidRPr="001D2596">
        <w:rPr>
          <w:rFonts w:hint="cs"/>
          <w:rtl/>
          <w:lang w:eastAsia="he-IL"/>
        </w:rPr>
        <w:t xml:space="preserve"> </w:t>
      </w:r>
      <w:r w:rsidRPr="001D2596">
        <w:rPr>
          <w:rFonts w:ascii="Century" w:hAnsi="Century" w:cs="FrankRuehl"/>
          <w:spacing w:val="10"/>
          <w:sz w:val="22"/>
          <w:szCs w:val="28"/>
          <w:rtl/>
          <w:lang w:eastAsia="he-IL"/>
        </w:rPr>
        <w:t xml:space="preserve">פסקה 9 (21.12.2009) (להלן: עניין </w:t>
      </w:r>
      <w:r w:rsidRPr="001D2596">
        <w:rPr>
          <w:rFonts w:ascii="Century" w:hAnsi="Century" w:cs="Miriam"/>
          <w:b/>
          <w:sz w:val="22"/>
          <w:rtl/>
          <w:lang w:eastAsia="he-IL"/>
        </w:rPr>
        <w:t>מרעי</w:t>
      </w:r>
      <w:r w:rsidRPr="001D2596">
        <w:rPr>
          <w:rFonts w:ascii="Century" w:hAnsi="Century" w:cs="FrankRuehl"/>
          <w:spacing w:val="10"/>
          <w:sz w:val="22"/>
          <w:szCs w:val="28"/>
          <w:rtl/>
          <w:lang w:eastAsia="he-IL"/>
        </w:rPr>
        <w:t xml:space="preserve">)). בדומה, גם במסגרת סעיף 5 לצו יש לבחון את תום ליבו של הממונה, וזו המסקנה אליה הגיע חברי, השופט </w:t>
      </w:r>
      <w:r w:rsidRPr="001D2596">
        <w:rPr>
          <w:rFonts w:ascii="Century" w:hAnsi="Century" w:cs="Miriam"/>
          <w:b/>
          <w:sz w:val="22"/>
          <w:rtl/>
          <w:lang w:eastAsia="he-IL"/>
        </w:rPr>
        <w:t>ע' פוגלמן</w:t>
      </w:r>
      <w:r w:rsidRPr="001D2596">
        <w:rPr>
          <w:rFonts w:ascii="Century" w:hAnsi="Century" w:cs="FrankRuehl"/>
          <w:spacing w:val="10"/>
          <w:sz w:val="22"/>
          <w:szCs w:val="28"/>
          <w:rtl/>
          <w:lang w:eastAsia="he-IL"/>
        </w:rPr>
        <w:t xml:space="preserve">, שאליה הצטרף גם חברי השופט </w:t>
      </w:r>
      <w:r w:rsidRPr="001D2596">
        <w:rPr>
          <w:rFonts w:ascii="Century" w:hAnsi="Century" w:cs="Miriam"/>
          <w:b/>
          <w:sz w:val="22"/>
          <w:rtl/>
          <w:lang w:eastAsia="he-IL"/>
        </w:rPr>
        <w:t>נ' סולברג</w:t>
      </w:r>
      <w:r w:rsidRPr="001D2596">
        <w:rPr>
          <w:rFonts w:ascii="Century" w:hAnsi="Century" w:cs="FrankRuehl"/>
          <w:spacing w:val="10"/>
          <w:sz w:val="22"/>
          <w:szCs w:val="28"/>
          <w:rtl/>
          <w:lang w:eastAsia="he-IL"/>
        </w:rPr>
        <w:t xml:space="preserve">. </w:t>
      </w:r>
    </w:p>
    <w:p w:rsidR="001D2596" w:rsidRPr="001D2596" w:rsidRDefault="001D2596" w:rsidP="001D2596">
      <w:pPr>
        <w:overflowPunct/>
        <w:autoSpaceDE/>
        <w:autoSpaceDN/>
        <w:adjustRightInd/>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ab/>
        <w:t xml:space="preserve">ודוק: העובדה שחובת תום הלב חלה גם על הממונה-מעביר הנכס, אין בה </w:t>
      </w:r>
      <w:r w:rsidRPr="001D2596">
        <w:rPr>
          <w:rFonts w:ascii="Century" w:hAnsi="Century" w:cs="Miriam"/>
          <w:b/>
          <w:sz w:val="22"/>
          <w:rtl/>
          <w:lang w:eastAsia="he-IL"/>
        </w:rPr>
        <w:t>כשלעצמה</w:t>
      </w:r>
      <w:r w:rsidRPr="001D2596">
        <w:rPr>
          <w:rFonts w:ascii="Century" w:hAnsi="Century" w:cs="FrankRuehl"/>
          <w:spacing w:val="10"/>
          <w:sz w:val="22"/>
          <w:szCs w:val="28"/>
          <w:rtl/>
          <w:lang w:eastAsia="he-IL"/>
        </w:rPr>
        <w:t xml:space="preserve"> כדי ללמד על טיב הרף של תום הלב הנדרש מהממונה. כמוסבר לעיל, בתקנת שוק "רגילה" המוכר עשוי להיות גזלן זדוני, וממילא הגיונה של תקנת השוק אינו מאפשר להחיל עליו חובת תום לב. לעומת זאת, ענייננו בתקנת שוק מיוחדת שאינה עוסקת בגזל במזיד, מה שמסביר מדוע לא נפקד מקומה של חובת תום הלב מבין תנאיה. במילים אחרות, הכפפתו של הממונה לחובת תום הלב (כפי שזו מוטלת ברגיל על כל צד לעסקת מכר שגרתית), היא המבדילה בין תקנת שוק זו לבין תקנת שוק "רגילה". משכך, אין בעצם קיומה של חובה זו כדי להעיד על טיב הרף הנדרש, לא לקולא ולא לחומרא. דברים אלו כמובן אינם גורעים מאומה מהיקפה של חובת תום הלב החלה על הממונה (שאליה אתייחס להלן), ואין באמור אלא כדי להבהיר כי עצם הכפפת הממונה לחובת תום הלב, אין בה כשלעצמה כדי ללמד על טיב החובה והיקפה.</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4.</w:t>
      </w:r>
      <w:r w:rsidRPr="001D2596">
        <w:rPr>
          <w:rFonts w:ascii="Century" w:hAnsi="Century" w:cs="FrankRuehl"/>
          <w:spacing w:val="10"/>
          <w:sz w:val="22"/>
          <w:szCs w:val="28"/>
          <w:rtl/>
          <w:lang w:eastAsia="he-IL"/>
        </w:rPr>
        <w:tab/>
        <w:t xml:space="preserve">ומכאן למאפייני חובת תום הלב. סעיף 5 לצו נוקט במילים "בכל נכס שהממונה </w:t>
      </w:r>
      <w:r w:rsidRPr="001D2596">
        <w:rPr>
          <w:rFonts w:ascii="Century" w:hAnsi="Century" w:cs="Miriam"/>
          <w:b/>
          <w:sz w:val="22"/>
          <w:rtl/>
          <w:lang w:eastAsia="he-IL"/>
        </w:rPr>
        <w:t>חשבו</w:t>
      </w:r>
      <w:r w:rsidRPr="001D2596">
        <w:rPr>
          <w:rFonts w:ascii="Century" w:hAnsi="Century" w:cs="FrankRuehl"/>
          <w:spacing w:val="10"/>
          <w:sz w:val="22"/>
          <w:szCs w:val="28"/>
          <w:rtl/>
          <w:lang w:eastAsia="he-IL"/>
        </w:rPr>
        <w:t xml:space="preserve"> בשעת העיסקה לרכוש ממשלתי", מה שרומז לתום לב סובייקטיבי. עמדנו לעיל על הדמיון עד כדי זהות שבין סעיף זה לבין סעיף 17(א) לחוק נכסי נפקדים, ואכן גם לגבי האחרון נקבע כי עניינו בתום לב סובייקטיבי (</w:t>
      </w:r>
      <w:r w:rsidRPr="001D2596">
        <w:rPr>
          <w:rFonts w:ascii="FrankRuehl" w:hAnsi="FrankRuehl" w:cs="FrankRuehl"/>
          <w:color w:val="000000"/>
          <w:sz w:val="28"/>
          <w:szCs w:val="28"/>
          <w:rtl/>
          <w:lang w:eastAsia="he-IL"/>
        </w:rPr>
        <w:t>ע"א </w:t>
      </w:r>
      <w:r w:rsidRPr="001D2596">
        <w:rPr>
          <w:rFonts w:ascii="FrankRuehl" w:hAnsi="FrankRuehl" w:cs="FrankRuehl"/>
          <w:color w:val="000000"/>
          <w:sz w:val="28"/>
          <w:szCs w:val="28"/>
          <w:lang w:eastAsia="he-IL"/>
        </w:rPr>
        <w:t>170/66</w:t>
      </w:r>
      <w:r w:rsidRPr="001D2596">
        <w:rPr>
          <w:rFonts w:ascii="FrankRuehl" w:hAnsi="FrankRuehl" w:cs="FrankRuehl"/>
          <w:color w:val="000000"/>
          <w:sz w:val="28"/>
          <w:szCs w:val="28"/>
          <w:rtl/>
          <w:lang w:eastAsia="he-IL"/>
        </w:rPr>
        <w:t xml:space="preserve">‏ </w:t>
      </w:r>
      <w:r w:rsidRPr="001D2596">
        <w:rPr>
          <w:rFonts w:ascii="Century" w:hAnsi="Century" w:cs="Miriam"/>
          <w:b/>
          <w:sz w:val="22"/>
          <w:rtl/>
          <w:lang w:eastAsia="he-IL"/>
        </w:rPr>
        <w:t>פיאד נ' האפוטרופוס לנכסי נפקדים</w:t>
      </w:r>
      <w:r w:rsidRPr="001D2596">
        <w:rPr>
          <w:rFonts w:ascii="FrankRuehl" w:hAnsi="FrankRuehl" w:cs="FrankRuehl"/>
          <w:color w:val="000000"/>
          <w:sz w:val="28"/>
          <w:szCs w:val="28"/>
          <w:rtl/>
          <w:lang w:eastAsia="he-IL"/>
        </w:rPr>
        <w:t xml:space="preserve">, פ"ד כ(4) 433, 436 (1966); </w:t>
      </w:r>
      <w:r w:rsidRPr="001D2596">
        <w:rPr>
          <w:rFonts w:ascii="Century" w:hAnsi="Century" w:cs="FrankRuehl"/>
          <w:spacing w:val="10"/>
          <w:sz w:val="22"/>
          <w:szCs w:val="28"/>
          <w:rtl/>
          <w:lang w:eastAsia="he-IL"/>
        </w:rPr>
        <w:t xml:space="preserve">ע"א 109/87 </w:t>
      </w:r>
      <w:r w:rsidRPr="00424283">
        <w:rPr>
          <w:rFonts w:ascii="Century" w:hAnsi="Century" w:cs="Miriam"/>
          <w:b/>
          <w:sz w:val="22"/>
          <w:rtl/>
          <w:lang w:eastAsia="he-IL"/>
        </w:rPr>
        <w:t>חוות מקורה בע"מ נ' חסן</w:t>
      </w:r>
      <w:r w:rsidRPr="001D2596">
        <w:rPr>
          <w:rFonts w:ascii="Century" w:hAnsi="Century" w:cs="FrankRuehl"/>
          <w:spacing w:val="10"/>
          <w:sz w:val="22"/>
          <w:szCs w:val="28"/>
          <w:rtl/>
          <w:lang w:eastAsia="he-IL"/>
        </w:rPr>
        <w:t xml:space="preserve">, פ"ד מז(5) 1, 19-18 (1993) (להלן: עניין </w:t>
      </w:r>
      <w:r w:rsidRPr="007E4987">
        <w:rPr>
          <w:rFonts w:ascii="Century" w:hAnsi="Century" w:cs="Miriam"/>
          <w:b/>
          <w:sz w:val="22"/>
          <w:rtl/>
          <w:lang w:eastAsia="he-IL"/>
        </w:rPr>
        <w:t>חוות מקורה</w:t>
      </w:r>
      <w:r w:rsidRPr="001D2596">
        <w:rPr>
          <w:rFonts w:ascii="Century" w:hAnsi="Century" w:cs="FrankRuehl"/>
          <w:spacing w:val="10"/>
          <w:sz w:val="22"/>
          <w:szCs w:val="28"/>
          <w:rtl/>
          <w:lang w:eastAsia="he-IL"/>
        </w:rPr>
        <w:t xml:space="preserve">)). אין תימה אפוא כי שלושת חבריי בפסק הדין מושא הדיון הנוסף הסכימו כי אמת המידה לבחינת תום לבו של הממונה היא סובייקטיבית, ואף חברי השופט </w:t>
      </w:r>
      <w:r w:rsidRPr="007E4987">
        <w:rPr>
          <w:rFonts w:ascii="Century" w:hAnsi="Century" w:cs="Miriam"/>
          <w:b/>
          <w:sz w:val="22"/>
          <w:rtl/>
          <w:lang w:eastAsia="he-IL"/>
        </w:rPr>
        <w:t>פוגלמן</w:t>
      </w:r>
      <w:r w:rsidRPr="007E4987">
        <w:rPr>
          <w:rFonts w:ascii="Century" w:hAnsi="Century" w:cs="FrankRuehl"/>
          <w:spacing w:val="10"/>
          <w:sz w:val="22"/>
          <w:szCs w:val="28"/>
          <w:rtl/>
          <w:lang w:eastAsia="he-IL"/>
        </w:rPr>
        <w:t xml:space="preserve"> </w:t>
      </w:r>
      <w:r w:rsidRPr="001D2596">
        <w:rPr>
          <w:rFonts w:ascii="Century" w:hAnsi="Century" w:cs="FrankRuehl"/>
          <w:spacing w:val="10"/>
          <w:sz w:val="22"/>
          <w:szCs w:val="28"/>
          <w:rtl/>
          <w:lang w:eastAsia="he-IL"/>
        </w:rPr>
        <w:t xml:space="preserve">סבור כך (פסקה 58 לחוות דעתו). </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alibri" w:hAnsi="Calibri"/>
          <w:rtl/>
          <w:lang w:eastAsia="he-IL"/>
        </w:rPr>
      </w:pPr>
      <w:r w:rsidRPr="001D2596">
        <w:rPr>
          <w:rFonts w:ascii="Century" w:hAnsi="Century" w:cs="FrankRuehl"/>
          <w:spacing w:val="10"/>
          <w:sz w:val="22"/>
          <w:szCs w:val="28"/>
          <w:rtl/>
          <w:lang w:eastAsia="he-IL"/>
        </w:rPr>
        <w:t>5.</w:t>
      </w:r>
      <w:r w:rsidRPr="001D2596">
        <w:rPr>
          <w:rFonts w:ascii="Century" w:hAnsi="Century" w:cs="FrankRuehl"/>
          <w:spacing w:val="10"/>
          <w:sz w:val="22"/>
          <w:szCs w:val="28"/>
          <w:rtl/>
          <w:lang w:eastAsia="he-IL"/>
        </w:rPr>
        <w:tab/>
        <w:t xml:space="preserve">אכן, מאז ומתמיד תום הלב שנדרש במסגרת תקנות השוק למיניהן היה תום לב סובייקטיבי. ברם, מאחר שבית המשפט אינו בוחן כליות ולב, הרי שאחת הדרכים לבחינת תום הלב היא בחינה של רכיבים אובייקטיביים. כך לדוגמה, בהיקש לסוג אחר של תחרות בין זכויות, תחרות בין רוכש מוקדם לרוכש מאוחר (סעיף 9 לחוק המקרקעין), לא נאפשר לרוכש המאוחר לטעון לתום לב סובייקטיבי, אם לא בדק את מצב ההחזקה במקרקעין ואם המקרקעין תפוסים על ידי אחר (ראו, לדוגמה, ע"א 8609/15 </w:t>
      </w:r>
      <w:r w:rsidRPr="001D2596">
        <w:rPr>
          <w:rFonts w:ascii="Century" w:hAnsi="Century" w:cs="Miriam"/>
          <w:b/>
          <w:sz w:val="22"/>
          <w:rtl/>
          <w:lang w:eastAsia="he-IL"/>
        </w:rPr>
        <w:t>מוסטפא נ' המועצה המקומית דלית אל כרמל</w:t>
      </w:r>
      <w:r w:rsidRPr="001D2596">
        <w:rPr>
          <w:rFonts w:ascii="Century" w:hAnsi="Century" w:cs="FrankRuehl"/>
          <w:spacing w:val="10"/>
          <w:sz w:val="22"/>
          <w:szCs w:val="28"/>
          <w:rtl/>
          <w:lang w:eastAsia="he-IL"/>
        </w:rPr>
        <w:t xml:space="preserve">, פסקה 9 (3.5.2017); ע"א 1117/06 </w:t>
      </w:r>
      <w:r w:rsidRPr="001D2596">
        <w:rPr>
          <w:rFonts w:ascii="Century" w:hAnsi="Century" w:cs="Miriam"/>
          <w:b/>
          <w:sz w:val="22"/>
          <w:rtl/>
          <w:lang w:eastAsia="he-IL"/>
        </w:rPr>
        <w:t>חברת אלקודס קורפוריישן נ' יורשי המנוח עבד אלרחמן</w:t>
      </w:r>
      <w:r w:rsidRPr="001D2596">
        <w:rPr>
          <w:rFonts w:ascii="Century" w:hAnsi="Century" w:cs="FrankRuehl"/>
          <w:spacing w:val="10"/>
          <w:sz w:val="22"/>
          <w:szCs w:val="28"/>
          <w:rtl/>
          <w:lang w:eastAsia="he-IL"/>
        </w:rPr>
        <w:t>,</w:t>
      </w:r>
      <w:r w:rsidRPr="001D2596">
        <w:rPr>
          <w:rFonts w:ascii="Century" w:hAnsi="Century" w:cs="Miriam"/>
          <w:b/>
          <w:sz w:val="22"/>
          <w:rtl/>
          <w:lang w:eastAsia="he-IL"/>
        </w:rPr>
        <w:t xml:space="preserve"> </w:t>
      </w:r>
      <w:r w:rsidRPr="001D2596">
        <w:rPr>
          <w:rFonts w:ascii="Century" w:hAnsi="Century" w:cs="FrankRuehl"/>
          <w:spacing w:val="10"/>
          <w:sz w:val="22"/>
          <w:szCs w:val="28"/>
          <w:rtl/>
          <w:lang w:eastAsia="he-IL"/>
        </w:rPr>
        <w:t>פסקה 32 (4.4.2010)).</w:t>
      </w:r>
    </w:p>
    <w:p w:rsidR="001D2596" w:rsidRPr="001D2596" w:rsidRDefault="001D2596" w:rsidP="001D2596">
      <w:pPr>
        <w:overflowPunct/>
        <w:autoSpaceDE/>
        <w:autoSpaceDN/>
        <w:adjustRightInd/>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lastRenderedPageBreak/>
        <w:t xml:space="preserve">בכל תקנות השוק למיניהן, בהינתן הפגיעה בבעלים המקורי, אנו נדרשים לבחינה מדוקדקת של תנאי תקנת השוק, ויש בסיס לסברה כי רשלנות רבתי עשויה לשלול תום לב סובייקטיבי, כך שלמצער יש להוסיף שוליים אובייקטיביים לתום הלב הנדרש. עמד על כך לאחרונה השופט </w:t>
      </w:r>
      <w:r w:rsidRPr="001D2596">
        <w:rPr>
          <w:rFonts w:ascii="Century" w:hAnsi="Century" w:cs="Miriam"/>
          <w:b/>
          <w:sz w:val="22"/>
          <w:rtl/>
          <w:lang w:eastAsia="he-IL"/>
        </w:rPr>
        <w:t>ע' גרוסקופף</w:t>
      </w:r>
      <w:r w:rsidRPr="001D2596">
        <w:rPr>
          <w:rFonts w:ascii="Century" w:hAnsi="Century" w:cs="FrankRuehl"/>
          <w:spacing w:val="10"/>
          <w:sz w:val="22"/>
          <w:szCs w:val="28"/>
          <w:rtl/>
          <w:lang w:eastAsia="he-IL"/>
        </w:rPr>
        <w:t xml:space="preserve"> בע"א 7793/19 </w:t>
      </w:r>
      <w:r w:rsidRPr="001D2596">
        <w:rPr>
          <w:rFonts w:ascii="Century" w:hAnsi="Century" w:cs="Miriam"/>
          <w:b/>
          <w:sz w:val="22"/>
          <w:rtl/>
          <w:lang w:eastAsia="he-IL"/>
        </w:rPr>
        <w:t>מדינת ישראל – רשות הפיתוח נ' עקל</w:t>
      </w:r>
      <w:r w:rsidRPr="001D2596">
        <w:rPr>
          <w:rFonts w:ascii="Century" w:hAnsi="Century" w:cs="FrankRuehl"/>
          <w:spacing w:val="10"/>
          <w:sz w:val="22"/>
          <w:szCs w:val="28"/>
          <w:rtl/>
          <w:lang w:eastAsia="he-IL"/>
        </w:rPr>
        <w:t xml:space="preserve"> (8.5.2022) (להלן: עניין</w:t>
      </w:r>
      <w:r w:rsidRPr="001D2596">
        <w:rPr>
          <w:rFonts w:ascii="Century" w:hAnsi="Century" w:cs="Miriam"/>
          <w:b/>
          <w:sz w:val="22"/>
          <w:rtl/>
          <w:lang w:eastAsia="he-IL"/>
        </w:rPr>
        <w:t xml:space="preserve"> עקל</w:t>
      </w:r>
      <w:r w:rsidRPr="001D2596">
        <w:rPr>
          <w:rFonts w:ascii="Century" w:hAnsi="Century" w:cs="FrankRuehl"/>
          <w:spacing w:val="10"/>
          <w:sz w:val="22"/>
          <w:szCs w:val="28"/>
          <w:rtl/>
          <w:lang w:eastAsia="he-IL"/>
        </w:rPr>
        <w:t xml:space="preserve">), ואביא מקצת הדברים בלשונו: </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p>
    <w:p w:rsidR="001D2596" w:rsidRPr="001D2596" w:rsidRDefault="001D2596" w:rsidP="001D2596">
      <w:pPr>
        <w:ind w:left="1642" w:right="1282"/>
        <w:jc w:val="both"/>
        <w:rPr>
          <w:rFonts w:ascii="Century" w:hAnsi="Century" w:cs="FrankRuehl"/>
          <w:spacing w:val="10"/>
          <w:sz w:val="22"/>
          <w:szCs w:val="28"/>
          <w:rtl/>
        </w:rPr>
      </w:pPr>
      <w:r w:rsidRPr="001D2596">
        <w:rPr>
          <w:rFonts w:ascii="Century" w:hAnsi="Century" w:cs="FrankRuehl"/>
          <w:spacing w:val="10"/>
          <w:sz w:val="22"/>
          <w:szCs w:val="28"/>
          <w:rtl/>
        </w:rPr>
        <w:t>"בהינתן המגמה הכללית במשפט הישראלי המאופיינת באובייקטיביזציה של סטנדרט תום הלב בהקשר של דיני הקניין בכלל, והסדרי תקנות השוק בפרט, מן הראוי לקבוע כי לצד הבחינה הסובייקטיבית של סטנדרט תום הלב לצורך תחולת סעיף 17 ל</w:t>
      </w:r>
      <w:hyperlink w:history="1">
        <w:r w:rsidRPr="001D2596">
          <w:rPr>
            <w:rFonts w:ascii="Century" w:hAnsi="Century" w:cs="FrankRuehl"/>
            <w:spacing w:val="10"/>
            <w:sz w:val="22"/>
            <w:szCs w:val="28"/>
            <w:rtl/>
          </w:rPr>
          <w:t>חוק נכסי נפקדים</w:t>
        </w:r>
      </w:hyperlink>
      <w:r w:rsidRPr="001D2596">
        <w:rPr>
          <w:rFonts w:ascii="Century" w:hAnsi="Century" w:cs="FrankRuehl"/>
          <w:spacing w:val="10"/>
          <w:sz w:val="22"/>
          <w:szCs w:val="28"/>
          <w:rtl/>
        </w:rPr>
        <w:t>, יש להביא בחשבון גם רכיבים אובייקטיבים מסוימים בהתנהלותן של הרשויות המעורבות. [...] הרציונל לכך זהה לרציונל העומד ביסוד דרישת תום הלב בהקשר של הסדרי תקנות שוק, אשר כמתואר לעיל, נעוץ בכך שלתוצאה הקשה הנובעת מהחלתם של הסדרים אלו – שלילת זכות קניין מבעלי אותה הזכות, ראוי להגיע רק לטובת מי שעשו מצדם את הנדרש על מנת למנוע את התאונה המשפטית. המבקש לגבור על זכות קניינית או מעין קניינית של אחר, ולהביא לשלילתה, נדרש לעמוד בסטנדרט התנהגות אשר יש בו מבחינה אובייקטיבית כדי להצדיק זאת, ולא די בכך שהוא היה תם לב מבחינה סובייקטיבית. עניין זה מתחייב אף משיקולי יעילות, על מנת לתמרץ את הטוען לעדיפות על פני זכות קניינית או מעין קניינית לבצע פעולות שעלותן מבחינתו נמוכה, ותועלתן למניעת הנזק מזולתו גבוהה [...]" (שם, פסקה 18).</w:t>
      </w:r>
    </w:p>
    <w:p w:rsidR="001D2596" w:rsidRPr="001D2596" w:rsidRDefault="001D2596" w:rsidP="001D2596">
      <w:pPr>
        <w:ind w:left="1642" w:right="1282"/>
        <w:jc w:val="both"/>
        <w:rPr>
          <w:rFonts w:ascii="Century" w:hAnsi="Century" w:cs="FrankRuehl"/>
          <w:spacing w:val="10"/>
          <w:sz w:val="22"/>
          <w:szCs w:val="28"/>
          <w:rtl/>
        </w:rPr>
      </w:pPr>
    </w:p>
    <w:p w:rsidR="001D2596" w:rsidRPr="001D2596" w:rsidRDefault="001D2596" w:rsidP="001D2596">
      <w:pPr>
        <w:ind w:left="1642" w:right="1282"/>
        <w:jc w:val="both"/>
        <w:rPr>
          <w:rFonts w:ascii="Century" w:hAnsi="Century" w:cs="FrankRuehl"/>
          <w:spacing w:val="10"/>
          <w:sz w:val="22"/>
          <w:szCs w:val="28"/>
          <w:rtl/>
        </w:rPr>
      </w:pPr>
    </w:p>
    <w:p w:rsidR="001D2596" w:rsidRPr="001D2596" w:rsidRDefault="001D2596" w:rsidP="001D2596">
      <w:pPr>
        <w:overflowPunct/>
        <w:autoSpaceDE/>
        <w:autoSpaceDN/>
        <w:adjustRightInd/>
        <w:spacing w:line="360" w:lineRule="auto"/>
        <w:ind w:firstLine="720"/>
        <w:jc w:val="both"/>
        <w:textAlignment w:val="auto"/>
        <w:rPr>
          <w:rtl/>
          <w:lang w:eastAsia="he-IL"/>
        </w:rPr>
      </w:pPr>
      <w:r w:rsidRPr="001D2596">
        <w:rPr>
          <w:rFonts w:ascii="Century" w:hAnsi="Century" w:cs="FrankRuehl"/>
          <w:spacing w:val="10"/>
          <w:sz w:val="22"/>
          <w:szCs w:val="28"/>
          <w:rtl/>
          <w:lang w:eastAsia="he-IL"/>
        </w:rPr>
        <w:t xml:space="preserve">ודוק: אמת המידה לבחינת תום הלב בהקשר של תקנת השוק אינה אובייקטיבית גרידא, ויש להישמר מפני טשטוש ההבחנה בין רשלנות לבין חוסר תום לב. מכל מקום, בין אם תהא זו בחינה סובייקטיבית "טהורה" ובין אם ראוי לשלב בה היבטים אובייקטיביים, אין חולק כי אמת המידה לבחינת תום הלב במסגרת תקנת השוק היא </w:t>
      </w:r>
      <w:r w:rsidRPr="001D2596">
        <w:rPr>
          <w:rFonts w:ascii="Century" w:hAnsi="Century" w:cs="Miriam"/>
          <w:b/>
          <w:sz w:val="22"/>
          <w:rtl/>
          <w:lang w:eastAsia="he-IL"/>
        </w:rPr>
        <w:t>מדוקדקת</w:t>
      </w:r>
      <w:r w:rsidRPr="001D2596">
        <w:rPr>
          <w:rFonts w:ascii="Century" w:hAnsi="Century" w:cs="FrankRuehl"/>
          <w:spacing w:val="10"/>
          <w:sz w:val="22"/>
          <w:szCs w:val="28"/>
          <w:rtl/>
          <w:lang w:eastAsia="he-IL"/>
        </w:rPr>
        <w:t xml:space="preserve">. כך הובהר לגבי תקנת השוק שבסעיף 17(א) לחוק נכסי נפקדים, עת נקבע כי דרישת תום הלב תיבחן על פי "אמת-מידה קפדנית שאינה מקלה עם הרשויות המעורבות המבקשות לחסות בצלה של הגנת תום-הלב" (ע"א 6783/98 </w:t>
      </w:r>
      <w:r w:rsidRPr="001D2596">
        <w:rPr>
          <w:rFonts w:ascii="Century" w:hAnsi="Century" w:cs="Miriam"/>
          <w:b/>
          <w:sz w:val="22"/>
          <w:rtl/>
          <w:lang w:eastAsia="he-IL"/>
        </w:rPr>
        <w:t>האפוטרופוס לנכסי נפקדים נ' עיזבון מוסא</w:t>
      </w:r>
      <w:r w:rsidRPr="001D2596">
        <w:rPr>
          <w:rFonts w:ascii="Century" w:hAnsi="Century" w:cs="FrankRuehl"/>
          <w:spacing w:val="10"/>
          <w:sz w:val="22"/>
          <w:szCs w:val="28"/>
          <w:rtl/>
          <w:lang w:eastAsia="he-IL"/>
        </w:rPr>
        <w:t xml:space="preserve">, פ"ד נו(4) 161, 176 (2002)), ודברים אלה יפים גם לתקנת השוק במקרה שלפנינו. אכן, ככל תקנת שוק, בחינת תום הלב צריכה להיעשות בקפדנות בשל נקודת המוצא לפיה אין אדם מעביר יותר ממה שיש לו, וכן לנוכח התוצאה הנובעת מכל תקנות השוק למיניהן ולסוגיהן – שלילת הקניין מהבעלים המקורי והעברתו לצד שלישי. כך </w:t>
      </w:r>
      <w:r w:rsidRPr="001D2596">
        <w:rPr>
          <w:rFonts w:ascii="Century" w:hAnsi="Century" w:cs="FrankRuehl"/>
          <w:spacing w:val="10"/>
          <w:sz w:val="22"/>
          <w:szCs w:val="28"/>
          <w:rtl/>
          <w:lang w:eastAsia="he-IL"/>
        </w:rPr>
        <w:lastRenderedPageBreak/>
        <w:t>בתקנות שוק "רגילות", כך בתקנת השוק לפי סעיף 17(א) לחוק נכסי נפקדים, וכך בזו שבסעיף 5 לצו.</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6.</w:t>
      </w:r>
      <w:r w:rsidRPr="001D2596">
        <w:rPr>
          <w:rFonts w:ascii="Century" w:hAnsi="Century" w:cs="FrankRuehl"/>
          <w:spacing w:val="10"/>
          <w:sz w:val="22"/>
          <w:szCs w:val="28"/>
          <w:rtl/>
          <w:lang w:eastAsia="he-IL"/>
        </w:rPr>
        <w:tab/>
        <w:t xml:space="preserve">חובת תום הלב אינה מוטלת על הממונה לבדו, אלא מופנית גם כלפי הצד השלישי שהתקשר עמו בעסקה. כפי שציין חברי השופט </w:t>
      </w:r>
      <w:r w:rsidRPr="001D2596">
        <w:rPr>
          <w:rFonts w:ascii="Century" w:hAnsi="Century" w:cs="Miriam" w:hint="cs"/>
          <w:b/>
          <w:sz w:val="22"/>
          <w:rtl/>
          <w:lang w:eastAsia="he-IL"/>
        </w:rPr>
        <w:t xml:space="preserve">נ' </w:t>
      </w:r>
      <w:r w:rsidRPr="001D2596">
        <w:rPr>
          <w:rFonts w:ascii="Century" w:hAnsi="Century" w:cs="Miriam"/>
          <w:b/>
          <w:sz w:val="22"/>
          <w:rtl/>
          <w:lang w:eastAsia="he-IL"/>
        </w:rPr>
        <w:t>סולברג</w:t>
      </w:r>
      <w:r w:rsidRPr="001D2596">
        <w:rPr>
          <w:rFonts w:ascii="Century" w:hAnsi="Century" w:cs="FrankRuehl"/>
          <w:spacing w:val="10"/>
          <w:sz w:val="22"/>
          <w:szCs w:val="28"/>
          <w:rtl/>
          <w:lang w:eastAsia="he-IL"/>
        </w:rPr>
        <w:t xml:space="preserve">, מסקנה זו נגזרת הן מלשונו של סעיף 5 לצו הן מתכליתו (פסקה 88 לחוות דעתו). </w:t>
      </w:r>
    </w:p>
    <w:p w:rsidR="001D2596" w:rsidRPr="001D2596" w:rsidRDefault="001D2596" w:rsidP="001D2596">
      <w:pPr>
        <w:overflowPunct/>
        <w:autoSpaceDE/>
        <w:autoSpaceDN/>
        <w:adjustRightInd/>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ind w:firstLine="720"/>
        <w:jc w:val="both"/>
        <w:textAlignment w:val="auto"/>
        <w:rPr>
          <w:rFonts w:ascii="FrankRuehl" w:hAnsi="FrankRuehl" w:cs="FrankRuehl"/>
          <w:sz w:val="28"/>
          <w:szCs w:val="28"/>
          <w:rtl/>
          <w:lang w:eastAsia="he-IL"/>
        </w:rPr>
      </w:pPr>
      <w:r w:rsidRPr="001D2596">
        <w:rPr>
          <w:rFonts w:ascii="Century" w:hAnsi="Century" w:cs="FrankRuehl"/>
          <w:spacing w:val="10"/>
          <w:sz w:val="22"/>
          <w:szCs w:val="28"/>
          <w:rtl/>
          <w:lang w:eastAsia="he-IL"/>
        </w:rPr>
        <w:t xml:space="preserve">הצד השלישי שקיבל לידיו את הנכס מידי הממונה במקרה דנן, הוא בראש ובראשונה ההסתדרות הציונית. יכולה להישמע הטענה כי אין לראות את ההסתדרות הציונית, כגוף ביצועי של הממשלה, כצד שלישי של ממש. הד ותימוכין לטענה זו ניתן למצוא בדברים הבאים: </w:t>
      </w:r>
    </w:p>
    <w:p w:rsidR="001D2596" w:rsidRPr="001D2596" w:rsidRDefault="001D2596" w:rsidP="001D2596">
      <w:pPr>
        <w:overflowPunct/>
        <w:autoSpaceDE/>
        <w:autoSpaceDN/>
        <w:adjustRightInd/>
        <w:jc w:val="both"/>
        <w:textAlignment w:val="auto"/>
        <w:rPr>
          <w:rFonts w:ascii="FrankRuehl" w:hAnsi="FrankRuehl" w:cs="FrankRuehl"/>
          <w:sz w:val="28"/>
          <w:szCs w:val="28"/>
          <w:rtl/>
          <w:lang w:eastAsia="he-IL"/>
        </w:rPr>
      </w:pPr>
    </w:p>
    <w:p w:rsidR="001D2596" w:rsidRPr="001D2596" w:rsidRDefault="001D2596" w:rsidP="001D2596">
      <w:pPr>
        <w:ind w:left="1642" w:right="1282"/>
        <w:jc w:val="both"/>
        <w:rPr>
          <w:rFonts w:ascii="Century" w:hAnsi="Century" w:cs="FrankRuehl"/>
          <w:spacing w:val="10"/>
          <w:sz w:val="22"/>
          <w:szCs w:val="28"/>
          <w:rtl/>
        </w:rPr>
      </w:pPr>
      <w:r w:rsidRPr="001D2596">
        <w:rPr>
          <w:rFonts w:ascii="Century" w:hAnsi="Century" w:cs="FrankRuehl"/>
          <w:spacing w:val="10"/>
          <w:sz w:val="22"/>
          <w:szCs w:val="28"/>
          <w:rtl/>
        </w:rPr>
        <w:t>"החטיבה להתישבות היא חלק מן המוסדות הלאומיים – ההסתדרות הציונית – ומעוגנת מוסדית בהיסטוריה חשובה ומשמעותית של הציונות ובניין הארץ, דבר שעליו כשלעצמו אין המשנה ליועץ המשפטי חולקת, ואדרבה. קשה מאוד להתיחס אליה כ'קבלן שירותים' גרידא [...].</w:t>
      </w:r>
    </w:p>
    <w:p w:rsidR="001D2596" w:rsidRPr="001D2596" w:rsidRDefault="001D2596" w:rsidP="001D2596">
      <w:pPr>
        <w:ind w:left="1642" w:right="1282"/>
        <w:jc w:val="both"/>
        <w:rPr>
          <w:rFonts w:ascii="Century" w:hAnsi="Century" w:cs="FrankRuehl"/>
          <w:spacing w:val="10"/>
          <w:sz w:val="22"/>
          <w:szCs w:val="28"/>
          <w:rtl/>
        </w:rPr>
      </w:pPr>
    </w:p>
    <w:p w:rsidR="001D2596" w:rsidRPr="001D2596" w:rsidRDefault="001D2596" w:rsidP="001D2596">
      <w:pPr>
        <w:ind w:left="1642" w:right="1282"/>
        <w:jc w:val="both"/>
        <w:rPr>
          <w:rFonts w:ascii="Century" w:hAnsi="Century" w:cs="FrankRuehl"/>
          <w:spacing w:val="10"/>
          <w:sz w:val="22"/>
          <w:szCs w:val="28"/>
          <w:rtl/>
        </w:rPr>
      </w:pPr>
      <w:r w:rsidRPr="001D2596">
        <w:rPr>
          <w:rFonts w:ascii="Century" w:hAnsi="Century" w:cs="FrankRuehl"/>
          <w:spacing w:val="10"/>
          <w:sz w:val="22"/>
          <w:szCs w:val="28"/>
          <w:rtl/>
        </w:rPr>
        <w:t xml:space="preserve">[...] עיקר העיקרים הוא, כי עם שאין להתייחס לחטיבה להתישבות של ההסתדרות הציונית כ'עוד קבלן נותן שירותים', כל המוטל עליה צריך להיות מעוגן באופן ברור וחד משמעי כך, שאם היא משמשת לעניין כלשהו 'ידה הארוכה של הממשלה', לא יתכן הבדל ממשי מאשר אילו עשתה הממשלה עצמה את הפעולה; והכל כדי לאפשר פיקוח ושקיפות מלאים" (דברי השופט (כתוארו אז) </w:t>
      </w:r>
      <w:r w:rsidRPr="001D2596">
        <w:rPr>
          <w:rFonts w:ascii="Century" w:hAnsi="Century" w:cs="Miriam"/>
          <w:b/>
          <w:sz w:val="22"/>
          <w:rtl/>
        </w:rPr>
        <w:t>רובינשטיין</w:t>
      </w:r>
      <w:r w:rsidRPr="001D2596">
        <w:rPr>
          <w:rFonts w:ascii="Century" w:hAnsi="Century" w:cs="FrankRuehl"/>
          <w:spacing w:val="10"/>
          <w:sz w:val="22"/>
          <w:szCs w:val="28"/>
          <w:rtl/>
        </w:rPr>
        <w:t xml:space="preserve"> בבג"ץ 3301/15 </w:t>
      </w:r>
      <w:r w:rsidRPr="001D2596">
        <w:rPr>
          <w:rFonts w:ascii="Century" w:hAnsi="Century" w:cs="Miriam"/>
          <w:b/>
          <w:sz w:val="22"/>
          <w:rtl/>
        </w:rPr>
        <w:t>גלאון נ׳ סיעת הליכוד בכנסת ה-20</w:t>
      </w:r>
      <w:r w:rsidRPr="001D2596">
        <w:rPr>
          <w:rFonts w:ascii="Century" w:hAnsi="Century" w:cs="FrankRuehl"/>
          <w:spacing w:val="10"/>
          <w:sz w:val="22"/>
          <w:szCs w:val="28"/>
          <w:rtl/>
        </w:rPr>
        <w:t>, פסקאות טז ו-כ"א (29.6.2015)).</w:t>
      </w:r>
    </w:p>
    <w:p w:rsidR="001D2596" w:rsidRPr="001D2596" w:rsidRDefault="001D2596" w:rsidP="001D2596">
      <w:pPr>
        <w:ind w:left="1642" w:right="1282"/>
        <w:jc w:val="both"/>
        <w:rPr>
          <w:rFonts w:ascii="Century" w:hAnsi="Century" w:cs="FrankRuehl"/>
          <w:spacing w:val="10"/>
          <w:sz w:val="22"/>
          <w:szCs w:val="28"/>
          <w:rtl/>
        </w:rPr>
      </w:pPr>
    </w:p>
    <w:p w:rsidR="001D2596" w:rsidRPr="001D2596" w:rsidRDefault="001D2596" w:rsidP="001D2596">
      <w:pPr>
        <w:ind w:left="1642" w:right="1282"/>
        <w:jc w:val="both"/>
        <w:rPr>
          <w:rFonts w:ascii="Century" w:hAnsi="Century" w:cs="FrankRuehl"/>
          <w:spacing w:val="10"/>
          <w:sz w:val="22"/>
          <w:szCs w:val="28"/>
          <w:rtl/>
        </w:rPr>
      </w:pP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 xml:space="preserve">למרות זאת, אני נכון להניח כי יש לראות את ההסתדרות הציונית כ"אדם אחר" וכצד שלישי, בהיקש למעמדה של רשות הפיתוח כצד שלישי, כפי שהתפרש בפסיקה הנוגעת לסעיף 17(א) לחוק נכסי נפקדים. זאת, על אף מעמדה המיוחד של רשות הפיתוח כתאגיד סטטוטורי המשמש למעשה כ"ידה הארוכה" של רשות מקרקעי ישראל וכמבצעת של מדיניות הממשלה (וראו לאחרונה בדעת הרוב בעניין </w:t>
      </w:r>
      <w:r w:rsidRPr="001D2596">
        <w:rPr>
          <w:rFonts w:ascii="Century" w:hAnsi="Century" w:cs="Miriam"/>
          <w:b/>
          <w:sz w:val="22"/>
          <w:rtl/>
          <w:lang w:eastAsia="he-IL"/>
        </w:rPr>
        <w:t>עקל</w:t>
      </w:r>
      <w:r w:rsidRPr="001D2596">
        <w:rPr>
          <w:rFonts w:ascii="Century" w:hAnsi="Century" w:cs="FrankRuehl"/>
          <w:spacing w:val="10"/>
          <w:sz w:val="22"/>
          <w:szCs w:val="28"/>
          <w:rtl/>
          <w:lang w:eastAsia="he-IL"/>
        </w:rPr>
        <w:t xml:space="preserve">, פסקה 11 לחוות הדעת של השופט </w:t>
      </w:r>
      <w:r w:rsidRPr="001D2596">
        <w:rPr>
          <w:rFonts w:ascii="Century" w:hAnsi="Century" w:cs="Miriam"/>
          <w:b/>
          <w:sz w:val="22"/>
          <w:rtl/>
          <w:lang w:eastAsia="he-IL"/>
        </w:rPr>
        <w:t>גרוסקופף</w:t>
      </w:r>
      <w:r w:rsidRPr="001D2596">
        <w:rPr>
          <w:rFonts w:ascii="Century" w:hAnsi="Century" w:cs="FrankRuehl"/>
          <w:spacing w:val="10"/>
          <w:sz w:val="22"/>
          <w:szCs w:val="28"/>
          <w:rtl/>
          <w:lang w:eastAsia="he-IL"/>
        </w:rPr>
        <w:t xml:space="preserve"> והאסמכתאות שם). בדומה, על אף מעמדה המיוחד של ההסתדרות הציונית כ"ידה הארוכה" של הרשות המבצעת, אני נכון לראות את ההסתדרות הציונית כצד שלישי. כאן המקום להקדים ולהבהיר כי ההסתדרות הציונית אינה ניצבת לבדה בתור הצד השלישי במקרה דנן, שכן מלבדה נכנס למשוואה צד שלישי נוסף (ליתר דיוק צד רביעי) בדמות המחזיקים במקרקעין, שהתקשרו עם ההסתדרות הציונית בהסכמי בר רשות. כפי שיוסבר להלן, נקודה זו היא בעלת חשיבות להכרעה במקרה שלפנינו.</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7.</w:t>
      </w:r>
      <w:r w:rsidRPr="001D2596">
        <w:rPr>
          <w:rFonts w:ascii="Century" w:hAnsi="Century" w:cs="FrankRuehl"/>
          <w:spacing w:val="10"/>
          <w:sz w:val="22"/>
          <w:szCs w:val="28"/>
          <w:rtl/>
          <w:lang w:eastAsia="he-IL"/>
        </w:rPr>
        <w:tab/>
        <w:t xml:space="preserve">ומכאן לתשתית העובדתית הרלוונטית. צו הסגירה 576 במקרה דנן עמד על 1071 מ"ר והשטח סומן בחביות. צו התפיסה מיום 29.7.1980 עמד על 850 </w:t>
      </w:r>
      <w:r w:rsidRPr="001D2596">
        <w:rPr>
          <w:rFonts w:ascii="Century" w:hAnsi="Century" w:cs="FrankRuehl" w:hint="cs"/>
          <w:spacing w:val="10"/>
          <w:sz w:val="22"/>
          <w:szCs w:val="28"/>
          <w:rtl/>
          <w:lang w:eastAsia="he-IL"/>
        </w:rPr>
        <w:t>דונם</w:t>
      </w:r>
      <w:r w:rsidRPr="001D2596">
        <w:rPr>
          <w:rFonts w:ascii="Century" w:hAnsi="Century" w:cs="FrankRuehl"/>
          <w:spacing w:val="10"/>
          <w:sz w:val="22"/>
          <w:szCs w:val="28"/>
          <w:rtl/>
          <w:lang w:eastAsia="he-IL"/>
        </w:rPr>
        <w:t xml:space="preserve">, וכפי שקבע בית המשפט המחוזי, כוונת הצדדים להסכם ההרשאה הייתה להקצות את שטח </w:t>
      </w:r>
      <w:r w:rsidRPr="001D2596">
        <w:rPr>
          <w:rFonts w:ascii="Century" w:hAnsi="Century" w:cs="Miriam"/>
          <w:b/>
          <w:sz w:val="22"/>
          <w:rtl/>
          <w:lang w:eastAsia="he-IL"/>
        </w:rPr>
        <w:t>התפיסה</w:t>
      </w:r>
      <w:r w:rsidRPr="001D2596">
        <w:rPr>
          <w:rFonts w:ascii="Century" w:hAnsi="Century" w:cs="FrankRuehl"/>
          <w:spacing w:val="10"/>
          <w:sz w:val="22"/>
          <w:szCs w:val="28"/>
          <w:rtl/>
          <w:lang w:eastAsia="he-IL"/>
        </w:rPr>
        <w:t xml:space="preserve">: "לא הוכח כי כוונת מפקד האזור שהורה על התפיסה הייתה לחרוג מתחומי צו הסגירה אלא ההיפך. המסמכים שצורפו לצו התפיסה מלמדים על כוונה לתפוס שטח קטן יותר" (שם, פסקה 100). מאחר שניתן להקנות חזקה ושימוש רק במקרקעין שנתפסו, הרי שהטעות שלפנינו מתבטאת בשטח "הצנוע" של 566 דונם (=850 – 1,416). למצער מדובר בטעות המתבטאת בשטח של 345 דונם, המשקף את הפער בין שטח התכנית לבין שטח צו הסגירה והשטח שנכלל בהסכם ההרשאה (1,071 דונם). </w:t>
      </w:r>
    </w:p>
    <w:p w:rsidR="001D2596" w:rsidRPr="001D2596" w:rsidRDefault="001D2596" w:rsidP="001D2596">
      <w:pPr>
        <w:overflowPunct/>
        <w:autoSpaceDE/>
        <w:autoSpaceDN/>
        <w:adjustRightInd/>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 xml:space="preserve">אני נכון להניח לצורך העניין כי הטעות-רבתי של מאות דונמים נעשתה ברשלנות רבתי ולא במתכוון חלילה, לאור חזקת התקינות העומדת לממונה, ולא למותר לציין כי בית המשפט המחוזי דחה לחלוטין את הטענה כי דבק חוסר תום לב אישי או מוסדי בהתנהלותו של הממונה בהתקשרות עם ההסתדרות הציונית, טענה אותה מצא חסרת כל יסוד (פסקה 165 לפסק דינו). אלא שמקורה של טעות זו לא נתברר עד תום בגדרי ההליך דנן. כך, מחד גיסא, תכנית 223 – שבמסגרתה בא לידי ביטוי הגידול בהיקף השטח ל-1,416 דונם – הוגשה על ידי לא אחרת מאשר ההסתדרות הציונית, שהיא זו שהתקשרה בעסקה עם הממונה לגבי המקרקעין. מכאן ניתן לתהות שמא ההסתדרות הציונית היתה זו שגרמה בפועל להסתמכות שגויה של הממונה, שהובילה בהמשך לטעות נגררת ולהנחה של כלל הגורמים כי מלוא שטח התכנית הוא שטח תפוס. כשלעצמי איני מכיר אף מקרה של תקנת שוק, שבו הצד השלישי-הרוכש הוא מי שגרם לטעותו של המוכר, ולאחר מכן ביקש להסתמך על כך בטענה לתום-ליבו שלו. אילו אלו היו פני הדברים במקרה דנן, היה בכך כדי להעמיד סימן שאלה לגבי תום לבה של ההסתדרות הציונית, שהרי קשה להלום כי במצב דברים זה, ההסתדרות הציונית, הזרוע הביצועית שטעתה ובכך הובילה לטעותו של הממונה, היא שתעלה טענה לתום לב ותיבנה מטעותה-שלה. </w:t>
      </w:r>
    </w:p>
    <w:p w:rsidR="001D2596" w:rsidRPr="001D2596" w:rsidRDefault="001D2596" w:rsidP="001D2596">
      <w:pPr>
        <w:overflowPunct/>
        <w:autoSpaceDE/>
        <w:autoSpaceDN/>
        <w:adjustRightInd/>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ab/>
        <w:t xml:space="preserve">מנגד, הממונה בשעתו, נהרי, העיד כי חתימתו על תכניות 223 (בשנת 1983) ו-223/1 (בשנת 1995) התבססה על מפות שהוכנו על ידי קמ"ט מדידות (פרוטוקול מיום 5.3.2018 עמ' 184). בית משפט קמא קבע כי עדות נהרי היתה מהימנה וכי התרשם מקפדנותו ודקדקנותו, ומכך שלא היה מוכן להסתפק בתשריט שצורף להסכם ההרשאה אלא עמד על הכנת מדידה אחרת, הגם שבית המשפט קבע כי המפה המאוחרת שקיבל היתה תשריט לתכנית 223 (פסקה 134 לפסק דינו). כפי שציין חברי, השופט </w:t>
      </w:r>
      <w:r w:rsidRPr="001D2596">
        <w:rPr>
          <w:rFonts w:ascii="Century" w:hAnsi="Century" w:cs="Miriam"/>
          <w:b/>
          <w:sz w:val="22"/>
          <w:rtl/>
          <w:lang w:eastAsia="he-IL"/>
        </w:rPr>
        <w:t>סולברג</w:t>
      </w:r>
      <w:r w:rsidRPr="001D2596">
        <w:rPr>
          <w:rFonts w:ascii="Century" w:hAnsi="Century" w:cs="FrankRuehl"/>
          <w:spacing w:val="10"/>
          <w:sz w:val="22"/>
          <w:szCs w:val="28"/>
          <w:rtl/>
          <w:lang w:eastAsia="he-IL"/>
        </w:rPr>
        <w:t xml:space="preserve">, אין חולק כי לתכניות אלו צורפו מפות </w:t>
      </w:r>
      <w:r w:rsidRPr="001D2596">
        <w:rPr>
          <w:rFonts w:ascii="Century" w:hAnsi="Century" w:cs="Miriam"/>
          <w:b/>
          <w:sz w:val="22"/>
          <w:rtl/>
          <w:lang w:eastAsia="he-IL"/>
        </w:rPr>
        <w:t>מדויקות</w:t>
      </w:r>
      <w:r w:rsidRPr="001D2596">
        <w:rPr>
          <w:rFonts w:ascii="Century" w:hAnsi="Century" w:cs="FrankRuehl"/>
          <w:spacing w:val="10"/>
          <w:sz w:val="22"/>
          <w:szCs w:val="28"/>
          <w:rtl/>
          <w:lang w:eastAsia="he-IL"/>
        </w:rPr>
        <w:t xml:space="preserve">, כך שהן עמדו לנגד עיני הממונה, ומכאן </w:t>
      </w:r>
      <w:r w:rsidRPr="001D2596">
        <w:rPr>
          <w:rFonts w:ascii="Century" w:hAnsi="Century" w:cs="FrankRuehl"/>
          <w:spacing w:val="10"/>
          <w:sz w:val="22"/>
          <w:szCs w:val="28"/>
          <w:rtl/>
          <w:lang w:eastAsia="he-IL"/>
        </w:rPr>
        <w:lastRenderedPageBreak/>
        <w:t xml:space="preserve">ניתן להסיק כי אישורו של הממונה ניתן על בסיס הבנתו כי אמנם מדובר בשטח תפוס. מסקנה זו אף עולה בקנה אחד עם עמדת הממונה מכוח צו 997, מושקוביץ, לפיה הגורמים הרלוונטיים סברו באותה העת כי מדובר בשטח תפוס, שאם לא כן לא היה חותם על התכנית. דברים אלה עשויים לשמש אינדיקציה לכך שלא התכנית היא שהובילה לטעות. אילו אלו היו פני הדברים, הרי שניתן היה לקבוע כי הממונה וההסתדרות עמדו בדרישת תום הלב המוטלת עליהם, כמסקנתם של בית המשפט המחוזי ושל חבריי, המשנה לנשיאה (בדימ') </w:t>
      </w:r>
      <w:r w:rsidRPr="001D2596">
        <w:rPr>
          <w:rFonts w:ascii="Century" w:hAnsi="Century" w:cs="Miriam"/>
          <w:b/>
          <w:sz w:val="22"/>
          <w:rtl/>
          <w:lang w:eastAsia="he-IL"/>
        </w:rPr>
        <w:t>הנדל</w:t>
      </w:r>
      <w:r w:rsidRPr="001D2596">
        <w:rPr>
          <w:rFonts w:ascii="Century" w:hAnsi="Century" w:cs="FrankRuehl"/>
          <w:spacing w:val="10"/>
          <w:sz w:val="22"/>
          <w:szCs w:val="28"/>
          <w:rtl/>
          <w:lang w:eastAsia="he-IL"/>
        </w:rPr>
        <w:t xml:space="preserve"> והשופט </w:t>
      </w:r>
      <w:r w:rsidRPr="001D2596">
        <w:rPr>
          <w:rFonts w:ascii="Century" w:hAnsi="Century" w:cs="Miriam"/>
          <w:b/>
          <w:sz w:val="22"/>
          <w:rtl/>
          <w:lang w:eastAsia="he-IL"/>
        </w:rPr>
        <w:t>סולברג</w:t>
      </w:r>
      <w:r w:rsidRPr="001D2596">
        <w:rPr>
          <w:rFonts w:ascii="Century" w:hAnsi="Century" w:cs="FrankRuehl"/>
          <w:spacing w:val="10"/>
          <w:sz w:val="22"/>
          <w:szCs w:val="28"/>
          <w:rtl/>
          <w:lang w:eastAsia="he-IL"/>
        </w:rPr>
        <w:t>.</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ab/>
        <w:t xml:space="preserve">כאמור, מצב הדברים העובדתי באשר </w:t>
      </w:r>
      <w:r w:rsidRPr="001D2596">
        <w:rPr>
          <w:rFonts w:ascii="Century" w:hAnsi="Century" w:cs="Miriam"/>
          <w:b/>
          <w:sz w:val="22"/>
          <w:rtl/>
          <w:lang w:eastAsia="he-IL"/>
        </w:rPr>
        <w:t>למקור</w:t>
      </w:r>
      <w:r w:rsidRPr="001D2596">
        <w:rPr>
          <w:rFonts w:ascii="Century" w:hAnsi="Century" w:cs="FrankRuehl"/>
          <w:spacing w:val="10"/>
          <w:sz w:val="22"/>
          <w:szCs w:val="28"/>
          <w:rtl/>
          <w:lang w:eastAsia="he-IL"/>
        </w:rPr>
        <w:t xml:space="preserve"> הטעות שהובילה להיקף תכנית 223, לא נתברר עד תום, וברי כי המסגרת הדיונית שבה אנו נתונים – בגדרו של דיון נוסף על פסק דינו של בית משפט זה – אינה המקום לקבוע ממצאי עובדה חדשים בעניין זה.</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8.</w:t>
      </w:r>
      <w:r w:rsidRPr="001D2596">
        <w:rPr>
          <w:rFonts w:ascii="Century" w:hAnsi="Century" w:cs="FrankRuehl"/>
          <w:spacing w:val="10"/>
          <w:sz w:val="22"/>
          <w:szCs w:val="28"/>
          <w:rtl/>
          <w:lang w:eastAsia="he-IL"/>
        </w:rPr>
        <w:tab/>
        <w:t>הנה כי כן, אילו עצרנו הילוכנו בנקודה זו, הרי שככל שמדובר במישור היחסים שבין ההסתדרות הציונית לממונה, דומה כי נותרו אי-אלו סימני שאלה לא פתורים לגבי מקור הטעות שהובילה לאישור התכנית במתכונת שאושרה, שהתשובות עליהם עשויות היו להשליך, לכאן או לכאן, על שאלת עמידת ההסתדרות הציונית ברף תום הלב הנדרש לצורך תחולתה של תקנת השוק. כשלעצמי, לנוכח ממצאי העובדה בפסק דינו של בית המשפט המחוזי ועדויותיהם של הגורמים הרלוונטיים, איני סבור כי בוססה הטענה בדבר "עצימת עיניים" של הממונה בעת אישור התכנית, ודומני כי הכף נוטה אל עבר הקביעה כי הצדדים עמדו בדרישת תום הלב המוטלת עליהם, וזאת לנוכח שורת העדויות המלמדות כי כך סברו כלל הגורמים הנוגעים בדבר, למצער במועד כריתת הסכמי ההרשאה, ולא אשוב על הדברים. כך או כך, כפי שהקדמנו ואמרנו, הממונה וההסתדרות הציונית אינם ניצבים לבדם, באשר אליהם מתווסף גורם נוסף בדמות המחזיקים, אלו שהתיישבו מלכתחילה במצפה כרמים ואלו שנכנסו בנעליהם. לפיכך, אף אילו הייתי מגיע למסקנה כי במישור היחסים שבין הממונה להסתדרות הציונית נפל פגם כלשהו בעסקה, הרי שבנסיבות המקרה דנן לא היה בכך כדי לשנות מן התוצאה. אסביר.</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p>
    <w:p w:rsidR="001D2596" w:rsidRPr="001D2596" w:rsidRDefault="001D2596" w:rsidP="00F30392">
      <w:pPr>
        <w:overflowPunct/>
        <w:autoSpaceDE/>
        <w:autoSpaceDN/>
        <w:adjustRightInd/>
        <w:spacing w:line="360" w:lineRule="auto"/>
        <w:jc w:val="both"/>
        <w:textAlignment w:val="auto"/>
        <w:rPr>
          <w:rFonts w:ascii="Century" w:hAnsi="Century" w:cs="FrankRuehl"/>
          <w:sz w:val="22"/>
          <w:szCs w:val="28"/>
          <w:rtl/>
          <w:lang w:eastAsia="he-IL"/>
        </w:rPr>
      </w:pPr>
      <w:r w:rsidRPr="001D2596">
        <w:rPr>
          <w:rFonts w:ascii="Century" w:hAnsi="Century" w:cs="FrankRuehl"/>
          <w:spacing w:val="10"/>
          <w:sz w:val="22"/>
          <w:szCs w:val="28"/>
          <w:rtl/>
          <w:lang w:eastAsia="he-IL"/>
        </w:rPr>
        <w:t>9.</w:t>
      </w:r>
      <w:r w:rsidRPr="001D2596">
        <w:rPr>
          <w:rFonts w:ascii="Century" w:hAnsi="Century" w:cs="FrankRuehl"/>
          <w:spacing w:val="10"/>
          <w:sz w:val="22"/>
          <w:szCs w:val="28"/>
          <w:rtl/>
          <w:lang w:eastAsia="he-IL"/>
        </w:rPr>
        <w:tab/>
        <w:t xml:space="preserve">בניגוד לתקנות השוק הרגילות, סעיף 5 לצו – כמו גם תקנות השוק המיוחדות שצוטטו לעיל – אינו מתייחס במפורש לצד שלישי שאינו צד להתקשרות בין הממונה לבין "אדם אחר". לכאורה, הצו נועד להסדיר אך ורק את החוליה </w:t>
      </w:r>
      <w:r w:rsidRPr="001D2596">
        <w:rPr>
          <w:rFonts w:ascii="Century" w:hAnsi="Century" w:cs="Miriam"/>
          <w:b/>
          <w:sz w:val="22"/>
          <w:rtl/>
          <w:lang w:eastAsia="he-IL"/>
        </w:rPr>
        <w:t>הראשונה</w:t>
      </w:r>
      <w:r w:rsidRPr="001D2596">
        <w:rPr>
          <w:rFonts w:ascii="Century" w:hAnsi="Century" w:cs="FrankRuehl"/>
          <w:spacing w:val="10"/>
          <w:sz w:val="22"/>
          <w:szCs w:val="28"/>
          <w:rtl/>
          <w:lang w:eastAsia="he-IL"/>
        </w:rPr>
        <w:t xml:space="preserve"> בשרשרת, וברי כי ככל שהעסקה בחוליה הראשונה נותרת בתוקפה, הרי שהנכס "ממורק" בדרכו לצד שלישי אמיתי. לשיטה זו, מטרת הצו, כמו גם תקנות השוק המיוחדות, היא להותיר בתוקפה את העסקה בין שני הצדדים הקרובים והם הממונה ומי שהתקשר עמו </w:t>
      </w:r>
      <w:r w:rsidRPr="001D2596">
        <w:rPr>
          <w:rFonts w:ascii="Century" w:hAnsi="Century" w:cs="FrankRuehl"/>
          <w:spacing w:val="10"/>
          <w:sz w:val="22"/>
          <w:szCs w:val="28"/>
          <w:rtl/>
          <w:lang w:eastAsia="he-IL"/>
        </w:rPr>
        <w:lastRenderedPageBreak/>
        <w:t>(ההסתדרות הציונית). כך ניתן להסיק לכאורה מפסק הדין ב</w:t>
      </w:r>
      <w:r w:rsidR="00F30392">
        <w:rPr>
          <w:rFonts w:ascii="Century" w:hAnsi="Century" w:cs="FrankRuehl" w:hint="cs"/>
          <w:spacing w:val="10"/>
          <w:sz w:val="22"/>
          <w:szCs w:val="28"/>
          <w:rtl/>
          <w:lang w:eastAsia="he-IL"/>
        </w:rPr>
        <w:t xml:space="preserve">עניין </w:t>
      </w:r>
      <w:r w:rsidRPr="00F30392">
        <w:rPr>
          <w:rFonts w:ascii="Century" w:hAnsi="Century" w:cs="Miriam"/>
          <w:b/>
          <w:sz w:val="22"/>
          <w:rtl/>
          <w:lang w:eastAsia="he-IL"/>
        </w:rPr>
        <w:t>חוות מקורה</w:t>
      </w:r>
      <w:r w:rsidRPr="001D2596">
        <w:rPr>
          <w:rFonts w:ascii="Century" w:hAnsi="Century" w:cs="FrankRuehl"/>
          <w:spacing w:val="10"/>
          <w:sz w:val="22"/>
          <w:szCs w:val="28"/>
          <w:rtl/>
          <w:lang w:eastAsia="he-IL"/>
        </w:rPr>
        <w:t>, שם נאמר בהתייחס לסעיף 17 לחוק נכסי נפקדים:</w:t>
      </w: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p>
    <w:p w:rsidR="001D2596" w:rsidRPr="001D2596" w:rsidRDefault="001D2596" w:rsidP="001D2596">
      <w:pPr>
        <w:ind w:left="1642" w:right="1282"/>
        <w:jc w:val="both"/>
        <w:rPr>
          <w:rFonts w:ascii="Century" w:hAnsi="Century" w:cs="Times New Roman"/>
          <w:spacing w:val="10"/>
          <w:sz w:val="26"/>
          <w:szCs w:val="26"/>
          <w:rtl/>
        </w:rPr>
      </w:pPr>
      <w:r w:rsidRPr="001D2596">
        <w:rPr>
          <w:rFonts w:ascii="Century" w:hAnsi="Century" w:cs="FrankRuehl"/>
          <w:spacing w:val="10"/>
          <w:sz w:val="22"/>
          <w:szCs w:val="28"/>
          <w:rtl/>
        </w:rPr>
        <w:t>"סעיף 17 לחוק מהווה מעין 'תקנת שוק' ספציפית לעניין נכסים, שהוכרזו</w:t>
      </w:r>
      <w:r w:rsidRPr="001D2596">
        <w:rPr>
          <w:rFonts w:ascii="Century" w:hAnsi="Century" w:cs="FrankRuehl"/>
          <w:spacing w:val="10"/>
          <w:sz w:val="22"/>
          <w:szCs w:val="28"/>
        </w:rPr>
        <w:t xml:space="preserve"> </w:t>
      </w:r>
      <w:r w:rsidRPr="001D2596">
        <w:rPr>
          <w:rFonts w:ascii="Century" w:hAnsi="Century" w:cs="FrankRuehl"/>
          <w:spacing w:val="10"/>
          <w:sz w:val="22"/>
          <w:szCs w:val="28"/>
          <w:rtl/>
        </w:rPr>
        <w:t>בטעות כנכסי נפקדים. התנאים שמציב הסעיף וכוח ההכשרה הגלום בו מתייחסים רק לעיסקה שהאפוטרופוס הוא צד לה (</w:t>
      </w:r>
      <w:r w:rsidRPr="001D2596">
        <w:rPr>
          <w:rFonts w:ascii="Century" w:hAnsi="Century" w:cs="Miriam"/>
          <w:b/>
          <w:sz w:val="22"/>
          <w:rtl/>
        </w:rPr>
        <w:t>בדרך כלל</w:t>
      </w:r>
      <w:r w:rsidRPr="001D2596">
        <w:rPr>
          <w:rFonts w:ascii="Century" w:hAnsi="Century" w:cs="FrankRuehl"/>
          <w:spacing w:val="10"/>
          <w:sz w:val="22"/>
          <w:szCs w:val="28"/>
          <w:rtl/>
        </w:rPr>
        <w:t xml:space="preserve"> - העיסקה הראשונה שבוצעה בנכס לאחר קביעת הנפקדות המוטעית)..." (</w:t>
      </w:r>
      <w:r w:rsidR="00F30392">
        <w:rPr>
          <w:rFonts w:ascii="Century" w:hAnsi="Century" w:cs="FrankRuehl" w:hint="cs"/>
          <w:spacing w:val="10"/>
          <w:sz w:val="22"/>
          <w:szCs w:val="28"/>
          <w:rtl/>
        </w:rPr>
        <w:t xml:space="preserve">שם, בעמ' 17, </w:t>
      </w:r>
      <w:r w:rsidRPr="001D2596">
        <w:rPr>
          <w:rFonts w:ascii="Century" w:hAnsi="Century" w:cs="FrankRuehl"/>
          <w:spacing w:val="10"/>
          <w:sz w:val="22"/>
          <w:szCs w:val="28"/>
          <w:rtl/>
        </w:rPr>
        <w:t>הדגשה הוספה – י"ע).</w:t>
      </w:r>
    </w:p>
    <w:p w:rsidR="001D2596" w:rsidRPr="001D2596" w:rsidRDefault="001D2596" w:rsidP="001D2596">
      <w:pPr>
        <w:ind w:left="1642" w:right="1282"/>
        <w:jc w:val="both"/>
        <w:rPr>
          <w:rFonts w:ascii="Century" w:hAnsi="Century" w:cs="Times New Roman"/>
          <w:spacing w:val="10"/>
          <w:sz w:val="26"/>
          <w:szCs w:val="26"/>
          <w:rtl/>
        </w:rPr>
      </w:pPr>
    </w:p>
    <w:p w:rsidR="001D2596" w:rsidRPr="001D2596" w:rsidRDefault="001D2596" w:rsidP="001D2596">
      <w:pPr>
        <w:ind w:left="1642" w:right="1282"/>
        <w:jc w:val="both"/>
        <w:rPr>
          <w:rFonts w:ascii="Century" w:hAnsi="Century" w:cs="Times New Roman"/>
          <w:spacing w:val="10"/>
          <w:sz w:val="26"/>
          <w:szCs w:val="26"/>
          <w:rtl/>
        </w:rPr>
      </w:pPr>
      <w:r w:rsidRPr="001D2596">
        <w:rPr>
          <w:rFonts w:ascii="Century" w:hAnsi="Century" w:cs="Times New Roman"/>
          <w:spacing w:val="10"/>
          <w:sz w:val="26"/>
          <w:szCs w:val="26"/>
          <w:rtl/>
        </w:rPr>
        <w:t xml:space="preserve"> </w:t>
      </w:r>
    </w:p>
    <w:p w:rsidR="001D2596" w:rsidRPr="001D2596" w:rsidRDefault="001D2596" w:rsidP="001D2596">
      <w:pPr>
        <w:overflowPunct/>
        <w:autoSpaceDE/>
        <w:autoSpaceDN/>
        <w:adjustRightInd/>
        <w:spacing w:line="360" w:lineRule="auto"/>
        <w:ind w:firstLine="720"/>
        <w:jc w:val="both"/>
        <w:textAlignment w:val="auto"/>
        <w:rPr>
          <w:spacing w:val="10"/>
          <w:rtl/>
          <w:lang w:eastAsia="he-IL"/>
        </w:rPr>
      </w:pPr>
      <w:r w:rsidRPr="001D2596">
        <w:rPr>
          <w:rFonts w:ascii="Century" w:hAnsi="Century" w:cs="FrankRuehl"/>
          <w:spacing w:val="10"/>
          <w:sz w:val="22"/>
          <w:szCs w:val="28"/>
          <w:rtl/>
          <w:lang w:eastAsia="he-IL"/>
        </w:rPr>
        <w:t xml:space="preserve">ודוק: בדרך כלל, אך לא בהכרח (וראו חגי ויניצקי "תקנת השוק בעסקאות עם הממונה על הרכוש הממשלתי ביהודה ושומרון" </w:t>
      </w:r>
      <w:r w:rsidRPr="001D2596">
        <w:rPr>
          <w:rFonts w:ascii="Century" w:hAnsi="Century" w:cs="Miriam"/>
          <w:b/>
          <w:sz w:val="22"/>
          <w:rtl/>
          <w:lang w:eastAsia="he-IL"/>
        </w:rPr>
        <w:t>משפטים</w:t>
      </w:r>
      <w:r w:rsidRPr="001D2596">
        <w:rPr>
          <w:rFonts w:ascii="Century" w:hAnsi="Century" w:cs="FrankRuehl"/>
          <w:spacing w:val="10"/>
          <w:sz w:val="22"/>
          <w:szCs w:val="28"/>
          <w:rtl/>
          <w:lang w:eastAsia="he-IL"/>
        </w:rPr>
        <w:t xml:space="preserve"> נ 359, 379 (תש"ף)). אדרבה, הגיונם של דברים והגיונה של תקנת שוק שהיא תחול ביתר שאת ככל שהחוליות בשרשרת רבות יותר, ובלבד שהצד השלישי או הרביעי והחמישי יפעלו בתום לב. לכן, גם אם נפל פגם בעסקה בין הממונה ובין מי שהתקשר עמו, אין בכך כדי למנוע החלת תקנת השוק לטובת צד שלישי אמיתי. התכלית שבבסיס כל תקנות השוק המיוחדות היא להגן על הסתמכות צד שלישי על פעולת הרשות הציבורית, כך שסעיף 5 לצו יכול לפעול כתקנת שוק של ממש אף בהתייחס לצד השלישי שלא היה צד לעסקה עם הממונה. הסעיף לא בא להגן על הממונה שטעה, אלא על מי שרכש מהממונה (חוליה ראשונה) או מי שרכש ממי שרכש מהממונה (חוליה שניה ואילך בשרשרת). </w:t>
      </w:r>
    </w:p>
    <w:p w:rsidR="001D2596" w:rsidRPr="001D2596" w:rsidRDefault="001D2596" w:rsidP="001D2596">
      <w:pPr>
        <w:overflowPunct/>
        <w:autoSpaceDE/>
        <w:autoSpaceDN/>
        <w:adjustRightInd/>
        <w:ind w:firstLine="720"/>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 xml:space="preserve">במקרה דנן, הצד השלישי האמיתי הם המחזיקים, תושבי מצפה כרמים, כמי שהסתמכו לכאורה על הממונה ועל ההסתדרות הציונית, וגם אותם ניתן לראות כ"אדם אחר" לצורך סעיף 5 לצו. ככלל, חדירת צד שלישי "אמיתי" לתמונה עשויה לשנות את התוצאה לא רק במקרים של תקנת השוק (ראו, לדוגמה, דנ"א 1522/94 </w:t>
      </w:r>
      <w:r w:rsidRPr="001D2596">
        <w:rPr>
          <w:rFonts w:ascii="Century" w:hAnsi="Century" w:cs="Miriam"/>
          <w:b/>
          <w:sz w:val="22"/>
          <w:rtl/>
          <w:lang w:eastAsia="he-IL"/>
        </w:rPr>
        <w:t>נייגר נ' מיטלברג</w:t>
      </w:r>
      <w:r w:rsidRPr="001D2596">
        <w:rPr>
          <w:rFonts w:ascii="Century" w:hAnsi="Century" w:cs="FrankRuehl"/>
          <w:spacing w:val="10"/>
          <w:sz w:val="22"/>
          <w:szCs w:val="28"/>
          <w:rtl/>
          <w:lang w:eastAsia="he-IL"/>
        </w:rPr>
        <w:t xml:space="preserve">, פ"ד מט(5) 314, 346 (1996)). תחרות הזכויות האמיתית במקרה שלפנינו היא אפוא בין המחזיקים תושבי מצפה כרמים לבין המשיבים 3-1 (להלן: </w:t>
      </w:r>
      <w:r w:rsidRPr="001D2596">
        <w:rPr>
          <w:rFonts w:ascii="Century" w:hAnsi="Century" w:cs="Miriam"/>
          <w:b/>
          <w:sz w:val="22"/>
          <w:rtl/>
          <w:lang w:eastAsia="he-IL"/>
        </w:rPr>
        <w:t>המשיבים</w:t>
      </w:r>
      <w:r w:rsidRPr="001D2596">
        <w:rPr>
          <w:rFonts w:ascii="Century" w:hAnsi="Century" w:cs="FrankRuehl"/>
          <w:spacing w:val="10"/>
          <w:sz w:val="22"/>
          <w:szCs w:val="28"/>
          <w:rtl/>
          <w:lang w:eastAsia="he-IL"/>
        </w:rPr>
        <w:t>) הטוענים לזכויות בעלות במקרקעין.</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10.</w:t>
      </w:r>
      <w:r w:rsidRPr="001D2596">
        <w:rPr>
          <w:rFonts w:ascii="Century" w:hAnsi="Century" w:cs="FrankRuehl"/>
          <w:spacing w:val="10"/>
          <w:sz w:val="22"/>
          <w:szCs w:val="28"/>
          <w:rtl/>
          <w:lang w:eastAsia="he-IL"/>
        </w:rPr>
        <w:tab/>
        <w:t xml:space="preserve">ככלל, במסגרת תקנת השוק, תחרות הזכויות היא בין צד ג' שרכש את הנכס בתום לב מידי צד ב', לבין </w:t>
      </w:r>
      <w:r w:rsidRPr="001D2596">
        <w:rPr>
          <w:rFonts w:ascii="Century" w:hAnsi="Century" w:cs="Miriam"/>
          <w:b/>
          <w:sz w:val="22"/>
          <w:rtl/>
          <w:lang w:eastAsia="he-IL"/>
        </w:rPr>
        <w:t>הבעלים המקורי</w:t>
      </w:r>
      <w:r w:rsidRPr="001D2596">
        <w:rPr>
          <w:rFonts w:ascii="Century" w:hAnsi="Century" w:cs="FrankRuehl"/>
          <w:spacing w:val="10"/>
          <w:sz w:val="22"/>
          <w:szCs w:val="28"/>
          <w:rtl/>
          <w:lang w:eastAsia="he-IL"/>
        </w:rPr>
        <w:t xml:space="preserve"> של הנכס. ברגיל, מאחר שבסיטואציות שבהן חלה תקנת השוק קניינו של אדם מופקע ממנו על לא עוול בכפו, הנטל הוא על הטוען לתחולתה של תקנת השוק, לרבות רכיב תום הלב שנכלל בה (ראו, בין היתר, </w:t>
      </w:r>
      <w:r w:rsidRPr="001D2596">
        <w:rPr>
          <w:rFonts w:ascii="FrankRuehl" w:hAnsi="FrankRuehl" w:cs="FrankRuehl"/>
          <w:color w:val="000000"/>
          <w:sz w:val="28"/>
          <w:szCs w:val="28"/>
          <w:rtl/>
          <w:lang w:eastAsia="he-IL"/>
        </w:rPr>
        <w:t xml:space="preserve">ע"א 81/73‏ </w:t>
      </w:r>
      <w:r w:rsidRPr="001D2596">
        <w:rPr>
          <w:rFonts w:ascii="Century" w:hAnsi="Century" w:cs="Miriam"/>
          <w:b/>
          <w:sz w:val="22"/>
          <w:rtl/>
          <w:lang w:eastAsia="he-IL"/>
        </w:rPr>
        <w:t>יוסף נ' חברה א"י לאוטומובילים בע"מ</w:t>
      </w:r>
      <w:r w:rsidRPr="001D2596">
        <w:rPr>
          <w:rFonts w:ascii="FrankRuehl" w:hAnsi="FrankRuehl" w:cs="FrankRuehl"/>
          <w:color w:val="000000"/>
          <w:sz w:val="28"/>
          <w:szCs w:val="28"/>
          <w:rtl/>
          <w:lang w:eastAsia="he-IL"/>
        </w:rPr>
        <w:t>, פ"ד כז(2) 716</w:t>
      </w:r>
      <w:r w:rsidRPr="001D2596">
        <w:rPr>
          <w:rFonts w:ascii="Century" w:hAnsi="Century" w:cs="FrankRuehl"/>
          <w:spacing w:val="10"/>
          <w:sz w:val="22"/>
          <w:szCs w:val="28"/>
          <w:rtl/>
          <w:lang w:eastAsia="he-IL"/>
        </w:rPr>
        <w:t xml:space="preserve">, 717 (1973) לגבי תקנת השוק במיטלטלין; ע"א 2046/06 </w:t>
      </w:r>
      <w:r w:rsidRPr="001D2596">
        <w:rPr>
          <w:rFonts w:ascii="Century" w:hAnsi="Century" w:cs="Miriam"/>
          <w:b/>
          <w:sz w:val="22"/>
          <w:rtl/>
          <w:lang w:eastAsia="he-IL"/>
        </w:rPr>
        <w:t>אלג'אבר נ' חליל</w:t>
      </w:r>
      <w:r w:rsidRPr="001D2596">
        <w:rPr>
          <w:rFonts w:ascii="Century" w:hAnsi="Century" w:cs="FrankRuehl"/>
          <w:spacing w:val="10"/>
          <w:sz w:val="22"/>
          <w:szCs w:val="28"/>
          <w:rtl/>
          <w:lang w:eastAsia="he-IL"/>
        </w:rPr>
        <w:t xml:space="preserve">, פסקה 12 (11.3.2013) לגבי תקנת השוק במקרקעין). לכן, להבדיל מהממונה או האפוטרופוס על נכסי נפקדים ורשות הפיתוח </w:t>
      </w:r>
      <w:r w:rsidRPr="001D2596">
        <w:rPr>
          <w:rFonts w:ascii="Century" w:hAnsi="Century" w:cs="FrankRuehl"/>
          <w:spacing w:val="10"/>
          <w:sz w:val="22"/>
          <w:szCs w:val="28"/>
          <w:rtl/>
          <w:lang w:eastAsia="he-IL"/>
        </w:rPr>
        <w:lastRenderedPageBreak/>
        <w:t xml:space="preserve">אשר נהנים מחזקת תקינות המעשה המינהלי, הרי שהנטל להוכחת תום הלב מוטל במקרה דנן על המחזיקים. </w:t>
      </w:r>
    </w:p>
    <w:p w:rsidR="001D2596" w:rsidRPr="001D2596" w:rsidRDefault="001D2596" w:rsidP="001D2596">
      <w:pPr>
        <w:overflowPunct/>
        <w:autoSpaceDE/>
        <w:autoSpaceDN/>
        <w:adjustRightInd/>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 xml:space="preserve">עם זאת, בהינתן שתקנת השוק עוסקת במישור הקנייני (להבדיל לדוגמה מהמישור התכנוני), אזי על מנת להסיג את זכותו של הרוכש תם הלב לאחור, על הצד שכנגד לאחוז בזכות קודמת בנכס. כפי שהוסבר לגבי תקנת השוק במקרקעין, "כדי לתת לרוכש עדיפות על </w:t>
      </w:r>
      <w:r w:rsidRPr="001D2596">
        <w:rPr>
          <w:rFonts w:ascii="Century" w:hAnsi="Century" w:cs="Miriam"/>
          <w:b/>
          <w:rtl/>
          <w:lang w:eastAsia="he-IL"/>
        </w:rPr>
        <w:t>הבעלים המקורי</w:t>
      </w:r>
      <w:r w:rsidRPr="001D2596">
        <w:rPr>
          <w:rFonts w:ascii="Century" w:hAnsi="Century" w:cs="FrankRuehl"/>
          <w:spacing w:val="10"/>
          <w:sz w:val="22"/>
          <w:szCs w:val="28"/>
          <w:rtl/>
          <w:lang w:eastAsia="he-IL"/>
        </w:rPr>
        <w:t xml:space="preserve">, מן ההכרח שתהיה בידו זכות קניינית, שכן – בלשון השופט חשין [בעניין </w:t>
      </w:r>
      <w:r w:rsidRPr="001D2596">
        <w:rPr>
          <w:rFonts w:ascii="Century" w:hAnsi="Century" w:cs="Miriam"/>
          <w:b/>
          <w:rtl/>
          <w:lang w:eastAsia="he-IL"/>
        </w:rPr>
        <w:t>הרטפלד</w:t>
      </w:r>
      <w:r w:rsidRPr="001D2596">
        <w:rPr>
          <w:rFonts w:ascii="Century" w:hAnsi="Century" w:cs="FrankRuehl"/>
          <w:spacing w:val="10"/>
          <w:sz w:val="22"/>
          <w:szCs w:val="28"/>
          <w:rtl/>
          <w:lang w:eastAsia="he-IL"/>
        </w:rPr>
        <w:t xml:space="preserve">]: </w:t>
      </w:r>
      <w:r w:rsidRPr="001D2596">
        <w:rPr>
          <w:rFonts w:ascii="Century" w:hAnsi="Century" w:cs="Miriam"/>
          <w:b/>
          <w:rtl/>
          <w:lang w:eastAsia="he-IL"/>
        </w:rPr>
        <w:t>'רק קניין יכה קניין</w:t>
      </w:r>
      <w:r w:rsidRPr="001D2596">
        <w:rPr>
          <w:rFonts w:ascii="Century" w:hAnsi="Century" w:cs="FrankRuehl"/>
          <w:spacing w:val="10"/>
          <w:sz w:val="22"/>
          <w:szCs w:val="28"/>
          <w:rtl/>
          <w:lang w:eastAsia="he-IL"/>
        </w:rPr>
        <w:t xml:space="preserve">, ואילו זכות חיובים אין בכוחה להכות </w:t>
      </w:r>
      <w:r w:rsidRPr="001D2596">
        <w:rPr>
          <w:rFonts w:ascii="Century" w:hAnsi="Century" w:cs="Miriam"/>
          <w:b/>
          <w:rtl/>
          <w:lang w:eastAsia="he-IL"/>
        </w:rPr>
        <w:t>זכות קניין</w:t>
      </w:r>
      <w:r w:rsidRPr="001D2596">
        <w:rPr>
          <w:rFonts w:ascii="Century" w:hAnsi="Century" w:cs="FrankRuehl"/>
          <w:spacing w:val="10"/>
          <w:sz w:val="22"/>
          <w:szCs w:val="28"/>
          <w:rtl/>
          <w:lang w:eastAsia="he-IL"/>
        </w:rPr>
        <w:t xml:space="preserve">'". כך ככלל, וכך לגבי תקנת השוק המיוחדת שבסעיף 5 לצו "המעניקה עדיפות </w:t>
      </w:r>
      <w:r w:rsidRPr="001D2596">
        <w:rPr>
          <w:rFonts w:ascii="Century" w:hAnsi="Century" w:cs="Miriam"/>
          <w:b/>
          <w:sz w:val="22"/>
          <w:rtl/>
          <w:lang w:eastAsia="he-IL"/>
        </w:rPr>
        <w:t>לקונה המאוחר</w:t>
      </w:r>
      <w:r w:rsidRPr="001D2596">
        <w:rPr>
          <w:rFonts w:ascii="Century" w:hAnsi="Century" w:cs="FrankRuehl"/>
          <w:spacing w:val="10"/>
          <w:sz w:val="22"/>
          <w:szCs w:val="28"/>
          <w:rtl/>
          <w:lang w:eastAsia="he-IL"/>
        </w:rPr>
        <w:t xml:space="preserve"> על </w:t>
      </w:r>
      <w:r w:rsidRPr="001D2596">
        <w:rPr>
          <w:rFonts w:ascii="Century" w:hAnsi="Century" w:cs="Miriam"/>
          <w:b/>
          <w:rtl/>
          <w:lang w:eastAsia="he-IL"/>
        </w:rPr>
        <w:t>בעל הרכוש</w:t>
      </w:r>
      <w:r w:rsidRPr="001D2596">
        <w:rPr>
          <w:rFonts w:ascii="Century" w:hAnsi="Century" w:cs="FrankRuehl"/>
          <w:spacing w:val="10"/>
          <w:sz w:val="22"/>
          <w:szCs w:val="28"/>
          <w:rtl/>
          <w:lang w:eastAsia="he-IL"/>
        </w:rPr>
        <w:t xml:space="preserve">" (אבי וינרוט </w:t>
      </w:r>
      <w:r w:rsidRPr="001D2596">
        <w:rPr>
          <w:rFonts w:ascii="Century" w:hAnsi="Century" w:cs="Miriam"/>
          <w:b/>
          <w:rtl/>
          <w:lang w:eastAsia="he-IL"/>
        </w:rPr>
        <w:t>דיני קניין – פרקי יסוד</w:t>
      </w:r>
      <w:r w:rsidRPr="001D2596">
        <w:rPr>
          <w:rFonts w:ascii="Century" w:hAnsi="Century" w:cs="FrankRuehl"/>
          <w:spacing w:val="10"/>
          <w:sz w:val="22"/>
          <w:szCs w:val="28"/>
          <w:rtl/>
          <w:lang w:eastAsia="he-IL"/>
        </w:rPr>
        <w:t xml:space="preserve"> 209, 211 (מהדורה שניה, 2020) (חלק מההדגשות הוספו – י"ע)).</w:t>
      </w: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11.</w:t>
      </w:r>
      <w:r w:rsidRPr="001D2596">
        <w:rPr>
          <w:rFonts w:ascii="Century" w:hAnsi="Century" w:cs="FrankRuehl"/>
          <w:spacing w:val="10"/>
          <w:sz w:val="22"/>
          <w:szCs w:val="28"/>
          <w:rtl/>
          <w:lang w:eastAsia="he-IL"/>
        </w:rPr>
        <w:tab/>
        <w:t>על רקע דברים אלו, נפנה לבחון את תחרות הזכויות בין הצדדים במקרה שלפנינו. כפי שניווכח, התמונה המתקבלת במקרה דנן אינה בלתי מורכבת.</w:t>
      </w:r>
    </w:p>
    <w:p w:rsidR="001D2596" w:rsidRPr="001D2596" w:rsidRDefault="001D2596" w:rsidP="001D2596">
      <w:pPr>
        <w:overflowPunct/>
        <w:autoSpaceDE/>
        <w:autoSpaceDN/>
        <w:adjustRightInd/>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ab/>
        <w:t xml:space="preserve">מן העבר האחד ניצבים המשיבים, הטוענים לזכות בעלות במקרקעין. דא עקא, שלפי האמור בפסק דינו של בית המשפט המחוזי, הראיות שהובאו על ידי המשיבים להוכחת בעלותם "רחוקות מלהספיק למטרה זו" (פסקה 190 לפסק דינו). אם לא די בכך, הרי שאף לשיטת המשיבים עצמם, המקרקעין נרכשו על ידם שנים </w:t>
      </w:r>
      <w:r w:rsidRPr="001D2596">
        <w:rPr>
          <w:rFonts w:ascii="Century" w:hAnsi="Century" w:cs="Miriam"/>
          <w:b/>
          <w:sz w:val="22"/>
          <w:rtl/>
          <w:lang w:eastAsia="he-IL"/>
        </w:rPr>
        <w:t>לאחר</w:t>
      </w:r>
      <w:r w:rsidRPr="001D2596">
        <w:rPr>
          <w:rFonts w:ascii="Century" w:hAnsi="Century" w:cs="FrankRuehl"/>
          <w:spacing w:val="10"/>
          <w:sz w:val="22"/>
          <w:szCs w:val="28"/>
          <w:rtl/>
          <w:lang w:eastAsia="he-IL"/>
        </w:rPr>
        <w:t xml:space="preserve"> שמצפה כרמים הועתק למיקומו דהיום, ושנים לאחר שתכנית 223 הוחלה על המקרקעין (שם). עיון בפרוטוקול הדיון בבית המשפט המחוזי מלמד כי המשיב 3 רכש את הקרקע מד</w:t>
      </w:r>
      <w:r w:rsidRPr="001D2596">
        <w:rPr>
          <w:rFonts w:ascii="FrankRuehl" w:hAnsi="FrankRuehl" w:cs="FrankRuehl"/>
          <w:spacing w:val="10"/>
          <w:sz w:val="22"/>
          <w:szCs w:val="28"/>
          <w:rtl/>
          <w:lang w:eastAsia="he-IL"/>
        </w:rPr>
        <w:t>וֹ</w:t>
      </w:r>
      <w:r w:rsidRPr="001D2596">
        <w:rPr>
          <w:rFonts w:ascii="Century" w:hAnsi="Century" w:cs="FrankRuehl"/>
          <w:spacing w:val="10"/>
          <w:sz w:val="22"/>
          <w:szCs w:val="28"/>
          <w:rtl/>
          <w:lang w:eastAsia="he-IL"/>
        </w:rPr>
        <w:t>ד</w:t>
      </w:r>
      <w:r w:rsidRPr="001D2596">
        <w:rPr>
          <w:rFonts w:ascii="FrankRuehl" w:hAnsi="FrankRuehl" w:cs="FrankRuehl"/>
          <w:spacing w:val="10"/>
          <w:sz w:val="22"/>
          <w:szCs w:val="28"/>
          <w:rtl/>
          <w:lang w:eastAsia="he-IL"/>
        </w:rPr>
        <w:t>וֹ</w:t>
      </w:r>
      <w:r w:rsidRPr="001D2596">
        <w:rPr>
          <w:rFonts w:ascii="Century" w:hAnsi="Century" w:cs="FrankRuehl"/>
          <w:spacing w:val="10"/>
          <w:sz w:val="22"/>
          <w:szCs w:val="28"/>
          <w:rtl/>
          <w:lang w:eastAsia="he-IL"/>
        </w:rPr>
        <w:t xml:space="preserve"> בשנת 2001 תמורת 2,000 דינר בלבד, המהווה לדבריו סכום הנמוך באופן משמעותי משווי המקרקעין, וזאת לאחר שהדוד סבר כי לא יוכל לקבל דבר מהמקרקעין וכי לא תהיה לו תועלת מהם (פרוטוקול מיום 5.3.2018, עמ' 201). המשיב 2 העיד כי רכש את הזכויות במקרקעין בשנת 2010 מבתו המנוחה של הבעלים הרשום, אך נמנע מלהציג את ההסכם ואת ייפוי הכוח הנוטריוני (שם, עמ' 206-205; פסקאות 92-91 לפסק דינו של בית משפט קמא). </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12.</w:t>
      </w:r>
      <w:r w:rsidRPr="001D2596">
        <w:rPr>
          <w:rFonts w:ascii="Century" w:hAnsi="Century" w:cs="FrankRuehl"/>
          <w:spacing w:val="10"/>
          <w:sz w:val="22"/>
          <w:szCs w:val="28"/>
          <w:rtl/>
          <w:lang w:eastAsia="he-IL"/>
        </w:rPr>
        <w:tab/>
        <w:t xml:space="preserve">עולה מהאמור, כי הסיטואציה שלפנינו אינה סיטואציה קלאסית של תקנת שוק, שבה הרוכש ניצב מול בעל הזכויות </w:t>
      </w:r>
      <w:r w:rsidRPr="001D2596">
        <w:rPr>
          <w:rFonts w:ascii="Century" w:hAnsi="Century" w:cs="Miriam"/>
          <w:b/>
          <w:sz w:val="22"/>
          <w:rtl/>
          <w:lang w:eastAsia="he-IL"/>
        </w:rPr>
        <w:t>המקורי</w:t>
      </w:r>
      <w:r w:rsidRPr="001D2596">
        <w:rPr>
          <w:rFonts w:ascii="Century" w:hAnsi="Century" w:cs="FrankRuehl"/>
          <w:spacing w:val="10"/>
          <w:sz w:val="22"/>
          <w:szCs w:val="28"/>
          <w:rtl/>
          <w:lang w:eastAsia="he-IL"/>
        </w:rPr>
        <w:t xml:space="preserve"> המוכח. לפנינו תחרות של רוכש מול צד אשר אף לשיטתו-שלו רכש את הזכויות שנים </w:t>
      </w:r>
      <w:r w:rsidRPr="001D2596">
        <w:rPr>
          <w:rFonts w:ascii="Century" w:hAnsi="Century" w:cs="Miriam"/>
          <w:b/>
          <w:sz w:val="22"/>
          <w:rtl/>
          <w:lang w:eastAsia="he-IL"/>
        </w:rPr>
        <w:t>לאחר</w:t>
      </w:r>
      <w:r w:rsidRPr="001D2596">
        <w:rPr>
          <w:rFonts w:ascii="Century" w:hAnsi="Century" w:cs="FrankRuehl"/>
          <w:spacing w:val="10"/>
          <w:sz w:val="22"/>
          <w:szCs w:val="28"/>
          <w:rtl/>
          <w:lang w:eastAsia="he-IL"/>
        </w:rPr>
        <w:t xml:space="preserve"> הקמת מצפה כרמים במיקומו דהיום, קרי בידיעה כי המקרקעין תפוסים על ידי אחר ואינם נמצאים ברשותו של המוכר.</w:t>
      </w:r>
    </w:p>
    <w:p w:rsidR="001D2596" w:rsidRPr="001D2596" w:rsidRDefault="001D2596" w:rsidP="001D2596">
      <w:pPr>
        <w:overflowPunct/>
        <w:autoSpaceDE/>
        <w:autoSpaceDN/>
        <w:adjustRightInd/>
        <w:jc w:val="both"/>
        <w:textAlignment w:val="auto"/>
        <w:rPr>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ab/>
        <w:t xml:space="preserve">אמנם, ככלל, בתקנות השוק למיניהן איננו דורשים מהבעלים להוכיח תום לב, ומי שנדרש להוכיח תום לב הוא הצד השלישי-הרוכש המבקש לטרוף את הזכויות </w:t>
      </w:r>
      <w:r w:rsidRPr="001D2596">
        <w:rPr>
          <w:rFonts w:ascii="Century" w:hAnsi="Century" w:cs="FrankRuehl"/>
          <w:spacing w:val="10"/>
          <w:sz w:val="22"/>
          <w:szCs w:val="28"/>
          <w:rtl/>
          <w:lang w:eastAsia="he-IL"/>
        </w:rPr>
        <w:lastRenderedPageBreak/>
        <w:t xml:space="preserve">מהבעלים. אף לא מצינו בפסיקה כי יש ברשלנות הבעלים המקורי כדי לשלול את קניינו ולשמש כתחליף לתקנת השוק לפי סעיף 10 לחוק המקרקעין (השוו לפסק דיני בה"פ (מחוזי חי') 202/03 </w:t>
      </w:r>
      <w:r w:rsidRPr="001D2596">
        <w:rPr>
          <w:rFonts w:ascii="Century" w:hAnsi="Century" w:cs="Miriam"/>
          <w:b/>
          <w:sz w:val="22"/>
          <w:rtl/>
          <w:lang w:eastAsia="he-IL"/>
        </w:rPr>
        <w:t>האפוטרופוס הכללי נ' בנק דיסקונט למשכנתאות</w:t>
      </w:r>
      <w:r w:rsidR="00D7000E">
        <w:rPr>
          <w:rFonts w:ascii="Century" w:hAnsi="Century" w:cs="FrankRuehl"/>
          <w:spacing w:val="10"/>
          <w:sz w:val="22"/>
          <w:szCs w:val="28"/>
          <w:rtl/>
          <w:lang w:eastAsia="he-IL"/>
        </w:rPr>
        <w:t xml:space="preserve">, </w:t>
      </w:r>
      <w:r w:rsidRPr="001D2596">
        <w:rPr>
          <w:rFonts w:ascii="Century" w:hAnsi="Century" w:cs="FrankRuehl"/>
          <w:spacing w:val="10"/>
          <w:sz w:val="22"/>
          <w:szCs w:val="28"/>
          <w:rtl/>
          <w:lang w:eastAsia="he-IL"/>
        </w:rPr>
        <w:t xml:space="preserve">פסקה 26 (26.11.2005)). ברם, אלו הם פני הדברים כאשר אל מול הרוכש ניצב הבעלים המקורי המוכח; וכפי שנזדמן לי לומר אך לאחרונה, הצורך להקפיד הקפדה יתרה על התמלאות יסודותיה של תקנת השוק, נובע מהזהירות הנדרשת מבית המשפט בטרם יכריז כי זכותו של </w:t>
      </w:r>
      <w:r w:rsidRPr="001D2596">
        <w:rPr>
          <w:rFonts w:ascii="Century" w:hAnsi="Century" w:cs="Miriam"/>
          <w:b/>
          <w:sz w:val="22"/>
          <w:rtl/>
          <w:lang w:eastAsia="he-IL"/>
        </w:rPr>
        <w:t>הבעלים המקורי המוכח</w:t>
      </w:r>
      <w:r w:rsidRPr="001D2596">
        <w:rPr>
          <w:rFonts w:ascii="Century" w:hAnsi="Century" w:cs="FrankRuehl"/>
          <w:spacing w:val="10"/>
          <w:sz w:val="22"/>
          <w:szCs w:val="28"/>
          <w:rtl/>
          <w:lang w:eastAsia="he-IL"/>
        </w:rPr>
        <w:t xml:space="preserve"> נסוגה מפני זכותו של צד שלישי (ע"א 1479/18 </w:t>
      </w:r>
      <w:r w:rsidRPr="001D2596">
        <w:rPr>
          <w:rFonts w:ascii="Century" w:hAnsi="Century" w:cs="Miriam"/>
          <w:b/>
          <w:sz w:val="22"/>
          <w:rtl/>
          <w:lang w:eastAsia="he-IL"/>
        </w:rPr>
        <w:t>דדוש נ' סלס</w:t>
      </w:r>
      <w:r w:rsidRPr="001D2596">
        <w:rPr>
          <w:rFonts w:ascii="Century" w:hAnsi="Century" w:cs="FrankRuehl"/>
          <w:spacing w:val="10"/>
          <w:sz w:val="22"/>
          <w:szCs w:val="28"/>
          <w:rtl/>
          <w:lang w:eastAsia="he-IL"/>
        </w:rPr>
        <w:t xml:space="preserve">, פסקה 47 </w:t>
      </w:r>
      <w:r w:rsidRPr="001D2596">
        <w:rPr>
          <w:rFonts w:ascii="Century" w:hAnsi="Century" w:cs="FrankRuehl" w:hint="cs"/>
          <w:spacing w:val="10"/>
          <w:sz w:val="22"/>
          <w:szCs w:val="28"/>
          <w:rtl/>
          <w:lang w:eastAsia="he-IL"/>
        </w:rPr>
        <w:t>(25.7.2022)</w:t>
      </w:r>
      <w:r w:rsidRPr="001D2596">
        <w:rPr>
          <w:rFonts w:ascii="Century" w:hAnsi="Century" w:cs="FrankRuehl"/>
          <w:spacing w:val="10"/>
          <w:sz w:val="22"/>
          <w:szCs w:val="28"/>
          <w:rtl/>
          <w:lang w:eastAsia="he-IL"/>
        </w:rPr>
        <w:t>, שם נסב הדיון על תקנת השוק במכירה על ידי רשות לפי סעיף 34א לחוק המכר).</w:t>
      </w:r>
    </w:p>
    <w:p w:rsidR="001D2596" w:rsidRPr="001D2596" w:rsidRDefault="001D2596" w:rsidP="001D2596">
      <w:pPr>
        <w:overflowPunct/>
        <w:autoSpaceDE/>
        <w:autoSpaceDN/>
        <w:adjustRightInd/>
        <w:ind w:firstLine="720"/>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ind w:firstLine="720"/>
        <w:jc w:val="both"/>
        <w:textAlignment w:val="auto"/>
        <w:rPr>
          <w:rtl/>
          <w:lang w:eastAsia="he-IL"/>
        </w:rPr>
      </w:pPr>
      <w:r w:rsidRPr="001D2596">
        <w:rPr>
          <w:rFonts w:ascii="Century" w:hAnsi="Century" w:cs="FrankRuehl"/>
          <w:spacing w:val="10"/>
          <w:sz w:val="22"/>
          <w:szCs w:val="28"/>
          <w:rtl/>
          <w:lang w:eastAsia="he-IL"/>
        </w:rPr>
        <w:t xml:space="preserve">בנוסף לכך, נדירים המקרים שבהם מאן דהו, למעט יורש, ייכנס לנעלי הבעלים המקורי כאשר הנכס כלל אינו ברשותו של הבעלים המקורי או שכבר אינו רשום על שמו. לטעמי, בתחרות בין הזכויות, יש ליתן משקל לכך שאין מדובר בתחרות בין הבעלים המקורי לצד השלישי, אלא בחליף שנכנס (לטענתו) בנעלי הבעלים המקורי ביודעין </w:t>
      </w:r>
      <w:r w:rsidRPr="001D2596">
        <w:rPr>
          <w:rFonts w:ascii="Century" w:hAnsi="Century" w:cs="Miriam"/>
          <w:b/>
          <w:sz w:val="22"/>
          <w:rtl/>
          <w:lang w:eastAsia="he-IL"/>
        </w:rPr>
        <w:t>לאחר</w:t>
      </w:r>
      <w:r w:rsidRPr="001D2596">
        <w:rPr>
          <w:rFonts w:ascii="Century" w:hAnsi="Century" w:cs="FrankRuehl"/>
          <w:spacing w:val="10"/>
          <w:sz w:val="22"/>
          <w:szCs w:val="28"/>
          <w:rtl/>
          <w:lang w:eastAsia="he-IL"/>
        </w:rPr>
        <w:t xml:space="preserve"> שהנכס כבר נמצא בחזקתו של הצד השלישי, כמו במקרה דנן. אף איני מוציא מכלל אפשרות כי בתקנות השוק המיוחדות, יינתן משקל לכך שהבעלים המקורי או חליפו יכולים היו למנוע את התאונה המשפטית (השוו עניין </w:t>
      </w:r>
      <w:r w:rsidRPr="001D2596">
        <w:rPr>
          <w:rFonts w:ascii="Century" w:hAnsi="Century" w:cs="Miriam"/>
          <w:b/>
          <w:sz w:val="22"/>
          <w:rtl/>
          <w:lang w:eastAsia="he-IL"/>
        </w:rPr>
        <w:t>מרעי</w:t>
      </w:r>
      <w:r w:rsidRPr="001D2596">
        <w:rPr>
          <w:rFonts w:ascii="Century" w:hAnsi="Century" w:cs="FrankRuehl"/>
          <w:spacing w:val="10"/>
          <w:sz w:val="22"/>
          <w:szCs w:val="28"/>
          <w:rtl/>
          <w:lang w:eastAsia="he-IL"/>
        </w:rPr>
        <w:t>, בפסקה 9).</w:t>
      </w:r>
    </w:p>
    <w:p w:rsidR="001D2596" w:rsidRPr="001D2596" w:rsidRDefault="001D2596" w:rsidP="001D2596">
      <w:pPr>
        <w:overflowPunct/>
        <w:autoSpaceDE/>
        <w:autoSpaceDN/>
        <w:adjustRightInd/>
        <w:jc w:val="both"/>
        <w:textAlignment w:val="auto"/>
        <w:rPr>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ab/>
        <w:t xml:space="preserve">דברים אלה כמובן אינם פוטרים אותנו מן הצורך להידרש לרכיב תום הלב ביחס לצד השלישי העומד מנגד. ואולם, יש באמור כדי לחדד את תמונת המצב במקרה דנן, שאינה משקפת מצב טיפוסי של תחרות זכויות במסגרת תקנת השוק. </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13.</w:t>
      </w:r>
      <w:r w:rsidRPr="001D2596">
        <w:rPr>
          <w:rFonts w:ascii="Century" w:hAnsi="Century" w:cs="FrankRuehl"/>
          <w:spacing w:val="10"/>
          <w:sz w:val="22"/>
          <w:szCs w:val="28"/>
          <w:rtl/>
          <w:lang w:eastAsia="he-IL"/>
        </w:rPr>
        <w:tab/>
        <w:t xml:space="preserve">מצפה כרמים הישן, במיקומו המקורי, הוקם על </w:t>
      </w:r>
      <w:r w:rsidRPr="001D2596">
        <w:rPr>
          <w:rFonts w:ascii="Century" w:hAnsi="Century" w:cs="Miriam"/>
          <w:b/>
          <w:sz w:val="22"/>
          <w:rtl/>
          <w:lang w:eastAsia="he-IL"/>
        </w:rPr>
        <w:t>אדמות מדינה</w:t>
      </w:r>
      <w:r w:rsidRPr="001D2596">
        <w:rPr>
          <w:rFonts w:ascii="Century" w:hAnsi="Century" w:cs="FrankRuehl"/>
          <w:spacing w:val="10"/>
          <w:sz w:val="22"/>
          <w:szCs w:val="28"/>
          <w:rtl/>
          <w:lang w:eastAsia="he-IL"/>
        </w:rPr>
        <w:t xml:space="preserve">. העתקת המאחז נעשתה במסגרת הסכם המאחזים מול ראש הממשלה ושר הבטחון דאז, אהוד ברק, ונועדה מלכתחילה </w:t>
      </w:r>
      <w:r w:rsidRPr="001D2596">
        <w:rPr>
          <w:rFonts w:ascii="Century" w:hAnsi="Century" w:cs="Miriam"/>
          <w:b/>
          <w:sz w:val="22"/>
          <w:rtl/>
          <w:lang w:eastAsia="he-IL"/>
        </w:rPr>
        <w:t>להכשיר</w:t>
      </w:r>
      <w:r w:rsidRPr="001D2596">
        <w:rPr>
          <w:rFonts w:ascii="Century" w:hAnsi="Century" w:cs="FrankRuehl"/>
          <w:spacing w:val="10"/>
          <w:sz w:val="22"/>
          <w:szCs w:val="28"/>
          <w:rtl/>
          <w:lang w:eastAsia="he-IL"/>
        </w:rPr>
        <w:t xml:space="preserve"> את המאחז. קשה אפוא להלום כי למאן דהו הייתה כוונה </w:t>
      </w:r>
      <w:r w:rsidRPr="001D2596">
        <w:rPr>
          <w:rFonts w:ascii="Century" w:hAnsi="Century" w:cs="Miriam"/>
          <w:b/>
          <w:sz w:val="22"/>
          <w:rtl/>
          <w:lang w:eastAsia="he-IL"/>
        </w:rPr>
        <w:t>להחמיר</w:t>
      </w:r>
      <w:r w:rsidRPr="001D2596">
        <w:rPr>
          <w:rFonts w:ascii="Century" w:hAnsi="Century" w:cs="FrankRuehl"/>
          <w:spacing w:val="10"/>
          <w:sz w:val="22"/>
          <w:szCs w:val="28"/>
          <w:rtl/>
          <w:lang w:eastAsia="he-IL"/>
        </w:rPr>
        <w:t xml:space="preserve"> את המצב. בהליך ההעתקה היו מעורבים הגורמים הרלוונטיים – סא"ל בלומנטל ראש תחום תשתית, אל"מ פוליטיס היועץ המשפטי של איו"ש, ואלוף פיקוד מרכז דאז יעלון. כל אלה האמינו בכנות כי בהעתקת המאחז הבלתי חוקי יש כדי לפתור את הבעיה, ובוודאי שלא העלו בדעתם כי בכך הם יוצרים בעיה חמורה יותר. התנהלותו של המינהל האזרחי כלפי מגרשים אחרים שהיו מצויים מחוץ לגדר הישוב ובשל כך נחשבו כנמצאים מחוץ לשטח התפיסה, אך מעידה על כך שהגורמים הרלוונטיים סברו באמת ובתמים כי לעומת מגרשים אלה, השטח מושא דיוננו נמצא בתחומי צו התפיסה. כפי שהסביר אל"מ פוליטיס בעדותו, זו הסיבה שבגינה לא נתן משקל לכך שהשטח כולל גם מקרקעין מוסדרים פרטיים.</w:t>
      </w:r>
    </w:p>
    <w:p w:rsidR="001D2596" w:rsidRPr="001D2596" w:rsidRDefault="001D2596" w:rsidP="001D2596">
      <w:pPr>
        <w:overflowPunct/>
        <w:autoSpaceDE/>
        <w:autoSpaceDN/>
        <w:adjustRightInd/>
        <w:ind w:firstLine="720"/>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ind w:firstLine="720"/>
        <w:jc w:val="both"/>
        <w:textAlignment w:val="auto"/>
        <w:rPr>
          <w:rFonts w:ascii="Garamond" w:hAnsi="Garamond" w:cs="FrankRuehl"/>
          <w:spacing w:val="10"/>
          <w:sz w:val="24"/>
          <w:szCs w:val="28"/>
          <w:rtl/>
          <w:lang w:eastAsia="he-IL"/>
        </w:rPr>
      </w:pPr>
      <w:r w:rsidRPr="001D2596">
        <w:rPr>
          <w:rFonts w:ascii="Century" w:hAnsi="Century" w:cs="FrankRuehl"/>
          <w:spacing w:val="10"/>
          <w:sz w:val="22"/>
          <w:szCs w:val="28"/>
          <w:rtl/>
          <w:lang w:eastAsia="he-IL"/>
        </w:rPr>
        <w:lastRenderedPageBreak/>
        <w:t xml:space="preserve">מכאן, שלמחזיקים הייתה סיבה טובה להאמין כי הרשויות דאגו לפתרון הולם, ולא הייתה להם סיבה לחשוד שמא פתרון זה חורג מהשטח על פי צו התפיסה המקורי. בסיפא לפסק דינה של הנשיאה בעתירה בבג"ץ 953/11, הורתה הנשיאה למצוא </w:t>
      </w:r>
      <w:r w:rsidRPr="001D2596">
        <w:rPr>
          <w:rFonts w:ascii="Arial TUR" w:hAnsi="Arial TUR" w:cs="FrankRuehl"/>
          <w:spacing w:val="10"/>
          <w:sz w:val="22"/>
          <w:szCs w:val="28"/>
          <w:rtl/>
          <w:lang w:eastAsia="he-IL"/>
        </w:rPr>
        <w:t xml:space="preserve">למחזיקים </w:t>
      </w:r>
      <w:r w:rsidRPr="001D2596">
        <w:rPr>
          <w:rFonts w:ascii="Garamond" w:hAnsi="Garamond" w:cs="FrankRuehl"/>
          <w:spacing w:val="10"/>
          <w:sz w:val="24"/>
          <w:szCs w:val="28"/>
          <w:rtl/>
          <w:lang w:eastAsia="he-IL"/>
        </w:rPr>
        <w:t>בתוך 36 חודשים מיום מתן פסק הדין</w:t>
      </w:r>
      <w:r w:rsidRPr="001D2596">
        <w:rPr>
          <w:rFonts w:ascii="Arial TUR" w:hAnsi="Arial TUR" w:cs="FrankRuehl"/>
          <w:spacing w:val="10"/>
          <w:sz w:val="22"/>
          <w:szCs w:val="28"/>
          <w:rtl/>
          <w:lang w:eastAsia="he-IL"/>
        </w:rPr>
        <w:t xml:space="preserve"> "מענה חלופי ראוי והולם בדרך של הקצאת קרקע חלופית ומבנים חליפיים או העתקת המבנים הקיימים אליה" (שם, פסקה </w:t>
      </w:r>
      <w:r w:rsidRPr="001D2596">
        <w:rPr>
          <w:rFonts w:ascii="Century" w:hAnsi="Century" w:cs="FrankRuehl"/>
          <w:spacing w:val="10"/>
          <w:sz w:val="22"/>
          <w:szCs w:val="28"/>
          <w:rtl/>
          <w:lang w:eastAsia="he-IL"/>
        </w:rPr>
        <w:t xml:space="preserve">70). המשנה לנשיאה </w:t>
      </w:r>
      <w:r w:rsidRPr="001D2596">
        <w:rPr>
          <w:rFonts w:ascii="Century" w:hAnsi="Century" w:cs="Miriam"/>
          <w:b/>
          <w:sz w:val="22"/>
          <w:rtl/>
          <w:lang w:eastAsia="he-IL"/>
        </w:rPr>
        <w:t>מלצר</w:t>
      </w:r>
      <w:r w:rsidRPr="001D2596">
        <w:rPr>
          <w:rFonts w:ascii="Century" w:hAnsi="Century" w:cs="FrankRuehl"/>
          <w:spacing w:val="10"/>
          <w:sz w:val="22"/>
          <w:szCs w:val="28"/>
          <w:rtl/>
          <w:lang w:eastAsia="he-IL"/>
        </w:rPr>
        <w:t xml:space="preserve"> הוסיף אף הוא כי "נוכח מעורבותם של משיבי הממשלה והגורמים המיישבים בשיכון תושבי '</w:t>
      </w:r>
      <w:r w:rsidRPr="001D2596">
        <w:rPr>
          <w:rFonts w:ascii="Century" w:hAnsi="Century" w:cs="Miriam"/>
          <w:b/>
          <w:sz w:val="22"/>
          <w:rtl/>
          <w:lang w:eastAsia="he-IL"/>
        </w:rPr>
        <w:t>מצפה כרמים</w:t>
      </w:r>
      <w:r w:rsidRPr="001D2596">
        <w:rPr>
          <w:rFonts w:ascii="Century" w:hAnsi="Century" w:cs="FrankRuehl"/>
          <w:spacing w:val="10"/>
          <w:sz w:val="22"/>
          <w:szCs w:val="28"/>
          <w:rtl/>
          <w:lang w:eastAsia="he-IL"/>
        </w:rPr>
        <w:t xml:space="preserve">' במקום בו הם מתגוררים כעת – מוטלת עליהם </w:t>
      </w:r>
      <w:r w:rsidRPr="001D2596">
        <w:rPr>
          <w:rFonts w:ascii="Century" w:hAnsi="Century" w:cs="Miriam"/>
          <w:b/>
          <w:sz w:val="22"/>
          <w:rtl/>
          <w:lang w:eastAsia="he-IL"/>
        </w:rPr>
        <w:t>חובה</w:t>
      </w:r>
      <w:r w:rsidRPr="001D2596">
        <w:rPr>
          <w:rFonts w:ascii="Century" w:hAnsi="Century" w:cs="FrankRuehl"/>
          <w:spacing w:val="10"/>
          <w:sz w:val="22"/>
          <w:szCs w:val="28"/>
          <w:rtl/>
          <w:lang w:eastAsia="he-IL"/>
        </w:rPr>
        <w:t xml:space="preserve"> למצוא למתיישבים, במסגרת הזמן שנקצב ע"י הנשיאה, חלופות מגורים הולמות ו/או פיצויים, וראוי להתחיל לפעול בנושא זה מיידית" (ההדגשות במקור).</w:t>
      </w:r>
      <w:r w:rsidRPr="001D2596">
        <w:rPr>
          <w:rFonts w:hint="cs"/>
          <w:rtl/>
          <w:lang w:eastAsia="he-IL"/>
        </w:rPr>
        <w:t xml:space="preserve"> </w:t>
      </w:r>
      <w:r w:rsidRPr="001D2596">
        <w:rPr>
          <w:rFonts w:ascii="Garamond" w:hAnsi="Garamond" w:cs="FrankRuehl"/>
          <w:spacing w:val="10"/>
          <w:sz w:val="24"/>
          <w:szCs w:val="28"/>
          <w:rtl/>
          <w:lang w:eastAsia="he-IL"/>
        </w:rPr>
        <w:t>דומה כי בהוראה זו טמונה ההנחה שהמחזיקים הסתמכו בתום לב על המצגים שהוצגו בפניהם, שאם לא כן, לא היה מקום "לפצות" אותם בדרך של הקצאת קרקע ומבנה חלופי.</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14.</w:t>
      </w:r>
      <w:r w:rsidRPr="001D2596">
        <w:rPr>
          <w:rFonts w:ascii="Century" w:hAnsi="Century" w:cs="FrankRuehl"/>
          <w:spacing w:val="10"/>
          <w:sz w:val="22"/>
          <w:szCs w:val="28"/>
          <w:rtl/>
          <w:lang w:eastAsia="he-IL"/>
        </w:rPr>
        <w:tab/>
        <w:t xml:space="preserve">חברי </w:t>
      </w:r>
      <w:r w:rsidRPr="001D2596">
        <w:rPr>
          <w:rFonts w:ascii="Century" w:hAnsi="Century" w:cs="FrankRuehl" w:hint="cs"/>
          <w:spacing w:val="10"/>
          <w:sz w:val="22"/>
          <w:szCs w:val="28"/>
          <w:rtl/>
          <w:lang w:eastAsia="he-IL"/>
        </w:rPr>
        <w:t xml:space="preserve">המשנה לנשיאה, </w:t>
      </w:r>
      <w:r w:rsidRPr="001D2596">
        <w:rPr>
          <w:rFonts w:ascii="Century" w:hAnsi="Century" w:cs="FrankRuehl"/>
          <w:spacing w:val="10"/>
          <w:sz w:val="22"/>
          <w:szCs w:val="28"/>
          <w:rtl/>
          <w:lang w:eastAsia="he-IL"/>
        </w:rPr>
        <w:t xml:space="preserve">השופט </w:t>
      </w:r>
      <w:r w:rsidRPr="001D2596">
        <w:rPr>
          <w:rFonts w:ascii="Century" w:hAnsi="Century" w:cs="Miriam" w:hint="cs"/>
          <w:b/>
          <w:sz w:val="22"/>
          <w:rtl/>
          <w:lang w:eastAsia="he-IL"/>
        </w:rPr>
        <w:t xml:space="preserve">ע' </w:t>
      </w:r>
      <w:r w:rsidRPr="001D2596">
        <w:rPr>
          <w:rFonts w:ascii="Century" w:hAnsi="Century" w:cs="Miriam"/>
          <w:b/>
          <w:sz w:val="22"/>
          <w:rtl/>
          <w:lang w:eastAsia="he-IL"/>
        </w:rPr>
        <w:t>פוגלמן</w:t>
      </w:r>
      <w:r w:rsidRPr="001D2596">
        <w:rPr>
          <w:rFonts w:ascii="Century" w:hAnsi="Century" w:cs="FrankRuehl" w:hint="cs"/>
          <w:spacing w:val="10"/>
          <w:sz w:val="22"/>
          <w:szCs w:val="28"/>
          <w:rtl/>
          <w:lang w:eastAsia="he-IL"/>
        </w:rPr>
        <w:t>,</w:t>
      </w:r>
      <w:r w:rsidRPr="001D2596">
        <w:rPr>
          <w:rFonts w:ascii="Century" w:hAnsi="Century" w:cs="FrankRuehl"/>
          <w:spacing w:val="10"/>
          <w:sz w:val="22"/>
          <w:szCs w:val="28"/>
          <w:rtl/>
          <w:lang w:eastAsia="he-IL"/>
        </w:rPr>
        <w:t xml:space="preserve"> מציין כי אין ממצא המעיד על עבודת מטה שהובילה לבחירת מיקומו הנוכחי של מצפה כרמים. אכן, דומה כי קיים חלל ראייתי מסוים לגבי תהליך קבלת ההחלטות שבסיומו נבחר המיקום שאליו הועתק בפועל מצפה כרמים. ברם, לצד האמור, ישנן עדויות המלמדות כי בחירת המיקום הנוכחי נעשתה על ידי הגורמים המוסמכים באופן מודע. כך, לדוגמה, האלוף יעלון העיד כי הוא זוכר שאישר את הנקודה הנוכחית; כי הוא עצמו ביקר בנקודה; כי תחום שטח האש שונה מיד לאחר הדיון שהתקיים אצלו, כשהבין שניתן למקם את מצפה כרמים בנקודה הזו; וכי אנשי המינהל האזרחי הם שהציעו את המיקום הנוכחי (פרוטוקול מיום 11.12.2017, עמ' 36-31). </w:t>
      </w:r>
    </w:p>
    <w:p w:rsidR="001D2596" w:rsidRPr="001D2596" w:rsidRDefault="001D2596" w:rsidP="001D2596">
      <w:pPr>
        <w:overflowPunct/>
        <w:autoSpaceDE/>
        <w:autoSpaceDN/>
        <w:adjustRightInd/>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ab/>
        <w:t xml:space="preserve">גור-אריה, הנמנה כאמור על המחזיקים המקוריים והמחזיקים דהיום, העיד כי הם ירדו בג'יפ לשטח עם יוסי ורדי, עוזרו של שר הביטחון דאז לענייני התיישבות, ביחד עם גורמים של החטיבה להתיישבות והמינהל האזרחי, שהצביעו להם על המיקום הנוכחי (פרוטוקול, עמ' 128). דברים אלה עולים בקנה אחד עם עדותו של יוסי שגב מההסתדרות הציונית, כי </w:t>
      </w:r>
      <w:r w:rsidRPr="001D2596">
        <w:rPr>
          <w:rFonts w:ascii="Century" w:hAnsi="Century" w:cs="Miriam"/>
          <w:b/>
          <w:sz w:val="22"/>
          <w:rtl/>
          <w:lang w:eastAsia="he-IL"/>
        </w:rPr>
        <w:t>משרד הביטחון</w:t>
      </w:r>
      <w:r w:rsidRPr="001D2596">
        <w:rPr>
          <w:rFonts w:ascii="Century" w:hAnsi="Century" w:cs="FrankRuehl"/>
          <w:spacing w:val="10"/>
          <w:sz w:val="22"/>
          <w:szCs w:val="28"/>
          <w:rtl/>
          <w:lang w:eastAsia="he-IL"/>
        </w:rPr>
        <w:t xml:space="preserve"> הוא שנתן את ההנחיה להעתיק את מצפה כרמים למיקומו הנוכחי (פרוטוקול, עמ' 51). הדברים מתיישבים כאמור גם עם דבריו של האלוף דאז יעלון, ששב והבהיר את הדברים בסיום עדותו בבית המשפט המחוזי, ונביא את הדברים כלשונם: </w:t>
      </w:r>
    </w:p>
    <w:p w:rsidR="001D2596" w:rsidRPr="001D2596" w:rsidRDefault="001D2596" w:rsidP="001D2596">
      <w:pPr>
        <w:overflowPunct/>
        <w:autoSpaceDE/>
        <w:autoSpaceDN/>
        <w:adjustRightInd/>
        <w:jc w:val="both"/>
        <w:textAlignment w:val="auto"/>
        <w:rPr>
          <w:rFonts w:ascii="Century" w:hAnsi="Century" w:cs="FrankRuehl"/>
          <w:spacing w:val="10"/>
          <w:sz w:val="22"/>
          <w:szCs w:val="28"/>
          <w:rtl/>
          <w:lang w:eastAsia="he-IL"/>
        </w:rPr>
      </w:pPr>
    </w:p>
    <w:p w:rsidR="001D2596" w:rsidRPr="001D2596" w:rsidRDefault="001D2596" w:rsidP="001D2596">
      <w:pPr>
        <w:ind w:left="1642" w:right="1282"/>
        <w:jc w:val="both"/>
        <w:rPr>
          <w:rFonts w:ascii="Century" w:hAnsi="Century" w:cs="FrankRuehl"/>
          <w:spacing w:val="10"/>
          <w:sz w:val="22"/>
          <w:szCs w:val="28"/>
          <w:rtl/>
        </w:rPr>
      </w:pPr>
      <w:r w:rsidRPr="001D2596">
        <w:rPr>
          <w:rFonts w:ascii="Century" w:hAnsi="Century" w:cs="FrankRuehl"/>
          <w:spacing w:val="10"/>
          <w:sz w:val="22"/>
          <w:szCs w:val="28"/>
          <w:rtl/>
        </w:rPr>
        <w:t xml:space="preserve">"אם אני יכול רק להגיד משהו, אני באופן חריג חתמתי על טפסים וזה מתוך תחושה </w:t>
      </w:r>
      <w:r w:rsidRPr="001D2596">
        <w:rPr>
          <w:rFonts w:ascii="Century" w:hAnsi="Century" w:cs="Miriam"/>
          <w:b/>
          <w:sz w:val="22"/>
          <w:rtl/>
        </w:rPr>
        <w:t>שבמקרה הזה של מצפה כרמים, יש אחריות שלטונית. ראש ממשלה ושר בטחון ואז אז אלוף פיקוד, למעשה אישרנו את הנקודה</w:t>
      </w:r>
      <w:r w:rsidRPr="001D2596">
        <w:rPr>
          <w:rFonts w:ascii="Century" w:hAnsi="Century" w:cs="FrankRuehl"/>
          <w:spacing w:val="10"/>
          <w:sz w:val="22"/>
          <w:szCs w:val="28"/>
          <w:rtl/>
        </w:rPr>
        <w:t xml:space="preserve">, וכשנחשפתי </w:t>
      </w:r>
      <w:r w:rsidRPr="001D2596">
        <w:rPr>
          <w:rFonts w:ascii="Century" w:hAnsi="Century" w:cs="FrankRuehl"/>
          <w:spacing w:val="10"/>
          <w:sz w:val="22"/>
          <w:szCs w:val="28"/>
          <w:rtl/>
        </w:rPr>
        <w:lastRenderedPageBreak/>
        <w:t xml:space="preserve">לעתירה כבר כשר, כחבר בצוות השרים שעוסק בנושא הזה, ואני מקפיד מאד על שלטון החוק ביהודה ושומרון, מקפיד מאד שההתיישבות תהיה כחוק, גיליתי פה מקרה שבו בעצם גם אם נעשתה טעות ונמצא, זה המקרה שבו צריך ללכת לקראת מצפה כרמים, ולא ללכת להחלטות אחרות שקיבלנו במקומות אחרים שנתתי להם גם גיבוי. במקרה שנעשה משהו שלא כדין, הרסנו. </w:t>
      </w:r>
      <w:r w:rsidRPr="001D2596">
        <w:rPr>
          <w:rFonts w:ascii="Century" w:hAnsi="Century" w:cs="Miriam"/>
          <w:b/>
          <w:sz w:val="22"/>
          <w:rtl/>
        </w:rPr>
        <w:t>המקרה הזה הממשלה שלחה אותם לשם</w:t>
      </w:r>
      <w:r w:rsidRPr="001D2596">
        <w:rPr>
          <w:rFonts w:ascii="Century" w:hAnsi="Century" w:cs="FrankRuehl"/>
          <w:spacing w:val="10"/>
          <w:sz w:val="22"/>
          <w:szCs w:val="28"/>
          <w:rtl/>
        </w:rPr>
        <w:t>, ולכן בחרתי גם לתת את התצהיר הזה" (פרוטוקול, עמ' 41-40).</w:t>
      </w:r>
    </w:p>
    <w:p w:rsidR="001D2596" w:rsidRPr="001D2596" w:rsidRDefault="001D2596" w:rsidP="001D2596">
      <w:pPr>
        <w:ind w:left="1642" w:right="1282"/>
        <w:jc w:val="both"/>
        <w:rPr>
          <w:rFonts w:ascii="Century" w:hAnsi="Century" w:cs="FrankRuehl"/>
          <w:spacing w:val="10"/>
          <w:sz w:val="22"/>
          <w:szCs w:val="28"/>
          <w:rtl/>
        </w:rPr>
      </w:pPr>
    </w:p>
    <w:p w:rsidR="001D2596" w:rsidRPr="001D2596" w:rsidRDefault="001D2596" w:rsidP="001D2596">
      <w:pPr>
        <w:ind w:left="1642" w:right="1282"/>
        <w:jc w:val="both"/>
        <w:rPr>
          <w:rFonts w:ascii="Century" w:hAnsi="Century" w:cs="FrankRuehl"/>
          <w:spacing w:val="10"/>
          <w:sz w:val="22"/>
          <w:szCs w:val="28"/>
          <w:rt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ab/>
        <w:t>דברים אלה מחזקים עד מאד את המסקנה כי דרישת תום הלב נתמלאה ביחס למחזיקים. בהינתן שהמחזיקים הם הצד השלישי "האמיתי" בגדרי תקנת השוק במקרה דנן, הרי שמדובר בקביעה קרדינאלית, שבמכלול נסיבות העניין מכריעה את הכף לטובתם.</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z w:val="22"/>
          <w:szCs w:val="28"/>
          <w:rtl/>
          <w:lang w:eastAsia="he-IL"/>
        </w:rPr>
      </w:pPr>
      <w:r w:rsidRPr="001D2596">
        <w:rPr>
          <w:rFonts w:ascii="Century" w:hAnsi="Century" w:cs="FrankRuehl"/>
          <w:spacing w:val="10"/>
          <w:sz w:val="22"/>
          <w:szCs w:val="28"/>
          <w:rtl/>
          <w:lang w:eastAsia="he-IL"/>
        </w:rPr>
        <w:t>15.</w:t>
      </w:r>
      <w:r w:rsidRPr="001D2596">
        <w:rPr>
          <w:rFonts w:ascii="Century" w:hAnsi="Century" w:cs="FrankRuehl"/>
          <w:spacing w:val="10"/>
          <w:sz w:val="22"/>
          <w:szCs w:val="28"/>
          <w:rtl/>
          <w:lang w:eastAsia="he-IL"/>
        </w:rPr>
        <w:tab/>
        <w:t xml:space="preserve">התנהלות הצדדים לאחר העתקת מצפה כרמים למיקומו הנוכחי תומכת גם היא במסקנה כי הצדדים הניחו שמדובר בשטח תפוס. אכן, מטבע הדברים, ביטחונם העצמי של המחזיקים גבר במהלך השנים, לאחר שמשך כ-11 שנים אף אחד לא כיהה בעדם, לא הועלתה טענה לגבי החזקתם במקרקעין פרטיים, וגורמים ממשלתיים השקיעו וסייעו במימון פיתוח חלק מהמגרשים. כפי שציין עו"ד פוליטיס בעדותו, הוא אף כתב חוות דעת משפטית, שצורפה לתצהירו, לגבי שורה של מאחזים ונקודות יישוב ישראליים, שמצפה כרמים נזכר בה כמצוי בקרקע התפוסה לצרכים צבאיים (פסקה 72 לפסק דינו של בית המשפט המחוזי). </w:t>
      </w:r>
    </w:p>
    <w:p w:rsidR="001D2596" w:rsidRPr="001D2596" w:rsidRDefault="001D2596" w:rsidP="001D2596">
      <w:pPr>
        <w:overflowPunct/>
        <w:autoSpaceDE/>
        <w:autoSpaceDN/>
        <w:adjustRightInd/>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highlight w:val="yellow"/>
          <w:rtl/>
          <w:lang w:eastAsia="he-IL"/>
        </w:rPr>
      </w:pPr>
      <w:r w:rsidRPr="001D2596">
        <w:rPr>
          <w:rFonts w:ascii="Century" w:hAnsi="Century" w:cs="FrankRuehl"/>
          <w:spacing w:val="10"/>
          <w:sz w:val="22"/>
          <w:szCs w:val="28"/>
          <w:rtl/>
          <w:lang w:eastAsia="he-IL"/>
        </w:rPr>
        <w:t>בכל הנוגע למעמדם של המחזיקים כב</w:t>
      </w:r>
      <w:r w:rsidRPr="001D2596">
        <w:rPr>
          <w:rFonts w:ascii="Century" w:hAnsi="Century" w:cs="FrankRuehl" w:hint="cs"/>
          <w:spacing w:val="10"/>
          <w:sz w:val="22"/>
          <w:szCs w:val="28"/>
          <w:rtl/>
          <w:lang w:eastAsia="he-IL"/>
        </w:rPr>
        <w:t>נ</w:t>
      </w:r>
      <w:r w:rsidRPr="001D2596">
        <w:rPr>
          <w:rFonts w:ascii="Century" w:hAnsi="Century" w:cs="FrankRuehl"/>
          <w:spacing w:val="10"/>
          <w:sz w:val="22"/>
          <w:szCs w:val="28"/>
          <w:rtl/>
          <w:lang w:eastAsia="he-IL"/>
        </w:rPr>
        <w:t xml:space="preserve">י רשות, </w:t>
      </w:r>
      <w:r w:rsidRPr="001D2596">
        <w:rPr>
          <w:rFonts w:ascii="Century" w:hAnsi="Century" w:cs="FrankRuehl"/>
          <w:spacing w:val="10"/>
          <w:szCs w:val="28"/>
          <w:rtl/>
          <w:lang w:eastAsia="he-IL"/>
        </w:rPr>
        <w:t>בית המשפט המחוזי אימץ את עמדתם של המחזיקים וההסתדרות הציונית בדבר קיומם של הסכמי הרשאה, לאחר שאלו הביעו הסכמתם להציג את ההסכמים במהלך שמיעת הראיות (פסקה 191 לפסק דינו)</w:t>
      </w:r>
      <w:r w:rsidRPr="001D2596">
        <w:rPr>
          <w:rFonts w:ascii="Century" w:hAnsi="Century" w:cs="FrankRuehl"/>
          <w:spacing w:val="10"/>
          <w:sz w:val="22"/>
          <w:szCs w:val="28"/>
          <w:rtl/>
          <w:lang w:eastAsia="he-IL"/>
        </w:rPr>
        <w:t xml:space="preserve">. באשר לאי הבהירות הנטענת לגבי מועד כריתת הסכמי ההרשאה מול חלק מהמחזיקים שככל הנראה נכנסו בנעלי קודמיהם, הרי שסוגיה זו לא לובנה בגדרו של ההליך, וברי כי מסגרת דיונית של דיון נוסף אינה המקום לעשות כן. למעלה מן הצורך, ובדומה לדברי חברי המשנה לנשיאה (בדימ') </w:t>
      </w:r>
      <w:r w:rsidRPr="001D2596">
        <w:rPr>
          <w:rFonts w:ascii="Century" w:hAnsi="Century" w:cs="Miriam"/>
          <w:b/>
          <w:sz w:val="22"/>
          <w:rtl/>
          <w:lang w:eastAsia="he-IL"/>
        </w:rPr>
        <w:t>הנדל</w:t>
      </w:r>
      <w:r w:rsidRPr="001D2596">
        <w:rPr>
          <w:rFonts w:ascii="Century" w:hAnsi="Century" w:cs="FrankRuehl"/>
          <w:spacing w:val="10"/>
          <w:sz w:val="22"/>
          <w:szCs w:val="28"/>
          <w:rtl/>
          <w:lang w:eastAsia="he-IL"/>
        </w:rPr>
        <w:t xml:space="preserve"> (פסקה 11 לחוות דעתו), אף אני סבור כי בהינתן פועלה הקנייני של תקנת השוק שבסעיף 5 לצו, אזי אין בהתחלפותם של חלק מהמחזיקים כדי להשליך על טיב הזכות שבידיהם, שהרי אין מדובר בזכות אישית בלתי עבירה (ראו והשוו רע"א 2401/21 </w:t>
      </w:r>
      <w:r w:rsidRPr="001D2596">
        <w:rPr>
          <w:rFonts w:ascii="Century" w:hAnsi="Century" w:cs="Miriam"/>
          <w:b/>
          <w:sz w:val="22"/>
          <w:rtl/>
          <w:lang w:eastAsia="he-IL"/>
        </w:rPr>
        <w:t>ג'אעוני נ' נחלת שמעון בע"מ</w:t>
      </w:r>
      <w:r w:rsidRPr="001D2596">
        <w:rPr>
          <w:rFonts w:ascii="Century" w:hAnsi="Century" w:cs="FrankRuehl"/>
          <w:spacing w:val="10"/>
          <w:sz w:val="22"/>
          <w:szCs w:val="28"/>
          <w:rtl/>
          <w:lang w:eastAsia="he-IL"/>
        </w:rPr>
        <w:t xml:space="preserve">, פסקה 16 סיפא לפסק דיני, פסקאות 96-95 לפסק דינה של השופטת </w:t>
      </w:r>
      <w:r w:rsidRPr="001D2596">
        <w:rPr>
          <w:rFonts w:ascii="Century" w:hAnsi="Century" w:cs="Miriam"/>
          <w:b/>
          <w:sz w:val="22"/>
          <w:rtl/>
          <w:lang w:eastAsia="he-IL"/>
        </w:rPr>
        <w:t>ברק-ארז</w:t>
      </w:r>
      <w:r w:rsidRPr="001D2596">
        <w:rPr>
          <w:rFonts w:ascii="Century" w:hAnsi="Century" w:cs="FrankRuehl"/>
          <w:spacing w:val="10"/>
          <w:sz w:val="22"/>
          <w:szCs w:val="28"/>
          <w:rtl/>
          <w:lang w:eastAsia="he-IL"/>
        </w:rPr>
        <w:t xml:space="preserve"> (1.3.2022)). מכל מקום, אשוב ואפנה לדברי הנשיאה </w:t>
      </w:r>
      <w:r w:rsidRPr="001D2596">
        <w:rPr>
          <w:rFonts w:ascii="Century" w:hAnsi="Century" w:cs="Miriam"/>
          <w:b/>
          <w:sz w:val="22"/>
          <w:rtl/>
          <w:lang w:eastAsia="he-IL"/>
        </w:rPr>
        <w:t>חיות</w:t>
      </w:r>
      <w:r w:rsidRPr="001D2596">
        <w:rPr>
          <w:rFonts w:ascii="Century" w:hAnsi="Century" w:cs="FrankRuehl"/>
          <w:spacing w:val="10"/>
          <w:sz w:val="22"/>
          <w:szCs w:val="28"/>
          <w:rtl/>
          <w:lang w:eastAsia="he-IL"/>
        </w:rPr>
        <w:t xml:space="preserve"> והמשנה לנשיאה </w:t>
      </w:r>
      <w:r w:rsidRPr="001D2596">
        <w:rPr>
          <w:rFonts w:ascii="Century" w:hAnsi="Century" w:cs="Miriam"/>
          <w:b/>
          <w:sz w:val="22"/>
          <w:rtl/>
          <w:lang w:eastAsia="he-IL"/>
        </w:rPr>
        <w:t>מלצר</w:t>
      </w:r>
      <w:r w:rsidRPr="001D2596">
        <w:rPr>
          <w:rFonts w:ascii="Century" w:hAnsi="Century" w:cs="FrankRuehl"/>
          <w:spacing w:val="10"/>
          <w:sz w:val="22"/>
          <w:szCs w:val="28"/>
          <w:rtl/>
          <w:lang w:eastAsia="he-IL"/>
        </w:rPr>
        <w:t xml:space="preserve"> שהובאו לעיל מתוך פסק הדיון מושא הדיון נוסף, המשקפים כאמור הנחה עובדתית בדבר תום לבם של מתיישבי מצפה כרמים דהיום.</w:t>
      </w:r>
    </w:p>
    <w:p w:rsidR="001D2596" w:rsidRPr="001D2596" w:rsidRDefault="001D2596" w:rsidP="001D2596">
      <w:pPr>
        <w:overflowPunct/>
        <w:autoSpaceDE/>
        <w:autoSpaceDN/>
        <w:adjustRightInd/>
        <w:spacing w:line="360" w:lineRule="auto"/>
        <w:jc w:val="both"/>
        <w:textAlignment w:val="auto"/>
        <w:rPr>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16.</w:t>
      </w:r>
      <w:r w:rsidRPr="001D2596">
        <w:rPr>
          <w:rFonts w:ascii="Century" w:hAnsi="Century" w:cs="FrankRuehl"/>
          <w:spacing w:val="10"/>
          <w:sz w:val="22"/>
          <w:szCs w:val="28"/>
          <w:rtl/>
          <w:lang w:eastAsia="he-IL"/>
        </w:rPr>
        <w:tab/>
        <w:t xml:space="preserve">כאן המקום להדגיש: אין להקל ראש בעובדה שהבנייה במצפה כרמים לוקה באי חוקיות בהיבט התכנוני, בהיות השטח בעל ייעוד חקלאי, ובהינתן שבתכנית 223 נקבע כי ייעוד השטח ייקבע בעתיד וכל בניה בשטח לא תותר עד לאישור תכנית מפורטת. אך לאחרונה ציין חברי השופט </w:t>
      </w:r>
      <w:r w:rsidRPr="001D2596">
        <w:rPr>
          <w:rFonts w:ascii="Century" w:hAnsi="Century" w:cs="Miriam"/>
          <w:b/>
          <w:sz w:val="22"/>
          <w:rtl/>
          <w:lang w:eastAsia="he-IL"/>
        </w:rPr>
        <w:t>סולברג</w:t>
      </w:r>
      <w:r w:rsidRPr="001D2596">
        <w:rPr>
          <w:rFonts w:ascii="Century" w:hAnsi="Century" w:cs="FrankRuehl"/>
          <w:spacing w:val="10"/>
          <w:sz w:val="22"/>
          <w:szCs w:val="28"/>
          <w:rtl/>
          <w:lang w:eastAsia="he-IL"/>
        </w:rPr>
        <w:t xml:space="preserve"> כי "את הנוהג שלפיו 'תחילה בּוֹנים, ורק אחר כך פונים', יש לשרש מן היסוד, נוכח פגיעתו בשלטון החוק, בבעלי הזכויות האחרות במקום, ובאינטרס הציבורי, המחייב לפעול בהתאם לדיני התכנון והבנייה" (בג"ץ 5318/21 </w:t>
      </w:r>
      <w:r w:rsidRPr="001D2596">
        <w:rPr>
          <w:rFonts w:ascii="Century" w:hAnsi="Century" w:cs="Miriam"/>
          <w:b/>
          <w:sz w:val="22"/>
          <w:rtl/>
          <w:lang w:eastAsia="he-IL"/>
        </w:rPr>
        <w:t>עיריית רעננה נ' משטרת ישראל</w:t>
      </w:r>
      <w:r w:rsidRPr="001D2596">
        <w:rPr>
          <w:rFonts w:ascii="Century" w:hAnsi="Century" w:cs="FrankRuehl"/>
          <w:spacing w:val="10"/>
          <w:sz w:val="22"/>
          <w:szCs w:val="28"/>
          <w:rtl/>
          <w:lang w:eastAsia="he-IL"/>
        </w:rPr>
        <w:t xml:space="preserve">, פסקה 78 (18.5.2022)), והדברים יפים ביתר שאת כאשר מתברר כי אותה בנייה בלתי חוקית נעשית על מקרקעי הזולת וחלק מבתי הקבע אף נבנו ככל הנראה תוך הפרה של צווי הפסקת עבודה שהוצאו בחודש מרץ 2011. </w:t>
      </w:r>
    </w:p>
    <w:p w:rsidR="001D2596" w:rsidRPr="001D2596" w:rsidRDefault="001D2596" w:rsidP="001D2596">
      <w:pPr>
        <w:overflowPunct/>
        <w:autoSpaceDE/>
        <w:autoSpaceDN/>
        <w:adjustRightInd/>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z w:val="22"/>
          <w:szCs w:val="28"/>
          <w:rtl/>
          <w:lang w:eastAsia="he-IL"/>
        </w:rPr>
      </w:pPr>
      <w:r w:rsidRPr="001D2596">
        <w:rPr>
          <w:rFonts w:ascii="Century" w:hAnsi="Century" w:cs="FrankRuehl"/>
          <w:spacing w:val="10"/>
          <w:sz w:val="22"/>
          <w:szCs w:val="28"/>
          <w:rtl/>
          <w:lang w:eastAsia="he-IL"/>
        </w:rPr>
        <w:t>עם זאת, מחומר הראיות ניתן להסיק כי ההחלטה לשנע את הקרוואנים ולהעתיק את מצפה כרמים למיקומו הנוכחי נעשתה על ידי הדרג המדיני מתוך מודעות לכך שמדובר בשטח חקלאי, וכי היתה בקשה של עוזר שר הביטחון לקדם באופן מיידי תב"ע זמנית להצבת קרוואנים ושינועם (ראו עדותו של סא"ל כספי, פרוטוקול בעמ' 240). מכל מקום, הגם שיש לראות בחומרה את הבנייה הבלתי חוקית, הרי שאין ענייננו בתחום התכנון והבניה, אלא בשאלת התחרות בין הזכויות בנוגע למקרקעין; והגם שאיני שולל את האפשרות כי ייתכנו מקרים שבהם בניה בלתי חוקית תיתפש כנתון אשר נוגס או מפחית ממשקל תום הלב שיש לייחס לצד שלישי בתחרות בין זכויות, הרי שבנסיבות דנן, לא זה המקרה לעשות כן.</w:t>
      </w:r>
    </w:p>
    <w:p w:rsidR="001D2596" w:rsidRPr="001D2596" w:rsidRDefault="001D2596" w:rsidP="001D2596">
      <w:pPr>
        <w:overflowPunct/>
        <w:autoSpaceDE/>
        <w:autoSpaceDN/>
        <w:adjustRightInd/>
        <w:spacing w:line="360" w:lineRule="auto"/>
        <w:jc w:val="both"/>
        <w:textAlignment w:val="auto"/>
        <w:rPr>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17.</w:t>
      </w:r>
      <w:r w:rsidRPr="001D2596">
        <w:rPr>
          <w:rFonts w:ascii="Century" w:hAnsi="Century" w:cs="FrankRuehl"/>
          <w:spacing w:val="10"/>
          <w:sz w:val="22"/>
          <w:szCs w:val="28"/>
          <w:rtl/>
          <w:lang w:eastAsia="he-IL"/>
        </w:rPr>
        <w:tab/>
        <w:t>שתי הערות לסיום, בהיבט העקרוני ובהיבט המעשי.</w:t>
      </w:r>
    </w:p>
    <w:p w:rsidR="001D2596" w:rsidRPr="001D2596" w:rsidRDefault="001D2596" w:rsidP="001D2596">
      <w:pPr>
        <w:overflowPunct/>
        <w:autoSpaceDE/>
        <w:autoSpaceDN/>
        <w:adjustRightInd/>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 xml:space="preserve">המקרה שלפנינו הוא פתולוגי לנוכח החריגה של מאות דונמים מצו התפיסה. הפתולוגיה של המקרה עלולה ליצור תקדים שיש בו כדי לכרסם בהסדר שנקבע בסעיף 5 לצו, הסדר שצופה בעיקרו פני עבר, שהצורך בו מתחדד לנוכח מיפוי בלתי מדוייק שבוצע בשנים עברו, שהתברר אך בדיעבד כתוצאה מעבודת 'צוות קו כחול'. במצב הדברים הרגיל, הדעת נותנת כי חריגות אינן אמורות לעלות על עשרות עד מאות מ"ר, ובמישור העקרוני, הנחיצות של תקנת שוק מיוחדת זו מובנת ואין לרוקן אותה מתוכן. זאת, במיוחד בהינתן שתקנת השוק בסעיף 5 לצו היא מידתית יותר מחוק ההסדרה הגורף, ולא למותר להזכיר כי חוק זה נפסל על ידי בית משפט זה בבג"ץ </w:t>
      </w:r>
      <w:r w:rsidR="004F12C4">
        <w:rPr>
          <w:rFonts w:ascii="Century" w:hAnsi="Century" w:cs="FrankRuehl" w:hint="cs"/>
          <w:spacing w:val="10"/>
          <w:sz w:val="22"/>
          <w:szCs w:val="28"/>
          <w:rtl/>
          <w:lang w:eastAsia="he-IL"/>
        </w:rPr>
        <w:t xml:space="preserve">1308/17 </w:t>
      </w:r>
      <w:r w:rsidRPr="001D2596">
        <w:rPr>
          <w:rFonts w:ascii="Century" w:hAnsi="Century" w:cs="Miriam"/>
          <w:b/>
          <w:sz w:val="22"/>
          <w:rtl/>
          <w:lang w:eastAsia="he-IL"/>
        </w:rPr>
        <w:t>עיריית סילוואד נ' הכנסת</w:t>
      </w:r>
      <w:r w:rsidRPr="001D2596">
        <w:rPr>
          <w:rFonts w:ascii="Century" w:hAnsi="Century" w:cs="FrankRuehl"/>
          <w:spacing w:val="10"/>
          <w:sz w:val="22"/>
          <w:szCs w:val="28"/>
          <w:rtl/>
          <w:lang w:eastAsia="he-IL"/>
        </w:rPr>
        <w:t xml:space="preserve"> (9.6.2020) בין היתר לנוכח קיומם של אמצעים חלופיים שסעיף 5 לצו מהווה אחד מהם.</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lastRenderedPageBreak/>
        <w:t>18.</w:t>
      </w:r>
      <w:r w:rsidRPr="001D2596">
        <w:rPr>
          <w:rFonts w:ascii="Century" w:hAnsi="Century" w:cs="FrankRuehl"/>
          <w:spacing w:val="10"/>
          <w:sz w:val="22"/>
          <w:szCs w:val="28"/>
          <w:rtl/>
          <w:lang w:eastAsia="he-IL"/>
        </w:rPr>
        <w:tab/>
        <w:t>בהיבט המעשי, אני סבור כי עדיף להימנע ממצב של "גם לי גם לך לא יהיה". גם אם תוצאת פסק הדין מושא הדיון הנוסף היתה נותרת על כנה, ספק רב אם היה בכך כדי לאפשר למשיבים לחזור ולעבד את המקרקעין, עשרות שנים לאחר שהבעלים המקוריים לא עשו זאת בשל צו הסגירה. מנגד, בצד השני של כפות המאזניים המדובר בפינוי המחזיקים מבתיהם:</w:t>
      </w:r>
    </w:p>
    <w:p w:rsidR="001D2596" w:rsidRPr="001D2596" w:rsidRDefault="001D2596" w:rsidP="001D2596">
      <w:pPr>
        <w:overflowPunct/>
        <w:autoSpaceDE/>
        <w:autoSpaceDN/>
        <w:adjustRightInd/>
        <w:ind w:firstLine="720"/>
        <w:jc w:val="both"/>
        <w:textAlignment w:val="auto"/>
        <w:rPr>
          <w:rFonts w:ascii="Century" w:hAnsi="Century" w:cs="FrankRuehl"/>
          <w:spacing w:val="10"/>
          <w:sz w:val="22"/>
          <w:szCs w:val="28"/>
          <w:rtl/>
          <w:lang w:eastAsia="he-IL"/>
        </w:rPr>
      </w:pPr>
    </w:p>
    <w:p w:rsidR="001D2596" w:rsidRPr="001D2596" w:rsidRDefault="001D2596" w:rsidP="001D2596">
      <w:pPr>
        <w:ind w:left="1642" w:right="1282"/>
        <w:jc w:val="both"/>
        <w:rPr>
          <w:rFonts w:ascii="Century" w:hAnsi="Century" w:cs="FrankRuehl"/>
          <w:spacing w:val="10"/>
          <w:sz w:val="22"/>
          <w:szCs w:val="28"/>
          <w:rtl/>
        </w:rPr>
      </w:pPr>
      <w:r w:rsidRPr="001D2596">
        <w:rPr>
          <w:rFonts w:ascii="Century" w:hAnsi="Century" w:cs="FrankRuehl"/>
          <w:spacing w:val="10"/>
          <w:sz w:val="22"/>
          <w:szCs w:val="28"/>
          <w:rtl/>
        </w:rPr>
        <w:t xml:space="preserve">"פינוי אנשים שישבו על הקרקע במשך עשרות שנים – </w:t>
      </w:r>
      <w:r w:rsidRPr="001D2596">
        <w:rPr>
          <w:rFonts w:ascii="Century" w:hAnsi="Century" w:cs="Miriam"/>
          <w:b/>
          <w:sz w:val="22"/>
          <w:rtl/>
        </w:rPr>
        <w:t>חלקם אף מבלי לדעת כי המקרקעין שייכים לאחרים</w:t>
      </w:r>
      <w:r w:rsidRPr="001D2596">
        <w:rPr>
          <w:rFonts w:ascii="Century" w:hAnsi="Century" w:cs="FrankRuehl"/>
          <w:spacing w:val="10"/>
          <w:sz w:val="22"/>
          <w:szCs w:val="28"/>
          <w:rtl/>
        </w:rPr>
        <w:t xml:space="preserve"> – מעורר קושי אנושי, בעיקר כאשר הוא נעשה ללא פיצוי או פתרון אחר. דומה שטוב תעשה המדינה אם תשקול במקרים המתאימים מתן מענה למי שפונו מבתיהם. זכות הקניין היא חשובה, </w:t>
      </w:r>
      <w:r w:rsidRPr="001D2596">
        <w:rPr>
          <w:rFonts w:ascii="Century" w:hAnsi="Century" w:cs="Miriam"/>
          <w:b/>
          <w:sz w:val="22"/>
          <w:rtl/>
        </w:rPr>
        <w:t>אך יש חשיבות גם להגנה על קורת ביתם של אנשים ולהיבטים של הסתמכות על מצב דברים</w:t>
      </w:r>
      <w:r w:rsidRPr="001D2596">
        <w:rPr>
          <w:rFonts w:ascii="Century" w:hAnsi="Century" w:cs="FrankRuehl"/>
          <w:spacing w:val="10"/>
          <w:sz w:val="22"/>
          <w:szCs w:val="28"/>
          <w:rtl/>
        </w:rPr>
        <w:t xml:space="preserve">, (דברי השופטת </w:t>
      </w:r>
      <w:r w:rsidRPr="001D2596">
        <w:rPr>
          <w:rFonts w:ascii="Century" w:hAnsi="Century" w:cs="Miriam"/>
          <w:b/>
          <w:sz w:val="22"/>
          <w:rtl/>
        </w:rPr>
        <w:t>ברק-ארז</w:t>
      </w:r>
      <w:r w:rsidRPr="001D2596">
        <w:rPr>
          <w:rFonts w:ascii="Century" w:hAnsi="Century" w:cs="FrankRuehl"/>
          <w:spacing w:val="10"/>
          <w:sz w:val="22"/>
          <w:szCs w:val="28"/>
          <w:rtl/>
        </w:rPr>
        <w:t xml:space="preserve"> בבג"ץ 7446/17 </w:t>
      </w:r>
      <w:r w:rsidRPr="001D2596">
        <w:rPr>
          <w:rFonts w:ascii="Arial TUR" w:hAnsi="Arial TUR" w:cs="Miriam"/>
          <w:b/>
          <w:sz w:val="22"/>
          <w:rtl/>
        </w:rPr>
        <w:t>סרחאן נ' האפוטרופוס הכללי והכונס הרשמי</w:t>
      </w:r>
      <w:r w:rsidRPr="001D2596">
        <w:rPr>
          <w:rFonts w:ascii="Century" w:hAnsi="Century" w:cs="FrankRuehl"/>
          <w:spacing w:val="10"/>
          <w:sz w:val="22"/>
          <w:szCs w:val="28"/>
          <w:rtl/>
        </w:rPr>
        <w:t>,</w:t>
      </w:r>
      <w:r w:rsidRPr="001D2596">
        <w:rPr>
          <w:rFonts w:ascii="Century" w:hAnsi="Century" w:cs="FrankRuehl" w:hint="cs"/>
          <w:spacing w:val="10"/>
          <w:sz w:val="22"/>
          <w:szCs w:val="28"/>
          <w:rtl/>
        </w:rPr>
        <w:t xml:space="preserve"> </w:t>
      </w:r>
      <w:r w:rsidRPr="001D2596">
        <w:rPr>
          <w:rFonts w:ascii="Century" w:hAnsi="Century" w:cs="FrankRuehl"/>
          <w:spacing w:val="10"/>
          <w:sz w:val="22"/>
          <w:szCs w:val="28"/>
          <w:rtl/>
        </w:rPr>
        <w:t>פסקה 61</w:t>
      </w:r>
      <w:r w:rsidRPr="001D2596">
        <w:rPr>
          <w:rFonts w:ascii="Century" w:hAnsi="Century" w:cs="FrankRuehl" w:hint="cs"/>
          <w:spacing w:val="10"/>
          <w:sz w:val="22"/>
          <w:szCs w:val="28"/>
          <w:rtl/>
        </w:rPr>
        <w:t xml:space="preserve"> </w:t>
      </w:r>
      <w:r w:rsidRPr="001D2596">
        <w:rPr>
          <w:rFonts w:ascii="Century" w:hAnsi="Century" w:cs="FrankRuehl"/>
          <w:spacing w:val="10"/>
          <w:sz w:val="22"/>
          <w:szCs w:val="28"/>
          <w:rtl/>
        </w:rPr>
        <w:t>(21.11.2018), ההדגשות הוספו – י"ע)).</w:t>
      </w:r>
    </w:p>
    <w:p w:rsidR="001D2596" w:rsidRPr="001D2596" w:rsidRDefault="001D2596" w:rsidP="001D2596">
      <w:pPr>
        <w:ind w:left="1642" w:right="1282"/>
        <w:jc w:val="both"/>
        <w:rPr>
          <w:rFonts w:ascii="Century" w:hAnsi="Century" w:cs="FrankRuehl"/>
          <w:spacing w:val="10"/>
          <w:sz w:val="22"/>
          <w:szCs w:val="28"/>
          <w:rtl/>
        </w:rPr>
      </w:pPr>
    </w:p>
    <w:p w:rsidR="001D2596" w:rsidRPr="001D2596" w:rsidRDefault="001D2596" w:rsidP="001D2596">
      <w:pPr>
        <w:ind w:left="1642" w:right="1282"/>
        <w:jc w:val="both"/>
        <w:rPr>
          <w:rFonts w:ascii="Century" w:hAnsi="Century" w:cs="FrankRuehl"/>
          <w:spacing w:val="10"/>
          <w:sz w:val="22"/>
          <w:szCs w:val="28"/>
          <w:rtl/>
        </w:rPr>
      </w:pP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 xml:space="preserve">אכן, הזכות הקניינית מאפשרת לבעלים לעשות ברכושו ככל שברצונו, לרבות פעולה שרירותית כמו השמדת החפץ (במיטלטלין) או אי ניצול של הנכס. ברם, במצבים של תחרות, והגם שככלל דיני הקניין הם בינאריים, גם לשיקולים מעשיים של "מאזן נוחות" עשוי להיות מקום. ודוק: לא נעלמה מעיני הסכנה של "נגיסה" בזכויות הקניין של בעלים פלסטיניים פרטיים, אך כאמור, כוחו וגבורתו של סעיף 5 לצו הוא בעיקר </w:t>
      </w:r>
      <w:r w:rsidRPr="001D2596">
        <w:rPr>
          <w:rFonts w:ascii="Century" w:hAnsi="Century" w:cs="Miriam"/>
          <w:b/>
          <w:sz w:val="22"/>
          <w:rtl/>
          <w:lang w:eastAsia="he-IL"/>
        </w:rPr>
        <w:t>צופה פני עבר</w:t>
      </w:r>
      <w:r w:rsidRPr="001D2596">
        <w:rPr>
          <w:rFonts w:ascii="Century" w:hAnsi="Century" w:cs="FrankRuehl"/>
          <w:spacing w:val="10"/>
          <w:sz w:val="22"/>
          <w:szCs w:val="28"/>
          <w:rtl/>
          <w:lang w:eastAsia="he-IL"/>
        </w:rPr>
        <w:t xml:space="preserve"> לצורך תיקון משגים שנעשו בעבר.</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19.</w:t>
      </w:r>
      <w:r w:rsidRPr="001D2596">
        <w:rPr>
          <w:rFonts w:ascii="Century" w:hAnsi="Century" w:cs="FrankRuehl"/>
          <w:spacing w:val="10"/>
          <w:sz w:val="22"/>
          <w:szCs w:val="28"/>
          <w:rtl/>
          <w:lang w:eastAsia="he-IL"/>
        </w:rPr>
        <w:tab/>
        <w:t xml:space="preserve">לא בנקל הגעתי לתוצאה לפיה יש לבכר את זכות המחזיקים על פני המשיבים. במבט-על, המקרה שלפנינו הוא כאמור פתולוגי במיוחד, וזאת בשל מספר סיבות שחלקן צוינו לעיל: </w:t>
      </w:r>
      <w:r w:rsidRPr="001D2596">
        <w:rPr>
          <w:rFonts w:ascii="Century" w:hAnsi="Century" w:cs="Miriam"/>
          <w:b/>
          <w:sz w:val="22"/>
          <w:rtl/>
          <w:lang w:eastAsia="he-IL"/>
        </w:rPr>
        <w:t>ראשית</w:t>
      </w:r>
      <w:r w:rsidRPr="001D2596">
        <w:rPr>
          <w:rFonts w:ascii="Century" w:hAnsi="Century" w:cs="FrankRuehl"/>
          <w:spacing w:val="10"/>
          <w:sz w:val="22"/>
          <w:szCs w:val="28"/>
          <w:rtl/>
          <w:lang w:eastAsia="he-IL"/>
        </w:rPr>
        <w:t xml:space="preserve">, היקף הסטיה של מאות דונמים. </w:t>
      </w:r>
      <w:r w:rsidRPr="001D2596">
        <w:rPr>
          <w:rFonts w:ascii="Century" w:hAnsi="Century" w:cs="Miriam"/>
          <w:b/>
          <w:sz w:val="22"/>
          <w:rtl/>
          <w:lang w:eastAsia="he-IL"/>
        </w:rPr>
        <w:t>שנית</w:t>
      </w:r>
      <w:r w:rsidRPr="001D2596">
        <w:rPr>
          <w:rFonts w:ascii="Century" w:hAnsi="Century" w:cs="FrankRuehl"/>
          <w:spacing w:val="10"/>
          <w:sz w:val="22"/>
          <w:szCs w:val="28"/>
          <w:rtl/>
          <w:lang w:eastAsia="he-IL"/>
        </w:rPr>
        <w:t xml:space="preserve">, דומה כי </w:t>
      </w:r>
      <w:r w:rsidRPr="001D2596">
        <w:rPr>
          <w:rFonts w:ascii="Century" w:hAnsi="Century" w:cs="FrankRuehl" w:hint="cs"/>
          <w:spacing w:val="10"/>
          <w:sz w:val="22"/>
          <w:szCs w:val="28"/>
          <w:rtl/>
          <w:lang w:eastAsia="he-IL"/>
        </w:rPr>
        <w:t xml:space="preserve">לפחות </w:t>
      </w:r>
      <w:r w:rsidRPr="001D2596">
        <w:rPr>
          <w:rFonts w:ascii="Century" w:hAnsi="Century" w:cs="FrankRuehl"/>
          <w:spacing w:val="10"/>
          <w:sz w:val="22"/>
          <w:szCs w:val="28"/>
          <w:rtl/>
          <w:lang w:eastAsia="he-IL"/>
        </w:rPr>
        <w:t>חלק מהמבקשים</w:t>
      </w:r>
      <w:r w:rsidRPr="001D2596">
        <w:rPr>
          <w:rFonts w:ascii="Century" w:hAnsi="Century" w:cs="FrankRuehl" w:hint="cs"/>
          <w:spacing w:val="10"/>
          <w:sz w:val="22"/>
          <w:szCs w:val="28"/>
          <w:rtl/>
          <w:lang w:eastAsia="he-IL"/>
        </w:rPr>
        <w:t xml:space="preserve"> אם לא כולם, </w:t>
      </w:r>
      <w:r w:rsidRPr="001D2596">
        <w:rPr>
          <w:rFonts w:ascii="Century" w:hAnsi="Century" w:cs="FrankRuehl"/>
          <w:spacing w:val="10"/>
          <w:sz w:val="22"/>
          <w:szCs w:val="28"/>
          <w:rtl/>
          <w:lang w:eastAsia="he-IL"/>
        </w:rPr>
        <w:t xml:space="preserve">עשו דין לעצמם ובנו את בתי הקבע ללא היתר בנייה, ובכך קלעו את הסיטואציה שלפנינו על קרני הדילמה. </w:t>
      </w:r>
      <w:r w:rsidRPr="001D2596">
        <w:rPr>
          <w:rFonts w:ascii="Century" w:hAnsi="Century" w:cs="Miriam"/>
          <w:b/>
          <w:sz w:val="22"/>
          <w:rtl/>
          <w:lang w:eastAsia="he-IL"/>
        </w:rPr>
        <w:t>שלישית</w:t>
      </w:r>
      <w:r w:rsidRPr="001D2596">
        <w:rPr>
          <w:rFonts w:ascii="Century" w:hAnsi="Century" w:cs="FrankRuehl"/>
          <w:spacing w:val="10"/>
          <w:sz w:val="22"/>
          <w:szCs w:val="28"/>
          <w:rtl/>
          <w:lang w:eastAsia="he-IL"/>
        </w:rPr>
        <w:t xml:space="preserve">, מצפה כרמים הוקם בתוך שטח אש 906, ואך לאחרונה נטען בפנינו בבג"ץ 413/13 </w:t>
      </w:r>
      <w:r w:rsidRPr="001D2596">
        <w:rPr>
          <w:rFonts w:ascii="Century" w:hAnsi="Century" w:cs="Miriam"/>
          <w:b/>
          <w:sz w:val="22"/>
          <w:rtl/>
          <w:lang w:eastAsia="he-IL"/>
        </w:rPr>
        <w:t>אבו עראם נ' שר הבטחון</w:t>
      </w:r>
      <w:r w:rsidRPr="001D2596">
        <w:rPr>
          <w:rFonts w:ascii="FrankRuehl" w:hAnsi="FrankRuehl" w:cs="FrankRuehl"/>
          <w:sz w:val="28"/>
          <w:szCs w:val="28"/>
          <w:rtl/>
          <w:lang w:eastAsia="he-IL"/>
        </w:rPr>
        <w:t xml:space="preserve"> </w:t>
      </w:r>
      <w:r w:rsidRPr="001D2596">
        <w:rPr>
          <w:rFonts w:ascii="Century" w:hAnsi="Century" w:cs="FrankRuehl"/>
          <w:spacing w:val="10"/>
          <w:sz w:val="22"/>
          <w:szCs w:val="28"/>
          <w:rtl/>
          <w:lang w:eastAsia="he-IL"/>
        </w:rPr>
        <w:t xml:space="preserve">(4.5.2022), כי צרכי הביטחון של מדינת ישראל מחייבים לשמור על שטחי אש. </w:t>
      </w:r>
      <w:r w:rsidRPr="001D2596">
        <w:rPr>
          <w:rFonts w:ascii="Century" w:hAnsi="Century" w:cs="Miriam"/>
          <w:b/>
          <w:sz w:val="22"/>
          <w:rtl/>
          <w:lang w:eastAsia="he-IL"/>
        </w:rPr>
        <w:t>רביעית</w:t>
      </w:r>
      <w:r w:rsidRPr="001D2596">
        <w:rPr>
          <w:rFonts w:ascii="Century" w:hAnsi="Century" w:cs="FrankRuehl"/>
          <w:spacing w:val="10"/>
          <w:sz w:val="22"/>
          <w:szCs w:val="28"/>
          <w:rtl/>
          <w:lang w:eastAsia="he-IL"/>
        </w:rPr>
        <w:t>, במקרה דנן צו התפיסה הוצא ל"צרכים צבאיים", על פי הפרקטיקה שהייתה נהוגה עוד קודם לפסק הדין בבג"ץ 390/</w:t>
      </w:r>
      <w:r w:rsidRPr="001D2596">
        <w:rPr>
          <w:rFonts w:ascii="Century" w:hAnsi="Century" w:cs="Miriam"/>
          <w:b/>
          <w:sz w:val="22"/>
          <w:rtl/>
          <w:lang w:eastAsia="he-IL"/>
        </w:rPr>
        <w:t>79 דוויקאת נ' ממשלת ישראל</w:t>
      </w:r>
      <w:r w:rsidRPr="001D2596">
        <w:rPr>
          <w:rFonts w:ascii="Century" w:hAnsi="Century" w:cs="FrankRuehl"/>
          <w:spacing w:val="10"/>
          <w:sz w:val="22"/>
          <w:szCs w:val="28"/>
          <w:rtl/>
          <w:lang w:eastAsia="he-IL"/>
        </w:rPr>
        <w:t xml:space="preserve">, פ"ד לד(1) 1 (1979) (להלן: עניין </w:t>
      </w:r>
      <w:r w:rsidRPr="001D2596">
        <w:rPr>
          <w:rFonts w:ascii="Century" w:hAnsi="Century" w:cs="Miriam"/>
          <w:b/>
          <w:sz w:val="22"/>
          <w:rtl/>
          <w:lang w:eastAsia="he-IL"/>
        </w:rPr>
        <w:t>אלון מורה</w:t>
      </w:r>
      <w:r w:rsidRPr="001D2596">
        <w:rPr>
          <w:rFonts w:ascii="Century" w:hAnsi="Century" w:cs="FrankRuehl"/>
          <w:spacing w:val="10"/>
          <w:sz w:val="22"/>
          <w:szCs w:val="28"/>
          <w:rtl/>
          <w:lang w:eastAsia="he-IL"/>
        </w:rPr>
        <w:t xml:space="preserve">). פסק הדין בעניין </w:t>
      </w:r>
      <w:r w:rsidRPr="001D2596">
        <w:rPr>
          <w:rFonts w:ascii="Century" w:hAnsi="Century" w:cs="Miriam"/>
          <w:b/>
          <w:sz w:val="22"/>
          <w:rtl/>
          <w:lang w:eastAsia="he-IL"/>
        </w:rPr>
        <w:t>אלון מורה</w:t>
      </w:r>
      <w:r w:rsidRPr="001D2596">
        <w:rPr>
          <w:rFonts w:ascii="Century" w:hAnsi="Century" w:cs="FrankRuehl"/>
          <w:spacing w:val="10"/>
          <w:sz w:val="22"/>
          <w:szCs w:val="28"/>
          <w:rtl/>
          <w:lang w:eastAsia="he-IL"/>
        </w:rPr>
        <w:t xml:space="preserve"> ניתן ביום 22.10.1979 בעוד צו התפיסה לצרכים צבאיים מס' 18/80/ת</w:t>
      </w:r>
      <w:r w:rsidRPr="001D2596">
        <w:rPr>
          <w:rFonts w:cs="Times New Roman" w:hint="cs"/>
          <w:sz w:val="26"/>
          <w:szCs w:val="26"/>
          <w:rtl/>
          <w:lang w:eastAsia="he-IL"/>
        </w:rPr>
        <w:t xml:space="preserve"> </w:t>
      </w:r>
      <w:r w:rsidRPr="001D2596">
        <w:rPr>
          <w:rFonts w:ascii="Century" w:hAnsi="Century" w:cs="FrankRuehl"/>
          <w:spacing w:val="10"/>
          <w:sz w:val="22"/>
          <w:szCs w:val="28"/>
          <w:rtl/>
          <w:lang w:eastAsia="he-IL"/>
        </w:rPr>
        <w:t xml:space="preserve">הוצא בענייננו ביום 29.7.1980, כתשעה חודשים </w:t>
      </w:r>
      <w:r w:rsidRPr="001D2596">
        <w:rPr>
          <w:rFonts w:ascii="Century" w:hAnsi="Century" w:cs="Miriam"/>
          <w:b/>
          <w:sz w:val="22"/>
          <w:rtl/>
          <w:lang w:eastAsia="he-IL"/>
        </w:rPr>
        <w:t>לאחר</w:t>
      </w:r>
      <w:r w:rsidRPr="001D2596">
        <w:rPr>
          <w:rFonts w:ascii="Century" w:hAnsi="Century" w:cs="FrankRuehl"/>
          <w:spacing w:val="10"/>
          <w:sz w:val="22"/>
          <w:szCs w:val="28"/>
          <w:rtl/>
          <w:lang w:eastAsia="he-IL"/>
        </w:rPr>
        <w:t xml:space="preserve"> פסק הדין התקדימי בעניין </w:t>
      </w:r>
      <w:r w:rsidRPr="001D2596">
        <w:rPr>
          <w:rFonts w:ascii="Century" w:hAnsi="Century" w:cs="Miriam"/>
          <w:b/>
          <w:sz w:val="22"/>
          <w:rtl/>
          <w:lang w:eastAsia="he-IL"/>
        </w:rPr>
        <w:t>אלון מורה</w:t>
      </w:r>
      <w:r w:rsidRPr="001D2596">
        <w:rPr>
          <w:rFonts w:ascii="Century" w:hAnsi="Century" w:cs="FrankRuehl"/>
          <w:spacing w:val="10"/>
          <w:sz w:val="22"/>
          <w:szCs w:val="28"/>
          <w:rtl/>
          <w:lang w:eastAsia="he-IL"/>
        </w:rPr>
        <w:t xml:space="preserve">, שלאחריו נפסקה כמעט לחלוטין הפרקטיקה של הקמת יישוב אזרחי על שטח שנתפס לצרכים צבאיים. הסכם ההרשאה האחרון נחתם בשנת 1997 </w:t>
      </w:r>
      <w:r w:rsidRPr="001D2596">
        <w:rPr>
          <w:rFonts w:ascii="Century" w:hAnsi="Century" w:cs="FrankRuehl"/>
          <w:spacing w:val="10"/>
          <w:sz w:val="22"/>
          <w:szCs w:val="28"/>
          <w:rtl/>
          <w:lang w:eastAsia="he-IL"/>
        </w:rPr>
        <w:lastRenderedPageBreak/>
        <w:t xml:space="preserve">לתקופה של 49 שנה, וחבריי, השופט </w:t>
      </w:r>
      <w:r w:rsidRPr="001D2596">
        <w:rPr>
          <w:rFonts w:ascii="Century" w:hAnsi="Century" w:cs="Miriam"/>
          <w:b/>
          <w:sz w:val="22"/>
          <w:rtl/>
          <w:lang w:eastAsia="he-IL"/>
        </w:rPr>
        <w:t>נ'</w:t>
      </w:r>
      <w:r w:rsidRPr="001D2596">
        <w:rPr>
          <w:rFonts w:ascii="Century" w:hAnsi="Century" w:cs="FrankRuehl"/>
          <w:spacing w:val="10"/>
          <w:sz w:val="22"/>
          <w:szCs w:val="28"/>
          <w:rtl/>
          <w:lang w:eastAsia="he-IL"/>
        </w:rPr>
        <w:t xml:space="preserve"> </w:t>
      </w:r>
      <w:r w:rsidRPr="001D2596">
        <w:rPr>
          <w:rFonts w:ascii="Century" w:hAnsi="Century" w:cs="Miriam"/>
          <w:b/>
          <w:sz w:val="22"/>
          <w:rtl/>
          <w:lang w:eastAsia="he-IL"/>
        </w:rPr>
        <w:t>סולברג</w:t>
      </w:r>
      <w:r w:rsidRPr="001D2596">
        <w:rPr>
          <w:rFonts w:ascii="Century" w:hAnsi="Century" w:cs="FrankRuehl"/>
          <w:spacing w:val="10"/>
          <w:sz w:val="22"/>
          <w:szCs w:val="28"/>
          <w:rtl/>
          <w:lang w:eastAsia="he-IL"/>
        </w:rPr>
        <w:t xml:space="preserve"> והשופט </w:t>
      </w:r>
      <w:r w:rsidRPr="001D2596">
        <w:rPr>
          <w:rFonts w:ascii="Century" w:hAnsi="Century" w:cs="Miriam"/>
          <w:b/>
          <w:sz w:val="22"/>
          <w:rtl/>
          <w:lang w:eastAsia="he-IL"/>
        </w:rPr>
        <w:t>נ' הנדל</w:t>
      </w:r>
      <w:r w:rsidRPr="001D2596">
        <w:rPr>
          <w:rFonts w:ascii="Century" w:hAnsi="Century" w:cs="FrankRuehl"/>
          <w:spacing w:val="10"/>
          <w:sz w:val="22"/>
          <w:szCs w:val="28"/>
          <w:rtl/>
          <w:lang w:eastAsia="he-IL"/>
        </w:rPr>
        <w:t xml:space="preserve"> הגיעו למסקנה, כי זה הסכם ההרשאה הרלבנטי לבחינת השאלה אם המקרקעין נכללו ב'עסקה' (פסקה 78 לפסק דינו של השופט </w:t>
      </w:r>
      <w:r w:rsidRPr="001D2596">
        <w:rPr>
          <w:rFonts w:ascii="Century" w:hAnsi="Century" w:cs="Miriam"/>
          <w:b/>
          <w:sz w:val="22"/>
          <w:rtl/>
          <w:lang w:eastAsia="he-IL"/>
        </w:rPr>
        <w:t>סולברג</w:t>
      </w:r>
      <w:r w:rsidRPr="001D2596">
        <w:rPr>
          <w:rFonts w:ascii="Century" w:hAnsi="Century" w:cs="FrankRuehl"/>
          <w:spacing w:val="10"/>
          <w:sz w:val="22"/>
          <w:szCs w:val="28"/>
          <w:rtl/>
          <w:lang w:eastAsia="he-IL"/>
        </w:rPr>
        <w:t xml:space="preserve">). המדובר בהסכם הרשאה שנסמך על צו תפיסה שהוצא לאחר הלכת </w:t>
      </w:r>
      <w:r w:rsidRPr="001D2596">
        <w:rPr>
          <w:rFonts w:ascii="Century" w:hAnsi="Century" w:cs="Miriam"/>
          <w:b/>
          <w:sz w:val="22"/>
          <w:rtl/>
          <w:lang w:eastAsia="he-IL"/>
        </w:rPr>
        <w:t>אלון מורה</w:t>
      </w:r>
      <w:r w:rsidRPr="001D2596">
        <w:rPr>
          <w:rFonts w:ascii="Century" w:hAnsi="Century" w:cs="FrankRuehl"/>
          <w:spacing w:val="10"/>
          <w:sz w:val="22"/>
          <w:szCs w:val="28"/>
          <w:rtl/>
          <w:lang w:eastAsia="he-IL"/>
        </w:rPr>
        <w:t>,</w:t>
      </w:r>
      <w:r w:rsidRPr="001D2596">
        <w:rPr>
          <w:rFonts w:ascii="Century" w:hAnsi="Century" w:cs="Miriam"/>
          <w:b/>
          <w:sz w:val="22"/>
          <w:rtl/>
          <w:lang w:eastAsia="he-IL"/>
        </w:rPr>
        <w:t xml:space="preserve"> </w:t>
      </w:r>
      <w:r w:rsidRPr="001D2596">
        <w:rPr>
          <w:rFonts w:ascii="Century" w:hAnsi="Century" w:cs="FrankRuehl"/>
          <w:spacing w:val="10"/>
          <w:sz w:val="22"/>
          <w:szCs w:val="28"/>
          <w:rtl/>
          <w:lang w:eastAsia="he-IL"/>
        </w:rPr>
        <w:t xml:space="preserve">הסכם שנחתם שנים רבות לאחר שהופסקה פרקטיקה זו (אציין כי אף אחד מהצדדים לא התייחס לעננה זו המרחפת ממעל צו התפיסה ששימש בסיס להסכמי ההרשאה). </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ab/>
      </w:r>
      <w:r w:rsidRPr="001D2596">
        <w:rPr>
          <w:rFonts w:ascii="Century" w:hAnsi="Century" w:cs="FrankRuehl" w:hint="cs"/>
          <w:spacing w:val="10"/>
          <w:sz w:val="22"/>
          <w:szCs w:val="28"/>
          <w:rtl/>
          <w:lang w:eastAsia="he-IL"/>
        </w:rPr>
        <w:t xml:space="preserve">על רקע האמור לעיל, </w:t>
      </w:r>
      <w:r w:rsidRPr="001D2596">
        <w:rPr>
          <w:rFonts w:ascii="Century" w:hAnsi="Century" w:cs="FrankRuehl"/>
          <w:spacing w:val="10"/>
          <w:sz w:val="22"/>
          <w:szCs w:val="28"/>
          <w:rtl/>
          <w:lang w:eastAsia="he-IL"/>
        </w:rPr>
        <w:t xml:space="preserve">המקרה שלפנינו </w:t>
      </w:r>
      <w:r w:rsidRPr="001D2596">
        <w:rPr>
          <w:rFonts w:ascii="Century" w:hAnsi="Century" w:cs="FrankRuehl" w:hint="cs"/>
          <w:spacing w:val="10"/>
          <w:sz w:val="22"/>
          <w:szCs w:val="28"/>
          <w:rtl/>
          <w:lang w:eastAsia="he-IL"/>
        </w:rPr>
        <w:t xml:space="preserve">אכן מעורר קשיים וההכרעה בו היא על 'חוט השערה'. </w:t>
      </w:r>
      <w:r w:rsidRPr="001D2596">
        <w:rPr>
          <w:rFonts w:ascii="Century" w:hAnsi="Century" w:cs="FrankRuehl"/>
          <w:spacing w:val="10"/>
          <w:sz w:val="22"/>
          <w:szCs w:val="28"/>
          <w:rtl/>
          <w:lang w:eastAsia="he-IL"/>
        </w:rPr>
        <w:t xml:space="preserve"> </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20.</w:t>
      </w:r>
      <w:r w:rsidRPr="001D2596">
        <w:rPr>
          <w:rFonts w:ascii="Century" w:hAnsi="Century" w:cs="Miriam" w:hint="cs"/>
          <w:b/>
          <w:sz w:val="22"/>
          <w:rtl/>
          <w:lang w:eastAsia="he-IL"/>
        </w:rPr>
        <w:tab/>
      </w:r>
      <w:r w:rsidRPr="001D2596">
        <w:rPr>
          <w:rFonts w:ascii="Century" w:hAnsi="Century" w:cs="Miriam"/>
          <w:b/>
          <w:sz w:val="22"/>
          <w:rtl/>
          <w:lang w:eastAsia="he-IL"/>
        </w:rPr>
        <w:t>א</w:t>
      </w:r>
      <w:r w:rsidRPr="001D2596">
        <w:rPr>
          <w:rFonts w:ascii="Century" w:hAnsi="Century" w:cs="FrankRuehl"/>
          <w:spacing w:val="10"/>
          <w:sz w:val="22"/>
          <w:szCs w:val="28"/>
          <w:rtl/>
          <w:lang w:eastAsia="he-IL"/>
        </w:rPr>
        <w:t xml:space="preserve">. המשיבים חויבו בפסק דינו של בית המשפט המחוזי בהוצאות. לטעמי, לא רק שאין מקום לחייב את המשיבים בהוצאות ויש להורות על ביטולן, אלא שיש לפסוק הוצאות לזכותם. אשר על כן, אציע לחבריי לחייב את ההסתדרות הציונית (המשיבה 40), שנראה כי הטעות נפלה לפתחה – ולמצער, כי הייתה לה תרומה של ממש ביצירת הטעות כמי שהכינה את תכנית 223 – בהוצאות המשיבים 3-1 בסך 25,000 ₪ לכל אחד (סה"כ – 75,000 ₪). </w:t>
      </w:r>
    </w:p>
    <w:p w:rsidR="001D2596" w:rsidRPr="001D2596" w:rsidRDefault="001D2596" w:rsidP="001D2596">
      <w:pPr>
        <w:tabs>
          <w:tab w:val="left" w:pos="800"/>
        </w:tabs>
        <w:spacing w:line="360" w:lineRule="auto"/>
        <w:jc w:val="both"/>
        <w:rPr>
          <w:rFonts w:ascii="Arial TUR" w:hAnsi="Arial TUR" w:cs="FrankRuehl"/>
          <w:spacing w:val="10"/>
          <w:sz w:val="22"/>
          <w:szCs w:val="28"/>
          <w:rtl/>
        </w:rPr>
      </w:pP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r w:rsidRPr="001D2596">
        <w:rPr>
          <w:rFonts w:ascii="Century" w:hAnsi="Century" w:cs="Miriam"/>
          <w:b/>
          <w:sz w:val="22"/>
          <w:rtl/>
          <w:lang w:eastAsia="he-IL"/>
        </w:rPr>
        <w:t>ב</w:t>
      </w:r>
      <w:r w:rsidRPr="001D2596">
        <w:rPr>
          <w:rFonts w:ascii="Century" w:hAnsi="Century" w:cs="FrankRuehl"/>
          <w:spacing w:val="10"/>
          <w:sz w:val="22"/>
          <w:szCs w:val="28"/>
          <w:rtl/>
          <w:lang w:eastAsia="he-IL"/>
        </w:rPr>
        <w:t xml:space="preserve">. המקרה הפתולוגי שלפנינו כמתואר לעיל, מצריך פתרון בלתי שגרתי. </w:t>
      </w: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 xml:space="preserve">חברי, השופט </w:t>
      </w:r>
      <w:r w:rsidRPr="001D2596">
        <w:rPr>
          <w:rFonts w:ascii="Century" w:hAnsi="Century" w:cs="Miriam"/>
          <w:b/>
          <w:sz w:val="22"/>
          <w:rtl/>
          <w:lang w:eastAsia="he-IL"/>
        </w:rPr>
        <w:t>סולברג</w:t>
      </w:r>
      <w:r w:rsidRPr="001D2596">
        <w:rPr>
          <w:rFonts w:ascii="Century" w:hAnsi="Century" w:cs="FrankRuehl"/>
          <w:spacing w:val="10"/>
          <w:sz w:val="22"/>
          <w:szCs w:val="28"/>
          <w:rtl/>
          <w:lang w:eastAsia="he-IL"/>
        </w:rPr>
        <w:t xml:space="preserve">, הביע דעתו כי פיצוי למשיבים שיוכיחו זכויותיהם בקרקע הוא מתבקש וטבעי. לדידי, בנסיבות המיוחדות של המקרה דנן, </w:t>
      </w:r>
      <w:r w:rsidRPr="001D2596">
        <w:rPr>
          <w:rFonts w:ascii="Century" w:hAnsi="Century" w:cs="FrankRuehl" w:hint="cs"/>
          <w:spacing w:val="10"/>
          <w:sz w:val="22"/>
          <w:szCs w:val="28"/>
          <w:rtl/>
          <w:lang w:eastAsia="he-IL"/>
        </w:rPr>
        <w:t>משהוכח כי הממונה טעה לגבי הנכס בכך ש"</w:t>
      </w:r>
      <w:r w:rsidRPr="001D2596">
        <w:rPr>
          <w:rFonts w:ascii="Century" w:hAnsi="Century" w:cs="FrankRuehl" w:hint="eastAsia"/>
          <w:spacing w:val="10"/>
          <w:sz w:val="22"/>
          <w:szCs w:val="28"/>
          <w:rtl/>
          <w:lang w:eastAsia="he-IL"/>
        </w:rPr>
        <w:t>חשבו</w:t>
      </w:r>
      <w:r w:rsidRPr="001D2596">
        <w:rPr>
          <w:rFonts w:ascii="Century" w:hAnsi="Century" w:cs="FrankRuehl"/>
          <w:spacing w:val="10"/>
          <w:sz w:val="22"/>
          <w:szCs w:val="28"/>
          <w:rtl/>
          <w:lang w:eastAsia="he-IL"/>
        </w:rPr>
        <w:t xml:space="preserve"> </w:t>
      </w:r>
      <w:r w:rsidRPr="001D2596">
        <w:rPr>
          <w:rFonts w:ascii="Century" w:hAnsi="Century" w:cs="FrankRuehl" w:hint="eastAsia"/>
          <w:spacing w:val="10"/>
          <w:sz w:val="22"/>
          <w:szCs w:val="28"/>
          <w:rtl/>
          <w:lang w:eastAsia="he-IL"/>
        </w:rPr>
        <w:t>בשעת</w:t>
      </w:r>
      <w:r w:rsidRPr="001D2596">
        <w:rPr>
          <w:rFonts w:ascii="Century" w:hAnsi="Century" w:cs="FrankRuehl"/>
          <w:spacing w:val="10"/>
          <w:sz w:val="22"/>
          <w:szCs w:val="28"/>
          <w:rtl/>
          <w:lang w:eastAsia="he-IL"/>
        </w:rPr>
        <w:t xml:space="preserve"> </w:t>
      </w:r>
      <w:r w:rsidRPr="001D2596">
        <w:rPr>
          <w:rFonts w:ascii="Century" w:hAnsi="Century" w:cs="FrankRuehl" w:hint="eastAsia"/>
          <w:spacing w:val="10"/>
          <w:sz w:val="22"/>
          <w:szCs w:val="28"/>
          <w:rtl/>
          <w:lang w:eastAsia="he-IL"/>
        </w:rPr>
        <w:t>העיסקה</w:t>
      </w:r>
      <w:r w:rsidRPr="001D2596">
        <w:rPr>
          <w:rFonts w:ascii="Century" w:hAnsi="Century" w:cs="FrankRuehl"/>
          <w:spacing w:val="10"/>
          <w:sz w:val="22"/>
          <w:szCs w:val="28"/>
          <w:rtl/>
          <w:lang w:eastAsia="he-IL"/>
        </w:rPr>
        <w:t xml:space="preserve"> </w:t>
      </w:r>
      <w:r w:rsidRPr="001D2596">
        <w:rPr>
          <w:rFonts w:ascii="Century" w:hAnsi="Century" w:cs="FrankRuehl" w:hint="eastAsia"/>
          <w:spacing w:val="10"/>
          <w:sz w:val="22"/>
          <w:szCs w:val="28"/>
          <w:rtl/>
          <w:lang w:eastAsia="he-IL"/>
        </w:rPr>
        <w:t>לרכוש</w:t>
      </w:r>
      <w:r w:rsidRPr="001D2596">
        <w:rPr>
          <w:rFonts w:ascii="Century" w:hAnsi="Century" w:cs="FrankRuehl"/>
          <w:spacing w:val="10"/>
          <w:sz w:val="22"/>
          <w:szCs w:val="28"/>
          <w:rtl/>
          <w:lang w:eastAsia="he-IL"/>
        </w:rPr>
        <w:t xml:space="preserve"> </w:t>
      </w:r>
      <w:r w:rsidRPr="001D2596">
        <w:rPr>
          <w:rFonts w:ascii="Century" w:hAnsi="Century" w:cs="FrankRuehl" w:hint="eastAsia"/>
          <w:spacing w:val="10"/>
          <w:sz w:val="22"/>
          <w:szCs w:val="28"/>
          <w:rtl/>
          <w:lang w:eastAsia="he-IL"/>
        </w:rPr>
        <w:t>ממשלתי</w:t>
      </w:r>
      <w:r w:rsidRPr="001D2596">
        <w:rPr>
          <w:rFonts w:ascii="Century" w:hAnsi="Century" w:cs="FrankRuehl"/>
          <w:spacing w:val="10"/>
          <w:sz w:val="22"/>
          <w:szCs w:val="28"/>
          <w:rtl/>
          <w:lang w:eastAsia="he-IL"/>
        </w:rPr>
        <w:t xml:space="preserve">", </w:t>
      </w:r>
      <w:r w:rsidRPr="001D2596">
        <w:rPr>
          <w:rFonts w:ascii="Century" w:hAnsi="Century" w:cs="FrankRuehl" w:hint="eastAsia"/>
          <w:spacing w:val="10"/>
          <w:sz w:val="22"/>
          <w:szCs w:val="28"/>
          <w:rtl/>
          <w:lang w:eastAsia="he-IL"/>
        </w:rPr>
        <w:t>אזי</w:t>
      </w:r>
      <w:r w:rsidRPr="001D2596">
        <w:rPr>
          <w:rFonts w:ascii="Century" w:hAnsi="Century" w:cs="FrankRuehl"/>
          <w:spacing w:val="10"/>
          <w:sz w:val="22"/>
          <w:szCs w:val="28"/>
          <w:rtl/>
          <w:lang w:eastAsia="he-IL"/>
        </w:rPr>
        <w:t xml:space="preserve"> </w:t>
      </w:r>
      <w:r w:rsidRPr="001D2596">
        <w:rPr>
          <w:rFonts w:ascii="Century" w:hAnsi="Century" w:cs="FrankRuehl" w:hint="eastAsia"/>
          <w:spacing w:val="10"/>
          <w:sz w:val="22"/>
          <w:szCs w:val="28"/>
          <w:rtl/>
          <w:lang w:eastAsia="he-IL"/>
        </w:rPr>
        <w:t>ראוי</w:t>
      </w:r>
      <w:r w:rsidRPr="001D2596">
        <w:rPr>
          <w:rFonts w:ascii="Century" w:hAnsi="Century" w:cs="FrankRuehl"/>
          <w:spacing w:val="10"/>
          <w:sz w:val="22"/>
          <w:szCs w:val="28"/>
          <w:rtl/>
          <w:lang w:eastAsia="he-IL"/>
        </w:rPr>
        <w:t xml:space="preserve"> </w:t>
      </w:r>
      <w:r w:rsidRPr="001D2596">
        <w:rPr>
          <w:rFonts w:ascii="Century" w:hAnsi="Century" w:cs="FrankRuehl" w:hint="eastAsia"/>
          <w:spacing w:val="10"/>
          <w:sz w:val="22"/>
          <w:szCs w:val="28"/>
          <w:rtl/>
          <w:lang w:eastAsia="he-IL"/>
        </w:rPr>
        <w:t>כי</w:t>
      </w:r>
      <w:r w:rsidRPr="001D2596">
        <w:rPr>
          <w:rFonts w:ascii="Century" w:hAnsi="Century" w:cs="FrankRuehl"/>
          <w:spacing w:val="10"/>
          <w:sz w:val="22"/>
          <w:szCs w:val="28"/>
          <w:rtl/>
          <w:lang w:eastAsia="he-IL"/>
        </w:rPr>
        <w:t xml:space="preserve"> </w:t>
      </w:r>
      <w:r w:rsidRPr="001D2596">
        <w:rPr>
          <w:rFonts w:ascii="Century" w:hAnsi="Century" w:cs="FrankRuehl" w:hint="eastAsia"/>
          <w:spacing w:val="10"/>
          <w:sz w:val="22"/>
          <w:szCs w:val="28"/>
          <w:rtl/>
          <w:lang w:eastAsia="he-IL"/>
        </w:rPr>
        <w:t>הממונה</w:t>
      </w:r>
      <w:r w:rsidRPr="001D2596">
        <w:rPr>
          <w:rFonts w:ascii="Century" w:hAnsi="Century" w:cs="FrankRuehl"/>
          <w:spacing w:val="10"/>
          <w:sz w:val="22"/>
          <w:szCs w:val="28"/>
          <w:rtl/>
          <w:lang w:eastAsia="he-IL"/>
        </w:rPr>
        <w:t xml:space="preserve"> </w:t>
      </w:r>
      <w:r w:rsidRPr="001D2596">
        <w:rPr>
          <w:rFonts w:ascii="Century" w:hAnsi="Century" w:cs="FrankRuehl" w:hint="eastAsia"/>
          <w:spacing w:val="10"/>
          <w:sz w:val="22"/>
          <w:szCs w:val="28"/>
          <w:rtl/>
          <w:lang w:eastAsia="he-IL"/>
        </w:rPr>
        <w:t>גם</w:t>
      </w:r>
      <w:r w:rsidRPr="001D2596">
        <w:rPr>
          <w:rFonts w:ascii="Century" w:hAnsi="Century" w:cs="FrankRuehl"/>
          <w:spacing w:val="10"/>
          <w:sz w:val="22"/>
          <w:szCs w:val="28"/>
          <w:rtl/>
          <w:lang w:eastAsia="he-IL"/>
        </w:rPr>
        <w:t xml:space="preserve"> </w:t>
      </w:r>
      <w:r w:rsidRPr="001D2596">
        <w:rPr>
          <w:rFonts w:ascii="Century" w:hAnsi="Century" w:cs="FrankRuehl" w:hint="eastAsia"/>
          <w:spacing w:val="10"/>
          <w:sz w:val="22"/>
          <w:szCs w:val="28"/>
          <w:rtl/>
          <w:lang w:eastAsia="he-IL"/>
        </w:rPr>
        <w:t>ישלם</w:t>
      </w:r>
      <w:r w:rsidRPr="001D2596">
        <w:rPr>
          <w:rFonts w:ascii="Century" w:hAnsi="Century" w:cs="FrankRuehl"/>
          <w:spacing w:val="10"/>
          <w:sz w:val="22"/>
          <w:szCs w:val="28"/>
          <w:rtl/>
          <w:lang w:eastAsia="he-IL"/>
        </w:rPr>
        <w:t xml:space="preserve"> </w:t>
      </w:r>
      <w:r w:rsidRPr="001D2596">
        <w:rPr>
          <w:rFonts w:ascii="Century" w:hAnsi="Century" w:cs="FrankRuehl" w:hint="eastAsia"/>
          <w:spacing w:val="10"/>
          <w:sz w:val="22"/>
          <w:szCs w:val="28"/>
          <w:rtl/>
          <w:lang w:eastAsia="he-IL"/>
        </w:rPr>
        <w:t>עבור</w:t>
      </w:r>
      <w:r w:rsidRPr="001D2596">
        <w:rPr>
          <w:rFonts w:ascii="Century" w:hAnsi="Century" w:cs="FrankRuehl"/>
          <w:spacing w:val="10"/>
          <w:sz w:val="22"/>
          <w:szCs w:val="28"/>
          <w:rtl/>
          <w:lang w:eastAsia="he-IL"/>
        </w:rPr>
        <w:t xml:space="preserve"> </w:t>
      </w:r>
      <w:r w:rsidRPr="001D2596">
        <w:rPr>
          <w:rFonts w:ascii="Century" w:hAnsi="Century" w:cs="FrankRuehl" w:hint="eastAsia"/>
          <w:spacing w:val="10"/>
          <w:sz w:val="22"/>
          <w:szCs w:val="28"/>
          <w:rtl/>
          <w:lang w:eastAsia="he-IL"/>
        </w:rPr>
        <w:t>טעותו</w:t>
      </w:r>
      <w:r w:rsidRPr="001D2596">
        <w:rPr>
          <w:rFonts w:ascii="Century" w:hAnsi="Century" w:cs="FrankRuehl"/>
          <w:spacing w:val="10"/>
          <w:sz w:val="22"/>
          <w:szCs w:val="28"/>
          <w:rtl/>
          <w:lang w:eastAsia="he-IL"/>
        </w:rPr>
        <w:t>.</w:t>
      </w:r>
      <w:r w:rsidRPr="001D2596">
        <w:rPr>
          <w:rFonts w:ascii="Century" w:hAnsi="Century" w:hint="cs"/>
          <w:rtl/>
          <w:lang w:eastAsia="he-IL"/>
        </w:rPr>
        <w:t xml:space="preserve"> </w:t>
      </w:r>
      <w:r w:rsidRPr="001D2596">
        <w:rPr>
          <w:rFonts w:ascii="Century" w:hAnsi="Century" w:cs="FrankRuehl" w:hint="cs"/>
          <w:spacing w:val="10"/>
          <w:sz w:val="22"/>
          <w:szCs w:val="28"/>
          <w:rtl/>
          <w:lang w:eastAsia="he-IL"/>
        </w:rPr>
        <w:t xml:space="preserve">לדידי, בגדר סמכותנו להורות </w:t>
      </w:r>
      <w:r w:rsidRPr="001D2596">
        <w:rPr>
          <w:rFonts w:ascii="Century" w:hAnsi="Century" w:cs="FrankRuehl"/>
          <w:spacing w:val="10"/>
          <w:sz w:val="22"/>
          <w:szCs w:val="28"/>
          <w:rtl/>
          <w:lang w:eastAsia="he-IL"/>
        </w:rPr>
        <w:t xml:space="preserve">כי הממונה יקצה לבעלים הרשומים או למשיבים שיוכיחו זכויותיהם בקרקע, </w:t>
      </w:r>
      <w:r w:rsidRPr="001D2596">
        <w:rPr>
          <w:rFonts w:ascii="Century" w:hAnsi="Century" w:cs="Miriam"/>
          <w:b/>
          <w:sz w:val="22"/>
          <w:rtl/>
          <w:lang w:eastAsia="he-IL"/>
        </w:rPr>
        <w:t>מקרקעין חלופיים</w:t>
      </w:r>
      <w:r w:rsidRPr="001D2596">
        <w:rPr>
          <w:rFonts w:ascii="Century" w:hAnsi="Century" w:cs="FrankRuehl"/>
          <w:spacing w:val="10"/>
          <w:sz w:val="22"/>
          <w:szCs w:val="28"/>
          <w:rtl/>
          <w:lang w:eastAsia="he-IL"/>
        </w:rPr>
        <w:t xml:space="preserve"> </w:t>
      </w:r>
      <w:r w:rsidRPr="001D2596">
        <w:rPr>
          <w:rFonts w:ascii="Century" w:hAnsi="Century" w:cs="Miriam"/>
          <w:b/>
          <w:sz w:val="22"/>
          <w:rtl/>
          <w:lang w:eastAsia="he-IL"/>
        </w:rPr>
        <w:t>מתוך מקרקעי המדינה</w:t>
      </w:r>
      <w:r w:rsidRPr="001D2596">
        <w:rPr>
          <w:rFonts w:ascii="Century" w:hAnsi="Century" w:cs="FrankRuehl"/>
          <w:spacing w:val="10"/>
          <w:sz w:val="22"/>
          <w:szCs w:val="28"/>
          <w:rtl/>
          <w:lang w:eastAsia="he-IL"/>
        </w:rPr>
        <w:t xml:space="preserve">, </w:t>
      </w:r>
      <w:r w:rsidRPr="001D2596">
        <w:rPr>
          <w:rFonts w:ascii="Century" w:hAnsi="Century" w:cs="FrankRuehl" w:hint="cs"/>
          <w:spacing w:val="10"/>
          <w:sz w:val="22"/>
          <w:szCs w:val="28"/>
          <w:rtl/>
          <w:lang w:eastAsia="he-IL"/>
        </w:rPr>
        <w:t>בשטח שלא יפחת מהשטח התפוס כיום על ידי המחזיקים</w:t>
      </w:r>
      <w:r w:rsidRPr="008D4043">
        <w:rPr>
          <w:rFonts w:ascii="Century" w:hAnsi="Century" w:cs="FrankRuehl" w:hint="cs"/>
          <w:spacing w:val="10"/>
          <w:sz w:val="22"/>
          <w:szCs w:val="28"/>
          <w:rtl/>
          <w:lang w:eastAsia="he-IL"/>
        </w:rPr>
        <w:t>.</w:t>
      </w:r>
      <w:r w:rsidRPr="001D2596">
        <w:rPr>
          <w:rFonts w:ascii="Century" w:hAnsi="Century" w:cs="Miriam" w:hint="cs"/>
          <w:b/>
          <w:sz w:val="22"/>
          <w:rtl/>
          <w:lang w:eastAsia="he-IL"/>
        </w:rPr>
        <w:t xml:space="preserve"> </w:t>
      </w:r>
      <w:r w:rsidRPr="001D2596">
        <w:rPr>
          <w:rFonts w:ascii="Century" w:hAnsi="Century" w:cs="FrankRuehl" w:hint="cs"/>
          <w:spacing w:val="10"/>
          <w:sz w:val="22"/>
          <w:szCs w:val="28"/>
          <w:rtl/>
          <w:lang w:eastAsia="he-IL"/>
        </w:rPr>
        <w:t xml:space="preserve">זאת, </w:t>
      </w:r>
      <w:r w:rsidRPr="001D2596">
        <w:rPr>
          <w:rFonts w:ascii="Century" w:hAnsi="Century" w:cs="FrankRuehl"/>
          <w:spacing w:val="10"/>
          <w:sz w:val="22"/>
          <w:szCs w:val="28"/>
          <w:rtl/>
          <w:lang w:eastAsia="he-IL"/>
        </w:rPr>
        <w:t>כפיצוי הולם, להבדיל מפיצוי כספי</w:t>
      </w:r>
      <w:r w:rsidRPr="001D2596">
        <w:rPr>
          <w:rFonts w:ascii="Century" w:hAnsi="Century" w:cs="FrankRuehl" w:hint="cs"/>
          <w:spacing w:val="10"/>
          <w:sz w:val="22"/>
          <w:szCs w:val="28"/>
          <w:rtl/>
          <w:lang w:eastAsia="he-IL"/>
        </w:rPr>
        <w:t xml:space="preserve"> </w:t>
      </w:r>
      <w:r w:rsidRPr="001D2596">
        <w:rPr>
          <w:rFonts w:ascii="Century" w:hAnsi="Century" w:cs="FrankRuehl"/>
          <w:spacing w:val="10"/>
          <w:sz w:val="22"/>
          <w:szCs w:val="28"/>
          <w:rtl/>
          <w:lang w:eastAsia="he-IL"/>
        </w:rPr>
        <w:t>ובגדר פרשנותו של סעיף 5 לצו בדרך שמצמצמת את פגיעתו בקניין</w:t>
      </w:r>
      <w:r w:rsidRPr="001D2596">
        <w:rPr>
          <w:rFonts w:ascii="Century" w:hAnsi="Century" w:cs="FrankRuehl" w:hint="cs"/>
          <w:spacing w:val="10"/>
          <w:sz w:val="22"/>
          <w:szCs w:val="28"/>
          <w:rtl/>
          <w:lang w:eastAsia="he-IL"/>
        </w:rPr>
        <w:t xml:space="preserve">. </w:t>
      </w:r>
      <w:r w:rsidRPr="001D2596">
        <w:rPr>
          <w:rFonts w:ascii="Century" w:hAnsi="Century" w:cs="FrankRuehl"/>
          <w:spacing w:val="10"/>
          <w:sz w:val="22"/>
          <w:szCs w:val="28"/>
          <w:rtl/>
          <w:lang w:eastAsia="he-IL"/>
        </w:rPr>
        <w:t xml:space="preserve">כך, חלף הריסת בתי הקבע </w:t>
      </w:r>
      <w:r w:rsidRPr="001D2596">
        <w:rPr>
          <w:rFonts w:ascii="Arial TUR" w:hAnsi="Arial TUR" w:cs="FrankRuehl"/>
          <w:spacing w:val="10"/>
          <w:sz w:val="22"/>
          <w:szCs w:val="28"/>
          <w:rtl/>
          <w:lang w:eastAsia="he-IL"/>
        </w:rPr>
        <w:t>והקצאת קרקע חלופית ו</w:t>
      </w:r>
      <w:r w:rsidRPr="001D2596">
        <w:rPr>
          <w:rFonts w:ascii="Century" w:hAnsi="Century" w:cs="FrankRuehl"/>
          <w:spacing w:val="10"/>
          <w:sz w:val="22"/>
          <w:szCs w:val="28"/>
          <w:rtl/>
          <w:lang w:eastAsia="he-IL"/>
        </w:rPr>
        <w:t xml:space="preserve">חלופות מגורים הולמות </w:t>
      </w:r>
      <w:r w:rsidRPr="001D2596">
        <w:rPr>
          <w:rFonts w:ascii="Century" w:hAnsi="Century" w:cs="Miriam"/>
          <w:b/>
          <w:sz w:val="22"/>
          <w:rtl/>
          <w:lang w:eastAsia="he-IL"/>
        </w:rPr>
        <w:t>למחזיקים</w:t>
      </w:r>
      <w:r w:rsidRPr="001D2596">
        <w:rPr>
          <w:rFonts w:ascii="Century" w:hAnsi="Century" w:cs="FrankRuehl"/>
          <w:spacing w:val="10"/>
          <w:sz w:val="22"/>
          <w:szCs w:val="28"/>
          <w:rtl/>
          <w:lang w:eastAsia="he-IL"/>
        </w:rPr>
        <w:t>, הקצאת קרקע חלופית ל</w:t>
      </w:r>
      <w:r w:rsidRPr="001D2596">
        <w:rPr>
          <w:rFonts w:ascii="Century" w:hAnsi="Century" w:cs="FrankRuehl" w:hint="cs"/>
          <w:spacing w:val="10"/>
          <w:sz w:val="22"/>
          <w:szCs w:val="28"/>
          <w:rtl/>
          <w:lang w:eastAsia="he-IL"/>
        </w:rPr>
        <w:t>בעלים הרשומים או ל</w:t>
      </w:r>
      <w:r w:rsidRPr="001D2596">
        <w:rPr>
          <w:rFonts w:ascii="Century" w:hAnsi="Century" w:cs="FrankRuehl"/>
          <w:spacing w:val="10"/>
          <w:sz w:val="22"/>
          <w:szCs w:val="28"/>
          <w:rtl/>
          <w:lang w:eastAsia="he-IL"/>
        </w:rPr>
        <w:t xml:space="preserve">משיבים שיוכיחו זכויותיהם בקרקע נחזית לכאורה פתרון עדיף. בדרך זו, </w:t>
      </w:r>
      <w:r w:rsidRPr="001D2596">
        <w:rPr>
          <w:rFonts w:ascii="Century" w:hAnsi="Century" w:cs="FrankRuehl" w:hint="cs"/>
          <w:spacing w:val="10"/>
          <w:sz w:val="22"/>
          <w:szCs w:val="28"/>
          <w:rtl/>
          <w:lang w:eastAsia="he-IL"/>
        </w:rPr>
        <w:t xml:space="preserve">ניתן </w:t>
      </w:r>
      <w:r w:rsidRPr="001D2596">
        <w:rPr>
          <w:rFonts w:ascii="Century" w:hAnsi="Century" w:cs="FrankRuehl"/>
          <w:spacing w:val="10"/>
          <w:sz w:val="22"/>
          <w:szCs w:val="28"/>
          <w:rtl/>
          <w:lang w:eastAsia="he-IL"/>
        </w:rPr>
        <w:t xml:space="preserve">להקהות </w:t>
      </w:r>
      <w:r w:rsidRPr="001D2596">
        <w:rPr>
          <w:rFonts w:ascii="Century" w:hAnsi="Century" w:cs="FrankRuehl" w:hint="cs"/>
          <w:spacing w:val="10"/>
          <w:sz w:val="22"/>
          <w:szCs w:val="28"/>
          <w:rtl/>
          <w:lang w:eastAsia="he-IL"/>
        </w:rPr>
        <w:t xml:space="preserve">במידת מה </w:t>
      </w:r>
      <w:r w:rsidRPr="001D2596">
        <w:rPr>
          <w:rFonts w:ascii="Century" w:hAnsi="Century" w:cs="FrankRuehl"/>
          <w:spacing w:val="10"/>
          <w:sz w:val="22"/>
          <w:szCs w:val="28"/>
          <w:rtl/>
          <w:lang w:eastAsia="he-IL"/>
        </w:rPr>
        <w:t>את הפגיעה הקניינית במקרה הפתולוגי שלפנינו</w:t>
      </w:r>
      <w:r w:rsidRPr="001D2596">
        <w:rPr>
          <w:rFonts w:ascii="Century" w:hAnsi="Century" w:cs="FrankRuehl" w:hint="cs"/>
          <w:spacing w:val="10"/>
          <w:sz w:val="22"/>
          <w:szCs w:val="28"/>
          <w:rtl/>
          <w:lang w:eastAsia="he-IL"/>
        </w:rPr>
        <w:t xml:space="preserve"> ו</w:t>
      </w:r>
      <w:r w:rsidRPr="001D2596">
        <w:rPr>
          <w:rFonts w:ascii="Century" w:hAnsi="Century" w:cs="FrankRuehl"/>
          <w:spacing w:val="10"/>
          <w:sz w:val="22"/>
          <w:szCs w:val="28"/>
          <w:rtl/>
          <w:lang w:eastAsia="he-IL"/>
        </w:rPr>
        <w:t xml:space="preserve">לרכך את הפגיעה ב"גרעין הקשה" של איסור תפיסה ובנייה על מקרקעין פרטיים פלסטיניים. </w:t>
      </w:r>
      <w:r w:rsidRPr="001D2596">
        <w:rPr>
          <w:rFonts w:ascii="Century" w:hAnsi="Century" w:cs="FrankRuehl" w:hint="cs"/>
          <w:spacing w:val="10"/>
          <w:sz w:val="22"/>
          <w:szCs w:val="28"/>
          <w:rtl/>
          <w:lang w:eastAsia="he-IL"/>
        </w:rPr>
        <w:t xml:space="preserve">כידוע, </w:t>
      </w:r>
      <w:r w:rsidRPr="001D2596">
        <w:rPr>
          <w:rFonts w:ascii="Century" w:hAnsi="Century" w:cs="FrankRuehl"/>
          <w:spacing w:val="10"/>
          <w:sz w:val="22"/>
          <w:szCs w:val="28"/>
          <w:rtl/>
          <w:lang w:eastAsia="he-IL"/>
        </w:rPr>
        <w:t>איסור זה נמצא בראש סדר העדיפויות באכיפת דיני התכנון והבנייה, ויש בו כדי להגן, ולו במעט, על קניינם של תושבים מוגנים הנמצאים במשטר של תפיסה לוחמתית.</w:t>
      </w:r>
      <w:r w:rsidRPr="001D2596">
        <w:rPr>
          <w:rFonts w:ascii="Century" w:hAnsi="Century" w:cs="FrankRuehl" w:hint="cs"/>
          <w:spacing w:val="10"/>
          <w:sz w:val="22"/>
          <w:szCs w:val="28"/>
          <w:rtl/>
          <w:lang w:eastAsia="he-IL"/>
        </w:rPr>
        <w:t xml:space="preserve"> </w:t>
      </w: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ind w:firstLine="720"/>
        <w:jc w:val="both"/>
        <w:textAlignment w:val="auto"/>
        <w:rPr>
          <w:rFonts w:ascii="Century" w:hAnsi="Century" w:cs="FrankRuehl"/>
          <w:spacing w:val="10"/>
          <w:sz w:val="22"/>
          <w:szCs w:val="28"/>
          <w:rtl/>
          <w:lang w:eastAsia="he-IL"/>
        </w:rPr>
      </w:pPr>
      <w:r w:rsidRPr="001D2596">
        <w:rPr>
          <w:rFonts w:ascii="Century" w:hAnsi="Century" w:cs="FrankRuehl" w:hint="cs"/>
          <w:spacing w:val="10"/>
          <w:sz w:val="22"/>
          <w:szCs w:val="28"/>
          <w:rtl/>
          <w:lang w:eastAsia="he-IL"/>
        </w:rPr>
        <w:lastRenderedPageBreak/>
        <w:t xml:space="preserve">ולבסוף, ולמען הסר ספק. כפי שהדגשנו, תקנת השוק צופה פני עבר ונועדה להגן על טעויות עבר, ופשיטא שאין המחזיקים או אחרים רשאים לתפוס בעתיד שטחים החורגים מצו התפיסה המקורי (של 850 דונם). לאחר שעיינתי בפסק דינה של חברתי השופטת </w:t>
      </w:r>
      <w:r w:rsidRPr="001D2596">
        <w:rPr>
          <w:rFonts w:ascii="Century" w:hAnsi="Century" w:cs="Miriam" w:hint="eastAsia"/>
          <w:b/>
          <w:sz w:val="22"/>
          <w:rtl/>
          <w:lang w:eastAsia="he-IL"/>
        </w:rPr>
        <w:t>ד</w:t>
      </w:r>
      <w:r w:rsidRPr="001D2596">
        <w:rPr>
          <w:rFonts w:ascii="Century" w:hAnsi="Century" w:cs="Miriam"/>
          <w:b/>
          <w:sz w:val="22"/>
          <w:rtl/>
          <w:lang w:eastAsia="he-IL"/>
        </w:rPr>
        <w:t xml:space="preserve">' </w:t>
      </w:r>
      <w:r w:rsidRPr="001D2596">
        <w:rPr>
          <w:rFonts w:ascii="Century" w:hAnsi="Century" w:cs="Miriam" w:hint="eastAsia"/>
          <w:b/>
          <w:sz w:val="22"/>
          <w:rtl/>
          <w:lang w:eastAsia="he-IL"/>
        </w:rPr>
        <w:t>ברק</w:t>
      </w:r>
      <w:r w:rsidRPr="001D2596">
        <w:rPr>
          <w:rFonts w:ascii="Century" w:hAnsi="Century" w:cs="Miriam"/>
          <w:b/>
          <w:sz w:val="22"/>
          <w:rtl/>
          <w:lang w:eastAsia="he-IL"/>
        </w:rPr>
        <w:t>-</w:t>
      </w:r>
      <w:r w:rsidRPr="001D2596">
        <w:rPr>
          <w:rFonts w:ascii="Century" w:hAnsi="Century" w:cs="Miriam" w:hint="eastAsia"/>
          <w:b/>
          <w:sz w:val="22"/>
          <w:rtl/>
          <w:lang w:eastAsia="he-IL"/>
        </w:rPr>
        <w:t>ארז</w:t>
      </w:r>
      <w:r w:rsidRPr="001D2596">
        <w:rPr>
          <w:rFonts w:ascii="Century" w:hAnsi="Century" w:cs="FrankRuehl" w:hint="cs"/>
          <w:spacing w:val="10"/>
          <w:sz w:val="22"/>
          <w:szCs w:val="28"/>
          <w:rtl/>
          <w:lang w:eastAsia="he-IL"/>
        </w:rPr>
        <w:t>, הרי שהאמור בפסקה 57 לפסק דינה, משקף באופן מפורט את האמור לעיל לגבי התוצאה האופרטיבית.</w:t>
      </w: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p>
    <w:p w:rsidR="001D2596" w:rsidRPr="001D2596" w:rsidRDefault="001D2596" w:rsidP="001D2596">
      <w:pPr>
        <w:overflowPunct/>
        <w:autoSpaceDE/>
        <w:autoSpaceDN/>
        <w:adjustRightInd/>
        <w:spacing w:line="360" w:lineRule="auto"/>
        <w:jc w:val="both"/>
        <w:textAlignment w:val="auto"/>
        <w:rPr>
          <w:rFonts w:ascii="Century" w:hAnsi="Century" w:cs="FrankRuehl"/>
          <w:spacing w:val="10"/>
          <w:sz w:val="22"/>
          <w:szCs w:val="28"/>
          <w:rtl/>
          <w:lang w:eastAsia="he-IL"/>
        </w:rPr>
      </w:pPr>
      <w:r w:rsidRPr="001D2596">
        <w:rPr>
          <w:rFonts w:ascii="Century" w:hAnsi="Century" w:cs="FrankRuehl"/>
          <w:spacing w:val="10"/>
          <w:sz w:val="22"/>
          <w:szCs w:val="28"/>
          <w:rtl/>
          <w:lang w:eastAsia="he-IL"/>
        </w:rPr>
        <w:t>21.</w:t>
      </w:r>
      <w:r w:rsidRPr="001D2596">
        <w:rPr>
          <w:rFonts w:ascii="Century" w:hAnsi="Century" w:cs="FrankRuehl"/>
          <w:spacing w:val="10"/>
          <w:sz w:val="22"/>
          <w:szCs w:val="28"/>
          <w:rtl/>
          <w:lang w:eastAsia="he-IL"/>
        </w:rPr>
        <w:tab/>
        <w:t>סוף דבר, שאני סבור כי דין העתירה לדיון נוסף להתקבל</w:t>
      </w:r>
      <w:r w:rsidRPr="001D2596">
        <w:rPr>
          <w:rFonts w:ascii="Century" w:hAnsi="Century" w:cs="FrankRuehl" w:hint="cs"/>
          <w:spacing w:val="10"/>
          <w:sz w:val="22"/>
          <w:szCs w:val="28"/>
          <w:rtl/>
          <w:lang w:eastAsia="he-IL"/>
        </w:rPr>
        <w:t xml:space="preserve"> כמפורט לעיל. </w:t>
      </w:r>
    </w:p>
    <w:p w:rsidR="001D2596" w:rsidRPr="001D2596" w:rsidRDefault="001D2596" w:rsidP="001D2596">
      <w:pPr>
        <w:tabs>
          <w:tab w:val="left" w:pos="800"/>
        </w:tabs>
        <w:spacing w:line="360" w:lineRule="auto"/>
        <w:jc w:val="both"/>
        <w:rPr>
          <w:rFonts w:ascii="Arial TUR" w:hAnsi="Arial TUR" w:cs="FrankRuehl"/>
          <w:spacing w:val="10"/>
          <w:sz w:val="22"/>
          <w:szCs w:val="28"/>
          <w:rtl/>
        </w:rPr>
      </w:pPr>
    </w:p>
    <w:p w:rsidR="005E0EC8" w:rsidRDefault="005E0EC8" w:rsidP="005E0EC8">
      <w:pPr>
        <w:pStyle w:val="Ruller41"/>
        <w:spacing w:line="240" w:lineRule="auto"/>
        <w:rPr>
          <w:rtl/>
        </w:rPr>
      </w:pPr>
    </w:p>
    <w:tbl>
      <w:tblPr>
        <w:bidiVisual/>
        <w:tblW w:w="8363" w:type="dxa"/>
        <w:tblLook w:val="01E0" w:firstRow="1" w:lastRow="1" w:firstColumn="1" w:lastColumn="1" w:noHBand="0" w:noVBand="0"/>
      </w:tblPr>
      <w:tblGrid>
        <w:gridCol w:w="2786"/>
        <w:gridCol w:w="2787"/>
        <w:gridCol w:w="2790"/>
      </w:tblGrid>
      <w:tr w:rsidR="00207478" w:rsidRPr="004C7127" w:rsidTr="005E0EC8">
        <w:tc>
          <w:tcPr>
            <w:tcW w:w="2786" w:type="dxa"/>
            <w:shd w:val="clear" w:color="auto" w:fill="auto"/>
          </w:tcPr>
          <w:p w:rsidR="00207478" w:rsidRPr="004C7127" w:rsidRDefault="00207478" w:rsidP="00BA1299">
            <w:pPr>
              <w:pStyle w:val="Ruller41"/>
              <w:rPr>
                <w:rtl/>
              </w:rPr>
            </w:pPr>
          </w:p>
        </w:tc>
        <w:tc>
          <w:tcPr>
            <w:tcW w:w="2787" w:type="dxa"/>
            <w:shd w:val="clear" w:color="auto" w:fill="auto"/>
          </w:tcPr>
          <w:p w:rsidR="00207478" w:rsidRPr="004C7127" w:rsidRDefault="00207478" w:rsidP="00BA1299">
            <w:pPr>
              <w:pStyle w:val="Ruller41"/>
              <w:jc w:val="center"/>
              <w:rPr>
                <w:rtl/>
              </w:rPr>
            </w:pPr>
          </w:p>
        </w:tc>
        <w:tc>
          <w:tcPr>
            <w:tcW w:w="2790" w:type="dxa"/>
            <w:shd w:val="clear" w:color="auto" w:fill="auto"/>
          </w:tcPr>
          <w:p w:rsidR="00207478" w:rsidRPr="004C7127" w:rsidRDefault="00207478" w:rsidP="00BA1299">
            <w:pPr>
              <w:pStyle w:val="Ruller41"/>
              <w:jc w:val="right"/>
              <w:rPr>
                <w:rtl/>
              </w:rPr>
            </w:pPr>
            <w:r>
              <w:rPr>
                <w:rFonts w:hint="cs"/>
                <w:rtl/>
              </w:rPr>
              <w:t>ש ו פ ט</w:t>
            </w:r>
          </w:p>
        </w:tc>
      </w:tr>
    </w:tbl>
    <w:p w:rsidR="00207478" w:rsidRDefault="00207478" w:rsidP="00861362">
      <w:pPr>
        <w:pStyle w:val="Ruller41"/>
        <w:rPr>
          <w:rFonts w:ascii="Century" w:hAnsi="Century"/>
          <w:rtl/>
        </w:rPr>
      </w:pPr>
    </w:p>
    <w:p w:rsidR="00861362" w:rsidRPr="00A56E77" w:rsidRDefault="00861362" w:rsidP="00A56E77">
      <w:pPr>
        <w:pStyle w:val="1"/>
        <w:spacing w:before="0"/>
        <w:rPr>
          <w:rFonts w:ascii="Century" w:hAnsi="Century" w:cs="Miriam"/>
          <w:b/>
          <w:color w:val="auto"/>
          <w:spacing w:val="0"/>
          <w:sz w:val="22"/>
          <w:szCs w:val="24"/>
          <w:rtl/>
        </w:rPr>
      </w:pPr>
      <w:r w:rsidRPr="00A56E77">
        <w:rPr>
          <w:rFonts w:ascii="Century" w:hAnsi="Century" w:cs="Miriam" w:hint="cs"/>
          <w:b/>
          <w:color w:val="auto"/>
          <w:spacing w:val="0"/>
          <w:sz w:val="22"/>
          <w:szCs w:val="24"/>
          <w:u w:val="single"/>
          <w:rtl/>
        </w:rPr>
        <w:t>השופטת ע' ברון</w:t>
      </w:r>
      <w:r w:rsidRPr="00A56E77">
        <w:rPr>
          <w:rFonts w:ascii="Century" w:hAnsi="Century" w:cs="Miriam" w:hint="cs"/>
          <w:b/>
          <w:color w:val="auto"/>
          <w:spacing w:val="0"/>
          <w:sz w:val="22"/>
          <w:szCs w:val="24"/>
          <w:rtl/>
        </w:rPr>
        <w:t>:</w:t>
      </w:r>
    </w:p>
    <w:p w:rsidR="00C41523" w:rsidRPr="000F1E29" w:rsidRDefault="00C41523" w:rsidP="00C41523">
      <w:pPr>
        <w:pStyle w:val="Ruller41"/>
        <w:spacing w:line="240" w:lineRule="auto"/>
        <w:rPr>
          <w:rtl/>
        </w:rPr>
      </w:pPr>
    </w:p>
    <w:p w:rsidR="00C41523" w:rsidRPr="000F1E29" w:rsidRDefault="00C41523" w:rsidP="00C41523">
      <w:pPr>
        <w:pStyle w:val="Ruller4"/>
        <w:numPr>
          <w:ilvl w:val="0"/>
          <w:numId w:val="31"/>
        </w:numPr>
        <w:rPr>
          <w:rtl/>
        </w:rPr>
      </w:pPr>
      <w:r w:rsidRPr="000F1E29">
        <w:rPr>
          <w:rFonts w:hint="cs"/>
          <w:rtl/>
        </w:rPr>
        <w:t>א</w:t>
      </w:r>
      <w:r w:rsidRPr="000F1E29">
        <w:rPr>
          <w:rFonts w:hint="eastAsia"/>
          <w:rtl/>
        </w:rPr>
        <w:t>ני</w:t>
      </w:r>
      <w:r w:rsidRPr="000F1E29">
        <w:rPr>
          <w:rtl/>
        </w:rPr>
        <w:t xml:space="preserve"> </w:t>
      </w:r>
      <w:r w:rsidRPr="000F1E29">
        <w:rPr>
          <w:rFonts w:hint="eastAsia"/>
          <w:rtl/>
        </w:rPr>
        <w:t>מצטרפת</w:t>
      </w:r>
      <w:r w:rsidRPr="000F1E29">
        <w:rPr>
          <w:rtl/>
        </w:rPr>
        <w:t xml:space="preserve"> </w:t>
      </w:r>
      <w:r w:rsidRPr="000F1E29">
        <w:rPr>
          <w:rFonts w:hint="eastAsia"/>
          <w:rtl/>
        </w:rPr>
        <w:t>בהסכמה</w:t>
      </w:r>
      <w:r w:rsidRPr="000F1E29">
        <w:rPr>
          <w:rtl/>
        </w:rPr>
        <w:t xml:space="preserve"> </w:t>
      </w:r>
      <w:r w:rsidRPr="000F1E29">
        <w:rPr>
          <w:rFonts w:hint="cs"/>
          <w:rtl/>
        </w:rPr>
        <w:t xml:space="preserve">לחוות דעתו המקיפה והמנומקת של המשנה לנשיאה </w:t>
      </w:r>
      <w:r w:rsidRPr="00C41523">
        <w:rPr>
          <w:rFonts w:ascii="Century" w:hAnsi="Century" w:cs="Miriam" w:hint="cs"/>
          <w:b/>
          <w:spacing w:val="0"/>
          <w:sz w:val="22"/>
          <w:szCs w:val="24"/>
          <w:rtl/>
        </w:rPr>
        <w:t>ע' פוגלמן</w:t>
      </w:r>
      <w:r w:rsidRPr="000F1E29">
        <w:rPr>
          <w:rFonts w:hint="cs"/>
          <w:rtl/>
        </w:rPr>
        <w:t xml:space="preserve"> ולתוצאה שאליה הגיע, גם לדרך </w:t>
      </w:r>
      <w:r>
        <w:rPr>
          <w:rFonts w:hint="cs"/>
          <w:rtl/>
        </w:rPr>
        <w:t>הילוכו</w:t>
      </w:r>
      <w:r w:rsidRPr="000F1E29">
        <w:rPr>
          <w:rFonts w:hint="cs"/>
          <w:rtl/>
        </w:rPr>
        <w:t>, ולפיה בנסיבות המקרה הייחודיות שלפנינו לא התקיימו יסודות סעיף 5 ל</w:t>
      </w:r>
      <w:r w:rsidRPr="000F1E29">
        <w:rPr>
          <w:rFonts w:hint="eastAsia"/>
          <w:rtl/>
        </w:rPr>
        <w:t>צו</w:t>
      </w:r>
      <w:r w:rsidRPr="000F1E29">
        <w:rPr>
          <w:rtl/>
        </w:rPr>
        <w:t xml:space="preserve"> </w:t>
      </w:r>
      <w:r w:rsidRPr="000F1E29">
        <w:rPr>
          <w:rFonts w:hint="eastAsia"/>
          <w:rtl/>
        </w:rPr>
        <w:t>בדבר</w:t>
      </w:r>
      <w:r w:rsidRPr="000F1E29">
        <w:rPr>
          <w:rtl/>
        </w:rPr>
        <w:t xml:space="preserve"> </w:t>
      </w:r>
      <w:r w:rsidRPr="000F1E29">
        <w:rPr>
          <w:rFonts w:hint="eastAsia"/>
          <w:rtl/>
        </w:rPr>
        <w:t>רכוש</w:t>
      </w:r>
      <w:r w:rsidRPr="000F1E29">
        <w:rPr>
          <w:rtl/>
        </w:rPr>
        <w:t xml:space="preserve"> </w:t>
      </w:r>
      <w:r w:rsidRPr="000F1E29">
        <w:rPr>
          <w:rFonts w:hint="eastAsia"/>
          <w:rtl/>
        </w:rPr>
        <w:t>ממשלתי</w:t>
      </w:r>
      <w:r w:rsidRPr="000F1E29">
        <w:rPr>
          <w:rtl/>
        </w:rPr>
        <w:t xml:space="preserve"> (</w:t>
      </w:r>
      <w:r w:rsidRPr="000F1E29">
        <w:rPr>
          <w:rFonts w:hint="eastAsia"/>
          <w:rtl/>
        </w:rPr>
        <w:t>יהודה</w:t>
      </w:r>
      <w:r w:rsidRPr="000F1E29">
        <w:rPr>
          <w:rtl/>
        </w:rPr>
        <w:t xml:space="preserve"> </w:t>
      </w:r>
      <w:r w:rsidRPr="000F1E29">
        <w:rPr>
          <w:rFonts w:hint="eastAsia"/>
          <w:rtl/>
        </w:rPr>
        <w:t>והשומרון</w:t>
      </w:r>
      <w:r w:rsidRPr="000F1E29">
        <w:rPr>
          <w:rtl/>
        </w:rPr>
        <w:t>) (</w:t>
      </w:r>
      <w:r w:rsidRPr="000F1E29">
        <w:rPr>
          <w:rFonts w:hint="eastAsia"/>
          <w:rtl/>
        </w:rPr>
        <w:t>מס</w:t>
      </w:r>
      <w:r w:rsidRPr="000F1E29">
        <w:rPr>
          <w:rtl/>
        </w:rPr>
        <w:t xml:space="preserve">' 59), </w:t>
      </w:r>
      <w:r w:rsidRPr="000F1E29">
        <w:rPr>
          <w:rFonts w:hint="cs"/>
          <w:rtl/>
        </w:rPr>
        <w:t>ה</w:t>
      </w:r>
      <w:r w:rsidRPr="000F1E29">
        <w:rPr>
          <w:rFonts w:hint="eastAsia"/>
          <w:rtl/>
        </w:rPr>
        <w:t>תשכ</w:t>
      </w:r>
      <w:r w:rsidRPr="000F1E29">
        <w:rPr>
          <w:rtl/>
        </w:rPr>
        <w:t>"</w:t>
      </w:r>
      <w:r w:rsidRPr="000F1E29">
        <w:rPr>
          <w:rFonts w:hint="eastAsia"/>
          <w:rtl/>
        </w:rPr>
        <w:t>ז</w:t>
      </w:r>
      <w:r w:rsidRPr="000F1E29">
        <w:rPr>
          <w:rtl/>
        </w:rPr>
        <w:t>-1967</w:t>
      </w:r>
      <w:r w:rsidRPr="000F1E29">
        <w:rPr>
          <w:rFonts w:hint="cs"/>
          <w:rtl/>
        </w:rPr>
        <w:t xml:space="preserve"> (להלן: </w:t>
      </w:r>
      <w:r w:rsidRPr="00C41523">
        <w:rPr>
          <w:rFonts w:ascii="Century" w:hAnsi="Century" w:cs="Miriam" w:hint="cs"/>
          <w:b/>
          <w:spacing w:val="0"/>
          <w:sz w:val="22"/>
          <w:szCs w:val="24"/>
          <w:rtl/>
        </w:rPr>
        <w:t>הצו בדבר רכוש ממשלתי</w:t>
      </w:r>
      <w:r w:rsidRPr="000F1E29">
        <w:rPr>
          <w:rFonts w:hint="cs"/>
          <w:rtl/>
        </w:rPr>
        <w:t xml:space="preserve"> או </w:t>
      </w:r>
      <w:r w:rsidRPr="00C41523">
        <w:rPr>
          <w:rFonts w:ascii="Century" w:hAnsi="Century" w:cs="Miriam" w:hint="cs"/>
          <w:b/>
          <w:spacing w:val="0"/>
          <w:sz w:val="22"/>
          <w:szCs w:val="24"/>
          <w:rtl/>
        </w:rPr>
        <w:t>הצו</w:t>
      </w:r>
      <w:r w:rsidRPr="000F1E29">
        <w:rPr>
          <w:rFonts w:hint="cs"/>
          <w:rtl/>
        </w:rPr>
        <w:t>)</w:t>
      </w:r>
      <w:r>
        <w:rPr>
          <w:rFonts w:hint="cs"/>
          <w:rtl/>
        </w:rPr>
        <w:t xml:space="preserve"> ואין לכן לשנות מתוצאת פסק הדין נושא הדיון נוסף</w:t>
      </w:r>
      <w:r w:rsidRPr="000F1E29">
        <w:rPr>
          <w:rFonts w:hint="cs"/>
          <w:rtl/>
        </w:rPr>
        <w:t>. לנוכח חילוקי הדעות שהתגלעו בין חבריי, ראיתי לנכון להוסיף התייחסות קצרה משלי.</w:t>
      </w:r>
    </w:p>
    <w:p w:rsidR="00C41523" w:rsidRPr="000F1E29" w:rsidRDefault="00C41523" w:rsidP="00C41523">
      <w:pPr>
        <w:pStyle w:val="Ruller41"/>
        <w:rPr>
          <w:rtl/>
        </w:rPr>
      </w:pPr>
    </w:p>
    <w:p w:rsidR="00C41523" w:rsidRPr="000F1E29" w:rsidRDefault="00C41523" w:rsidP="00C41523">
      <w:pPr>
        <w:pStyle w:val="Ruller4"/>
        <w:rPr>
          <w:rtl/>
        </w:rPr>
      </w:pPr>
      <w:r w:rsidRPr="000F1E29">
        <w:rPr>
          <w:rFonts w:hint="cs"/>
          <w:rtl/>
        </w:rPr>
        <w:t xml:space="preserve">השאלה שעומדת במוקד הדיון הנוסף היא מהן </w:t>
      </w:r>
      <w:r w:rsidRPr="000F1E29">
        <w:rPr>
          <w:rFonts w:hint="eastAsia"/>
          <w:rtl/>
        </w:rPr>
        <w:t>אמות</w:t>
      </w:r>
      <w:r w:rsidRPr="000F1E29">
        <w:rPr>
          <w:rtl/>
        </w:rPr>
        <w:t xml:space="preserve"> </w:t>
      </w:r>
      <w:r w:rsidRPr="000F1E29">
        <w:rPr>
          <w:rFonts w:hint="eastAsia"/>
          <w:rtl/>
        </w:rPr>
        <w:t>המידה</w:t>
      </w:r>
      <w:r w:rsidRPr="000F1E29">
        <w:rPr>
          <w:rtl/>
        </w:rPr>
        <w:t xml:space="preserve"> </w:t>
      </w:r>
      <w:r w:rsidRPr="000F1E29">
        <w:rPr>
          <w:rFonts w:hint="eastAsia"/>
          <w:rtl/>
        </w:rPr>
        <w:t>המשפטיות</w:t>
      </w:r>
      <w:r w:rsidRPr="000F1E29">
        <w:rPr>
          <w:rtl/>
        </w:rPr>
        <w:t xml:space="preserve"> </w:t>
      </w:r>
      <w:r w:rsidRPr="000F1E29">
        <w:rPr>
          <w:rFonts w:hint="eastAsia"/>
          <w:rtl/>
        </w:rPr>
        <w:t>לבחינת</w:t>
      </w:r>
      <w:r w:rsidRPr="000F1E29">
        <w:rPr>
          <w:rtl/>
        </w:rPr>
        <w:t xml:space="preserve"> </w:t>
      </w:r>
      <w:r>
        <w:rPr>
          <w:rFonts w:hint="cs"/>
          <w:rtl/>
        </w:rPr>
        <w:t>דרישת</w:t>
      </w:r>
      <w:r w:rsidRPr="000F1E29">
        <w:rPr>
          <w:rtl/>
        </w:rPr>
        <w:t xml:space="preserve"> </w:t>
      </w:r>
      <w:r w:rsidRPr="000F1E29">
        <w:rPr>
          <w:rFonts w:hint="eastAsia"/>
          <w:rtl/>
        </w:rPr>
        <w:t>תום</w:t>
      </w:r>
      <w:r w:rsidRPr="000F1E29">
        <w:rPr>
          <w:rtl/>
        </w:rPr>
        <w:t xml:space="preserve"> </w:t>
      </w:r>
      <w:r w:rsidRPr="000F1E29">
        <w:rPr>
          <w:rFonts w:hint="eastAsia"/>
          <w:rtl/>
        </w:rPr>
        <w:t>הלב</w:t>
      </w:r>
      <w:r w:rsidRPr="000F1E29">
        <w:rPr>
          <w:rtl/>
        </w:rPr>
        <w:t xml:space="preserve"> </w:t>
      </w:r>
      <w:r w:rsidRPr="000F1E29">
        <w:rPr>
          <w:rFonts w:hint="eastAsia"/>
          <w:rtl/>
        </w:rPr>
        <w:t>המעוג</w:t>
      </w:r>
      <w:r>
        <w:rPr>
          <w:rFonts w:hint="cs"/>
          <w:rtl/>
        </w:rPr>
        <w:t>נת</w:t>
      </w:r>
      <w:r w:rsidRPr="000F1E29">
        <w:rPr>
          <w:rtl/>
        </w:rPr>
        <w:t xml:space="preserve"> </w:t>
      </w:r>
      <w:r w:rsidRPr="000F1E29">
        <w:rPr>
          <w:rFonts w:hint="eastAsia"/>
          <w:rtl/>
        </w:rPr>
        <w:t>בסעיף</w:t>
      </w:r>
      <w:r w:rsidRPr="000F1E29">
        <w:rPr>
          <w:rtl/>
        </w:rPr>
        <w:t xml:space="preserve"> 5 </w:t>
      </w:r>
      <w:r w:rsidRPr="000F1E29">
        <w:rPr>
          <w:rFonts w:hint="eastAsia"/>
          <w:rtl/>
        </w:rPr>
        <w:t>לצו</w:t>
      </w:r>
      <w:r w:rsidRPr="000F1E29">
        <w:rPr>
          <w:rtl/>
        </w:rPr>
        <w:t xml:space="preserve"> </w:t>
      </w:r>
      <w:r w:rsidRPr="000F1E29">
        <w:rPr>
          <w:rFonts w:hint="eastAsia"/>
          <w:rtl/>
        </w:rPr>
        <w:t>בדבר</w:t>
      </w:r>
      <w:r w:rsidRPr="000F1E29">
        <w:rPr>
          <w:rtl/>
        </w:rPr>
        <w:t xml:space="preserve"> </w:t>
      </w:r>
      <w:r w:rsidRPr="000F1E29">
        <w:rPr>
          <w:rFonts w:hint="eastAsia"/>
          <w:rtl/>
        </w:rPr>
        <w:t>רכוש</w:t>
      </w:r>
      <w:r w:rsidRPr="000F1E29">
        <w:rPr>
          <w:rtl/>
        </w:rPr>
        <w:t xml:space="preserve"> </w:t>
      </w:r>
      <w:r w:rsidRPr="000F1E29">
        <w:rPr>
          <w:rFonts w:hint="eastAsia"/>
          <w:rtl/>
        </w:rPr>
        <w:t>ממשלתי</w:t>
      </w:r>
      <w:r w:rsidRPr="000F1E29">
        <w:rPr>
          <w:rFonts w:hint="cs"/>
          <w:rtl/>
        </w:rPr>
        <w:t xml:space="preserve">, </w:t>
      </w:r>
      <w:r>
        <w:rPr>
          <w:rFonts w:hint="cs"/>
          <w:rtl/>
        </w:rPr>
        <w:t>ו</w:t>
      </w:r>
      <w:r w:rsidRPr="000F1E29">
        <w:rPr>
          <w:rFonts w:hint="eastAsia"/>
          <w:rtl/>
        </w:rPr>
        <w:t>אופן</w:t>
      </w:r>
      <w:r w:rsidRPr="000F1E29">
        <w:rPr>
          <w:rtl/>
        </w:rPr>
        <w:t xml:space="preserve"> </w:t>
      </w:r>
      <w:r w:rsidRPr="000F1E29">
        <w:rPr>
          <w:rFonts w:hint="eastAsia"/>
          <w:rtl/>
        </w:rPr>
        <w:t>יישומ</w:t>
      </w:r>
      <w:r>
        <w:rPr>
          <w:rFonts w:hint="cs"/>
          <w:rtl/>
        </w:rPr>
        <w:t>ה.</w:t>
      </w:r>
      <w:r w:rsidRPr="000F1E29">
        <w:rPr>
          <w:rtl/>
        </w:rPr>
        <w:t xml:space="preserve"> </w:t>
      </w:r>
      <w:r w:rsidRPr="000F1E29">
        <w:rPr>
          <w:rFonts w:hint="eastAsia"/>
          <w:rtl/>
        </w:rPr>
        <w:t>סעיף</w:t>
      </w:r>
      <w:r w:rsidRPr="000F1E29">
        <w:rPr>
          <w:rtl/>
        </w:rPr>
        <w:t xml:space="preserve"> 5 </w:t>
      </w:r>
      <w:r w:rsidRPr="000F1E29">
        <w:rPr>
          <w:rFonts w:hint="eastAsia"/>
          <w:rtl/>
        </w:rPr>
        <w:t>מורה</w:t>
      </w:r>
      <w:r w:rsidRPr="000F1E29">
        <w:rPr>
          <w:rtl/>
        </w:rPr>
        <w:t xml:space="preserve"> </w:t>
      </w:r>
      <w:r w:rsidRPr="000F1E29">
        <w:rPr>
          <w:rFonts w:hint="eastAsia"/>
          <w:rtl/>
        </w:rPr>
        <w:t>כדלקמן</w:t>
      </w:r>
      <w:r w:rsidRPr="000F1E29">
        <w:rPr>
          <w:rtl/>
        </w:rPr>
        <w:t>:</w:t>
      </w:r>
    </w:p>
    <w:p w:rsidR="00C41523" w:rsidRPr="000F1E29" w:rsidRDefault="00C41523" w:rsidP="00C41523">
      <w:pPr>
        <w:pStyle w:val="Ruller41"/>
        <w:spacing w:line="240" w:lineRule="auto"/>
        <w:rPr>
          <w:rtl/>
        </w:rPr>
      </w:pPr>
    </w:p>
    <w:p w:rsidR="00C41523" w:rsidRPr="000F1E29" w:rsidRDefault="00C41523" w:rsidP="00C41523">
      <w:pPr>
        <w:pStyle w:val="Ruller5"/>
        <w:rPr>
          <w:rFonts w:ascii="Century" w:hAnsi="Century" w:cs="Miriam"/>
          <w:b/>
          <w:spacing w:val="0"/>
          <w:szCs w:val="24"/>
        </w:rPr>
      </w:pPr>
      <w:r w:rsidRPr="000F1E29">
        <w:rPr>
          <w:rStyle w:val="big-number"/>
          <w:rFonts w:ascii="Century" w:eastAsiaTheme="majorEastAsia" w:hAnsi="Century" w:cs="Miriam"/>
          <w:b/>
          <w:spacing w:val="0"/>
          <w:szCs w:val="24"/>
          <w:rtl/>
        </w:rPr>
        <w:t>כשרות עיסקות</w:t>
      </w:r>
    </w:p>
    <w:p w:rsidR="00C41523" w:rsidRPr="000F1E29" w:rsidRDefault="00C41523" w:rsidP="00C41523">
      <w:pPr>
        <w:pStyle w:val="Ruller5"/>
        <w:rPr>
          <w:rFonts w:ascii="Century" w:hAnsi="Century" w:cs="Miriam"/>
          <w:b/>
          <w:spacing w:val="0"/>
          <w:szCs w:val="24"/>
          <w:rtl/>
        </w:rPr>
      </w:pPr>
      <w:r w:rsidRPr="000F1E29">
        <w:rPr>
          <w:rStyle w:val="big-number"/>
          <w:rFonts w:ascii="Century" w:eastAsiaTheme="majorEastAsia" w:hAnsi="Century" w:cs="Miriam"/>
          <w:b/>
          <w:spacing w:val="0"/>
          <w:szCs w:val="24"/>
          <w:rtl/>
        </w:rPr>
        <w:t>5</w:t>
      </w:r>
      <w:r w:rsidRPr="000F1E29">
        <w:rPr>
          <w:rStyle w:val="default"/>
          <w:rFonts w:ascii="Century" w:eastAsiaTheme="majorEastAsia" w:hAnsi="Century" w:cs="Miriam"/>
          <w:b/>
          <w:spacing w:val="0"/>
          <w:rtl/>
        </w:rPr>
        <w:t>.</w:t>
      </w:r>
      <w:r w:rsidRPr="000F1E29">
        <w:rPr>
          <w:rStyle w:val="default"/>
          <w:rFonts w:ascii="Century" w:eastAsiaTheme="majorEastAsia" w:hAnsi="Century" w:cs="Miriam" w:hint="cs"/>
          <w:b/>
          <w:spacing w:val="0"/>
          <w:rtl/>
        </w:rPr>
        <w:t xml:space="preserve"> </w:t>
      </w:r>
      <w:r w:rsidRPr="000F1E29">
        <w:rPr>
          <w:rStyle w:val="default"/>
          <w:rFonts w:ascii="Century" w:eastAsiaTheme="majorEastAsia" w:hAnsi="Century" w:cs="Miriam"/>
          <w:b/>
          <w:spacing w:val="0"/>
          <w:rtl/>
        </w:rPr>
        <w:t>כל עיסקה שנעשתה בתום לב בין הממונה ובין אדם אחר בכל נכס שהממונה חשבו בשעת העיסקה לרכוש ממשלתי, לא תיפסל ותעמוד בתקפה גם אם יוכח שהנכס לא היה אותה שעה רכוש ממשלתי.</w:t>
      </w:r>
    </w:p>
    <w:p w:rsidR="00C41523" w:rsidRPr="000F1E29" w:rsidRDefault="00C41523" w:rsidP="00C41523">
      <w:pPr>
        <w:pStyle w:val="Ruller41"/>
        <w:spacing w:line="240" w:lineRule="auto"/>
        <w:rPr>
          <w:rtl/>
        </w:rPr>
      </w:pPr>
    </w:p>
    <w:p w:rsidR="00C41523" w:rsidRPr="000F1E29" w:rsidRDefault="00C41523" w:rsidP="00037B32">
      <w:pPr>
        <w:pStyle w:val="Ruller41"/>
        <w:rPr>
          <w:rFonts w:ascii="Century" w:hAnsi="Century"/>
          <w:rtl/>
        </w:rPr>
      </w:pPr>
      <w:r w:rsidRPr="000F1E29">
        <w:rPr>
          <w:rtl/>
        </w:rPr>
        <w:tab/>
      </w:r>
      <w:r w:rsidRPr="000F1E29">
        <w:rPr>
          <w:rFonts w:hint="cs"/>
          <w:rtl/>
        </w:rPr>
        <w:t xml:space="preserve">דומה כי הכל מסכימים כי הן הממונה על הרכוש הממשלתי (להלן: </w:t>
      </w:r>
      <w:r w:rsidRPr="000F1E29">
        <w:rPr>
          <w:rFonts w:ascii="Century" w:hAnsi="Century" w:cs="Miriam" w:hint="cs"/>
          <w:b/>
          <w:spacing w:val="0"/>
          <w:szCs w:val="24"/>
          <w:rtl/>
        </w:rPr>
        <w:t>הממונה</w:t>
      </w:r>
      <w:r w:rsidRPr="000F1E29">
        <w:rPr>
          <w:rFonts w:hint="cs"/>
          <w:rtl/>
        </w:rPr>
        <w:t xml:space="preserve">) הן "האדם האחר" שעמו הוא מתקשר בעסקה, נדרשים לעמוד בסטנדרט תום לב </w:t>
      </w:r>
      <w:r w:rsidRPr="000F1E29">
        <w:rPr>
          <w:rFonts w:ascii="Century" w:hAnsi="Century" w:cs="Miriam" w:hint="cs"/>
          <w:b/>
          <w:spacing w:val="0"/>
          <w:szCs w:val="24"/>
          <w:rtl/>
        </w:rPr>
        <w:t>סובייקטיבי</w:t>
      </w:r>
      <w:r w:rsidRPr="000F1E29">
        <w:rPr>
          <w:rFonts w:hint="cs"/>
          <w:rtl/>
        </w:rPr>
        <w:t xml:space="preserve">. המחלוקת </w:t>
      </w:r>
      <w:r>
        <w:rPr>
          <w:rFonts w:hint="cs"/>
          <w:rtl/>
        </w:rPr>
        <w:t>בין חבריי</w:t>
      </w:r>
      <w:r w:rsidRPr="000F1E29">
        <w:rPr>
          <w:rFonts w:hint="cs"/>
          <w:rtl/>
        </w:rPr>
        <w:t xml:space="preserve"> נסבה</w:t>
      </w:r>
      <w:r>
        <w:rPr>
          <w:rFonts w:hint="cs"/>
          <w:rtl/>
        </w:rPr>
        <w:t xml:space="preserve"> </w:t>
      </w:r>
      <w:r w:rsidRPr="000F1E29">
        <w:rPr>
          <w:rFonts w:hint="cs"/>
          <w:rtl/>
        </w:rPr>
        <w:t xml:space="preserve">בעיקרה על רף הסטנדרט הנדרש. חברי המשנה לנשיאה </w:t>
      </w:r>
      <w:r w:rsidRPr="000F1E29">
        <w:rPr>
          <w:rFonts w:ascii="Century" w:hAnsi="Century" w:cs="Miriam" w:hint="cs"/>
          <w:b/>
          <w:spacing w:val="0"/>
          <w:szCs w:val="24"/>
          <w:rtl/>
        </w:rPr>
        <w:t>ע' פוגלמן</w:t>
      </w:r>
      <w:r w:rsidRPr="000F1E29">
        <w:rPr>
          <w:rFonts w:hint="cs"/>
          <w:rtl/>
        </w:rPr>
        <w:t xml:space="preserve"> אימץ בחוות דעתו את עמדת חברתי הנשיאה </w:t>
      </w:r>
      <w:r w:rsidRPr="000F1E29">
        <w:rPr>
          <w:rFonts w:ascii="Century" w:hAnsi="Century" w:cs="Miriam" w:hint="cs"/>
          <w:b/>
          <w:spacing w:val="0"/>
          <w:szCs w:val="24"/>
          <w:rtl/>
        </w:rPr>
        <w:t>א' חיות</w:t>
      </w:r>
      <w:r w:rsidRPr="000F1E29">
        <w:rPr>
          <w:rFonts w:hint="cs"/>
          <w:rtl/>
        </w:rPr>
        <w:t xml:space="preserve"> כפי שזו הובעה בפסק הדין נושא הדיון נוסף, שלפיה יש לערוך הבחנה בין סטנדרט תום הלב הסובייקטיבי שבו נדרש לעמוד הממונה, ובין סטנדרט תום הלב שבו נדרש לעמוד הגורם </w:t>
      </w:r>
      <w:r>
        <w:rPr>
          <w:rFonts w:hint="cs"/>
          <w:rtl/>
        </w:rPr>
        <w:t>ש</w:t>
      </w:r>
      <w:r w:rsidRPr="000F1E29">
        <w:rPr>
          <w:rFonts w:hint="cs"/>
          <w:rtl/>
        </w:rPr>
        <w:t>ע</w:t>
      </w:r>
      <w:r>
        <w:rPr>
          <w:rFonts w:hint="cs"/>
          <w:rtl/>
        </w:rPr>
        <w:t>י</w:t>
      </w:r>
      <w:r w:rsidRPr="000F1E29">
        <w:rPr>
          <w:rFonts w:hint="cs"/>
          <w:rtl/>
        </w:rPr>
        <w:t>מו התקשר בעסקה. לגישתם, לצורך תחולת אותה "מעין תקנת שוק" שבסעיף 5 לצו</w:t>
      </w:r>
      <w:r>
        <w:rPr>
          <w:rFonts w:hint="cs"/>
          <w:rtl/>
        </w:rPr>
        <w:t>,</w:t>
      </w:r>
      <w:r w:rsidRPr="000F1E29">
        <w:rPr>
          <w:rFonts w:hint="cs"/>
          <w:rtl/>
        </w:rPr>
        <w:t xml:space="preserve"> יש לבחון את </w:t>
      </w:r>
      <w:r w:rsidRPr="000F1E29">
        <w:rPr>
          <w:rFonts w:hint="cs"/>
          <w:rtl/>
        </w:rPr>
        <w:lastRenderedPageBreak/>
        <w:t xml:space="preserve">תום ליבו הסובייקטיבי של הממונה </w:t>
      </w:r>
      <w:r w:rsidRPr="000F1E29">
        <w:rPr>
          <w:rFonts w:ascii="Century" w:hAnsi="Century" w:hint="cs"/>
          <w:rtl/>
        </w:rPr>
        <w:t xml:space="preserve">באמת מידה קפדנית </w:t>
      </w:r>
      <w:r w:rsidRPr="000F1E29">
        <w:rPr>
          <w:rFonts w:ascii="Century" w:hAnsi="Century"/>
          <w:rtl/>
        </w:rPr>
        <w:t>–</w:t>
      </w:r>
      <w:r w:rsidRPr="000F1E29">
        <w:rPr>
          <w:rFonts w:ascii="Century" w:hAnsi="Century" w:hint="cs"/>
          <w:rtl/>
        </w:rPr>
        <w:t xml:space="preserve"> תום לב סובייקטיבי מוגבר; ואילו את תום ליבו הסובייקטיבי של המתקשר עם הממונה בעסקה יש לבחון באמת מידה "רגילה" (פסקאות 62-60 לחוות דעתו של המשנה לנשיאה </w:t>
      </w:r>
      <w:r w:rsidRPr="000F1E29">
        <w:rPr>
          <w:rFonts w:ascii="Century" w:hAnsi="Century" w:cs="Miriam" w:hint="cs"/>
          <w:b/>
          <w:spacing w:val="0"/>
          <w:szCs w:val="24"/>
          <w:rtl/>
        </w:rPr>
        <w:t>ע' פוגלמן</w:t>
      </w:r>
      <w:r w:rsidRPr="000F1E29">
        <w:rPr>
          <w:rFonts w:ascii="Century" w:hAnsi="Century" w:hint="cs"/>
          <w:rtl/>
        </w:rPr>
        <w:t xml:space="preserve">; </w:t>
      </w:r>
      <w:r w:rsidRPr="000F1E29">
        <w:rPr>
          <w:rFonts w:hint="cs"/>
          <w:rtl/>
        </w:rPr>
        <w:t>פסקה 44 לחוות דעתה של הנשיאה בפסק הדין נושא הדיון הנוסף</w:t>
      </w:r>
      <w:r w:rsidRPr="000F1E29">
        <w:rPr>
          <w:rFonts w:ascii="Century" w:hAnsi="Century" w:hint="cs"/>
          <w:rtl/>
        </w:rPr>
        <w:t xml:space="preserve">). לעומת זאת, חבריי המשנה לנשיאה (בדימוס) </w:t>
      </w:r>
      <w:r w:rsidRPr="000F1E29">
        <w:rPr>
          <w:rFonts w:ascii="Century" w:hAnsi="Century" w:cs="Miriam" w:hint="cs"/>
          <w:b/>
          <w:spacing w:val="0"/>
          <w:szCs w:val="24"/>
          <w:rtl/>
        </w:rPr>
        <w:t xml:space="preserve">נ' הנדל </w:t>
      </w:r>
      <w:r w:rsidRPr="000F1E29">
        <w:rPr>
          <w:rFonts w:ascii="Century" w:hAnsi="Century" w:hint="cs"/>
          <w:rtl/>
        </w:rPr>
        <w:t xml:space="preserve">והשופט </w:t>
      </w:r>
      <w:r w:rsidRPr="000F1E29">
        <w:rPr>
          <w:rFonts w:ascii="Century" w:hAnsi="Century" w:cs="Miriam" w:hint="cs"/>
          <w:b/>
          <w:spacing w:val="0"/>
          <w:szCs w:val="24"/>
          <w:rtl/>
        </w:rPr>
        <w:t>נ'</w:t>
      </w:r>
      <w:r w:rsidRPr="000F1E29">
        <w:rPr>
          <w:rFonts w:ascii="Century" w:hAnsi="Century" w:hint="cs"/>
          <w:rtl/>
        </w:rPr>
        <w:t xml:space="preserve"> </w:t>
      </w:r>
      <w:r w:rsidRPr="000F1E29">
        <w:rPr>
          <w:rFonts w:ascii="Century" w:hAnsi="Century" w:cs="Miriam" w:hint="cs"/>
          <w:b/>
          <w:spacing w:val="0"/>
          <w:szCs w:val="24"/>
          <w:rtl/>
        </w:rPr>
        <w:t>סולברג</w:t>
      </w:r>
      <w:r w:rsidRPr="000F1E29">
        <w:rPr>
          <w:rFonts w:ascii="Century" w:hAnsi="Century" w:hint="cs"/>
          <w:rtl/>
        </w:rPr>
        <w:t xml:space="preserve"> סבורים כי אין מקום להחמיר בדרישת תום הלב של הממונה (פסקה 3 לחוות דעתו של המשנה לנשיאה (בדימוס) </w:t>
      </w:r>
      <w:r w:rsidRPr="000F1E29">
        <w:rPr>
          <w:rFonts w:ascii="Century" w:hAnsi="Century" w:cs="Miriam" w:hint="cs"/>
          <w:b/>
          <w:spacing w:val="0"/>
          <w:szCs w:val="24"/>
          <w:rtl/>
        </w:rPr>
        <w:t>נ' הנדל</w:t>
      </w:r>
      <w:r w:rsidRPr="000F1E29">
        <w:rPr>
          <w:rFonts w:ascii="Century" w:hAnsi="Century" w:hint="cs"/>
          <w:rtl/>
        </w:rPr>
        <w:t xml:space="preserve">; פסקה </w:t>
      </w:r>
      <w:r w:rsidR="00037B32">
        <w:rPr>
          <w:rFonts w:ascii="Century" w:hAnsi="Century" w:hint="cs"/>
          <w:rtl/>
        </w:rPr>
        <w:t>93</w:t>
      </w:r>
      <w:r w:rsidRPr="000F1E29">
        <w:rPr>
          <w:rFonts w:ascii="Century" w:hAnsi="Century" w:hint="cs"/>
          <w:rtl/>
        </w:rPr>
        <w:t xml:space="preserve"> לחוות דעתו של השופט </w:t>
      </w:r>
      <w:r w:rsidRPr="000F1E29">
        <w:rPr>
          <w:rFonts w:ascii="Century" w:hAnsi="Century" w:cs="Miriam" w:hint="cs"/>
          <w:b/>
          <w:spacing w:val="0"/>
          <w:szCs w:val="24"/>
          <w:rtl/>
        </w:rPr>
        <w:t>נ' סולברג</w:t>
      </w:r>
      <w:r w:rsidRPr="000F1E29">
        <w:rPr>
          <w:rFonts w:ascii="Century" w:hAnsi="Century" w:hint="cs"/>
          <w:rtl/>
        </w:rPr>
        <w:t xml:space="preserve">). </w:t>
      </w:r>
    </w:p>
    <w:p w:rsidR="00C41523" w:rsidRPr="000F1E29" w:rsidRDefault="00C41523" w:rsidP="00C41523">
      <w:pPr>
        <w:pStyle w:val="Ruller41"/>
        <w:rPr>
          <w:rtl/>
        </w:rPr>
      </w:pPr>
    </w:p>
    <w:p w:rsidR="00C41523" w:rsidRDefault="00C41523" w:rsidP="00C41523">
      <w:pPr>
        <w:pStyle w:val="Ruller4"/>
        <w:rPr>
          <w:rtl/>
        </w:rPr>
      </w:pPr>
      <w:r w:rsidRPr="000F1E29">
        <w:rPr>
          <w:rtl/>
        </w:rPr>
        <w:tab/>
      </w:r>
      <w:r w:rsidRPr="000F1E29">
        <w:rPr>
          <w:rFonts w:hint="cs"/>
          <w:rtl/>
        </w:rPr>
        <w:t xml:space="preserve">כאמור, במחלוקת שנפלה בין חבריי דעתי כדעת המשנה לנשיאה </w:t>
      </w:r>
      <w:r w:rsidRPr="000F1E29">
        <w:rPr>
          <w:rFonts w:ascii="Century" w:hAnsi="Century" w:cs="Miriam" w:hint="cs"/>
          <w:b/>
          <w:spacing w:val="0"/>
          <w:szCs w:val="24"/>
          <w:rtl/>
        </w:rPr>
        <w:t>ע' פוגלמן</w:t>
      </w:r>
      <w:r w:rsidRPr="000F1E29">
        <w:rPr>
          <w:rFonts w:hint="cs"/>
          <w:rtl/>
        </w:rPr>
        <w:t xml:space="preserve"> כי לצורך השתכללות תקנת השוק שבסעיף 5 לצו בדבר רכוש ממשלתי, הממונה נדרש לעמוד בסטנדרט תום לב סובייקטיבי </w:t>
      </w:r>
      <w:r w:rsidRPr="000F1E29">
        <w:rPr>
          <w:rFonts w:ascii="Century" w:hAnsi="Century" w:cs="Miriam" w:hint="cs"/>
          <w:b/>
          <w:spacing w:val="0"/>
          <w:szCs w:val="24"/>
          <w:rtl/>
        </w:rPr>
        <w:t>ברף הגבוה</w:t>
      </w:r>
      <w:r w:rsidRPr="000F1E29">
        <w:rPr>
          <w:rFonts w:hint="cs"/>
          <w:rtl/>
        </w:rPr>
        <w:t>. כך בהינתן העובדה כי מדובר במקרקעין המצויים בשטח הנתון בתפיסה לוחמתית, הכפוף לחובות שונות מכוח המשפט הבינלאומי; כך משום החובה המוטלת על המפקד הצבאי להגן</w:t>
      </w:r>
      <w:r>
        <w:rPr>
          <w:rFonts w:hint="cs"/>
          <w:rtl/>
        </w:rPr>
        <w:t xml:space="preserve"> על</w:t>
      </w:r>
      <w:r w:rsidRPr="000F1E29">
        <w:rPr>
          <w:rFonts w:hint="cs"/>
          <w:rtl/>
        </w:rPr>
        <w:t xml:space="preserve"> זכות הקניין של האוכלוסייה באזור יהודה ו</w:t>
      </w:r>
      <w:r>
        <w:rPr>
          <w:rFonts w:hint="cs"/>
          <w:rtl/>
        </w:rPr>
        <w:t>ה</w:t>
      </w:r>
      <w:r w:rsidRPr="000F1E29">
        <w:rPr>
          <w:rFonts w:hint="cs"/>
          <w:rtl/>
        </w:rPr>
        <w:t>שומרון, הם "התושבים המוגנים"; וכך בשים לב לפגיעה הקשה המגולמת בזכות הבעלים "המקורי" בעקבות הכרה בתוקף העסקה שערך הממונה עם אותו גורם אחר</w:t>
      </w:r>
      <w:r>
        <w:rPr>
          <w:rFonts w:hint="cs"/>
          <w:rtl/>
        </w:rPr>
        <w:t>. יפים בהקשר לסעיף 5 לצו דבריה של יו"ר ועדת העררים הצבאית, השופטת סא"ל</w:t>
      </w:r>
      <w:r w:rsidRPr="002803DB">
        <w:rPr>
          <w:rFonts w:ascii="Century" w:hAnsi="Century" w:cs="Miriam" w:hint="cs"/>
          <w:b/>
          <w:spacing w:val="0"/>
          <w:szCs w:val="24"/>
          <w:rtl/>
        </w:rPr>
        <w:t xml:space="preserve"> ד' קאופמן</w:t>
      </w:r>
      <w:r>
        <w:rPr>
          <w:rFonts w:hint="cs"/>
          <w:rtl/>
        </w:rPr>
        <w:t xml:space="preserve"> כי "</w:t>
      </w:r>
      <w:r w:rsidRPr="002803DB">
        <w:rPr>
          <w:rFonts w:ascii="Century" w:hAnsi="Century" w:cs="Miriam"/>
          <w:b/>
          <w:spacing w:val="0"/>
          <w:szCs w:val="24"/>
          <w:rtl/>
        </w:rPr>
        <w:t>מדובר בסעיף המהווה פגיעה חמורה בזכויות הקניין של בעל המקרקעין 'המקורי' ועל כן יש לדרוש מן הממונה על הרכוש הממשלתי, בהיותו נציג הריבון, רף גבוה של דרישת תום הלב</w:t>
      </w:r>
      <w:r>
        <w:rPr>
          <w:rFonts w:hint="cs"/>
          <w:rtl/>
        </w:rPr>
        <w:t>"</w:t>
      </w:r>
      <w:r w:rsidRPr="000F1E29">
        <w:rPr>
          <w:rFonts w:hint="cs"/>
          <w:rtl/>
        </w:rPr>
        <w:t xml:space="preserve"> (</w:t>
      </w:r>
      <w:r w:rsidRPr="000F1E29">
        <w:rPr>
          <w:rFonts w:hint="eastAsia"/>
          <w:rtl/>
        </w:rPr>
        <w:t>ערר</w:t>
      </w:r>
      <w:r w:rsidRPr="000F1E29">
        <w:rPr>
          <w:rtl/>
        </w:rPr>
        <w:t xml:space="preserve"> (</w:t>
      </w:r>
      <w:r w:rsidRPr="000F1E29">
        <w:rPr>
          <w:rFonts w:hint="eastAsia"/>
          <w:rtl/>
        </w:rPr>
        <w:t>איו</w:t>
      </w:r>
      <w:r w:rsidRPr="000F1E29">
        <w:rPr>
          <w:rtl/>
        </w:rPr>
        <w:t>"</w:t>
      </w:r>
      <w:r w:rsidRPr="000F1E29">
        <w:rPr>
          <w:rFonts w:hint="eastAsia"/>
          <w:rtl/>
        </w:rPr>
        <w:t>ש</w:t>
      </w:r>
      <w:r w:rsidRPr="000F1E29">
        <w:rPr>
          <w:rtl/>
        </w:rPr>
        <w:t xml:space="preserve">) 121/15 </w:t>
      </w:r>
      <w:r w:rsidRPr="000F1E29">
        <w:rPr>
          <w:rFonts w:ascii="Century" w:hAnsi="Century" w:cs="Miriam" w:hint="eastAsia"/>
          <w:b/>
          <w:spacing w:val="0"/>
          <w:szCs w:val="24"/>
          <w:rtl/>
        </w:rPr>
        <w:t>צלאח</w:t>
      </w:r>
      <w:r w:rsidRPr="000F1E29">
        <w:rPr>
          <w:rFonts w:ascii="Century" w:hAnsi="Century" w:cs="Miriam"/>
          <w:b/>
          <w:spacing w:val="0"/>
          <w:szCs w:val="24"/>
          <w:rtl/>
        </w:rPr>
        <w:t xml:space="preserve"> </w:t>
      </w:r>
      <w:r w:rsidRPr="000F1E29">
        <w:rPr>
          <w:rFonts w:ascii="Century" w:hAnsi="Century" w:cs="Miriam" w:hint="eastAsia"/>
          <w:b/>
          <w:spacing w:val="0"/>
          <w:szCs w:val="24"/>
          <w:rtl/>
        </w:rPr>
        <w:t>נ</w:t>
      </w:r>
      <w:r w:rsidRPr="000F1E29">
        <w:rPr>
          <w:rFonts w:ascii="Century" w:hAnsi="Century" w:cs="Miriam"/>
          <w:b/>
          <w:spacing w:val="0"/>
          <w:szCs w:val="24"/>
          <w:rtl/>
        </w:rPr>
        <w:t xml:space="preserve">' </w:t>
      </w:r>
      <w:r w:rsidRPr="000F1E29">
        <w:rPr>
          <w:rFonts w:ascii="Century" w:hAnsi="Century" w:cs="Miriam" w:hint="eastAsia"/>
          <w:b/>
          <w:spacing w:val="0"/>
          <w:szCs w:val="24"/>
          <w:rtl/>
        </w:rPr>
        <w:t>הממונה</w:t>
      </w:r>
      <w:r w:rsidRPr="000F1E29">
        <w:rPr>
          <w:rFonts w:ascii="Century" w:hAnsi="Century" w:cs="Miriam"/>
          <w:b/>
          <w:spacing w:val="0"/>
          <w:szCs w:val="24"/>
          <w:rtl/>
        </w:rPr>
        <w:t xml:space="preserve"> </w:t>
      </w:r>
      <w:r w:rsidRPr="000F1E29">
        <w:rPr>
          <w:rFonts w:ascii="Century" w:hAnsi="Century" w:cs="Miriam" w:hint="eastAsia"/>
          <w:b/>
          <w:spacing w:val="0"/>
          <w:szCs w:val="24"/>
          <w:rtl/>
        </w:rPr>
        <w:t>על</w:t>
      </w:r>
      <w:r w:rsidRPr="000F1E29">
        <w:rPr>
          <w:rFonts w:ascii="Century" w:hAnsi="Century" w:cs="Miriam"/>
          <w:b/>
          <w:spacing w:val="0"/>
          <w:szCs w:val="24"/>
          <w:rtl/>
        </w:rPr>
        <w:t xml:space="preserve"> </w:t>
      </w:r>
      <w:r w:rsidRPr="000F1E29">
        <w:rPr>
          <w:rFonts w:ascii="Century" w:hAnsi="Century" w:cs="Miriam" w:hint="eastAsia"/>
          <w:b/>
          <w:spacing w:val="0"/>
          <w:szCs w:val="24"/>
          <w:rtl/>
        </w:rPr>
        <w:t>הרכוש</w:t>
      </w:r>
      <w:r w:rsidRPr="000F1E29">
        <w:rPr>
          <w:rFonts w:ascii="Century" w:hAnsi="Century" w:cs="Miriam"/>
          <w:b/>
          <w:spacing w:val="0"/>
          <w:szCs w:val="24"/>
          <w:rtl/>
        </w:rPr>
        <w:t xml:space="preserve"> </w:t>
      </w:r>
      <w:r w:rsidRPr="000F1E29">
        <w:rPr>
          <w:rFonts w:ascii="Century" w:hAnsi="Century" w:cs="Miriam" w:hint="eastAsia"/>
          <w:b/>
          <w:spacing w:val="0"/>
          <w:szCs w:val="24"/>
          <w:rtl/>
        </w:rPr>
        <w:t>הממשלתי</w:t>
      </w:r>
      <w:r w:rsidRPr="000F1E29">
        <w:rPr>
          <w:rFonts w:ascii="Century" w:hAnsi="Century" w:cs="Miriam"/>
          <w:b/>
          <w:spacing w:val="0"/>
          <w:szCs w:val="24"/>
          <w:rtl/>
        </w:rPr>
        <w:t xml:space="preserve"> </w:t>
      </w:r>
      <w:r w:rsidRPr="000F1E29">
        <w:rPr>
          <w:rFonts w:ascii="Century" w:hAnsi="Century" w:cs="Miriam" w:hint="eastAsia"/>
          <w:b/>
          <w:spacing w:val="0"/>
          <w:szCs w:val="24"/>
          <w:rtl/>
        </w:rPr>
        <w:t>והנטוש</w:t>
      </w:r>
      <w:r w:rsidRPr="000F1E29">
        <w:rPr>
          <w:rFonts w:ascii="Century" w:hAnsi="Century" w:cs="Miriam"/>
          <w:b/>
          <w:spacing w:val="0"/>
          <w:szCs w:val="24"/>
          <w:rtl/>
        </w:rPr>
        <w:t xml:space="preserve"> </w:t>
      </w:r>
      <w:r w:rsidRPr="000F1E29">
        <w:rPr>
          <w:rFonts w:ascii="Century" w:hAnsi="Century" w:cs="Miriam" w:hint="eastAsia"/>
          <w:b/>
          <w:spacing w:val="0"/>
          <w:szCs w:val="24"/>
          <w:rtl/>
        </w:rPr>
        <w:t>באיו</w:t>
      </w:r>
      <w:r w:rsidRPr="000F1E29">
        <w:rPr>
          <w:rFonts w:ascii="Century" w:hAnsi="Century" w:cs="Miriam"/>
          <w:b/>
          <w:spacing w:val="0"/>
          <w:szCs w:val="24"/>
          <w:rtl/>
        </w:rPr>
        <w:t>"</w:t>
      </w:r>
      <w:r w:rsidRPr="000F1E29">
        <w:rPr>
          <w:rFonts w:ascii="Century" w:hAnsi="Century" w:cs="Miriam" w:hint="eastAsia"/>
          <w:b/>
          <w:spacing w:val="0"/>
          <w:szCs w:val="24"/>
          <w:rtl/>
        </w:rPr>
        <w:t>ש</w:t>
      </w:r>
      <w:r w:rsidRPr="000F1E29">
        <w:rPr>
          <w:rtl/>
        </w:rPr>
        <w:t xml:space="preserve">, </w:t>
      </w:r>
      <w:r w:rsidRPr="000F1E29">
        <w:rPr>
          <w:rFonts w:hint="eastAsia"/>
          <w:rtl/>
        </w:rPr>
        <w:t>פסקה</w:t>
      </w:r>
      <w:r w:rsidRPr="000F1E29">
        <w:rPr>
          <w:rtl/>
        </w:rPr>
        <w:t xml:space="preserve"> 3 (28.2.2017)</w:t>
      </w:r>
      <w:r>
        <w:rPr>
          <w:rFonts w:hint="cs"/>
          <w:rtl/>
        </w:rPr>
        <w:t xml:space="preserve">). וכפי שהיטיב המשנה לנשיאה לבאר, הממונה אינו יכול לחסות תחת טענת תום לב </w:t>
      </w:r>
      <w:r w:rsidRPr="00C46D1B">
        <w:rPr>
          <w:rtl/>
        </w:rPr>
        <w:t>מקום שבו היו בפני</w:t>
      </w:r>
      <w:r>
        <w:rPr>
          <w:rFonts w:hint="cs"/>
          <w:rtl/>
        </w:rPr>
        <w:t>ו</w:t>
      </w:r>
      <w:r w:rsidRPr="00C46D1B">
        <w:rPr>
          <w:rtl/>
        </w:rPr>
        <w:t xml:space="preserve"> סימני אזהרה מחש</w:t>
      </w:r>
      <w:r>
        <w:rPr>
          <w:rtl/>
        </w:rPr>
        <w:t>ידים וזה</w:t>
      </w:r>
      <w:r>
        <w:rPr>
          <w:rFonts w:hint="cs"/>
          <w:rtl/>
        </w:rPr>
        <w:t xml:space="preserve"> </w:t>
      </w:r>
      <w:r>
        <w:rPr>
          <w:rtl/>
        </w:rPr>
        <w:t>"עצם את עיניו" מלראותם</w:t>
      </w:r>
      <w:r>
        <w:rPr>
          <w:rFonts w:hint="cs"/>
          <w:rtl/>
        </w:rPr>
        <w:t xml:space="preserve"> או כאשר העניק להם מענה חלקי (פסקה 60 לחוות דעתו). </w:t>
      </w:r>
    </w:p>
    <w:p w:rsidR="00C41523" w:rsidRDefault="00C41523" w:rsidP="00C41523">
      <w:pPr>
        <w:pStyle w:val="Ruller41"/>
        <w:rPr>
          <w:rtl/>
        </w:rPr>
      </w:pPr>
    </w:p>
    <w:p w:rsidR="00C41523" w:rsidRDefault="00C41523" w:rsidP="00C41523">
      <w:pPr>
        <w:pStyle w:val="Ruller41"/>
        <w:rPr>
          <w:rtl/>
        </w:rPr>
      </w:pPr>
      <w:r>
        <w:rPr>
          <w:rtl/>
        </w:rPr>
        <w:tab/>
      </w:r>
      <w:r>
        <w:rPr>
          <w:rFonts w:hint="cs"/>
          <w:rtl/>
        </w:rPr>
        <w:t>ל</w:t>
      </w:r>
      <w:r w:rsidRPr="000F1E29">
        <w:rPr>
          <w:rFonts w:hint="cs"/>
          <w:rtl/>
        </w:rPr>
        <w:t xml:space="preserve">נוכח </w:t>
      </w:r>
      <w:r>
        <w:rPr>
          <w:rFonts w:hint="cs"/>
          <w:rtl/>
        </w:rPr>
        <w:t>העובדה שעלינו לבחון את תום ליבו הסובייקטיבי של הממונה ברף הגבוה</w:t>
      </w:r>
      <w:r w:rsidRPr="000F1E29">
        <w:rPr>
          <w:rFonts w:hint="cs"/>
          <w:rtl/>
        </w:rPr>
        <w:t>, אין מנוס מלקבוע כי בנסיבות המקרה הממונה לא עמד בדרישת תום הלב</w:t>
      </w:r>
      <w:r>
        <w:rPr>
          <w:rFonts w:hint="cs"/>
          <w:rtl/>
        </w:rPr>
        <w:t xml:space="preserve"> המצופה ממנו לצורך סעיף 5 לצו בדבר רכוש ממשלתי. כך משום סימני האזהרה השונים שהופיעו בפני הממונה לאורך השנים, ובהם </w:t>
      </w:r>
      <w:r w:rsidRPr="00A801BD">
        <w:rPr>
          <w:rtl/>
        </w:rPr>
        <w:t xml:space="preserve">חוסר ההתאמה בין שטח צו התפיסה ובין </w:t>
      </w:r>
      <w:r w:rsidRPr="000F1E29">
        <w:rPr>
          <w:rFonts w:hint="cs"/>
          <w:rtl/>
        </w:rPr>
        <w:t xml:space="preserve">תוכנית </w:t>
      </w:r>
      <w:r w:rsidRPr="000F1E29">
        <w:rPr>
          <w:rFonts w:hint="eastAsia"/>
          <w:rtl/>
        </w:rPr>
        <w:t>מתאר</w:t>
      </w:r>
      <w:r w:rsidRPr="000F1E29">
        <w:rPr>
          <w:rtl/>
        </w:rPr>
        <w:t xml:space="preserve"> </w:t>
      </w:r>
      <w:r w:rsidRPr="000F1E29">
        <w:rPr>
          <w:rFonts w:hint="eastAsia"/>
          <w:rtl/>
        </w:rPr>
        <w:t>מפורטת</w:t>
      </w:r>
      <w:r w:rsidRPr="000F1E29">
        <w:rPr>
          <w:rtl/>
        </w:rPr>
        <w:t xml:space="preserve"> 223 "</w:t>
      </w:r>
      <w:r w:rsidRPr="000F1E29">
        <w:rPr>
          <w:rFonts w:hint="eastAsia"/>
          <w:rtl/>
        </w:rPr>
        <w:t>ישוב</w:t>
      </w:r>
      <w:r w:rsidRPr="000F1E29">
        <w:rPr>
          <w:rtl/>
        </w:rPr>
        <w:t xml:space="preserve"> </w:t>
      </w:r>
      <w:r w:rsidRPr="000F1E29">
        <w:rPr>
          <w:rFonts w:hint="eastAsia"/>
          <w:rtl/>
        </w:rPr>
        <w:t>קהילתי</w:t>
      </w:r>
      <w:r w:rsidRPr="000F1E29">
        <w:rPr>
          <w:rtl/>
        </w:rPr>
        <w:t xml:space="preserve"> </w:t>
      </w:r>
      <w:r w:rsidRPr="000F1E29">
        <w:rPr>
          <w:rFonts w:hint="eastAsia"/>
          <w:rtl/>
        </w:rPr>
        <w:t>כוכב</w:t>
      </w:r>
      <w:r w:rsidRPr="000F1E29">
        <w:rPr>
          <w:rtl/>
        </w:rPr>
        <w:t xml:space="preserve"> </w:t>
      </w:r>
      <w:r w:rsidRPr="000F1E29">
        <w:rPr>
          <w:rFonts w:hint="eastAsia"/>
          <w:rtl/>
        </w:rPr>
        <w:t>השחר</w:t>
      </w:r>
      <w:r w:rsidRPr="000F1E29">
        <w:rPr>
          <w:rtl/>
        </w:rPr>
        <w:t>" (1982)</w:t>
      </w:r>
      <w:r w:rsidRPr="000F1E29">
        <w:rPr>
          <w:rFonts w:hint="cs"/>
          <w:rtl/>
        </w:rPr>
        <w:t xml:space="preserve"> </w:t>
      </w:r>
      <w:r w:rsidRPr="000F1E29">
        <w:rPr>
          <w:rtl/>
        </w:rPr>
        <w:t>(</w:t>
      </w:r>
      <w:r w:rsidRPr="000F1E29">
        <w:rPr>
          <w:rFonts w:hint="eastAsia"/>
          <w:rtl/>
        </w:rPr>
        <w:t>להלן</w:t>
      </w:r>
      <w:r w:rsidRPr="000F1E29">
        <w:rPr>
          <w:rtl/>
        </w:rPr>
        <w:t xml:space="preserve">: </w:t>
      </w:r>
      <w:r w:rsidRPr="000F1E29">
        <w:rPr>
          <w:rFonts w:ascii="Century" w:hAnsi="Century" w:cs="Miriam" w:hint="eastAsia"/>
          <w:b/>
          <w:spacing w:val="0"/>
          <w:szCs w:val="24"/>
          <w:rtl/>
        </w:rPr>
        <w:t>ת</w:t>
      </w:r>
      <w:r w:rsidRPr="000F1E29">
        <w:rPr>
          <w:rFonts w:ascii="Century" w:hAnsi="Century" w:cs="Miriam" w:hint="cs"/>
          <w:b/>
          <w:spacing w:val="0"/>
          <w:szCs w:val="24"/>
          <w:rtl/>
        </w:rPr>
        <w:t>ו</w:t>
      </w:r>
      <w:r w:rsidRPr="000F1E29">
        <w:rPr>
          <w:rFonts w:ascii="Century" w:hAnsi="Century" w:cs="Miriam" w:hint="eastAsia"/>
          <w:b/>
          <w:spacing w:val="0"/>
          <w:szCs w:val="24"/>
          <w:rtl/>
        </w:rPr>
        <w:t>כנית</w:t>
      </w:r>
      <w:r w:rsidRPr="000F1E29">
        <w:rPr>
          <w:rFonts w:ascii="Century" w:hAnsi="Century" w:cs="Miriam"/>
          <w:b/>
          <w:spacing w:val="0"/>
          <w:szCs w:val="24"/>
          <w:rtl/>
        </w:rPr>
        <w:t xml:space="preserve"> 223</w:t>
      </w:r>
      <w:r w:rsidRPr="000F1E29">
        <w:rPr>
          <w:rFonts w:hint="cs"/>
          <w:rtl/>
        </w:rPr>
        <w:t>)</w:t>
      </w:r>
      <w:r>
        <w:rPr>
          <w:rFonts w:hint="cs"/>
          <w:rtl/>
        </w:rPr>
        <w:t xml:space="preserve">. כפי שהוברר, חוסר ההתאמה בין תוכנית 223 ובין צו התפיסה אינו שולי ומדובר בחריגה של 566 דונם. בתוך כך, לא ניתן להתעלם מהעובדה שלהסכמי ההרשאה השונים שנחתמו בין הממונה ובין רוכשת הזכות, המשיבה 40, </w:t>
      </w:r>
      <w:r w:rsidRPr="000F1E29">
        <w:rPr>
          <w:rtl/>
        </w:rPr>
        <w:t>ההסתדרות הציונית העולמית</w:t>
      </w:r>
      <w:r w:rsidRPr="000F1E29">
        <w:rPr>
          <w:rFonts w:hint="cs"/>
          <w:rtl/>
        </w:rPr>
        <w:t xml:space="preserve"> </w:t>
      </w:r>
      <w:r w:rsidRPr="000F1E29">
        <w:rPr>
          <w:rtl/>
        </w:rPr>
        <w:t>–</w:t>
      </w:r>
      <w:r w:rsidRPr="000F1E29">
        <w:rPr>
          <w:rFonts w:hint="cs"/>
          <w:rtl/>
        </w:rPr>
        <w:t xml:space="preserve"> </w:t>
      </w:r>
      <w:r w:rsidRPr="000F1E29">
        <w:rPr>
          <w:rtl/>
        </w:rPr>
        <w:t>החטיבה להתיישבות</w:t>
      </w:r>
      <w:r w:rsidRPr="000F1E29">
        <w:rPr>
          <w:rFonts w:hint="cs"/>
          <w:rtl/>
        </w:rPr>
        <w:t xml:space="preserve"> (להלן: </w:t>
      </w:r>
      <w:r w:rsidRPr="000F1E29">
        <w:rPr>
          <w:rFonts w:ascii="Century" w:hAnsi="Century" w:cs="Miriam" w:hint="cs"/>
          <w:b/>
          <w:spacing w:val="0"/>
          <w:szCs w:val="24"/>
          <w:rtl/>
        </w:rPr>
        <w:t>ההסתדרות הציונית</w:t>
      </w:r>
      <w:r w:rsidRPr="000F1E29">
        <w:rPr>
          <w:rFonts w:hint="cs"/>
          <w:rtl/>
        </w:rPr>
        <w:t>)</w:t>
      </w:r>
      <w:r>
        <w:rPr>
          <w:rFonts w:hint="cs"/>
          <w:rtl/>
        </w:rPr>
        <w:t xml:space="preserve"> צורפה מפת צו הסגירה חלף מפת צו התפיסה. בנסיבות אלה, איני סבורה כי ניתן להכשיר</w:t>
      </w:r>
      <w:r w:rsidRPr="000F1E29">
        <w:rPr>
          <w:rFonts w:hint="cs"/>
          <w:rtl/>
        </w:rPr>
        <w:t xml:space="preserve"> </w:t>
      </w:r>
      <w:r>
        <w:rPr>
          <w:rFonts w:hint="cs"/>
          <w:rtl/>
        </w:rPr>
        <w:t xml:space="preserve">את עסקת היסוד בין הממונה ובין ההסתדרות הציונית. </w:t>
      </w:r>
    </w:p>
    <w:p w:rsidR="00737EFD" w:rsidRDefault="00737EFD" w:rsidP="00C41523">
      <w:pPr>
        <w:pStyle w:val="Ruller41"/>
        <w:rPr>
          <w:rtl/>
        </w:rPr>
      </w:pPr>
    </w:p>
    <w:p w:rsidR="00C41523" w:rsidRPr="000F1E29" w:rsidRDefault="00C41523" w:rsidP="0099170A">
      <w:pPr>
        <w:pStyle w:val="Ruller4"/>
        <w:numPr>
          <w:ilvl w:val="0"/>
          <w:numId w:val="0"/>
        </w:numPr>
        <w:rPr>
          <w:rtl/>
        </w:rPr>
      </w:pPr>
      <w:r>
        <w:rPr>
          <w:rtl/>
        </w:rPr>
        <w:tab/>
      </w:r>
      <w:r>
        <w:rPr>
          <w:rFonts w:hint="cs"/>
          <w:rtl/>
        </w:rPr>
        <w:t>הדברים מקבלים משנה תוקף לנוכח העובדה ש</w:t>
      </w:r>
      <w:r w:rsidRPr="000F1E29">
        <w:rPr>
          <w:rFonts w:hint="cs"/>
          <w:rtl/>
        </w:rPr>
        <w:t>דרישת תום הלב שבסעיף 5 לצו חלה על שני הצדדים לעסקה, הן על הממונה הן על רוכש הזכות.</w:t>
      </w:r>
      <w:r>
        <w:rPr>
          <w:rFonts w:hint="cs"/>
          <w:rtl/>
        </w:rPr>
        <w:t xml:space="preserve"> אמנם </w:t>
      </w:r>
      <w:r w:rsidRPr="000F1E29">
        <w:rPr>
          <w:rFonts w:hint="cs"/>
          <w:rtl/>
        </w:rPr>
        <w:t>שאלת תום ליבה של</w:t>
      </w:r>
      <w:r>
        <w:rPr>
          <w:rFonts w:hint="cs"/>
          <w:rtl/>
        </w:rPr>
        <w:t xml:space="preserve"> רוכשת הזכות,</w:t>
      </w:r>
      <w:r w:rsidRPr="000F1E29">
        <w:rPr>
          <w:rFonts w:hint="cs"/>
          <w:rtl/>
        </w:rPr>
        <w:t xml:space="preserve"> ההסתדרות הציונית</w:t>
      </w:r>
      <w:r>
        <w:rPr>
          <w:rFonts w:hint="cs"/>
          <w:rtl/>
        </w:rPr>
        <w:t>,</w:t>
      </w:r>
      <w:r w:rsidRPr="000F1E29">
        <w:rPr>
          <w:rFonts w:hint="cs"/>
          <w:rtl/>
        </w:rPr>
        <w:t xml:space="preserve"> לא הובררה די </w:t>
      </w:r>
      <w:r>
        <w:rPr>
          <w:rFonts w:hint="cs"/>
          <w:rtl/>
        </w:rPr>
        <w:t>צרכה</w:t>
      </w:r>
      <w:r w:rsidRPr="000F1E29">
        <w:rPr>
          <w:rFonts w:hint="cs"/>
          <w:rtl/>
        </w:rPr>
        <w:t xml:space="preserve"> במסגרת ההליך בבית המשפט המחוזי</w:t>
      </w:r>
      <w:r>
        <w:rPr>
          <w:rFonts w:hint="cs"/>
          <w:rtl/>
        </w:rPr>
        <w:t xml:space="preserve">, ואולם התנהלותה לאורך השנים אף היא מעוררת תהיות </w:t>
      </w:r>
      <w:r w:rsidRPr="000F1E29">
        <w:rPr>
          <w:rFonts w:hint="cs"/>
          <w:rtl/>
        </w:rPr>
        <w:t xml:space="preserve">(השווּ: </w:t>
      </w:r>
      <w:r w:rsidRPr="000F1E29">
        <w:rPr>
          <w:rFonts w:hint="eastAsia"/>
          <w:rtl/>
        </w:rPr>
        <w:t>ע</w:t>
      </w:r>
      <w:r w:rsidRPr="000F1E29">
        <w:rPr>
          <w:rtl/>
        </w:rPr>
        <w:t>"</w:t>
      </w:r>
      <w:r w:rsidRPr="000F1E29">
        <w:rPr>
          <w:rFonts w:hint="eastAsia"/>
          <w:rtl/>
        </w:rPr>
        <w:t>א</w:t>
      </w:r>
      <w:r w:rsidRPr="000F1E29">
        <w:rPr>
          <w:rtl/>
        </w:rPr>
        <w:t xml:space="preserve"> 4609/99 </w:t>
      </w:r>
      <w:r w:rsidRPr="000F1E29">
        <w:rPr>
          <w:rFonts w:ascii="Century" w:hAnsi="Century" w:cs="Miriam" w:hint="eastAsia"/>
          <w:b/>
          <w:spacing w:val="0"/>
          <w:sz w:val="22"/>
          <w:szCs w:val="24"/>
          <w:rtl/>
        </w:rPr>
        <w:t>בעלי</w:t>
      </w:r>
      <w:r w:rsidRPr="000F1E29">
        <w:rPr>
          <w:rFonts w:ascii="Century" w:hAnsi="Century" w:cs="Miriam"/>
          <w:b/>
          <w:spacing w:val="0"/>
          <w:sz w:val="22"/>
          <w:szCs w:val="24"/>
          <w:rtl/>
        </w:rPr>
        <w:t xml:space="preserve"> </w:t>
      </w:r>
      <w:r w:rsidRPr="000F1E29">
        <w:rPr>
          <w:rFonts w:ascii="Century" w:hAnsi="Century" w:cs="Miriam" w:hint="eastAsia"/>
          <w:b/>
          <w:spacing w:val="0"/>
          <w:sz w:val="22"/>
          <w:szCs w:val="24"/>
          <w:rtl/>
        </w:rPr>
        <w:t>מקצוע</w:t>
      </w:r>
      <w:r w:rsidRPr="000F1E29">
        <w:rPr>
          <w:rFonts w:ascii="Century" w:hAnsi="Century" w:cs="Miriam"/>
          <w:b/>
          <w:spacing w:val="0"/>
          <w:sz w:val="22"/>
          <w:szCs w:val="24"/>
          <w:rtl/>
        </w:rPr>
        <w:t xml:space="preserve"> </w:t>
      </w:r>
      <w:r w:rsidRPr="000F1E29">
        <w:rPr>
          <w:rFonts w:ascii="Century" w:hAnsi="Century" w:cs="Miriam" w:hint="eastAsia"/>
          <w:b/>
          <w:spacing w:val="0"/>
          <w:sz w:val="22"/>
          <w:szCs w:val="24"/>
          <w:rtl/>
        </w:rPr>
        <w:t>נכסים</w:t>
      </w:r>
      <w:r w:rsidRPr="000F1E29">
        <w:rPr>
          <w:rFonts w:ascii="Century" w:hAnsi="Century" w:cs="Miriam"/>
          <w:b/>
          <w:spacing w:val="0"/>
          <w:sz w:val="22"/>
          <w:szCs w:val="24"/>
          <w:rtl/>
        </w:rPr>
        <w:t xml:space="preserve"> (1997) </w:t>
      </w:r>
      <w:r w:rsidRPr="000F1E29">
        <w:rPr>
          <w:rFonts w:ascii="Century" w:hAnsi="Century" w:cs="Miriam" w:hint="eastAsia"/>
          <w:b/>
          <w:spacing w:val="0"/>
          <w:sz w:val="22"/>
          <w:szCs w:val="24"/>
          <w:rtl/>
        </w:rPr>
        <w:t>בע</w:t>
      </w:r>
      <w:r w:rsidRPr="000F1E29">
        <w:rPr>
          <w:rFonts w:ascii="Century" w:hAnsi="Century" w:cs="Miriam"/>
          <w:b/>
          <w:spacing w:val="0"/>
          <w:sz w:val="22"/>
          <w:szCs w:val="24"/>
          <w:rtl/>
        </w:rPr>
        <w:t>"</w:t>
      </w:r>
      <w:r w:rsidRPr="000F1E29">
        <w:rPr>
          <w:rFonts w:ascii="Century" w:hAnsi="Century" w:cs="Miriam" w:hint="eastAsia"/>
          <w:b/>
          <w:spacing w:val="0"/>
          <w:sz w:val="22"/>
          <w:szCs w:val="24"/>
          <w:rtl/>
        </w:rPr>
        <w:t>מ</w:t>
      </w:r>
      <w:r w:rsidRPr="000F1E29">
        <w:rPr>
          <w:rFonts w:ascii="Century" w:hAnsi="Century" w:cs="Miriam"/>
          <w:b/>
          <w:spacing w:val="0"/>
          <w:sz w:val="22"/>
          <w:szCs w:val="24"/>
          <w:rtl/>
        </w:rPr>
        <w:t xml:space="preserve"> </w:t>
      </w:r>
      <w:r w:rsidRPr="000F1E29">
        <w:rPr>
          <w:rFonts w:ascii="Century" w:hAnsi="Century" w:cs="Miriam" w:hint="eastAsia"/>
          <w:b/>
          <w:spacing w:val="0"/>
          <w:sz w:val="22"/>
          <w:szCs w:val="24"/>
          <w:rtl/>
        </w:rPr>
        <w:t>נ</w:t>
      </w:r>
      <w:r w:rsidRPr="000F1E29">
        <w:rPr>
          <w:rFonts w:ascii="Century" w:hAnsi="Century" w:cs="Miriam"/>
          <w:b/>
          <w:spacing w:val="0"/>
          <w:sz w:val="22"/>
          <w:szCs w:val="24"/>
          <w:rtl/>
        </w:rPr>
        <w:t xml:space="preserve">' </w:t>
      </w:r>
      <w:r w:rsidRPr="000F1E29">
        <w:rPr>
          <w:rFonts w:ascii="Century" w:hAnsi="Century" w:cs="Miriam" w:hint="eastAsia"/>
          <w:b/>
          <w:spacing w:val="0"/>
          <w:sz w:val="22"/>
          <w:szCs w:val="24"/>
          <w:rtl/>
        </w:rPr>
        <w:t>סונדרס</w:t>
      </w:r>
      <w:r w:rsidRPr="000F1E29">
        <w:rPr>
          <w:rtl/>
        </w:rPr>
        <w:t>,</w:t>
      </w:r>
      <w:r w:rsidRPr="000F1E29">
        <w:rPr>
          <w:rFonts w:hint="cs"/>
          <w:rtl/>
        </w:rPr>
        <w:t xml:space="preserve"> פ"ד</w:t>
      </w:r>
      <w:r w:rsidRPr="000F1E29">
        <w:rPr>
          <w:rtl/>
        </w:rPr>
        <w:t xml:space="preserve"> </w:t>
      </w:r>
      <w:r w:rsidRPr="000F1E29">
        <w:rPr>
          <w:rFonts w:hint="eastAsia"/>
          <w:rtl/>
        </w:rPr>
        <w:t>נו</w:t>
      </w:r>
      <w:r w:rsidRPr="000F1E29">
        <w:rPr>
          <w:rtl/>
        </w:rPr>
        <w:t>(6) 832</w:t>
      </w:r>
      <w:r w:rsidRPr="000F1E29">
        <w:rPr>
          <w:rFonts w:hint="cs"/>
          <w:rtl/>
        </w:rPr>
        <w:t>, 851</w:t>
      </w:r>
      <w:r w:rsidRPr="000F1E29">
        <w:rPr>
          <w:rtl/>
        </w:rPr>
        <w:t xml:space="preserve"> (2002)</w:t>
      </w:r>
      <w:r w:rsidRPr="000F1E29">
        <w:rPr>
          <w:rFonts w:hint="cs"/>
          <w:rtl/>
        </w:rPr>
        <w:t>)</w:t>
      </w:r>
      <w:r>
        <w:rPr>
          <w:rFonts w:hint="cs"/>
          <w:rtl/>
        </w:rPr>
        <w:t>. כך</w:t>
      </w:r>
      <w:r w:rsidRPr="000F1E29">
        <w:rPr>
          <w:rFonts w:hint="cs"/>
          <w:rtl/>
        </w:rPr>
        <w:t xml:space="preserve"> בין אם נבחן את העסקה שנערכה בין ההסתדרות הציונית ובין הממונה בראי הסכם ההרשאה משנת 1981, כעמדת המשנה לנשיאה </w:t>
      </w:r>
      <w:r w:rsidRPr="000F1E29">
        <w:rPr>
          <w:rFonts w:ascii="Century" w:hAnsi="Century" w:cs="Miriam" w:hint="cs"/>
          <w:b/>
          <w:spacing w:val="0"/>
          <w:sz w:val="22"/>
          <w:szCs w:val="24"/>
          <w:rtl/>
        </w:rPr>
        <w:t>ע' פוגלמן</w:t>
      </w:r>
      <w:r w:rsidRPr="000F1E29">
        <w:rPr>
          <w:rFonts w:hint="cs"/>
          <w:rtl/>
        </w:rPr>
        <w:t xml:space="preserve"> (פסקה 69 לחוות דעתו); ובין אם נבחן את תום ליבה בראי הסכם ההרשאה משנת 1997 כדעת המשנה לנשיאה (בדימוס) </w:t>
      </w:r>
      <w:r w:rsidRPr="000F1E29">
        <w:rPr>
          <w:rFonts w:ascii="Century" w:hAnsi="Century" w:cs="Miriam" w:hint="cs"/>
          <w:b/>
          <w:spacing w:val="0"/>
          <w:sz w:val="22"/>
          <w:szCs w:val="24"/>
          <w:rtl/>
        </w:rPr>
        <w:t xml:space="preserve">נ' הנדל </w:t>
      </w:r>
      <w:r w:rsidRPr="000F1E29">
        <w:rPr>
          <w:rFonts w:ascii="Century" w:hAnsi="Century" w:hint="cs"/>
          <w:sz w:val="22"/>
          <w:rtl/>
        </w:rPr>
        <w:t>(פסקה 9 לחוות דעתו)</w:t>
      </w:r>
      <w:r w:rsidRPr="000F1E29">
        <w:rPr>
          <w:rFonts w:hint="cs"/>
          <w:rtl/>
        </w:rPr>
        <w:t xml:space="preserve"> והשופט </w:t>
      </w:r>
      <w:r w:rsidRPr="000F1E29">
        <w:rPr>
          <w:rFonts w:ascii="Century" w:hAnsi="Century" w:cs="Miriam" w:hint="cs"/>
          <w:b/>
          <w:spacing w:val="0"/>
          <w:sz w:val="22"/>
          <w:szCs w:val="24"/>
          <w:rtl/>
        </w:rPr>
        <w:t>נ' סולברג</w:t>
      </w:r>
      <w:r w:rsidRPr="000F1E29">
        <w:rPr>
          <w:rFonts w:hint="cs"/>
          <w:rtl/>
        </w:rPr>
        <w:t xml:space="preserve"> (פסקה </w:t>
      </w:r>
      <w:r w:rsidR="0099170A">
        <w:rPr>
          <w:rFonts w:hint="cs"/>
          <w:rtl/>
        </w:rPr>
        <w:t>77</w:t>
      </w:r>
      <w:r w:rsidRPr="000F1E29">
        <w:rPr>
          <w:rFonts w:hint="cs"/>
          <w:rtl/>
        </w:rPr>
        <w:t xml:space="preserve"> לחוות דעתו). זאת בשים לב לכך שהסכם ההרשאה משנת 1997 אינו עומד בפני עצמו, אלא מהווה חוליה בשרשרת ההתקשרויות שבין ההסתדרות הציונית ובין הממונה</w:t>
      </w:r>
      <w:r>
        <w:rPr>
          <w:rFonts w:hint="cs"/>
          <w:rtl/>
        </w:rPr>
        <w:t>.</w:t>
      </w:r>
      <w:r w:rsidRPr="000F1E29">
        <w:rPr>
          <w:rFonts w:hint="cs"/>
          <w:rtl/>
        </w:rPr>
        <w:t xml:space="preserve"> ובמילים אחרות, הסכם ההרשאה משנת 1997 נסמך גם על הנסיבות שהובילו להתקשרות בהסכמי ההרשאה שקדמו לו, בהן פעולותיה של ההסתדרות הציונית. </w:t>
      </w:r>
    </w:p>
    <w:p w:rsidR="00C41523" w:rsidRDefault="00C41523" w:rsidP="00C41523">
      <w:pPr>
        <w:pStyle w:val="Ruller41"/>
        <w:rPr>
          <w:rtl/>
        </w:rPr>
      </w:pPr>
    </w:p>
    <w:p w:rsidR="00C41523" w:rsidRDefault="00C41523" w:rsidP="00C41523">
      <w:pPr>
        <w:pStyle w:val="Ruller4"/>
      </w:pPr>
      <w:r w:rsidRPr="000F1E29">
        <w:rPr>
          <w:rFonts w:hint="cs"/>
          <w:rtl/>
        </w:rPr>
        <w:t xml:space="preserve">ומשאמרתי את שאמרתי, </w:t>
      </w:r>
      <w:r>
        <w:rPr>
          <w:rFonts w:hint="cs"/>
          <w:rtl/>
        </w:rPr>
        <w:t xml:space="preserve">אבקש לייחד מספר מילים בעניין המשיבים 39-4 (להלן: </w:t>
      </w:r>
      <w:r w:rsidRPr="001A5C0E">
        <w:rPr>
          <w:rFonts w:ascii="Century" w:hAnsi="Century" w:cs="Miriam" w:hint="cs"/>
          <w:b/>
          <w:spacing w:val="0"/>
          <w:sz w:val="22"/>
          <w:szCs w:val="24"/>
          <w:rtl/>
        </w:rPr>
        <w:t>המחזיקים</w:t>
      </w:r>
      <w:r>
        <w:rPr>
          <w:rFonts w:hint="cs"/>
          <w:rtl/>
        </w:rPr>
        <w:t xml:space="preserve">). אין ספק כי תוצאת פסק הדין נושא הדיון הנוסף מגלמת פגיעה קשה במחזיקים, ואינני מקילה ראש בפגיעה זו. </w:t>
      </w:r>
      <w:r w:rsidRPr="000F1E29">
        <w:rPr>
          <w:rFonts w:hint="cs"/>
          <w:rtl/>
        </w:rPr>
        <w:t xml:space="preserve">המחזיקים שהשתקעו במצפה כרמים הקימו בתי קבע, משפחה וקהילה, </w:t>
      </w:r>
      <w:r>
        <w:rPr>
          <w:rFonts w:hint="cs"/>
          <w:rtl/>
        </w:rPr>
        <w:t>ו</w:t>
      </w:r>
      <w:r w:rsidRPr="000F1E29">
        <w:rPr>
          <w:rFonts w:hint="cs"/>
          <w:rtl/>
        </w:rPr>
        <w:t xml:space="preserve">ככל הנראה עשו כן בהסתמך על מצגים שונים שניתנו </w:t>
      </w:r>
      <w:r>
        <w:rPr>
          <w:rFonts w:hint="cs"/>
          <w:rtl/>
        </w:rPr>
        <w:t>מצד</w:t>
      </w:r>
      <w:r w:rsidRPr="000F1E29">
        <w:rPr>
          <w:rFonts w:hint="cs"/>
          <w:rtl/>
        </w:rPr>
        <w:t xml:space="preserve"> ההסתדרות הציונית והמדינה. לא בכדי ציינה הנשיאה </w:t>
      </w:r>
      <w:r w:rsidRPr="000F1E29">
        <w:rPr>
          <w:rFonts w:ascii="Century" w:hAnsi="Century" w:cs="Miriam" w:hint="cs"/>
          <w:b/>
          <w:spacing w:val="0"/>
          <w:sz w:val="22"/>
          <w:szCs w:val="24"/>
          <w:rtl/>
        </w:rPr>
        <w:t xml:space="preserve">א' חיות </w:t>
      </w:r>
      <w:r w:rsidRPr="000F1E29">
        <w:rPr>
          <w:rFonts w:hint="cs"/>
          <w:rtl/>
        </w:rPr>
        <w:t xml:space="preserve">בפסק הדין נושא הדיון הנוסף כי ראוי שיימצא להם פתרון חלופי, כך גם המשנה לנשיאה </w:t>
      </w:r>
      <w:r w:rsidRPr="000F1E29">
        <w:rPr>
          <w:rFonts w:ascii="Century" w:hAnsi="Century" w:cs="Miriam" w:hint="cs"/>
          <w:b/>
          <w:spacing w:val="0"/>
          <w:sz w:val="22"/>
          <w:szCs w:val="24"/>
          <w:rtl/>
        </w:rPr>
        <w:t>ע' פוגלמן</w:t>
      </w:r>
      <w:r w:rsidRPr="000F1E29">
        <w:rPr>
          <w:rFonts w:hint="cs"/>
          <w:rtl/>
        </w:rPr>
        <w:t>, ואני מצטרפת לקריאתם</w:t>
      </w:r>
      <w:r>
        <w:rPr>
          <w:rFonts w:hint="cs"/>
          <w:rtl/>
        </w:rPr>
        <w:t xml:space="preserve">. </w:t>
      </w:r>
      <w:r w:rsidRPr="000F1E29">
        <w:rPr>
          <w:rFonts w:hint="cs"/>
          <w:rtl/>
        </w:rPr>
        <w:t>אולם עם כל הרצון וההבנה,</w:t>
      </w:r>
      <w:r>
        <w:rPr>
          <w:rFonts w:hint="cs"/>
          <w:rtl/>
        </w:rPr>
        <w:t xml:space="preserve"> </w:t>
      </w:r>
      <w:r w:rsidRPr="000F1E29">
        <w:rPr>
          <w:rFonts w:hint="cs"/>
          <w:rtl/>
        </w:rPr>
        <w:t>אין חולק כי המקרקעין נושא ההליך שלפנינו הם מקרקעין שבבעלות בעלים פרטיים פלסטיניים</w:t>
      </w:r>
      <w:r>
        <w:rPr>
          <w:rFonts w:hint="cs"/>
          <w:rtl/>
        </w:rPr>
        <w:t>,</w:t>
      </w:r>
      <w:r w:rsidRPr="000F1E29">
        <w:rPr>
          <w:rFonts w:hint="cs"/>
          <w:rtl/>
        </w:rPr>
        <w:t xml:space="preserve"> </w:t>
      </w:r>
      <w:r>
        <w:rPr>
          <w:rFonts w:hint="cs"/>
          <w:rtl/>
        </w:rPr>
        <w:t xml:space="preserve">ומענה למצב שנוצר מבקשים המחזיקים למצוא ב"מעין תקנת השוק" שבסעיף 5. אלא שעל פי סעיף זה יש לבחון את תוקפה של העסקה שערך הממונה עם אותו "אדם אחר", והוא נעדר התייחסות למעמדו של הצד השלישי שהסתמך על אותה עסקת יסוד (להרחבה ראו: רונית לוין־שנור "ללא תקנה על 'תקנת השוק' במקרקעין באזור יהודה והשומרון" </w:t>
      </w:r>
      <w:r>
        <w:rPr>
          <w:rFonts w:ascii="Century" w:hAnsi="Century" w:cs="Miriam" w:hint="cs"/>
          <w:b/>
          <w:spacing w:val="0"/>
          <w:sz w:val="22"/>
          <w:szCs w:val="24"/>
          <w:rtl/>
        </w:rPr>
        <w:t xml:space="preserve">משפטים </w:t>
      </w:r>
      <w:r>
        <w:rPr>
          <w:rFonts w:ascii="Century" w:hAnsi="Century" w:hint="cs"/>
          <w:sz w:val="22"/>
          <w:rtl/>
        </w:rPr>
        <w:t>נ 307, 347-346 (2020))</w:t>
      </w:r>
      <w:r>
        <w:rPr>
          <w:rFonts w:hint="cs"/>
          <w:rtl/>
        </w:rPr>
        <w:t>. ומשכך</w:t>
      </w:r>
      <w:r w:rsidRPr="000F1E29">
        <w:rPr>
          <w:rFonts w:hint="cs"/>
          <w:rtl/>
        </w:rPr>
        <w:t>, הפגיעה בזכותם של המחזיקים והנזק העתידי שייגרם להם</w:t>
      </w:r>
      <w:r>
        <w:rPr>
          <w:rFonts w:hint="cs"/>
          <w:rtl/>
        </w:rPr>
        <w:t xml:space="preserve">, אף תום ליבם, </w:t>
      </w:r>
      <w:r w:rsidRPr="000F1E29">
        <w:rPr>
          <w:rFonts w:hint="cs"/>
          <w:rtl/>
        </w:rPr>
        <w:t xml:space="preserve">אינם יכולים "להטות את הכף" </w:t>
      </w:r>
      <w:r>
        <w:rPr>
          <w:rFonts w:hint="cs"/>
          <w:rtl/>
        </w:rPr>
        <w:t>ל</w:t>
      </w:r>
      <w:r w:rsidRPr="000F1E29">
        <w:rPr>
          <w:rFonts w:hint="cs"/>
          <w:rtl/>
        </w:rPr>
        <w:t>הכרה בתוקפה של עסקת היסוד</w:t>
      </w:r>
      <w:r>
        <w:rPr>
          <w:rFonts w:hint="cs"/>
          <w:rtl/>
        </w:rPr>
        <w:t xml:space="preserve"> </w:t>
      </w:r>
      <w:r w:rsidRPr="000F1E29">
        <w:rPr>
          <w:rFonts w:hint="cs"/>
          <w:rtl/>
        </w:rPr>
        <w:t>שבין הממונה להסתדרות הציונית</w:t>
      </w:r>
      <w:r>
        <w:rPr>
          <w:rFonts w:hint="cs"/>
          <w:rtl/>
        </w:rPr>
        <w:t xml:space="preserve"> </w:t>
      </w:r>
      <w:r w:rsidRPr="000F1E29">
        <w:rPr>
          <w:rFonts w:hint="cs"/>
          <w:rtl/>
        </w:rPr>
        <w:t xml:space="preserve">(השווּ לעמדת חברי השופט </w:t>
      </w:r>
      <w:r w:rsidRPr="000F1E29">
        <w:rPr>
          <w:rFonts w:ascii="Century" w:hAnsi="Century" w:cs="Miriam" w:hint="cs"/>
          <w:b/>
          <w:spacing w:val="0"/>
          <w:sz w:val="22"/>
          <w:szCs w:val="24"/>
          <w:rtl/>
        </w:rPr>
        <w:t>י' עמית</w:t>
      </w:r>
      <w:r w:rsidRPr="000F1E29">
        <w:rPr>
          <w:rFonts w:hint="cs"/>
          <w:rtl/>
        </w:rPr>
        <w:t xml:space="preserve"> בפסקה 14 לחוות דעתו). </w:t>
      </w:r>
    </w:p>
    <w:p w:rsidR="00C41523" w:rsidRDefault="00C41523" w:rsidP="00C41523">
      <w:pPr>
        <w:pStyle w:val="Ruller4"/>
        <w:numPr>
          <w:ilvl w:val="0"/>
          <w:numId w:val="0"/>
        </w:numPr>
        <w:rPr>
          <w:rtl/>
        </w:rPr>
      </w:pPr>
    </w:p>
    <w:p w:rsidR="00C41523" w:rsidRDefault="00C41523" w:rsidP="00C41523">
      <w:pPr>
        <w:pStyle w:val="Ruller4"/>
        <w:numPr>
          <w:ilvl w:val="0"/>
          <w:numId w:val="0"/>
        </w:numPr>
        <w:rPr>
          <w:rtl/>
        </w:rPr>
      </w:pPr>
      <w:r>
        <w:rPr>
          <w:rtl/>
        </w:rPr>
        <w:tab/>
      </w:r>
      <w:r w:rsidRPr="000F1E29">
        <w:rPr>
          <w:rFonts w:hint="cs"/>
          <w:rtl/>
        </w:rPr>
        <w:t xml:space="preserve">זכותם של המחזיקים מותנית בכשרות העסקה שבין הממונה ובין ההסתדרות הציונית, </w:t>
      </w:r>
      <w:r>
        <w:rPr>
          <w:rFonts w:hint="cs"/>
          <w:rtl/>
        </w:rPr>
        <w:t>ו</w:t>
      </w:r>
      <w:r w:rsidRPr="000F1E29">
        <w:rPr>
          <w:rFonts w:hint="cs"/>
          <w:rtl/>
        </w:rPr>
        <w:t>תנאי לתחולת סעיף 5 לצו הוא תום ליבם של הצדדים לעסקה הנבחנת</w:t>
      </w:r>
      <w:r>
        <w:rPr>
          <w:rFonts w:hint="cs"/>
          <w:rtl/>
        </w:rPr>
        <w:t>.</w:t>
      </w:r>
      <w:r w:rsidRPr="000F1E29">
        <w:rPr>
          <w:rFonts w:hint="cs"/>
          <w:rtl/>
        </w:rPr>
        <w:t xml:space="preserve"> בהיעדר תום לב </w:t>
      </w:r>
      <w:r>
        <w:rPr>
          <w:rFonts w:hint="cs"/>
          <w:rtl/>
        </w:rPr>
        <w:t xml:space="preserve">של מי מהצדדים לעסקה </w:t>
      </w:r>
      <w:r w:rsidRPr="000F1E29">
        <w:rPr>
          <w:rFonts w:hint="cs"/>
          <w:rtl/>
        </w:rPr>
        <w:t xml:space="preserve">אין תחולה לתקנת השוק שבסעיף, </w:t>
      </w:r>
      <w:r>
        <w:rPr>
          <w:rFonts w:hint="cs"/>
          <w:rtl/>
        </w:rPr>
        <w:t xml:space="preserve">והמשמעות היא </w:t>
      </w:r>
      <w:r>
        <w:rPr>
          <w:rFonts w:hint="cs"/>
          <w:rtl/>
        </w:rPr>
        <w:lastRenderedPageBreak/>
        <w:t xml:space="preserve">שההסתדרות הציונית לא יכלה להעביר לידי המחזיקים את הזכויות </w:t>
      </w:r>
      <w:r w:rsidRPr="000F1E29">
        <w:rPr>
          <w:rFonts w:hint="cs"/>
          <w:rtl/>
        </w:rPr>
        <w:t xml:space="preserve">ולא עומדת </w:t>
      </w:r>
      <w:r>
        <w:rPr>
          <w:rFonts w:hint="cs"/>
          <w:rtl/>
        </w:rPr>
        <w:t>להם</w:t>
      </w:r>
      <w:r w:rsidRPr="000F1E29">
        <w:rPr>
          <w:rFonts w:hint="cs"/>
          <w:rtl/>
        </w:rPr>
        <w:t xml:space="preserve"> זכות במקרקעין. עוד</w:t>
      </w:r>
      <w:r>
        <w:rPr>
          <w:rFonts w:hint="cs"/>
          <w:rtl/>
        </w:rPr>
        <w:t xml:space="preserve"> יוער</w:t>
      </w:r>
      <w:r w:rsidRPr="000F1E29">
        <w:rPr>
          <w:rFonts w:hint="cs"/>
          <w:rtl/>
        </w:rPr>
        <w:t xml:space="preserve"> כי בהתאם לקו מנחה זה, גם </w:t>
      </w:r>
      <w:r>
        <w:rPr>
          <w:rFonts w:hint="cs"/>
          <w:rtl/>
        </w:rPr>
        <w:t>ה</w:t>
      </w:r>
      <w:r w:rsidRPr="000F1E29">
        <w:rPr>
          <w:rFonts w:hint="cs"/>
          <w:rtl/>
        </w:rPr>
        <w:t>תועלת שהמחזיקים יכולי</w:t>
      </w:r>
      <w:r>
        <w:rPr>
          <w:rFonts w:hint="cs"/>
          <w:rtl/>
        </w:rPr>
        <w:t>ם להפיק מהמקרקעין בהשוואה לבעלים</w:t>
      </w:r>
      <w:r w:rsidRPr="000F1E29">
        <w:rPr>
          <w:rFonts w:hint="cs"/>
          <w:rtl/>
        </w:rPr>
        <w:t xml:space="preserve"> </w:t>
      </w:r>
      <w:r>
        <w:rPr>
          <w:rFonts w:hint="cs"/>
          <w:rtl/>
        </w:rPr>
        <w:t>אין בה כדי להוביל להכרה בכשרות העסקה הנבחנת לפי</w:t>
      </w:r>
      <w:r w:rsidRPr="000F1E29">
        <w:rPr>
          <w:rFonts w:hint="cs"/>
          <w:rtl/>
        </w:rPr>
        <w:t xml:space="preserve"> סעיף 5 לצו בדבר רכוש ממשלתי (השווּ </w:t>
      </w:r>
      <w:r>
        <w:rPr>
          <w:rFonts w:hint="cs"/>
          <w:rtl/>
        </w:rPr>
        <w:t>לדברי</w:t>
      </w:r>
      <w:r w:rsidRPr="000F1E29">
        <w:rPr>
          <w:rFonts w:hint="cs"/>
          <w:rtl/>
        </w:rPr>
        <w:t xml:space="preserve"> חברי השופט </w:t>
      </w:r>
      <w:r w:rsidRPr="000F1E29">
        <w:rPr>
          <w:rFonts w:ascii="Century" w:hAnsi="Century" w:cs="Miriam" w:hint="cs"/>
          <w:b/>
          <w:spacing w:val="0"/>
          <w:sz w:val="22"/>
          <w:szCs w:val="24"/>
          <w:rtl/>
        </w:rPr>
        <w:t>נ' סולברג</w:t>
      </w:r>
      <w:r w:rsidRPr="000F1E29">
        <w:rPr>
          <w:rFonts w:hint="cs"/>
          <w:rtl/>
        </w:rPr>
        <w:t xml:space="preserve"> בפסקה 25 לחוות דעתו); ובכל מקרה, קשה להלום "הפקעת" רכוש של אדם פרטי לצורך העברתו לגורם פרטי אחר, רק משום שהאחרון עשוי לעשות שימוש "</w:t>
      </w:r>
      <w:r>
        <w:rPr>
          <w:rFonts w:hint="cs"/>
          <w:rtl/>
        </w:rPr>
        <w:t>מועיל</w:t>
      </w:r>
      <w:r w:rsidRPr="000F1E29">
        <w:rPr>
          <w:rFonts w:hint="cs"/>
          <w:rtl/>
        </w:rPr>
        <w:t xml:space="preserve">" יותר ברכוש. </w:t>
      </w:r>
    </w:p>
    <w:p w:rsidR="00C41523" w:rsidRDefault="00C41523" w:rsidP="004C7127">
      <w:pPr>
        <w:pStyle w:val="Ruller41"/>
        <w:rPr>
          <w:rFonts w:ascii="Century" w:hAnsi="Century"/>
          <w:rtl/>
        </w:rPr>
      </w:pPr>
    </w:p>
    <w:p w:rsidR="00861362" w:rsidRDefault="00861362" w:rsidP="004C7127">
      <w:pPr>
        <w:pStyle w:val="Ruller41"/>
        <w:rPr>
          <w:rFonts w:ascii="Century" w:hAnsi="Century"/>
          <w:rtl/>
        </w:rPr>
      </w:pPr>
    </w:p>
    <w:tbl>
      <w:tblPr>
        <w:bidiVisual/>
        <w:tblW w:w="8363" w:type="dxa"/>
        <w:tblLook w:val="01E0" w:firstRow="1" w:lastRow="1" w:firstColumn="1" w:lastColumn="1" w:noHBand="0" w:noVBand="0"/>
      </w:tblPr>
      <w:tblGrid>
        <w:gridCol w:w="2786"/>
        <w:gridCol w:w="2787"/>
        <w:gridCol w:w="2790"/>
      </w:tblGrid>
      <w:tr w:rsidR="00861362" w:rsidRPr="004C7127" w:rsidTr="00BA1299">
        <w:tc>
          <w:tcPr>
            <w:tcW w:w="2842" w:type="dxa"/>
            <w:shd w:val="clear" w:color="auto" w:fill="auto"/>
          </w:tcPr>
          <w:p w:rsidR="00861362" w:rsidRPr="004C7127" w:rsidRDefault="00861362" w:rsidP="00BA1299">
            <w:pPr>
              <w:pStyle w:val="Ruller41"/>
              <w:rPr>
                <w:rtl/>
              </w:rPr>
            </w:pPr>
          </w:p>
        </w:tc>
        <w:tc>
          <w:tcPr>
            <w:tcW w:w="2843" w:type="dxa"/>
            <w:shd w:val="clear" w:color="auto" w:fill="auto"/>
          </w:tcPr>
          <w:p w:rsidR="00861362" w:rsidRPr="004C7127" w:rsidRDefault="00861362" w:rsidP="00BA1299">
            <w:pPr>
              <w:pStyle w:val="Ruller41"/>
              <w:jc w:val="center"/>
              <w:rPr>
                <w:rtl/>
              </w:rPr>
            </w:pPr>
          </w:p>
        </w:tc>
        <w:tc>
          <w:tcPr>
            <w:tcW w:w="2843" w:type="dxa"/>
            <w:shd w:val="clear" w:color="auto" w:fill="auto"/>
          </w:tcPr>
          <w:p w:rsidR="00861362" w:rsidRPr="004C7127" w:rsidRDefault="00861362" w:rsidP="00BA1299">
            <w:pPr>
              <w:pStyle w:val="Ruller41"/>
              <w:jc w:val="right"/>
              <w:rPr>
                <w:rtl/>
              </w:rPr>
            </w:pPr>
            <w:r>
              <w:rPr>
                <w:rFonts w:hint="cs"/>
                <w:rtl/>
              </w:rPr>
              <w:t>ש ו פ ט ת</w:t>
            </w:r>
          </w:p>
        </w:tc>
      </w:tr>
    </w:tbl>
    <w:p w:rsidR="00861362" w:rsidRDefault="00861362" w:rsidP="004C7127">
      <w:pPr>
        <w:pStyle w:val="Ruller41"/>
        <w:rPr>
          <w:rFonts w:ascii="Century" w:hAnsi="Century"/>
          <w:rtl/>
        </w:rPr>
      </w:pPr>
    </w:p>
    <w:p w:rsidR="00861362" w:rsidRPr="00A56E77" w:rsidRDefault="00861362" w:rsidP="00A56E77">
      <w:pPr>
        <w:pStyle w:val="1"/>
        <w:spacing w:before="0"/>
        <w:rPr>
          <w:rFonts w:ascii="Century" w:hAnsi="Century" w:cs="Miriam"/>
          <w:b/>
          <w:color w:val="auto"/>
          <w:spacing w:val="0"/>
          <w:sz w:val="22"/>
          <w:szCs w:val="24"/>
          <w:rtl/>
        </w:rPr>
      </w:pPr>
      <w:r w:rsidRPr="00A56E77">
        <w:rPr>
          <w:rFonts w:ascii="Century" w:hAnsi="Century" w:cs="Miriam" w:hint="cs"/>
          <w:b/>
          <w:color w:val="auto"/>
          <w:spacing w:val="0"/>
          <w:sz w:val="22"/>
          <w:szCs w:val="24"/>
          <w:u w:val="single"/>
          <w:rtl/>
        </w:rPr>
        <w:t>השופטת ד' ברק-ארז</w:t>
      </w:r>
      <w:r w:rsidRPr="00A56E77">
        <w:rPr>
          <w:rFonts w:ascii="Century" w:hAnsi="Century" w:cs="Miriam" w:hint="cs"/>
          <w:b/>
          <w:color w:val="auto"/>
          <w:spacing w:val="0"/>
          <w:sz w:val="22"/>
          <w:szCs w:val="24"/>
          <w:rtl/>
        </w:rPr>
        <w:t>:</w:t>
      </w:r>
    </w:p>
    <w:p w:rsidR="00861362" w:rsidRDefault="00861362" w:rsidP="00861362">
      <w:pPr>
        <w:pStyle w:val="Ruller41"/>
        <w:rPr>
          <w:rFonts w:ascii="Century" w:hAnsi="Century"/>
          <w:rtl/>
        </w:rPr>
      </w:pPr>
    </w:p>
    <w:p w:rsidR="005B1A77" w:rsidRPr="004B68EA" w:rsidRDefault="005B1A77" w:rsidP="005B1A77">
      <w:pPr>
        <w:spacing w:line="360" w:lineRule="auto"/>
        <w:jc w:val="both"/>
        <w:rPr>
          <w:rFonts w:ascii="Century" w:hAnsi="Century" w:cs="FrankRuehl"/>
          <w:spacing w:val="10"/>
          <w:szCs w:val="28"/>
          <w:rtl/>
        </w:rPr>
      </w:pPr>
      <w:r w:rsidRPr="004B68EA">
        <w:rPr>
          <w:rFonts w:ascii="Century" w:hAnsi="Century" w:cs="FrankRuehl"/>
          <w:spacing w:val="10"/>
          <w:szCs w:val="28"/>
          <w:rtl/>
        </w:rPr>
        <w:t>1.</w:t>
      </w:r>
      <w:r w:rsidRPr="004B68EA">
        <w:rPr>
          <w:rFonts w:ascii="Century" w:hAnsi="Century" w:cs="FrankRuehl"/>
          <w:spacing w:val="10"/>
          <w:szCs w:val="28"/>
          <w:rtl/>
        </w:rPr>
        <w:tab/>
      </w:r>
      <w:r>
        <w:rPr>
          <w:rFonts w:ascii="Century" w:hAnsi="Century" w:cs="FrankRuehl" w:hint="cs"/>
          <w:spacing w:val="10"/>
          <w:szCs w:val="28"/>
          <w:rtl/>
        </w:rPr>
        <w:t>ל</w:t>
      </w:r>
      <w:r w:rsidRPr="004B68EA">
        <w:rPr>
          <w:rFonts w:ascii="Century" w:hAnsi="Century" w:cs="FrankRuehl" w:hint="eastAsia"/>
          <w:spacing w:val="10"/>
          <w:szCs w:val="28"/>
          <w:rtl/>
        </w:rPr>
        <w:t>פתחנו</w:t>
      </w:r>
      <w:r w:rsidRPr="004B68EA">
        <w:rPr>
          <w:rFonts w:ascii="Century" w:hAnsi="Century" w:cs="FrankRuehl"/>
          <w:spacing w:val="10"/>
          <w:szCs w:val="28"/>
          <w:rtl/>
        </w:rPr>
        <w:t xml:space="preserve"> </w:t>
      </w:r>
      <w:r w:rsidRPr="004B68EA">
        <w:rPr>
          <w:rFonts w:ascii="Century" w:hAnsi="Century" w:cs="FrankRuehl" w:hint="eastAsia"/>
          <w:spacing w:val="10"/>
          <w:szCs w:val="28"/>
          <w:rtl/>
        </w:rPr>
        <w:t>הוצבה</w:t>
      </w:r>
      <w:r w:rsidRPr="004B68EA">
        <w:rPr>
          <w:rFonts w:ascii="Century" w:hAnsi="Century" w:cs="FrankRuehl"/>
          <w:spacing w:val="10"/>
          <w:szCs w:val="28"/>
          <w:rtl/>
        </w:rPr>
        <w:t xml:space="preserve"> "תאונה משפטית" רבת גלגולים. ניתן למצוא בה פנים לכאן ולכאן ביחס להסתייגויות המלוות את השלבים השונים שקדמו ל</w:t>
      </w:r>
      <w:r w:rsidRPr="004B68EA">
        <w:rPr>
          <w:rFonts w:ascii="Century" w:hAnsi="Century" w:cs="FrankRuehl" w:hint="eastAsia"/>
          <w:spacing w:val="10"/>
          <w:szCs w:val="28"/>
          <w:rtl/>
        </w:rPr>
        <w:t>הקמת</w:t>
      </w:r>
      <w:r w:rsidRPr="004B68EA">
        <w:rPr>
          <w:rFonts w:ascii="Century" w:hAnsi="Century" w:cs="FrankRuehl"/>
          <w:spacing w:val="10"/>
          <w:szCs w:val="28"/>
          <w:rtl/>
        </w:rPr>
        <w:t xml:space="preserve"> היישוב </w:t>
      </w:r>
      <w:r w:rsidRPr="004B68EA">
        <w:rPr>
          <w:rFonts w:ascii="Century" w:hAnsi="Century" w:cs="FrankRuehl" w:hint="eastAsia"/>
          <w:spacing w:val="10"/>
          <w:szCs w:val="28"/>
          <w:rtl/>
        </w:rPr>
        <w:t>מצפה</w:t>
      </w:r>
      <w:r w:rsidRPr="004B68EA">
        <w:rPr>
          <w:rFonts w:ascii="Century" w:hAnsi="Century" w:cs="FrankRuehl"/>
          <w:spacing w:val="10"/>
          <w:szCs w:val="28"/>
          <w:rtl/>
        </w:rPr>
        <w:t xml:space="preserve"> </w:t>
      </w:r>
      <w:r w:rsidRPr="004B68EA">
        <w:rPr>
          <w:rFonts w:ascii="Century" w:hAnsi="Century" w:cs="FrankRuehl" w:hint="eastAsia"/>
          <w:spacing w:val="10"/>
          <w:szCs w:val="28"/>
          <w:rtl/>
        </w:rPr>
        <w:t>כרמים</w:t>
      </w:r>
      <w:r w:rsidRPr="004B68EA">
        <w:rPr>
          <w:rFonts w:ascii="Century" w:hAnsi="Century" w:cs="FrankRuehl"/>
          <w:spacing w:val="10"/>
          <w:szCs w:val="28"/>
          <w:rtl/>
        </w:rPr>
        <w:t xml:space="preserve"> במיקומו הנוכחי. אולם, בסופו של דבר אלה מתכנסות לשאלה שבה נדרשת הכרעה חדה: </w:t>
      </w:r>
      <w:r w:rsidRPr="004B68EA">
        <w:rPr>
          <w:rFonts w:ascii="Century" w:hAnsi="Century" w:cs="FrankRuehl" w:hint="eastAsia"/>
          <w:spacing w:val="10"/>
          <w:szCs w:val="28"/>
          <w:rtl/>
        </w:rPr>
        <w:t>האם</w:t>
      </w:r>
      <w:r w:rsidRPr="004B68EA">
        <w:rPr>
          <w:rFonts w:ascii="Century" w:hAnsi="Century" w:cs="FrankRuehl"/>
          <w:spacing w:val="10"/>
          <w:szCs w:val="28"/>
          <w:rtl/>
        </w:rPr>
        <w:t xml:space="preserve"> </w:t>
      </w:r>
      <w:r w:rsidRPr="004B68EA">
        <w:rPr>
          <w:rFonts w:ascii="Century" w:hAnsi="Century" w:cs="FrankRuehl" w:hint="eastAsia"/>
          <w:spacing w:val="10"/>
          <w:szCs w:val="28"/>
          <w:rtl/>
        </w:rPr>
        <w:t>הפגמים</w:t>
      </w:r>
      <w:r w:rsidRPr="004B68EA">
        <w:rPr>
          <w:rFonts w:ascii="Century" w:hAnsi="Century" w:cs="FrankRuehl"/>
          <w:spacing w:val="10"/>
          <w:szCs w:val="28"/>
          <w:rtl/>
        </w:rPr>
        <w:t xml:space="preserve"> </w:t>
      </w:r>
      <w:r w:rsidRPr="004B68EA">
        <w:rPr>
          <w:rFonts w:ascii="Century" w:hAnsi="Century" w:cs="FrankRuehl" w:hint="eastAsia"/>
          <w:spacing w:val="10"/>
          <w:szCs w:val="28"/>
          <w:rtl/>
        </w:rPr>
        <w:t>שנפלו</w:t>
      </w:r>
      <w:r w:rsidRPr="004B68EA">
        <w:rPr>
          <w:rFonts w:ascii="Century" w:hAnsi="Century" w:cs="FrankRuehl"/>
          <w:spacing w:val="10"/>
          <w:szCs w:val="28"/>
          <w:rtl/>
        </w:rPr>
        <w:t xml:space="preserve"> </w:t>
      </w:r>
      <w:r w:rsidRPr="004B68EA">
        <w:rPr>
          <w:rFonts w:ascii="Century" w:hAnsi="Century" w:cs="FrankRuehl" w:hint="eastAsia"/>
          <w:spacing w:val="10"/>
          <w:szCs w:val="28"/>
          <w:rtl/>
        </w:rPr>
        <w:t>בתהליכי</w:t>
      </w:r>
      <w:r w:rsidRPr="004B68EA">
        <w:rPr>
          <w:rFonts w:ascii="Century" w:hAnsi="Century" w:cs="FrankRuehl"/>
          <w:spacing w:val="10"/>
          <w:szCs w:val="28"/>
          <w:rtl/>
        </w:rPr>
        <w:t xml:space="preserve"> </w:t>
      </w:r>
      <w:r w:rsidRPr="004B68EA">
        <w:rPr>
          <w:rFonts w:ascii="Century" w:hAnsi="Century" w:cs="FrankRuehl" w:hint="eastAsia"/>
          <w:spacing w:val="10"/>
          <w:szCs w:val="28"/>
          <w:rtl/>
        </w:rPr>
        <w:t>קבלת</w:t>
      </w:r>
      <w:r w:rsidRPr="004B68EA">
        <w:rPr>
          <w:rFonts w:ascii="Century" w:hAnsi="Century" w:cs="FrankRuehl"/>
          <w:spacing w:val="10"/>
          <w:szCs w:val="28"/>
          <w:rtl/>
        </w:rPr>
        <w:t xml:space="preserve"> </w:t>
      </w:r>
      <w:r w:rsidRPr="004B68EA">
        <w:rPr>
          <w:rFonts w:ascii="Century" w:hAnsi="Century" w:cs="FrankRuehl" w:hint="eastAsia"/>
          <w:spacing w:val="10"/>
          <w:szCs w:val="28"/>
          <w:rtl/>
        </w:rPr>
        <w:t>ההחלטות</w:t>
      </w:r>
      <w:r w:rsidRPr="004B68EA">
        <w:rPr>
          <w:rFonts w:ascii="Century" w:hAnsi="Century" w:cs="FrankRuehl"/>
          <w:spacing w:val="10"/>
          <w:szCs w:val="28"/>
          <w:rtl/>
        </w:rPr>
        <w:t xml:space="preserve"> </w:t>
      </w:r>
      <w:r w:rsidRPr="004B68EA">
        <w:rPr>
          <w:rFonts w:ascii="Century" w:hAnsi="Century" w:cs="FrankRuehl" w:hint="eastAsia"/>
          <w:spacing w:val="10"/>
          <w:szCs w:val="28"/>
          <w:rtl/>
        </w:rPr>
        <w:t>מחייבים</w:t>
      </w:r>
      <w:r w:rsidRPr="004B68EA">
        <w:rPr>
          <w:rFonts w:ascii="Century" w:hAnsi="Century" w:cs="FrankRuehl"/>
          <w:spacing w:val="10"/>
          <w:szCs w:val="28"/>
          <w:rtl/>
        </w:rPr>
        <w:t xml:space="preserve"> </w:t>
      </w:r>
      <w:r w:rsidRPr="004B68EA">
        <w:rPr>
          <w:rFonts w:ascii="Century" w:hAnsi="Century" w:cs="FrankRuehl" w:hint="eastAsia"/>
          <w:spacing w:val="10"/>
          <w:szCs w:val="28"/>
          <w:rtl/>
        </w:rPr>
        <w:t>את</w:t>
      </w:r>
      <w:r w:rsidRPr="004B68EA">
        <w:rPr>
          <w:rFonts w:ascii="Century" w:hAnsi="Century" w:cs="FrankRuehl"/>
          <w:spacing w:val="10"/>
          <w:szCs w:val="28"/>
          <w:rtl/>
        </w:rPr>
        <w:t xml:space="preserve"> </w:t>
      </w:r>
      <w:r w:rsidRPr="004B68EA">
        <w:rPr>
          <w:rFonts w:ascii="Century" w:hAnsi="Century" w:cs="FrankRuehl" w:hint="eastAsia"/>
          <w:spacing w:val="10"/>
          <w:szCs w:val="28"/>
          <w:rtl/>
        </w:rPr>
        <w:t>פינוי</w:t>
      </w:r>
      <w:r w:rsidRPr="004B68EA">
        <w:rPr>
          <w:rFonts w:ascii="Century" w:hAnsi="Century" w:cs="FrankRuehl"/>
          <w:spacing w:val="10"/>
          <w:szCs w:val="28"/>
          <w:rtl/>
        </w:rPr>
        <w:t xml:space="preserve"> </w:t>
      </w:r>
      <w:r w:rsidRPr="004B68EA">
        <w:rPr>
          <w:rFonts w:ascii="Century" w:hAnsi="Century" w:cs="FrankRuehl" w:hint="eastAsia"/>
          <w:spacing w:val="10"/>
          <w:szCs w:val="28"/>
          <w:rtl/>
        </w:rPr>
        <w:t>המשפחות</w:t>
      </w:r>
      <w:r w:rsidRPr="004B68EA">
        <w:rPr>
          <w:rFonts w:ascii="Century" w:hAnsi="Century" w:cs="FrankRuehl"/>
          <w:spacing w:val="10"/>
          <w:szCs w:val="28"/>
          <w:rtl/>
        </w:rPr>
        <w:t xml:space="preserve"> </w:t>
      </w:r>
      <w:r w:rsidRPr="004B68EA">
        <w:rPr>
          <w:rFonts w:ascii="Century" w:hAnsi="Century" w:cs="FrankRuehl" w:hint="eastAsia"/>
          <w:spacing w:val="10"/>
          <w:szCs w:val="28"/>
          <w:rtl/>
        </w:rPr>
        <w:t>המתגוררות</w:t>
      </w:r>
      <w:r w:rsidRPr="004B68EA">
        <w:rPr>
          <w:rFonts w:ascii="Century" w:hAnsi="Century" w:cs="FrankRuehl"/>
          <w:spacing w:val="10"/>
          <w:szCs w:val="28"/>
          <w:rtl/>
        </w:rPr>
        <w:t xml:space="preserve"> </w:t>
      </w:r>
      <w:r w:rsidRPr="004B68EA">
        <w:rPr>
          <w:rFonts w:ascii="Century" w:hAnsi="Century" w:cs="FrankRuehl" w:hint="eastAsia"/>
          <w:spacing w:val="10"/>
          <w:szCs w:val="28"/>
          <w:rtl/>
        </w:rPr>
        <w:t>ביישוב</w:t>
      </w:r>
      <w:r w:rsidRPr="004B68EA">
        <w:rPr>
          <w:rFonts w:ascii="Century" w:hAnsi="Century" w:cs="FrankRuehl"/>
          <w:spacing w:val="10"/>
          <w:szCs w:val="28"/>
          <w:rtl/>
        </w:rPr>
        <w:t xml:space="preserve">. </w:t>
      </w:r>
    </w:p>
    <w:p w:rsidR="005B1A77" w:rsidRPr="004B68EA" w:rsidRDefault="005B1A77" w:rsidP="005B1A77">
      <w:pPr>
        <w:spacing w:line="360" w:lineRule="auto"/>
        <w:jc w:val="both"/>
        <w:rPr>
          <w:rFonts w:ascii="Century" w:hAnsi="Century" w:cs="FrankRuehl"/>
          <w:spacing w:val="10"/>
          <w:szCs w:val="28"/>
          <w:rtl/>
        </w:rPr>
      </w:pPr>
    </w:p>
    <w:p w:rsidR="005B1A77" w:rsidRPr="00A24E75" w:rsidRDefault="005B1A77" w:rsidP="005B1A77">
      <w:pPr>
        <w:spacing w:line="360" w:lineRule="auto"/>
        <w:jc w:val="both"/>
        <w:rPr>
          <w:rFonts w:ascii="Century" w:hAnsi="Century" w:cs="FrankRuehl"/>
          <w:spacing w:val="10"/>
          <w:szCs w:val="28"/>
          <w:rtl/>
        </w:rPr>
      </w:pPr>
      <w:r w:rsidRPr="004B68EA">
        <w:rPr>
          <w:rFonts w:ascii="Century" w:hAnsi="Century" w:cs="FrankRuehl" w:hint="cs"/>
          <w:spacing w:val="10"/>
          <w:szCs w:val="28"/>
          <w:rtl/>
        </w:rPr>
        <w:t>2.</w:t>
      </w:r>
      <w:r w:rsidRPr="004B68EA">
        <w:rPr>
          <w:rFonts w:ascii="Century" w:hAnsi="Century" w:cs="FrankRuehl"/>
          <w:spacing w:val="10"/>
          <w:szCs w:val="28"/>
        </w:rPr>
        <w:tab/>
      </w:r>
      <w:r w:rsidRPr="004B68EA">
        <w:rPr>
          <w:rFonts w:ascii="Century" w:hAnsi="Century" w:cs="FrankRuehl" w:hint="eastAsia"/>
          <w:spacing w:val="10"/>
          <w:szCs w:val="28"/>
          <w:rtl/>
        </w:rPr>
        <w:t>מלכתחילה</w:t>
      </w:r>
      <w:r w:rsidRPr="004B68EA">
        <w:rPr>
          <w:rFonts w:ascii="Century" w:hAnsi="Century" w:cs="FrankRuehl"/>
          <w:spacing w:val="10"/>
          <w:szCs w:val="28"/>
          <w:rtl/>
        </w:rPr>
        <w:t xml:space="preserve">, </w:t>
      </w:r>
      <w:r w:rsidRPr="004B68EA">
        <w:rPr>
          <w:rFonts w:ascii="Century" w:hAnsi="Century" w:cs="FrankRuehl" w:hint="eastAsia"/>
          <w:spacing w:val="10"/>
          <w:szCs w:val="28"/>
          <w:rtl/>
        </w:rPr>
        <w:t>הניתוח</w:t>
      </w:r>
      <w:r w:rsidRPr="004B68EA">
        <w:rPr>
          <w:rFonts w:ascii="Century" w:hAnsi="Century" w:cs="FrankRuehl"/>
          <w:spacing w:val="10"/>
          <w:szCs w:val="28"/>
          <w:rtl/>
        </w:rPr>
        <w:t xml:space="preserve"> </w:t>
      </w:r>
      <w:r w:rsidRPr="004B68EA">
        <w:rPr>
          <w:rFonts w:ascii="Century" w:hAnsi="Century" w:cs="FrankRuehl" w:hint="eastAsia"/>
          <w:spacing w:val="10"/>
          <w:szCs w:val="28"/>
          <w:rtl/>
        </w:rPr>
        <w:t>המשפטי</w:t>
      </w:r>
      <w:r w:rsidRPr="004B68EA">
        <w:rPr>
          <w:rFonts w:ascii="Century" w:hAnsi="Century" w:cs="FrankRuehl"/>
          <w:spacing w:val="10"/>
          <w:szCs w:val="28"/>
          <w:rtl/>
        </w:rPr>
        <w:t xml:space="preserve"> ששימש בסיס לפסק הדין מושא הדיון הנוסף (להלן: </w:t>
      </w:r>
      <w:r w:rsidRPr="004B68EA">
        <w:rPr>
          <w:rFonts w:ascii="Century" w:hAnsi="Century" w:cs="Miriam" w:hint="eastAsia"/>
          <w:b/>
          <w:rtl/>
        </w:rPr>
        <w:t>פסק</w:t>
      </w:r>
      <w:r w:rsidRPr="004B68EA">
        <w:rPr>
          <w:rFonts w:ascii="Century" w:hAnsi="Century" w:cs="Miriam"/>
          <w:b/>
          <w:rtl/>
        </w:rPr>
        <w:t xml:space="preserve"> </w:t>
      </w:r>
      <w:r w:rsidRPr="004B68EA">
        <w:rPr>
          <w:rFonts w:ascii="Century" w:hAnsi="Century" w:cs="Miriam" w:hint="eastAsia"/>
          <w:b/>
          <w:rtl/>
        </w:rPr>
        <w:t>הדין</w:t>
      </w:r>
      <w:r w:rsidRPr="004B68EA">
        <w:rPr>
          <w:rFonts w:ascii="Century" w:hAnsi="Century" w:cs="Miriam"/>
          <w:b/>
          <w:rtl/>
        </w:rPr>
        <w:t xml:space="preserve"> </w:t>
      </w:r>
      <w:r w:rsidRPr="004B68EA">
        <w:rPr>
          <w:rFonts w:ascii="Century" w:hAnsi="Century" w:cs="Miriam" w:hint="eastAsia"/>
          <w:b/>
          <w:rtl/>
        </w:rPr>
        <w:t>הקודם</w:t>
      </w:r>
      <w:r w:rsidRPr="004B68EA">
        <w:rPr>
          <w:rFonts w:ascii="Century" w:hAnsi="Century" w:cs="FrankRuehl"/>
          <w:spacing w:val="10"/>
          <w:szCs w:val="28"/>
          <w:rtl/>
        </w:rPr>
        <w:t xml:space="preserve">) בחן, בעיקרו של דבר, </w:t>
      </w:r>
      <w:r w:rsidRPr="004B68EA">
        <w:rPr>
          <w:rFonts w:ascii="Century" w:hAnsi="Century" w:cs="FrankRuehl" w:hint="eastAsia"/>
          <w:spacing w:val="10"/>
          <w:szCs w:val="28"/>
          <w:rtl/>
        </w:rPr>
        <w:t>את</w:t>
      </w:r>
      <w:r w:rsidRPr="004B68EA">
        <w:rPr>
          <w:rFonts w:ascii="Century" w:hAnsi="Century" w:cs="FrankRuehl"/>
          <w:spacing w:val="10"/>
          <w:szCs w:val="28"/>
          <w:rtl/>
        </w:rPr>
        <w:t xml:space="preserve"> </w:t>
      </w:r>
      <w:r w:rsidRPr="004B68EA">
        <w:rPr>
          <w:rFonts w:ascii="Century" w:hAnsi="Century" w:cs="FrankRuehl" w:hint="eastAsia"/>
          <w:spacing w:val="10"/>
          <w:szCs w:val="28"/>
          <w:rtl/>
        </w:rPr>
        <w:t>רף</w:t>
      </w:r>
      <w:r w:rsidRPr="004B68EA">
        <w:rPr>
          <w:rFonts w:ascii="Century" w:hAnsi="Century" w:cs="FrankRuehl"/>
          <w:spacing w:val="10"/>
          <w:szCs w:val="28"/>
          <w:rtl/>
        </w:rPr>
        <w:t xml:space="preserve"> תום הלב שנדרש מן הממונה על הרכוש הממשלתי (להלן גם: </w:t>
      </w:r>
      <w:r w:rsidRPr="004B68EA">
        <w:rPr>
          <w:rFonts w:ascii="Century" w:hAnsi="Century" w:cs="Miriam" w:hint="eastAsia"/>
          <w:b/>
          <w:rtl/>
        </w:rPr>
        <w:t>הממונה</w:t>
      </w:r>
      <w:r w:rsidRPr="004B68EA">
        <w:rPr>
          <w:rFonts w:ascii="Century" w:hAnsi="Century" w:cs="FrankRuehl"/>
          <w:spacing w:val="10"/>
          <w:szCs w:val="28"/>
          <w:rtl/>
        </w:rPr>
        <w:t xml:space="preserve">) </w:t>
      </w:r>
      <w:r w:rsidRPr="004B68EA">
        <w:rPr>
          <w:rFonts w:ascii="Century" w:hAnsi="Century" w:cs="FrankRuehl" w:hint="eastAsia"/>
          <w:spacing w:val="10"/>
          <w:szCs w:val="28"/>
          <w:rtl/>
        </w:rPr>
        <w:t>בגדרו</w:t>
      </w:r>
      <w:r w:rsidRPr="004B68EA">
        <w:rPr>
          <w:rFonts w:ascii="Century" w:hAnsi="Century" w:cs="FrankRuehl"/>
          <w:spacing w:val="10"/>
          <w:szCs w:val="28"/>
          <w:rtl/>
        </w:rPr>
        <w:t xml:space="preserve"> של ההסדר הקבוע בסעיף 5 לצו בדבר רכוש ממשלתי (אזור </w:t>
      </w:r>
      <w:r>
        <w:rPr>
          <w:rFonts w:ascii="Century" w:hAnsi="Century" w:cs="FrankRuehl" w:hint="cs"/>
          <w:spacing w:val="10"/>
          <w:szCs w:val="28"/>
          <w:rtl/>
        </w:rPr>
        <w:t>יהודה והשומרון</w:t>
      </w:r>
      <w:r w:rsidRPr="004B68EA">
        <w:rPr>
          <w:rFonts w:ascii="Century" w:hAnsi="Century" w:cs="FrankRuehl"/>
          <w:spacing w:val="10"/>
          <w:szCs w:val="28"/>
          <w:rtl/>
        </w:rPr>
        <w:t xml:space="preserve">) (מס' 59), התשכ"ז-1967 (להלן: </w:t>
      </w:r>
      <w:r w:rsidRPr="004B68EA">
        <w:rPr>
          <w:rFonts w:ascii="Century" w:hAnsi="Century" w:cs="Miriam" w:hint="eastAsia"/>
          <w:b/>
          <w:rtl/>
        </w:rPr>
        <w:t>הצו</w:t>
      </w:r>
      <w:r w:rsidRPr="004B68EA">
        <w:rPr>
          <w:rFonts w:ascii="Century" w:hAnsi="Century" w:cs="FrankRuehl"/>
          <w:spacing w:val="10"/>
          <w:szCs w:val="28"/>
          <w:rtl/>
        </w:rPr>
        <w:t xml:space="preserve">). זאת, </w:t>
      </w:r>
      <w:r w:rsidRPr="004B68EA">
        <w:rPr>
          <w:rFonts w:ascii="Century" w:hAnsi="Century" w:cs="FrankRuehl" w:hint="eastAsia"/>
          <w:spacing w:val="10"/>
          <w:szCs w:val="28"/>
          <w:rtl/>
        </w:rPr>
        <w:t>על</w:t>
      </w:r>
      <w:r w:rsidRPr="004B68EA">
        <w:rPr>
          <w:rFonts w:ascii="Century" w:hAnsi="Century" w:cs="FrankRuehl"/>
          <w:spacing w:val="10"/>
          <w:szCs w:val="28"/>
          <w:rtl/>
        </w:rPr>
        <w:t xml:space="preserve"> מנת לקבוע </w:t>
      </w:r>
      <w:r w:rsidRPr="004B68EA">
        <w:rPr>
          <w:rFonts w:ascii="Century" w:hAnsi="Century" w:cs="FrankRuehl" w:hint="eastAsia"/>
          <w:spacing w:val="10"/>
          <w:szCs w:val="28"/>
          <w:rtl/>
        </w:rPr>
        <w:t>אם</w:t>
      </w:r>
      <w:r w:rsidRPr="004B68EA">
        <w:rPr>
          <w:rFonts w:ascii="Century" w:hAnsi="Century" w:cs="FrankRuehl"/>
          <w:spacing w:val="10"/>
          <w:szCs w:val="28"/>
          <w:rtl/>
        </w:rPr>
        <w:t xml:space="preserve"> </w:t>
      </w:r>
      <w:r w:rsidRPr="004B68EA">
        <w:rPr>
          <w:rFonts w:ascii="Century" w:hAnsi="Century" w:cs="FrankRuehl" w:hint="eastAsia"/>
          <w:spacing w:val="10"/>
          <w:szCs w:val="28"/>
          <w:rtl/>
        </w:rPr>
        <w:t>עסקה</w:t>
      </w:r>
      <w:r w:rsidRPr="004B68EA">
        <w:rPr>
          <w:rFonts w:ascii="Century" w:hAnsi="Century" w:cs="FrankRuehl"/>
          <w:spacing w:val="10"/>
          <w:szCs w:val="28"/>
          <w:rtl/>
        </w:rPr>
        <w:t xml:space="preserve"> שעשה בנכס, שהתברר בדיעבד כי אינו רכוש ממשלתי, תעמוד בתוקפה בכל זאת. </w:t>
      </w:r>
      <w:r w:rsidRPr="004B68EA">
        <w:rPr>
          <w:rFonts w:ascii="Century" w:hAnsi="Century" w:cs="FrankRuehl" w:hint="eastAsia"/>
          <w:spacing w:val="10"/>
          <w:szCs w:val="28"/>
          <w:rtl/>
        </w:rPr>
        <w:t>אולם</w:t>
      </w:r>
      <w:r w:rsidRPr="004B68EA">
        <w:rPr>
          <w:rFonts w:ascii="Century" w:hAnsi="Century" w:cs="FrankRuehl"/>
          <w:spacing w:val="10"/>
          <w:szCs w:val="28"/>
          <w:rtl/>
        </w:rPr>
        <w:t xml:space="preserve">, </w:t>
      </w:r>
      <w:r w:rsidRPr="004B68EA">
        <w:rPr>
          <w:rFonts w:ascii="Century" w:hAnsi="Century" w:cs="FrankRuehl" w:hint="eastAsia"/>
          <w:spacing w:val="10"/>
          <w:szCs w:val="28"/>
          <w:rtl/>
        </w:rPr>
        <w:t>כפי</w:t>
      </w:r>
      <w:r w:rsidRPr="004B68EA">
        <w:rPr>
          <w:rFonts w:ascii="Century" w:hAnsi="Century" w:cs="FrankRuehl"/>
          <w:spacing w:val="10"/>
          <w:szCs w:val="28"/>
          <w:rtl/>
        </w:rPr>
        <w:t xml:space="preserve"> </w:t>
      </w:r>
      <w:r w:rsidRPr="004B68EA">
        <w:rPr>
          <w:rFonts w:ascii="Century" w:hAnsi="Century" w:cs="FrankRuehl" w:hint="eastAsia"/>
          <w:spacing w:val="10"/>
          <w:szCs w:val="28"/>
          <w:rtl/>
        </w:rPr>
        <w:t>שאסביר</w:t>
      </w:r>
      <w:r w:rsidRPr="004B68EA">
        <w:rPr>
          <w:rFonts w:ascii="Century" w:hAnsi="Century" w:cs="FrankRuehl"/>
          <w:spacing w:val="10"/>
          <w:szCs w:val="28"/>
          <w:rtl/>
        </w:rPr>
        <w:t xml:space="preserve"> </w:t>
      </w:r>
      <w:r w:rsidRPr="004B68EA">
        <w:rPr>
          <w:rFonts w:ascii="Century" w:hAnsi="Century" w:cs="FrankRuehl" w:hint="eastAsia"/>
          <w:spacing w:val="10"/>
          <w:szCs w:val="28"/>
          <w:rtl/>
        </w:rPr>
        <w:t>בהמשך</w:t>
      </w:r>
      <w:r w:rsidRPr="004B68EA">
        <w:rPr>
          <w:rFonts w:ascii="Century" w:hAnsi="Century" w:cs="FrankRuehl"/>
          <w:spacing w:val="10"/>
          <w:szCs w:val="28"/>
          <w:rtl/>
        </w:rPr>
        <w:t xml:space="preserve">, </w:t>
      </w:r>
      <w:r w:rsidRPr="004B68EA">
        <w:rPr>
          <w:rFonts w:ascii="Century" w:hAnsi="Century" w:cs="FrankRuehl" w:hint="eastAsia"/>
          <w:spacing w:val="10"/>
          <w:szCs w:val="28"/>
          <w:rtl/>
        </w:rPr>
        <w:t>אני</w:t>
      </w:r>
      <w:r w:rsidRPr="004B68EA">
        <w:rPr>
          <w:rFonts w:ascii="Century" w:hAnsi="Century" w:cs="FrankRuehl"/>
          <w:spacing w:val="10"/>
          <w:szCs w:val="28"/>
          <w:rtl/>
        </w:rPr>
        <w:t xml:space="preserve"> </w:t>
      </w:r>
      <w:r w:rsidRPr="004B68EA">
        <w:rPr>
          <w:rFonts w:ascii="Century" w:hAnsi="Century" w:cs="FrankRuehl" w:hint="eastAsia"/>
          <w:spacing w:val="10"/>
          <w:szCs w:val="28"/>
          <w:rtl/>
        </w:rPr>
        <w:t>סבורה</w:t>
      </w:r>
      <w:r w:rsidRPr="004B68EA">
        <w:rPr>
          <w:rFonts w:ascii="Century" w:hAnsi="Century" w:cs="FrankRuehl"/>
          <w:spacing w:val="10"/>
          <w:szCs w:val="28"/>
          <w:rtl/>
        </w:rPr>
        <w:t xml:space="preserve"> </w:t>
      </w:r>
      <w:r w:rsidRPr="004B68EA">
        <w:rPr>
          <w:rFonts w:ascii="Century" w:hAnsi="Century" w:cs="FrankRuehl" w:hint="eastAsia"/>
          <w:spacing w:val="10"/>
          <w:szCs w:val="28"/>
          <w:rtl/>
        </w:rPr>
        <w:t>כי</w:t>
      </w:r>
      <w:r w:rsidRPr="004B68EA">
        <w:rPr>
          <w:rFonts w:ascii="Century" w:hAnsi="Century" w:cs="FrankRuehl"/>
          <w:spacing w:val="10"/>
          <w:szCs w:val="28"/>
          <w:rtl/>
        </w:rPr>
        <w:t xml:space="preserve"> </w:t>
      </w:r>
      <w:r w:rsidRPr="004B68EA">
        <w:rPr>
          <w:rFonts w:ascii="Century" w:hAnsi="Century" w:cs="FrankRuehl" w:hint="eastAsia"/>
          <w:spacing w:val="10"/>
          <w:szCs w:val="28"/>
          <w:rtl/>
        </w:rPr>
        <w:t>לא</w:t>
      </w:r>
      <w:r w:rsidRPr="004B68EA">
        <w:rPr>
          <w:rFonts w:ascii="Century" w:hAnsi="Century" w:cs="FrankRuehl"/>
          <w:spacing w:val="10"/>
          <w:szCs w:val="28"/>
          <w:rtl/>
        </w:rPr>
        <w:t xml:space="preserve"> </w:t>
      </w:r>
      <w:r w:rsidRPr="004B68EA">
        <w:rPr>
          <w:rFonts w:ascii="Century" w:hAnsi="Century" w:cs="FrankRuehl" w:hint="eastAsia"/>
          <w:spacing w:val="10"/>
          <w:szCs w:val="28"/>
          <w:rtl/>
        </w:rPr>
        <w:t>ניתן</w:t>
      </w:r>
      <w:r w:rsidRPr="004B68EA">
        <w:rPr>
          <w:rFonts w:ascii="Century" w:hAnsi="Century" w:cs="FrankRuehl"/>
          <w:spacing w:val="10"/>
          <w:szCs w:val="28"/>
          <w:rtl/>
        </w:rPr>
        <w:t xml:space="preserve"> </w:t>
      </w:r>
      <w:r w:rsidRPr="004B68EA">
        <w:rPr>
          <w:rFonts w:ascii="Century" w:hAnsi="Century" w:cs="FrankRuehl" w:hint="eastAsia"/>
          <w:spacing w:val="10"/>
          <w:szCs w:val="28"/>
          <w:rtl/>
        </w:rPr>
        <w:t>להתוות</w:t>
      </w:r>
      <w:r w:rsidRPr="004B68EA">
        <w:rPr>
          <w:rFonts w:ascii="Century" w:hAnsi="Century" w:cs="FrankRuehl"/>
          <w:spacing w:val="10"/>
          <w:szCs w:val="28"/>
          <w:rtl/>
        </w:rPr>
        <w:t xml:space="preserve"> </w:t>
      </w:r>
      <w:r w:rsidRPr="004B68EA">
        <w:rPr>
          <w:rFonts w:ascii="Century" w:hAnsi="Century" w:cs="FrankRuehl" w:hint="eastAsia"/>
          <w:spacing w:val="10"/>
          <w:szCs w:val="28"/>
          <w:rtl/>
        </w:rPr>
        <w:t>את</w:t>
      </w:r>
      <w:r w:rsidRPr="004B68EA">
        <w:rPr>
          <w:rFonts w:ascii="Century" w:hAnsi="Century" w:cs="FrankRuehl"/>
          <w:spacing w:val="10"/>
          <w:szCs w:val="28"/>
          <w:rtl/>
        </w:rPr>
        <w:t xml:space="preserve"> </w:t>
      </w:r>
      <w:r w:rsidRPr="004B68EA">
        <w:rPr>
          <w:rFonts w:ascii="Century" w:hAnsi="Century" w:cs="FrankRuehl" w:hint="eastAsia"/>
          <w:spacing w:val="10"/>
          <w:szCs w:val="28"/>
          <w:rtl/>
        </w:rPr>
        <w:t>אמות</w:t>
      </w:r>
      <w:r w:rsidRPr="004B68EA">
        <w:rPr>
          <w:rFonts w:ascii="Century" w:hAnsi="Century" w:cs="FrankRuehl"/>
          <w:spacing w:val="10"/>
          <w:szCs w:val="28"/>
          <w:rtl/>
        </w:rPr>
        <w:t xml:space="preserve"> </w:t>
      </w:r>
      <w:r w:rsidRPr="004B68EA">
        <w:rPr>
          <w:rFonts w:ascii="Century" w:hAnsi="Century" w:cs="FrankRuehl" w:hint="eastAsia"/>
          <w:spacing w:val="10"/>
          <w:szCs w:val="28"/>
          <w:rtl/>
        </w:rPr>
        <w:t>המידה</w:t>
      </w:r>
      <w:r w:rsidRPr="004B68EA">
        <w:rPr>
          <w:rFonts w:ascii="Century" w:hAnsi="Century" w:cs="FrankRuehl"/>
          <w:spacing w:val="10"/>
          <w:szCs w:val="28"/>
          <w:rtl/>
        </w:rPr>
        <w:t xml:space="preserve"> </w:t>
      </w:r>
      <w:r w:rsidRPr="004B68EA">
        <w:rPr>
          <w:rFonts w:ascii="Century" w:hAnsi="Century" w:cs="FrankRuehl" w:hint="eastAsia"/>
          <w:spacing w:val="10"/>
          <w:szCs w:val="28"/>
          <w:rtl/>
        </w:rPr>
        <w:t>הנוגעות</w:t>
      </w:r>
      <w:r w:rsidRPr="004B68EA">
        <w:rPr>
          <w:rFonts w:ascii="Century" w:hAnsi="Century" w:cs="FrankRuehl"/>
          <w:spacing w:val="10"/>
          <w:szCs w:val="28"/>
          <w:rtl/>
        </w:rPr>
        <w:t xml:space="preserve"> </w:t>
      </w:r>
      <w:r w:rsidRPr="004B68EA">
        <w:rPr>
          <w:rFonts w:ascii="Century" w:hAnsi="Century" w:cs="FrankRuehl" w:hint="eastAsia"/>
          <w:spacing w:val="10"/>
          <w:szCs w:val="28"/>
          <w:rtl/>
        </w:rPr>
        <w:t>לתום</w:t>
      </w:r>
      <w:r w:rsidRPr="004B68EA">
        <w:rPr>
          <w:rFonts w:ascii="Century" w:hAnsi="Century" w:cs="FrankRuehl"/>
          <w:spacing w:val="10"/>
          <w:szCs w:val="28"/>
          <w:rtl/>
        </w:rPr>
        <w:t xml:space="preserve"> </w:t>
      </w:r>
      <w:r w:rsidRPr="004B68EA">
        <w:rPr>
          <w:rFonts w:ascii="Century" w:hAnsi="Century" w:cs="FrankRuehl" w:hint="eastAsia"/>
          <w:spacing w:val="10"/>
          <w:szCs w:val="28"/>
          <w:rtl/>
        </w:rPr>
        <w:t>לבו</w:t>
      </w:r>
      <w:r w:rsidRPr="004B68EA">
        <w:rPr>
          <w:rFonts w:ascii="Century" w:hAnsi="Century" w:cs="FrankRuehl"/>
          <w:spacing w:val="10"/>
          <w:szCs w:val="28"/>
          <w:rtl/>
        </w:rPr>
        <w:t xml:space="preserve"> </w:t>
      </w:r>
      <w:r w:rsidRPr="004B68EA">
        <w:rPr>
          <w:rFonts w:ascii="Century" w:hAnsi="Century" w:cs="FrankRuehl" w:hint="eastAsia"/>
          <w:spacing w:val="10"/>
          <w:szCs w:val="28"/>
          <w:rtl/>
        </w:rPr>
        <w:t>של</w:t>
      </w:r>
      <w:r w:rsidRPr="004B68EA">
        <w:rPr>
          <w:rFonts w:ascii="Century" w:hAnsi="Century" w:cs="FrankRuehl"/>
          <w:spacing w:val="10"/>
          <w:szCs w:val="28"/>
          <w:rtl/>
        </w:rPr>
        <w:t xml:space="preserve"> </w:t>
      </w:r>
      <w:r w:rsidRPr="004B68EA">
        <w:rPr>
          <w:rFonts w:ascii="Century" w:hAnsi="Century" w:cs="FrankRuehl" w:hint="eastAsia"/>
          <w:spacing w:val="10"/>
          <w:szCs w:val="28"/>
          <w:rtl/>
        </w:rPr>
        <w:t>הממונה</w:t>
      </w:r>
      <w:r w:rsidRPr="004B68EA">
        <w:rPr>
          <w:rFonts w:ascii="Century" w:hAnsi="Century" w:cs="FrankRuehl"/>
          <w:spacing w:val="10"/>
          <w:szCs w:val="28"/>
          <w:rtl/>
        </w:rPr>
        <w:t xml:space="preserve">, </w:t>
      </w:r>
      <w:r w:rsidRPr="004B68EA">
        <w:rPr>
          <w:rFonts w:ascii="Century" w:hAnsi="Century" w:cs="FrankRuehl" w:hint="eastAsia"/>
          <w:spacing w:val="10"/>
          <w:szCs w:val="28"/>
          <w:rtl/>
        </w:rPr>
        <w:t>מבלי</w:t>
      </w:r>
      <w:r w:rsidRPr="004B68EA">
        <w:rPr>
          <w:rFonts w:ascii="Century" w:hAnsi="Century" w:cs="FrankRuehl"/>
          <w:spacing w:val="10"/>
          <w:szCs w:val="28"/>
          <w:rtl/>
        </w:rPr>
        <w:t xml:space="preserve"> </w:t>
      </w:r>
      <w:r w:rsidRPr="004B68EA">
        <w:rPr>
          <w:rFonts w:ascii="Century" w:hAnsi="Century" w:cs="FrankRuehl" w:hint="eastAsia"/>
          <w:spacing w:val="10"/>
          <w:szCs w:val="28"/>
          <w:rtl/>
        </w:rPr>
        <w:t>להתייחס</w:t>
      </w:r>
      <w:r w:rsidRPr="004B68EA">
        <w:rPr>
          <w:rFonts w:ascii="Century" w:hAnsi="Century" w:cs="FrankRuehl"/>
          <w:spacing w:val="10"/>
          <w:szCs w:val="28"/>
          <w:rtl/>
        </w:rPr>
        <w:t xml:space="preserve"> </w:t>
      </w:r>
      <w:r w:rsidRPr="004B68EA">
        <w:rPr>
          <w:rFonts w:ascii="Century" w:hAnsi="Century" w:cs="FrankRuehl" w:hint="eastAsia"/>
          <w:spacing w:val="10"/>
          <w:szCs w:val="28"/>
          <w:rtl/>
        </w:rPr>
        <w:t>לתנאים</w:t>
      </w:r>
      <w:r w:rsidRPr="004B68EA">
        <w:rPr>
          <w:rFonts w:ascii="Century" w:hAnsi="Century" w:cs="FrankRuehl"/>
          <w:spacing w:val="10"/>
          <w:szCs w:val="28"/>
          <w:rtl/>
        </w:rPr>
        <w:t xml:space="preserve"> </w:t>
      </w:r>
      <w:r w:rsidRPr="004B68EA">
        <w:rPr>
          <w:rFonts w:ascii="Century" w:hAnsi="Century" w:cs="FrankRuehl" w:hint="eastAsia"/>
          <w:spacing w:val="10"/>
          <w:szCs w:val="28"/>
          <w:rtl/>
        </w:rPr>
        <w:t>נוספים</w:t>
      </w:r>
      <w:r w:rsidRPr="004B68EA">
        <w:rPr>
          <w:rFonts w:ascii="Century" w:hAnsi="Century" w:cs="FrankRuehl"/>
          <w:spacing w:val="10"/>
          <w:szCs w:val="28"/>
          <w:rtl/>
        </w:rPr>
        <w:t xml:space="preserve"> </w:t>
      </w:r>
      <w:r w:rsidRPr="004B68EA">
        <w:rPr>
          <w:rFonts w:ascii="Century" w:hAnsi="Century" w:cs="FrankRuehl" w:hint="eastAsia"/>
          <w:spacing w:val="10"/>
          <w:szCs w:val="28"/>
          <w:rtl/>
        </w:rPr>
        <w:t>לתחולתו</w:t>
      </w:r>
      <w:r w:rsidRPr="004B68EA">
        <w:rPr>
          <w:rFonts w:ascii="Century" w:hAnsi="Century" w:cs="FrankRuehl"/>
          <w:spacing w:val="10"/>
          <w:szCs w:val="28"/>
          <w:rtl/>
        </w:rPr>
        <w:t xml:space="preserve"> </w:t>
      </w:r>
      <w:r w:rsidRPr="004B68EA">
        <w:rPr>
          <w:rFonts w:ascii="Century" w:hAnsi="Century" w:cs="FrankRuehl" w:hint="eastAsia"/>
          <w:spacing w:val="10"/>
          <w:szCs w:val="28"/>
          <w:rtl/>
        </w:rPr>
        <w:t>של</w:t>
      </w:r>
      <w:r w:rsidRPr="004B68EA">
        <w:rPr>
          <w:rFonts w:ascii="Century" w:hAnsi="Century" w:cs="FrankRuehl"/>
          <w:spacing w:val="10"/>
          <w:szCs w:val="28"/>
          <w:rtl/>
        </w:rPr>
        <w:t xml:space="preserve"> </w:t>
      </w:r>
      <w:r w:rsidRPr="004B68EA">
        <w:rPr>
          <w:rFonts w:ascii="Century" w:hAnsi="Century" w:cs="FrankRuehl" w:hint="eastAsia"/>
          <w:spacing w:val="10"/>
          <w:szCs w:val="28"/>
          <w:rtl/>
        </w:rPr>
        <w:t>סעיף</w:t>
      </w:r>
      <w:r w:rsidRPr="004B68EA">
        <w:rPr>
          <w:rFonts w:ascii="Century" w:hAnsi="Century" w:cs="FrankRuehl"/>
          <w:spacing w:val="10"/>
          <w:szCs w:val="28"/>
          <w:rtl/>
        </w:rPr>
        <w:t xml:space="preserve"> 5 </w:t>
      </w:r>
      <w:r w:rsidRPr="004B68EA">
        <w:rPr>
          <w:rFonts w:ascii="Century" w:hAnsi="Century" w:cs="FrankRuehl" w:hint="eastAsia"/>
          <w:spacing w:val="10"/>
          <w:szCs w:val="28"/>
          <w:rtl/>
        </w:rPr>
        <w:t>לצו</w:t>
      </w:r>
      <w:r w:rsidRPr="004B68EA">
        <w:rPr>
          <w:rFonts w:ascii="Century" w:hAnsi="Century" w:cs="FrankRuehl"/>
          <w:spacing w:val="10"/>
          <w:szCs w:val="28"/>
          <w:rtl/>
        </w:rPr>
        <w:t xml:space="preserve">, </w:t>
      </w:r>
      <w:r w:rsidRPr="004B68EA">
        <w:rPr>
          <w:rFonts w:ascii="Century" w:hAnsi="Century" w:cs="FrankRuehl" w:hint="eastAsia"/>
          <w:spacing w:val="10"/>
          <w:szCs w:val="28"/>
          <w:rtl/>
        </w:rPr>
        <w:t>ועל</w:t>
      </w:r>
      <w:r w:rsidRPr="004B68EA">
        <w:rPr>
          <w:rFonts w:ascii="Century" w:hAnsi="Century" w:cs="FrankRuehl"/>
          <w:spacing w:val="10"/>
          <w:szCs w:val="28"/>
          <w:rtl/>
        </w:rPr>
        <w:t xml:space="preserve"> </w:t>
      </w:r>
      <w:r w:rsidRPr="004B68EA">
        <w:rPr>
          <w:rFonts w:ascii="Century" w:hAnsi="Century" w:cs="FrankRuehl" w:hint="eastAsia"/>
          <w:spacing w:val="10"/>
          <w:szCs w:val="28"/>
          <w:rtl/>
        </w:rPr>
        <w:t>כן</w:t>
      </w:r>
      <w:r w:rsidRPr="004B68EA">
        <w:rPr>
          <w:rFonts w:ascii="Century" w:hAnsi="Century" w:cs="FrankRuehl"/>
          <w:spacing w:val="10"/>
          <w:szCs w:val="28"/>
          <w:rtl/>
        </w:rPr>
        <w:t xml:space="preserve">, </w:t>
      </w:r>
      <w:r w:rsidRPr="004B68EA">
        <w:rPr>
          <w:rFonts w:ascii="Century" w:hAnsi="Century" w:cs="FrankRuehl" w:hint="eastAsia"/>
          <w:spacing w:val="10"/>
          <w:szCs w:val="28"/>
          <w:rtl/>
        </w:rPr>
        <w:t>אדרש</w:t>
      </w:r>
      <w:r w:rsidRPr="004B68EA">
        <w:rPr>
          <w:rFonts w:ascii="Century" w:hAnsi="Century" w:cs="FrankRuehl"/>
          <w:spacing w:val="10"/>
          <w:szCs w:val="28"/>
          <w:rtl/>
        </w:rPr>
        <w:t xml:space="preserve"> </w:t>
      </w:r>
      <w:r w:rsidRPr="004B68EA">
        <w:rPr>
          <w:rFonts w:ascii="Century" w:hAnsi="Century" w:cs="FrankRuehl" w:hint="eastAsia"/>
          <w:spacing w:val="10"/>
          <w:szCs w:val="28"/>
          <w:rtl/>
        </w:rPr>
        <w:t>אף</w:t>
      </w:r>
      <w:r w:rsidRPr="004B68EA">
        <w:rPr>
          <w:rFonts w:ascii="Century" w:hAnsi="Century" w:cs="FrankRuehl"/>
          <w:spacing w:val="10"/>
          <w:szCs w:val="28"/>
          <w:rtl/>
        </w:rPr>
        <w:t xml:space="preserve"> </w:t>
      </w:r>
      <w:r w:rsidRPr="004B68EA">
        <w:rPr>
          <w:rFonts w:ascii="Century" w:hAnsi="Century" w:cs="FrankRuehl" w:hint="eastAsia"/>
          <w:spacing w:val="10"/>
          <w:szCs w:val="28"/>
          <w:rtl/>
        </w:rPr>
        <w:t>אליהם</w:t>
      </w:r>
      <w:r w:rsidRPr="004B68EA">
        <w:rPr>
          <w:rFonts w:ascii="Century" w:hAnsi="Century" w:cs="FrankRuehl"/>
          <w:spacing w:val="10"/>
          <w:szCs w:val="28"/>
          <w:rtl/>
        </w:rPr>
        <w:t xml:space="preserve">. </w:t>
      </w:r>
      <w:r w:rsidRPr="004B68EA">
        <w:rPr>
          <w:rFonts w:ascii="Century" w:hAnsi="Century" w:cs="FrankRuehl" w:hint="eastAsia"/>
          <w:spacing w:val="10"/>
          <w:szCs w:val="28"/>
          <w:rtl/>
        </w:rPr>
        <w:t>הכל</w:t>
      </w:r>
      <w:r w:rsidRPr="004B68EA">
        <w:rPr>
          <w:rFonts w:ascii="Century" w:hAnsi="Century" w:cs="FrankRuehl"/>
          <w:spacing w:val="10"/>
          <w:szCs w:val="28"/>
          <w:rtl/>
        </w:rPr>
        <w:t xml:space="preserve">, </w:t>
      </w:r>
      <w:r w:rsidRPr="004B68EA">
        <w:rPr>
          <w:rFonts w:ascii="Century" w:hAnsi="Century" w:cs="FrankRuehl" w:hint="eastAsia"/>
          <w:spacing w:val="10"/>
          <w:szCs w:val="28"/>
          <w:rtl/>
        </w:rPr>
        <w:t>כמפורט</w:t>
      </w:r>
      <w:r w:rsidRPr="004B68EA">
        <w:rPr>
          <w:rFonts w:ascii="Century" w:hAnsi="Century" w:cs="FrankRuehl"/>
          <w:spacing w:val="10"/>
          <w:szCs w:val="28"/>
          <w:rtl/>
        </w:rPr>
        <w:t xml:space="preserve"> </w:t>
      </w:r>
      <w:r w:rsidRPr="004B68EA">
        <w:rPr>
          <w:rFonts w:ascii="Century" w:hAnsi="Century" w:cs="FrankRuehl" w:hint="eastAsia"/>
          <w:spacing w:val="10"/>
          <w:szCs w:val="28"/>
          <w:rtl/>
        </w:rPr>
        <w:t>בהמשך</w:t>
      </w:r>
      <w:r w:rsidRPr="004B68EA">
        <w:rPr>
          <w:rFonts w:ascii="Century" w:hAnsi="Century" w:cs="FrankRuehl"/>
          <w:spacing w:val="10"/>
          <w:szCs w:val="28"/>
          <w:rtl/>
        </w:rPr>
        <w:t xml:space="preserve">. </w:t>
      </w:r>
    </w:p>
    <w:p w:rsidR="005B1A77" w:rsidRPr="00A24E75" w:rsidRDefault="005B1A77" w:rsidP="005B1A77">
      <w:pPr>
        <w:spacing w:line="360" w:lineRule="auto"/>
        <w:jc w:val="both"/>
        <w:rPr>
          <w:rFonts w:ascii="Century" w:hAnsi="Century" w:cs="FrankRuehl"/>
          <w:spacing w:val="10"/>
          <w:szCs w:val="28"/>
          <w:rtl/>
        </w:rPr>
      </w:pPr>
    </w:p>
    <w:p w:rsidR="005B1A77" w:rsidRPr="004B68EA" w:rsidRDefault="005B1A77" w:rsidP="005B1A77">
      <w:pPr>
        <w:spacing w:line="360" w:lineRule="auto"/>
        <w:jc w:val="both"/>
        <w:rPr>
          <w:rFonts w:ascii="Century" w:hAnsi="Century" w:cs="FrankRuehl"/>
          <w:spacing w:val="10"/>
          <w:szCs w:val="28"/>
          <w:rtl/>
        </w:rPr>
      </w:pPr>
      <w:r w:rsidRPr="004B68EA">
        <w:rPr>
          <w:rFonts w:ascii="Century" w:hAnsi="Century" w:cs="FrankRuehl"/>
          <w:spacing w:val="10"/>
          <w:szCs w:val="28"/>
          <w:rtl/>
        </w:rPr>
        <w:t>3.</w:t>
      </w:r>
      <w:r w:rsidRPr="004B68EA">
        <w:rPr>
          <w:rFonts w:ascii="Century" w:hAnsi="Century" w:cs="FrankRuehl"/>
          <w:spacing w:val="10"/>
          <w:szCs w:val="28"/>
          <w:rtl/>
        </w:rPr>
        <w:tab/>
      </w:r>
      <w:r w:rsidRPr="004B68EA">
        <w:rPr>
          <w:rFonts w:ascii="Century" w:hAnsi="Century" w:cs="FrankRuehl" w:hint="eastAsia"/>
          <w:spacing w:val="10"/>
          <w:szCs w:val="28"/>
          <w:rtl/>
        </w:rPr>
        <w:t>חבריי</w:t>
      </w:r>
      <w:r w:rsidRPr="004B68EA">
        <w:rPr>
          <w:rFonts w:ascii="Century" w:hAnsi="Century" w:cs="FrankRuehl"/>
          <w:spacing w:val="10"/>
          <w:szCs w:val="28"/>
          <w:rtl/>
        </w:rPr>
        <w:t xml:space="preserve"> </w:t>
      </w:r>
      <w:r w:rsidRPr="004B68EA">
        <w:rPr>
          <w:rFonts w:ascii="Century" w:hAnsi="Century" w:cs="FrankRuehl" w:hint="eastAsia"/>
          <w:spacing w:val="10"/>
          <w:szCs w:val="28"/>
          <w:rtl/>
        </w:rPr>
        <w:t>לפניי</w:t>
      </w:r>
      <w:r w:rsidRPr="004B68EA">
        <w:rPr>
          <w:rFonts w:ascii="Century" w:hAnsi="Century" w:cs="FrankRuehl"/>
          <w:spacing w:val="10"/>
          <w:szCs w:val="28"/>
          <w:rtl/>
        </w:rPr>
        <w:t xml:space="preserve"> </w:t>
      </w:r>
      <w:r w:rsidRPr="004B68EA">
        <w:rPr>
          <w:rFonts w:ascii="Century" w:hAnsi="Century" w:cs="FrankRuehl" w:hint="eastAsia"/>
          <w:spacing w:val="10"/>
          <w:szCs w:val="28"/>
          <w:rtl/>
        </w:rPr>
        <w:t>נחלקו</w:t>
      </w:r>
      <w:r w:rsidRPr="004B68EA">
        <w:rPr>
          <w:rFonts w:ascii="Century" w:hAnsi="Century" w:cs="FrankRuehl"/>
          <w:spacing w:val="10"/>
          <w:szCs w:val="28"/>
          <w:rtl/>
        </w:rPr>
        <w:t xml:space="preserve"> </w:t>
      </w:r>
      <w:r w:rsidRPr="004B68EA">
        <w:rPr>
          <w:rFonts w:ascii="Century" w:hAnsi="Century" w:cs="FrankRuehl" w:hint="eastAsia"/>
          <w:spacing w:val="10"/>
          <w:szCs w:val="28"/>
          <w:rtl/>
        </w:rPr>
        <w:t>ביניהם</w:t>
      </w:r>
      <w:r w:rsidRPr="004B68EA">
        <w:rPr>
          <w:rFonts w:ascii="Century" w:hAnsi="Century" w:cs="FrankRuehl"/>
          <w:spacing w:val="10"/>
          <w:szCs w:val="28"/>
          <w:rtl/>
        </w:rPr>
        <w:t xml:space="preserve"> </w:t>
      </w:r>
      <w:r w:rsidRPr="004B68EA">
        <w:rPr>
          <w:rFonts w:ascii="Century" w:hAnsi="Century" w:cs="FrankRuehl" w:hint="eastAsia"/>
          <w:spacing w:val="10"/>
          <w:szCs w:val="28"/>
          <w:rtl/>
        </w:rPr>
        <w:t>באשר</w:t>
      </w:r>
      <w:r w:rsidRPr="004B68EA">
        <w:rPr>
          <w:rFonts w:ascii="Century" w:hAnsi="Century" w:cs="FrankRuehl"/>
          <w:spacing w:val="10"/>
          <w:szCs w:val="28"/>
          <w:rtl/>
        </w:rPr>
        <w:t xml:space="preserve"> </w:t>
      </w:r>
      <w:r w:rsidRPr="004B68EA">
        <w:rPr>
          <w:rFonts w:ascii="Century" w:hAnsi="Century" w:cs="FrankRuehl" w:hint="eastAsia"/>
          <w:spacing w:val="10"/>
          <w:szCs w:val="28"/>
          <w:rtl/>
        </w:rPr>
        <w:t>לגישה</w:t>
      </w:r>
      <w:r w:rsidRPr="004B68EA">
        <w:rPr>
          <w:rFonts w:ascii="Century" w:hAnsi="Century" w:cs="FrankRuehl"/>
          <w:spacing w:val="10"/>
          <w:szCs w:val="28"/>
          <w:rtl/>
        </w:rPr>
        <w:t xml:space="preserve"> </w:t>
      </w:r>
      <w:r w:rsidRPr="004B68EA">
        <w:rPr>
          <w:rFonts w:ascii="Century" w:hAnsi="Century" w:cs="FrankRuehl" w:hint="eastAsia"/>
          <w:spacing w:val="10"/>
          <w:szCs w:val="28"/>
          <w:rtl/>
        </w:rPr>
        <w:t>הפרשנית</w:t>
      </w:r>
      <w:r w:rsidRPr="004B68EA">
        <w:rPr>
          <w:rFonts w:ascii="Century" w:hAnsi="Century" w:cs="FrankRuehl"/>
          <w:spacing w:val="10"/>
          <w:szCs w:val="28"/>
          <w:rtl/>
        </w:rPr>
        <w:t xml:space="preserve"> </w:t>
      </w:r>
      <w:r w:rsidRPr="004B68EA">
        <w:rPr>
          <w:rFonts w:ascii="Century" w:hAnsi="Century" w:cs="FrankRuehl" w:hint="eastAsia"/>
          <w:spacing w:val="10"/>
          <w:szCs w:val="28"/>
          <w:rtl/>
        </w:rPr>
        <w:t>הראויה</w:t>
      </w:r>
      <w:r w:rsidRPr="004B68EA">
        <w:rPr>
          <w:rFonts w:ascii="Century" w:hAnsi="Century" w:cs="FrankRuehl"/>
          <w:spacing w:val="10"/>
          <w:szCs w:val="28"/>
          <w:rtl/>
        </w:rPr>
        <w:t xml:space="preserve"> </w:t>
      </w:r>
      <w:r w:rsidRPr="004B68EA">
        <w:rPr>
          <w:rFonts w:ascii="Century" w:hAnsi="Century" w:cs="FrankRuehl" w:hint="eastAsia"/>
          <w:spacing w:val="10"/>
          <w:szCs w:val="28"/>
          <w:rtl/>
        </w:rPr>
        <w:t>ביחס</w:t>
      </w:r>
      <w:r w:rsidRPr="004B68EA">
        <w:rPr>
          <w:rFonts w:ascii="Century" w:hAnsi="Century" w:cs="FrankRuehl"/>
          <w:spacing w:val="10"/>
          <w:szCs w:val="28"/>
          <w:rtl/>
        </w:rPr>
        <w:t xml:space="preserve"> </w:t>
      </w:r>
      <w:r w:rsidRPr="004B68EA">
        <w:rPr>
          <w:rFonts w:ascii="Century" w:hAnsi="Century" w:cs="FrankRuehl" w:hint="eastAsia"/>
          <w:spacing w:val="10"/>
          <w:szCs w:val="28"/>
          <w:rtl/>
        </w:rPr>
        <w:t>להסדר</w:t>
      </w:r>
      <w:r w:rsidRPr="004B68EA">
        <w:rPr>
          <w:rFonts w:ascii="Century" w:hAnsi="Century" w:cs="FrankRuehl"/>
          <w:spacing w:val="10"/>
          <w:szCs w:val="28"/>
          <w:rtl/>
        </w:rPr>
        <w:t xml:space="preserve"> </w:t>
      </w:r>
      <w:r w:rsidRPr="004B68EA">
        <w:rPr>
          <w:rFonts w:ascii="Century" w:hAnsi="Century" w:cs="FrankRuehl" w:hint="eastAsia"/>
          <w:spacing w:val="10"/>
          <w:szCs w:val="28"/>
          <w:rtl/>
        </w:rPr>
        <w:t>המעוגן</w:t>
      </w:r>
      <w:r w:rsidRPr="004B68EA">
        <w:rPr>
          <w:rFonts w:ascii="Century" w:hAnsi="Century" w:cs="FrankRuehl"/>
          <w:spacing w:val="10"/>
          <w:szCs w:val="28"/>
          <w:rtl/>
        </w:rPr>
        <w:t xml:space="preserve"> </w:t>
      </w:r>
      <w:r w:rsidRPr="004B68EA">
        <w:rPr>
          <w:rFonts w:ascii="Century" w:hAnsi="Century" w:cs="FrankRuehl" w:hint="eastAsia"/>
          <w:spacing w:val="10"/>
          <w:szCs w:val="28"/>
          <w:rtl/>
        </w:rPr>
        <w:t>בסעיף</w:t>
      </w:r>
      <w:r w:rsidRPr="004B68EA">
        <w:rPr>
          <w:rFonts w:ascii="Century" w:hAnsi="Century" w:cs="FrankRuehl"/>
          <w:spacing w:val="10"/>
          <w:szCs w:val="28"/>
          <w:rtl/>
        </w:rPr>
        <w:t xml:space="preserve"> 5 לצו, כמו גם באשר לשיקולים השונים </w:t>
      </w:r>
      <w:r w:rsidRPr="004B68EA">
        <w:rPr>
          <w:rFonts w:ascii="Century" w:hAnsi="Century" w:cs="FrankRuehl" w:hint="eastAsia"/>
          <w:spacing w:val="10"/>
          <w:szCs w:val="28"/>
          <w:rtl/>
        </w:rPr>
        <w:t>הנוגעים</w:t>
      </w:r>
      <w:r w:rsidRPr="004B68EA">
        <w:rPr>
          <w:rFonts w:ascii="Century" w:hAnsi="Century" w:cs="FrankRuehl"/>
          <w:spacing w:val="10"/>
          <w:szCs w:val="28"/>
          <w:rtl/>
        </w:rPr>
        <w:t xml:space="preserve"> </w:t>
      </w:r>
      <w:r w:rsidRPr="004B68EA">
        <w:rPr>
          <w:rFonts w:ascii="Century" w:hAnsi="Century" w:cs="FrankRuehl" w:hint="eastAsia"/>
          <w:spacing w:val="10"/>
          <w:szCs w:val="28"/>
          <w:rtl/>
        </w:rPr>
        <w:t>להכרעה</w:t>
      </w:r>
      <w:r w:rsidRPr="004B68EA">
        <w:rPr>
          <w:rFonts w:ascii="Century" w:hAnsi="Century" w:cs="FrankRuehl"/>
          <w:spacing w:val="10"/>
          <w:szCs w:val="28"/>
          <w:rtl/>
        </w:rPr>
        <w:t xml:space="preserve"> </w:t>
      </w:r>
      <w:r w:rsidRPr="004B68EA">
        <w:rPr>
          <w:rFonts w:ascii="Century" w:hAnsi="Century" w:cs="FrankRuehl" w:hint="eastAsia"/>
          <w:spacing w:val="10"/>
          <w:szCs w:val="28"/>
          <w:rtl/>
        </w:rPr>
        <w:t>בענייננו</w:t>
      </w:r>
      <w:r w:rsidRPr="004B68EA">
        <w:rPr>
          <w:rFonts w:ascii="Century" w:hAnsi="Century" w:cs="FrankRuehl"/>
          <w:spacing w:val="10"/>
          <w:szCs w:val="28"/>
          <w:rtl/>
        </w:rPr>
        <w:t xml:space="preserve"> </w:t>
      </w:r>
      <w:r w:rsidRPr="004B68EA">
        <w:rPr>
          <w:rFonts w:ascii="Century" w:hAnsi="Century" w:cs="FrankRuehl" w:hint="eastAsia"/>
          <w:spacing w:val="10"/>
          <w:szCs w:val="28"/>
          <w:rtl/>
        </w:rPr>
        <w:t>ולמשקל</w:t>
      </w:r>
      <w:r w:rsidRPr="004B68EA">
        <w:rPr>
          <w:rFonts w:ascii="Century" w:hAnsi="Century" w:cs="FrankRuehl"/>
          <w:spacing w:val="10"/>
          <w:szCs w:val="28"/>
          <w:rtl/>
        </w:rPr>
        <w:t xml:space="preserve"> </w:t>
      </w:r>
      <w:r w:rsidRPr="004B68EA">
        <w:rPr>
          <w:rFonts w:ascii="Century" w:hAnsi="Century" w:cs="FrankRuehl" w:hint="eastAsia"/>
          <w:spacing w:val="10"/>
          <w:szCs w:val="28"/>
          <w:rtl/>
        </w:rPr>
        <w:t>שיש</w:t>
      </w:r>
      <w:r w:rsidRPr="004B68EA">
        <w:rPr>
          <w:rFonts w:ascii="Century" w:hAnsi="Century" w:cs="FrankRuehl"/>
          <w:spacing w:val="10"/>
          <w:szCs w:val="28"/>
          <w:rtl/>
        </w:rPr>
        <w:t xml:space="preserve"> </w:t>
      </w:r>
      <w:r w:rsidRPr="004B68EA">
        <w:rPr>
          <w:rFonts w:ascii="Century" w:hAnsi="Century" w:cs="FrankRuehl" w:hint="eastAsia"/>
          <w:spacing w:val="10"/>
          <w:szCs w:val="28"/>
          <w:rtl/>
        </w:rPr>
        <w:t>לייחס</w:t>
      </w:r>
      <w:r w:rsidRPr="004B68EA">
        <w:rPr>
          <w:rFonts w:ascii="Century" w:hAnsi="Century" w:cs="FrankRuehl"/>
          <w:spacing w:val="10"/>
          <w:szCs w:val="28"/>
          <w:rtl/>
        </w:rPr>
        <w:t xml:space="preserve"> </w:t>
      </w:r>
      <w:r w:rsidRPr="004B68EA">
        <w:rPr>
          <w:rFonts w:ascii="Century" w:hAnsi="Century" w:cs="FrankRuehl" w:hint="eastAsia"/>
          <w:spacing w:val="10"/>
          <w:szCs w:val="28"/>
          <w:rtl/>
        </w:rPr>
        <w:t>להם</w:t>
      </w:r>
      <w:r w:rsidRPr="004B68EA">
        <w:rPr>
          <w:rFonts w:ascii="Century" w:hAnsi="Century" w:cs="FrankRuehl"/>
          <w:spacing w:val="10"/>
          <w:szCs w:val="28"/>
          <w:rtl/>
        </w:rPr>
        <w:t xml:space="preserve"> בנסיבות העובדתיות </w:t>
      </w:r>
      <w:r w:rsidRPr="004B68EA">
        <w:rPr>
          <w:rFonts w:ascii="Century" w:hAnsi="Century" w:cs="FrankRuehl" w:hint="eastAsia"/>
          <w:spacing w:val="10"/>
          <w:szCs w:val="28"/>
          <w:rtl/>
        </w:rPr>
        <w:t>הנדונות</w:t>
      </w:r>
      <w:r w:rsidRPr="004B68EA">
        <w:rPr>
          <w:rFonts w:ascii="Century" w:hAnsi="Century" w:cs="FrankRuehl"/>
          <w:spacing w:val="10"/>
          <w:szCs w:val="28"/>
          <w:rtl/>
        </w:rPr>
        <w:t xml:space="preserve">. </w:t>
      </w:r>
      <w:r w:rsidRPr="004B68EA">
        <w:rPr>
          <w:rFonts w:ascii="Century" w:hAnsi="Century" w:cs="FrankRuehl" w:hint="eastAsia"/>
          <w:spacing w:val="10"/>
          <w:szCs w:val="28"/>
          <w:rtl/>
        </w:rPr>
        <w:t>עמדותיהם</w:t>
      </w:r>
      <w:r w:rsidRPr="004B68EA">
        <w:rPr>
          <w:rFonts w:ascii="Century" w:hAnsi="Century" w:cs="FrankRuehl"/>
          <w:spacing w:val="10"/>
          <w:szCs w:val="28"/>
          <w:rtl/>
        </w:rPr>
        <w:t xml:space="preserve"> </w:t>
      </w:r>
      <w:r w:rsidRPr="004B68EA">
        <w:rPr>
          <w:rFonts w:ascii="Century" w:hAnsi="Century" w:cs="FrankRuehl" w:hint="cs"/>
          <w:spacing w:val="10"/>
          <w:szCs w:val="28"/>
          <w:rtl/>
        </w:rPr>
        <w:t xml:space="preserve">נבדלות זו מזו </w:t>
      </w:r>
      <w:r w:rsidRPr="004B68EA">
        <w:rPr>
          <w:rFonts w:ascii="Century" w:hAnsi="Century" w:cs="FrankRuehl" w:hint="eastAsia"/>
          <w:spacing w:val="10"/>
          <w:szCs w:val="28"/>
          <w:rtl/>
        </w:rPr>
        <w:t>גם</w:t>
      </w:r>
      <w:r w:rsidRPr="004B68EA">
        <w:rPr>
          <w:rFonts w:ascii="Century" w:hAnsi="Century" w:cs="FrankRuehl"/>
          <w:spacing w:val="10"/>
          <w:szCs w:val="28"/>
          <w:rtl/>
        </w:rPr>
        <w:t xml:space="preserve"> </w:t>
      </w:r>
      <w:r w:rsidRPr="004B68EA">
        <w:rPr>
          <w:rFonts w:ascii="Century" w:hAnsi="Century" w:cs="FrankRuehl" w:hint="eastAsia"/>
          <w:spacing w:val="10"/>
          <w:szCs w:val="28"/>
          <w:rtl/>
        </w:rPr>
        <w:t>ביחס</w:t>
      </w:r>
      <w:r w:rsidRPr="004B68EA">
        <w:rPr>
          <w:rFonts w:ascii="Century" w:hAnsi="Century" w:cs="FrankRuehl"/>
          <w:spacing w:val="10"/>
          <w:szCs w:val="28"/>
          <w:rtl/>
        </w:rPr>
        <w:t xml:space="preserve"> </w:t>
      </w:r>
      <w:r w:rsidRPr="004B68EA">
        <w:rPr>
          <w:rFonts w:ascii="Century" w:hAnsi="Century" w:cs="FrankRuehl" w:hint="eastAsia"/>
          <w:spacing w:val="10"/>
          <w:szCs w:val="28"/>
          <w:rtl/>
        </w:rPr>
        <w:t>לאמות</w:t>
      </w:r>
      <w:r w:rsidRPr="004B68EA">
        <w:rPr>
          <w:rFonts w:ascii="Century" w:hAnsi="Century" w:cs="FrankRuehl"/>
          <w:spacing w:val="10"/>
          <w:szCs w:val="28"/>
          <w:rtl/>
        </w:rPr>
        <w:t xml:space="preserve"> המידה </w:t>
      </w:r>
      <w:r w:rsidRPr="004B68EA">
        <w:rPr>
          <w:rFonts w:ascii="Century" w:hAnsi="Century" w:cs="FrankRuehl" w:hint="eastAsia"/>
          <w:spacing w:val="10"/>
          <w:szCs w:val="28"/>
          <w:rtl/>
        </w:rPr>
        <w:t>שלפיהן</w:t>
      </w:r>
      <w:r w:rsidRPr="004B68EA">
        <w:rPr>
          <w:rFonts w:ascii="Century" w:hAnsi="Century" w:cs="FrankRuehl"/>
          <w:spacing w:val="10"/>
          <w:szCs w:val="28"/>
          <w:rtl/>
        </w:rPr>
        <w:t xml:space="preserve"> </w:t>
      </w:r>
      <w:r w:rsidRPr="004B68EA">
        <w:rPr>
          <w:rFonts w:ascii="Century" w:hAnsi="Century" w:cs="FrankRuehl" w:hint="eastAsia"/>
          <w:spacing w:val="10"/>
          <w:szCs w:val="28"/>
          <w:rtl/>
        </w:rPr>
        <w:t>ראוי</w:t>
      </w:r>
      <w:r w:rsidRPr="004B68EA">
        <w:rPr>
          <w:rFonts w:ascii="Century" w:hAnsi="Century" w:cs="FrankRuehl"/>
          <w:spacing w:val="10"/>
          <w:szCs w:val="28"/>
          <w:rtl/>
        </w:rPr>
        <w:t xml:space="preserve"> </w:t>
      </w:r>
      <w:r w:rsidRPr="004B68EA">
        <w:rPr>
          <w:rFonts w:ascii="Century" w:hAnsi="Century" w:cs="FrankRuehl" w:hint="eastAsia"/>
          <w:spacing w:val="10"/>
          <w:szCs w:val="28"/>
          <w:rtl/>
        </w:rPr>
        <w:t>לבחון</w:t>
      </w:r>
      <w:r w:rsidRPr="004B68EA">
        <w:rPr>
          <w:rFonts w:ascii="Century" w:hAnsi="Century" w:cs="FrankRuehl"/>
          <w:spacing w:val="10"/>
          <w:szCs w:val="28"/>
          <w:rtl/>
        </w:rPr>
        <w:t xml:space="preserve"> </w:t>
      </w:r>
      <w:r w:rsidRPr="004B68EA">
        <w:rPr>
          <w:rFonts w:ascii="Century" w:hAnsi="Century" w:cs="FrankRuehl" w:hint="eastAsia"/>
          <w:spacing w:val="10"/>
          <w:szCs w:val="28"/>
          <w:rtl/>
        </w:rPr>
        <w:t>את</w:t>
      </w:r>
      <w:r w:rsidRPr="004B68EA">
        <w:rPr>
          <w:rFonts w:ascii="Century" w:hAnsi="Century" w:cs="FrankRuehl"/>
          <w:spacing w:val="10"/>
          <w:szCs w:val="28"/>
          <w:rtl/>
        </w:rPr>
        <w:t xml:space="preserve"> </w:t>
      </w:r>
      <w:r w:rsidRPr="004B68EA">
        <w:rPr>
          <w:rFonts w:ascii="Century" w:hAnsi="Century" w:cs="FrankRuehl" w:hint="cs"/>
          <w:spacing w:val="10"/>
          <w:szCs w:val="28"/>
          <w:rtl/>
        </w:rPr>
        <w:t>דרישת</w:t>
      </w:r>
      <w:r w:rsidRPr="004B68EA">
        <w:rPr>
          <w:rFonts w:ascii="Century" w:hAnsi="Century" w:cs="FrankRuehl"/>
          <w:spacing w:val="10"/>
          <w:szCs w:val="28"/>
          <w:rtl/>
        </w:rPr>
        <w:t xml:space="preserve"> תום הלב הקבועה בסעיף ו</w:t>
      </w:r>
      <w:r w:rsidRPr="004B68EA">
        <w:rPr>
          <w:rFonts w:ascii="Century" w:hAnsi="Century" w:cs="FrankRuehl" w:hint="cs"/>
          <w:spacing w:val="10"/>
          <w:szCs w:val="28"/>
          <w:rtl/>
        </w:rPr>
        <w:t>גם</w:t>
      </w:r>
      <w:r w:rsidRPr="004B68EA">
        <w:rPr>
          <w:rFonts w:ascii="Century" w:hAnsi="Century" w:cs="FrankRuehl"/>
          <w:spacing w:val="10"/>
          <w:szCs w:val="28"/>
          <w:rtl/>
        </w:rPr>
        <w:t xml:space="preserve"> </w:t>
      </w:r>
      <w:r w:rsidRPr="004B68EA">
        <w:rPr>
          <w:rFonts w:ascii="Century" w:hAnsi="Century" w:cs="FrankRuehl" w:hint="eastAsia"/>
          <w:spacing w:val="10"/>
          <w:szCs w:val="28"/>
          <w:rtl/>
        </w:rPr>
        <w:t>בנוגע</w:t>
      </w:r>
      <w:r w:rsidRPr="004B68EA">
        <w:rPr>
          <w:rFonts w:ascii="Century" w:hAnsi="Century" w:cs="FrankRuehl"/>
          <w:spacing w:val="10"/>
          <w:szCs w:val="28"/>
          <w:rtl/>
        </w:rPr>
        <w:t xml:space="preserve"> ל</w:t>
      </w:r>
      <w:r w:rsidRPr="004B68EA">
        <w:rPr>
          <w:rFonts w:ascii="Century" w:hAnsi="Century" w:cs="FrankRuehl" w:hint="cs"/>
          <w:spacing w:val="10"/>
          <w:szCs w:val="28"/>
          <w:rtl/>
        </w:rPr>
        <w:t>אופן</w:t>
      </w:r>
      <w:r w:rsidRPr="004B68EA">
        <w:rPr>
          <w:rFonts w:ascii="Century" w:hAnsi="Century" w:cs="FrankRuehl"/>
          <w:spacing w:val="10"/>
          <w:szCs w:val="28"/>
          <w:rtl/>
        </w:rPr>
        <w:t xml:space="preserve"> </w:t>
      </w:r>
      <w:r w:rsidRPr="004B68EA">
        <w:rPr>
          <w:rFonts w:ascii="Century" w:hAnsi="Century" w:cs="FrankRuehl" w:hint="eastAsia"/>
          <w:spacing w:val="10"/>
          <w:szCs w:val="28"/>
          <w:rtl/>
        </w:rPr>
        <w:t>יישומן</w:t>
      </w:r>
      <w:r w:rsidRPr="004B68EA">
        <w:rPr>
          <w:rFonts w:ascii="Century" w:hAnsi="Century" w:cs="FrankRuehl"/>
          <w:spacing w:val="10"/>
          <w:szCs w:val="28"/>
          <w:rtl/>
        </w:rPr>
        <w:t xml:space="preserve">. </w:t>
      </w:r>
      <w:r w:rsidRPr="004B68EA">
        <w:rPr>
          <w:rFonts w:ascii="Century" w:hAnsi="Century" w:cs="FrankRuehl" w:hint="eastAsia"/>
          <w:spacing w:val="10"/>
          <w:szCs w:val="28"/>
          <w:rtl/>
        </w:rPr>
        <w:t>בין</w:t>
      </w:r>
      <w:r w:rsidRPr="004B68EA">
        <w:rPr>
          <w:rFonts w:ascii="Century" w:hAnsi="Century" w:cs="FrankRuehl"/>
          <w:spacing w:val="10"/>
          <w:szCs w:val="28"/>
          <w:rtl/>
        </w:rPr>
        <w:t xml:space="preserve"> </w:t>
      </w:r>
      <w:r w:rsidRPr="004B68EA">
        <w:rPr>
          <w:rFonts w:ascii="Century" w:hAnsi="Century" w:cs="FrankRuehl" w:hint="eastAsia"/>
          <w:spacing w:val="10"/>
          <w:szCs w:val="28"/>
          <w:rtl/>
        </w:rPr>
        <w:t>כל</w:t>
      </w:r>
      <w:r w:rsidRPr="004B68EA">
        <w:rPr>
          <w:rFonts w:ascii="Century" w:hAnsi="Century" w:cs="FrankRuehl"/>
          <w:spacing w:val="10"/>
          <w:szCs w:val="28"/>
          <w:rtl/>
        </w:rPr>
        <w:t xml:space="preserve"> </w:t>
      </w:r>
      <w:r w:rsidRPr="004B68EA">
        <w:rPr>
          <w:rFonts w:ascii="Century" w:hAnsi="Century" w:cs="FrankRuehl" w:hint="eastAsia"/>
          <w:spacing w:val="10"/>
          <w:szCs w:val="28"/>
          <w:rtl/>
        </w:rPr>
        <w:t>אלה</w:t>
      </w:r>
      <w:r w:rsidRPr="004B68EA">
        <w:rPr>
          <w:rFonts w:ascii="Century" w:hAnsi="Century" w:cs="FrankRuehl"/>
          <w:spacing w:val="10"/>
          <w:szCs w:val="28"/>
          <w:rtl/>
        </w:rPr>
        <w:t xml:space="preserve"> </w:t>
      </w:r>
      <w:r w:rsidRPr="004B68EA">
        <w:rPr>
          <w:rFonts w:ascii="Century" w:hAnsi="Century" w:cs="FrankRuehl" w:hint="eastAsia"/>
          <w:spacing w:val="10"/>
          <w:szCs w:val="28"/>
          <w:rtl/>
        </w:rPr>
        <w:t>אני</w:t>
      </w:r>
      <w:r w:rsidRPr="004B68EA">
        <w:rPr>
          <w:rFonts w:ascii="Century" w:hAnsi="Century" w:cs="FrankRuehl"/>
          <w:spacing w:val="10"/>
          <w:szCs w:val="28"/>
          <w:rtl/>
        </w:rPr>
        <w:t xml:space="preserve"> </w:t>
      </w:r>
      <w:r w:rsidRPr="004B68EA">
        <w:rPr>
          <w:rFonts w:ascii="Century" w:hAnsi="Century" w:cs="FrankRuehl" w:hint="eastAsia"/>
          <w:spacing w:val="10"/>
          <w:szCs w:val="28"/>
          <w:rtl/>
        </w:rPr>
        <w:t>מפלסת</w:t>
      </w:r>
      <w:r w:rsidRPr="004B68EA">
        <w:rPr>
          <w:rFonts w:ascii="Century" w:hAnsi="Century" w:cs="FrankRuehl"/>
          <w:spacing w:val="10"/>
          <w:szCs w:val="28"/>
          <w:rtl/>
        </w:rPr>
        <w:t xml:space="preserve"> </w:t>
      </w:r>
      <w:r w:rsidRPr="004B68EA">
        <w:rPr>
          <w:rFonts w:ascii="Century" w:hAnsi="Century" w:cs="FrankRuehl" w:hint="eastAsia"/>
          <w:spacing w:val="10"/>
          <w:szCs w:val="28"/>
          <w:rtl/>
        </w:rPr>
        <w:t>את</w:t>
      </w:r>
      <w:r w:rsidRPr="004B68EA">
        <w:rPr>
          <w:rFonts w:ascii="Century" w:hAnsi="Century" w:cs="FrankRuehl"/>
          <w:spacing w:val="10"/>
          <w:szCs w:val="28"/>
          <w:rtl/>
        </w:rPr>
        <w:t xml:space="preserve"> </w:t>
      </w:r>
      <w:r w:rsidRPr="004B68EA">
        <w:rPr>
          <w:rFonts w:ascii="Century" w:hAnsi="Century" w:cs="FrankRuehl" w:hint="eastAsia"/>
          <w:spacing w:val="10"/>
          <w:szCs w:val="28"/>
          <w:rtl/>
        </w:rPr>
        <w:t>דרכי</w:t>
      </w:r>
      <w:r w:rsidRPr="004B68EA">
        <w:rPr>
          <w:rFonts w:ascii="Century" w:hAnsi="Century" w:cs="FrankRuehl"/>
          <w:spacing w:val="10"/>
          <w:szCs w:val="28"/>
          <w:rtl/>
        </w:rPr>
        <w:t xml:space="preserve">, </w:t>
      </w:r>
      <w:r w:rsidRPr="004B68EA">
        <w:rPr>
          <w:rFonts w:ascii="Century" w:hAnsi="Century" w:cs="FrankRuehl" w:hint="eastAsia"/>
          <w:spacing w:val="10"/>
          <w:szCs w:val="28"/>
          <w:rtl/>
        </w:rPr>
        <w:t>נוטלת</w:t>
      </w:r>
      <w:r w:rsidRPr="004B68EA">
        <w:rPr>
          <w:rFonts w:ascii="Century" w:hAnsi="Century" w:cs="FrankRuehl"/>
          <w:spacing w:val="10"/>
          <w:szCs w:val="28"/>
          <w:rtl/>
        </w:rPr>
        <w:t xml:space="preserve"> </w:t>
      </w:r>
      <w:r w:rsidRPr="004B68EA">
        <w:rPr>
          <w:rFonts w:ascii="Century" w:hAnsi="Century" w:cs="FrankRuehl" w:hint="eastAsia"/>
          <w:spacing w:val="10"/>
          <w:szCs w:val="28"/>
          <w:rtl/>
        </w:rPr>
        <w:t>קצת</w:t>
      </w:r>
      <w:r w:rsidRPr="004B68EA">
        <w:rPr>
          <w:rFonts w:ascii="Century" w:hAnsi="Century" w:cs="FrankRuehl"/>
          <w:spacing w:val="10"/>
          <w:szCs w:val="28"/>
          <w:rtl/>
        </w:rPr>
        <w:t xml:space="preserve"> </w:t>
      </w:r>
      <w:r w:rsidRPr="004B68EA">
        <w:rPr>
          <w:rFonts w:ascii="Century" w:hAnsi="Century" w:cs="FrankRuehl" w:hint="eastAsia"/>
          <w:spacing w:val="10"/>
          <w:szCs w:val="28"/>
          <w:rtl/>
        </w:rPr>
        <w:t>מזה</w:t>
      </w:r>
      <w:r w:rsidRPr="004B68EA">
        <w:rPr>
          <w:rFonts w:ascii="Century" w:hAnsi="Century" w:cs="FrankRuehl"/>
          <w:spacing w:val="10"/>
          <w:szCs w:val="28"/>
          <w:rtl/>
        </w:rPr>
        <w:t xml:space="preserve"> </w:t>
      </w:r>
      <w:r w:rsidRPr="004B68EA">
        <w:rPr>
          <w:rFonts w:ascii="Century" w:hAnsi="Century" w:cs="FrankRuehl" w:hint="eastAsia"/>
          <w:spacing w:val="10"/>
          <w:szCs w:val="28"/>
          <w:rtl/>
        </w:rPr>
        <w:t>וקצת</w:t>
      </w:r>
      <w:r w:rsidRPr="004B68EA">
        <w:rPr>
          <w:rFonts w:ascii="Century" w:hAnsi="Century" w:cs="FrankRuehl"/>
          <w:spacing w:val="10"/>
          <w:szCs w:val="28"/>
          <w:rtl/>
        </w:rPr>
        <w:t xml:space="preserve"> </w:t>
      </w:r>
      <w:r w:rsidRPr="004B68EA">
        <w:rPr>
          <w:rFonts w:ascii="Century" w:hAnsi="Century" w:cs="FrankRuehl" w:hint="eastAsia"/>
          <w:spacing w:val="10"/>
          <w:szCs w:val="28"/>
          <w:rtl/>
        </w:rPr>
        <w:t>מזה</w:t>
      </w:r>
      <w:r w:rsidRPr="004B68EA">
        <w:rPr>
          <w:rFonts w:ascii="Century" w:hAnsi="Century" w:cs="FrankRuehl"/>
          <w:spacing w:val="10"/>
          <w:szCs w:val="28"/>
          <w:rtl/>
        </w:rPr>
        <w:t xml:space="preserve">, </w:t>
      </w:r>
      <w:r w:rsidRPr="004B68EA">
        <w:rPr>
          <w:rFonts w:ascii="Century" w:hAnsi="Century" w:cs="FrankRuehl" w:hint="eastAsia"/>
          <w:spacing w:val="10"/>
          <w:szCs w:val="28"/>
          <w:rtl/>
        </w:rPr>
        <w:t>מקבלת</w:t>
      </w:r>
      <w:r w:rsidRPr="004B68EA">
        <w:rPr>
          <w:rFonts w:ascii="Century" w:hAnsi="Century" w:cs="FrankRuehl"/>
          <w:spacing w:val="10"/>
          <w:szCs w:val="28"/>
          <w:rtl/>
        </w:rPr>
        <w:t xml:space="preserve"> </w:t>
      </w:r>
      <w:r w:rsidRPr="004B68EA">
        <w:rPr>
          <w:rFonts w:ascii="Century" w:hAnsi="Century" w:cs="FrankRuehl" w:hint="eastAsia"/>
          <w:spacing w:val="10"/>
          <w:szCs w:val="28"/>
          <w:rtl/>
        </w:rPr>
        <w:t>ומסתייגת</w:t>
      </w:r>
      <w:r w:rsidRPr="004B68EA">
        <w:rPr>
          <w:rFonts w:ascii="Century" w:hAnsi="Century" w:cs="FrankRuehl"/>
          <w:spacing w:val="10"/>
          <w:szCs w:val="28"/>
          <w:rtl/>
        </w:rPr>
        <w:t xml:space="preserve">. </w:t>
      </w:r>
      <w:r w:rsidRPr="004B68EA">
        <w:rPr>
          <w:rFonts w:ascii="Century" w:hAnsi="Century" w:cs="FrankRuehl" w:hint="cs"/>
          <w:spacing w:val="10"/>
          <w:szCs w:val="28"/>
          <w:rtl/>
        </w:rPr>
        <w:lastRenderedPageBreak/>
        <w:t>בהתאם לכך, בסופו של דבר וכמפורט בהמשך, המסקנה האופרטיבית שאליה הגעתי היא שדין העתירה לדיון נוסף להתקבל</w:t>
      </w:r>
      <w:r>
        <w:rPr>
          <w:rFonts w:ascii="Century" w:hAnsi="Century" w:cs="FrankRuehl" w:hint="cs"/>
          <w:spacing w:val="10"/>
          <w:szCs w:val="28"/>
          <w:rtl/>
        </w:rPr>
        <w:t>,</w:t>
      </w:r>
      <w:r w:rsidRPr="004B68EA">
        <w:rPr>
          <w:rFonts w:ascii="Century" w:hAnsi="Century" w:cs="FrankRuehl" w:hint="cs"/>
          <w:spacing w:val="10"/>
          <w:szCs w:val="28"/>
          <w:rtl/>
        </w:rPr>
        <w:t xml:space="preserve"> כמפורט בפסקאות 57 ו-59 להלן. </w:t>
      </w:r>
    </w:p>
    <w:p w:rsidR="005B1A77" w:rsidRPr="004B68EA" w:rsidRDefault="005B1A77" w:rsidP="005B1A77">
      <w:pPr>
        <w:spacing w:line="360" w:lineRule="auto"/>
        <w:jc w:val="both"/>
        <w:rPr>
          <w:rFonts w:ascii="Century" w:hAnsi="Century" w:cs="FrankRuehl"/>
          <w:spacing w:val="10"/>
          <w:szCs w:val="28"/>
          <w:rtl/>
        </w:rPr>
      </w:pPr>
    </w:p>
    <w:p w:rsidR="005B1A77" w:rsidRPr="004B68EA" w:rsidRDefault="005B1A77" w:rsidP="005B1A77">
      <w:pPr>
        <w:spacing w:line="360" w:lineRule="auto"/>
        <w:jc w:val="both"/>
        <w:rPr>
          <w:rFonts w:ascii="Century" w:hAnsi="Century" w:cs="FrankRuehl"/>
          <w:spacing w:val="10"/>
          <w:szCs w:val="28"/>
          <w:rtl/>
        </w:rPr>
      </w:pPr>
      <w:r w:rsidRPr="004B68EA">
        <w:rPr>
          <w:rFonts w:ascii="Century" w:hAnsi="Century" w:cs="FrankRuehl"/>
          <w:spacing w:val="10"/>
          <w:szCs w:val="28"/>
          <w:rtl/>
        </w:rPr>
        <w:t xml:space="preserve">4. </w:t>
      </w:r>
      <w:r w:rsidRPr="004B68EA">
        <w:rPr>
          <w:rFonts w:ascii="Century" w:hAnsi="Century" w:cs="FrankRuehl"/>
          <w:spacing w:val="10"/>
          <w:szCs w:val="28"/>
          <w:rtl/>
        </w:rPr>
        <w:tab/>
      </w:r>
      <w:r w:rsidRPr="004B68EA">
        <w:rPr>
          <w:rFonts w:ascii="Century" w:hAnsi="Century" w:cs="FrankRuehl" w:hint="eastAsia"/>
          <w:spacing w:val="10"/>
          <w:szCs w:val="28"/>
          <w:rtl/>
        </w:rPr>
        <w:t>המקרה</w:t>
      </w:r>
      <w:r w:rsidRPr="004B68EA">
        <w:rPr>
          <w:rFonts w:ascii="Century" w:hAnsi="Century" w:cs="FrankRuehl"/>
          <w:spacing w:val="10"/>
          <w:szCs w:val="28"/>
          <w:rtl/>
        </w:rPr>
        <w:t xml:space="preserve"> שבפנינו הוא "מקרה קשה" בכל מובן. </w:t>
      </w:r>
      <w:r w:rsidRPr="004B68EA">
        <w:rPr>
          <w:rFonts w:ascii="Century" w:hAnsi="Century" w:cs="FrankRuehl" w:hint="cs"/>
          <w:spacing w:val="10"/>
          <w:szCs w:val="28"/>
          <w:rtl/>
        </w:rPr>
        <w:t xml:space="preserve">מצד אחד, </w:t>
      </w:r>
      <w:r w:rsidRPr="004B68EA" w:rsidDel="00720176">
        <w:rPr>
          <w:rFonts w:ascii="Century" w:hAnsi="Century" w:cs="FrankRuehl"/>
          <w:spacing w:val="10"/>
          <w:szCs w:val="28"/>
          <w:rtl/>
        </w:rPr>
        <w:t xml:space="preserve">כל החלטה שעניינה אי-פינוי </w:t>
      </w:r>
      <w:r w:rsidRPr="004B68EA">
        <w:rPr>
          <w:rFonts w:ascii="Century" w:hAnsi="Century" w:cs="FrankRuehl" w:hint="cs"/>
          <w:spacing w:val="10"/>
          <w:szCs w:val="28"/>
          <w:rtl/>
        </w:rPr>
        <w:t>של קרקע</w:t>
      </w:r>
      <w:r>
        <w:rPr>
          <w:rFonts w:ascii="Century" w:hAnsi="Century" w:cs="FrankRuehl" w:hint="cs"/>
          <w:spacing w:val="10"/>
          <w:szCs w:val="28"/>
          <w:rtl/>
        </w:rPr>
        <w:t xml:space="preserve"> בבעלות</w:t>
      </w:r>
      <w:r w:rsidRPr="004B68EA">
        <w:rPr>
          <w:rFonts w:ascii="Century" w:hAnsi="Century" w:cs="FrankRuehl" w:hint="cs"/>
          <w:spacing w:val="10"/>
          <w:szCs w:val="28"/>
          <w:rtl/>
        </w:rPr>
        <w:t xml:space="preserve"> פרטית </w:t>
      </w:r>
      <w:r w:rsidRPr="004B68EA" w:rsidDel="00720176">
        <w:rPr>
          <w:rFonts w:ascii="Century" w:hAnsi="Century" w:cs="FrankRuehl"/>
          <w:spacing w:val="10"/>
          <w:szCs w:val="28"/>
          <w:rtl/>
        </w:rPr>
        <w:t xml:space="preserve">מעוררת קושי עצום מבחינת </w:t>
      </w:r>
      <w:r w:rsidRPr="004B68EA" w:rsidDel="00720176">
        <w:rPr>
          <w:rFonts w:ascii="Century" w:hAnsi="Century" w:cs="FrankRuehl" w:hint="eastAsia"/>
          <w:spacing w:val="10"/>
          <w:szCs w:val="28"/>
          <w:rtl/>
        </w:rPr>
        <w:t>ההגבלות</w:t>
      </w:r>
      <w:r w:rsidRPr="004B68EA" w:rsidDel="00720176">
        <w:rPr>
          <w:rFonts w:ascii="Century" w:hAnsi="Century" w:cs="FrankRuehl"/>
          <w:spacing w:val="10"/>
          <w:szCs w:val="28"/>
          <w:rtl/>
        </w:rPr>
        <w:t xml:space="preserve"> </w:t>
      </w:r>
      <w:r w:rsidRPr="004B68EA" w:rsidDel="00720176">
        <w:rPr>
          <w:rFonts w:ascii="Century" w:hAnsi="Century" w:cs="FrankRuehl" w:hint="eastAsia"/>
          <w:spacing w:val="10"/>
          <w:szCs w:val="28"/>
          <w:rtl/>
        </w:rPr>
        <w:t>החלות</w:t>
      </w:r>
      <w:r w:rsidRPr="004B68EA" w:rsidDel="00720176">
        <w:rPr>
          <w:rFonts w:ascii="Century" w:hAnsi="Century" w:cs="FrankRuehl"/>
          <w:spacing w:val="10"/>
          <w:szCs w:val="28"/>
          <w:rtl/>
        </w:rPr>
        <w:t xml:space="preserve"> על פגיעה בזכויות קניין של תושבים מוגנים. </w:t>
      </w:r>
      <w:r w:rsidRPr="004B68EA">
        <w:rPr>
          <w:rFonts w:ascii="Century" w:hAnsi="Century" w:cs="FrankRuehl" w:hint="cs"/>
          <w:spacing w:val="10"/>
          <w:szCs w:val="28"/>
          <w:rtl/>
        </w:rPr>
        <w:t xml:space="preserve">מצד אחר, </w:t>
      </w:r>
      <w:r w:rsidRPr="004B68EA">
        <w:rPr>
          <w:rFonts w:ascii="Century" w:hAnsi="Century" w:cs="FrankRuehl"/>
          <w:spacing w:val="10"/>
          <w:szCs w:val="28"/>
          <w:rtl/>
        </w:rPr>
        <w:t xml:space="preserve">כל החלטה </w:t>
      </w:r>
      <w:r>
        <w:rPr>
          <w:rFonts w:ascii="Century" w:hAnsi="Century" w:cs="FrankRuehl" w:hint="cs"/>
          <w:spacing w:val="10"/>
          <w:szCs w:val="28"/>
          <w:rtl/>
        </w:rPr>
        <w:t>המורה</w:t>
      </w:r>
      <w:r w:rsidRPr="004B68EA">
        <w:rPr>
          <w:rFonts w:ascii="Century" w:hAnsi="Century" w:cs="FrankRuehl" w:hint="cs"/>
          <w:spacing w:val="10"/>
          <w:szCs w:val="28"/>
          <w:rtl/>
        </w:rPr>
        <w:t xml:space="preserve"> על </w:t>
      </w:r>
      <w:r w:rsidRPr="004B68EA">
        <w:rPr>
          <w:rFonts w:ascii="Century" w:hAnsi="Century" w:cs="FrankRuehl"/>
          <w:spacing w:val="10"/>
          <w:szCs w:val="28"/>
          <w:rtl/>
        </w:rPr>
        <w:t xml:space="preserve">פינוי תפגע בקורת </w:t>
      </w:r>
      <w:r w:rsidRPr="004B68EA">
        <w:rPr>
          <w:rFonts w:ascii="Century" w:hAnsi="Century" w:cs="FrankRuehl" w:hint="cs"/>
          <w:spacing w:val="10"/>
          <w:szCs w:val="28"/>
          <w:rtl/>
        </w:rPr>
        <w:t>ה</w:t>
      </w:r>
      <w:r w:rsidRPr="004B68EA">
        <w:rPr>
          <w:rFonts w:ascii="Century" w:hAnsi="Century" w:cs="FrankRuehl"/>
          <w:spacing w:val="10"/>
          <w:szCs w:val="28"/>
          <w:rtl/>
        </w:rPr>
        <w:t>גג של משפחות המתגוררות במקום לאורך תקופה ארוכה ובהסתמך על התנהלות המדינה, על כלל המשמעו</w:t>
      </w:r>
      <w:r w:rsidRPr="004B68EA">
        <w:rPr>
          <w:rFonts w:ascii="Century" w:hAnsi="Century" w:cs="FrankRuehl" w:hint="cs"/>
          <w:spacing w:val="10"/>
          <w:szCs w:val="28"/>
          <w:rtl/>
        </w:rPr>
        <w:t>יו</w:t>
      </w:r>
      <w:r w:rsidRPr="004B68EA">
        <w:rPr>
          <w:rFonts w:ascii="Century" w:hAnsi="Century" w:cs="FrankRuehl"/>
          <w:spacing w:val="10"/>
          <w:szCs w:val="28"/>
          <w:rtl/>
        </w:rPr>
        <w:t>ת, האנושי</w:t>
      </w:r>
      <w:r w:rsidRPr="004B68EA">
        <w:rPr>
          <w:rFonts w:ascii="Century" w:hAnsi="Century" w:cs="FrankRuehl" w:hint="cs"/>
          <w:spacing w:val="10"/>
          <w:szCs w:val="28"/>
          <w:rtl/>
        </w:rPr>
        <w:t>ו</w:t>
      </w:r>
      <w:r w:rsidRPr="004B68EA">
        <w:rPr>
          <w:rFonts w:ascii="Century" w:hAnsi="Century" w:cs="FrankRuehl"/>
          <w:spacing w:val="10"/>
          <w:szCs w:val="28"/>
          <w:rtl/>
        </w:rPr>
        <w:t>ת והמשפטי</w:t>
      </w:r>
      <w:r w:rsidRPr="004B68EA">
        <w:rPr>
          <w:rFonts w:ascii="Century" w:hAnsi="Century" w:cs="FrankRuehl" w:hint="cs"/>
          <w:spacing w:val="10"/>
          <w:szCs w:val="28"/>
          <w:rtl/>
        </w:rPr>
        <w:t>ו</w:t>
      </w:r>
      <w:r w:rsidRPr="004B68EA">
        <w:rPr>
          <w:rFonts w:ascii="Century" w:hAnsi="Century" w:cs="FrankRuehl"/>
          <w:spacing w:val="10"/>
          <w:szCs w:val="28"/>
          <w:rtl/>
        </w:rPr>
        <w:t xml:space="preserve">ת של פגיעה במגורים </w:t>
      </w:r>
      <w:r w:rsidRPr="004B68EA">
        <w:rPr>
          <w:rFonts w:ascii="Century" w:hAnsi="Century" w:cs="FrankRuehl" w:hint="eastAsia"/>
          <w:spacing w:val="10"/>
          <w:szCs w:val="28"/>
          <w:rtl/>
        </w:rPr>
        <w:t>ממושכים</w:t>
      </w:r>
      <w:r w:rsidRPr="004B68EA">
        <w:rPr>
          <w:rFonts w:ascii="Century" w:hAnsi="Century" w:cs="FrankRuehl"/>
          <w:spacing w:val="10"/>
          <w:szCs w:val="28"/>
          <w:rtl/>
        </w:rPr>
        <w:t xml:space="preserve"> בבית, שעליה עמדתי ב</w:t>
      </w:r>
      <w:r w:rsidRPr="004B68EA">
        <w:rPr>
          <w:rFonts w:ascii="Century" w:hAnsi="Century" w:cs="FrankRuehl" w:hint="cs"/>
          <w:spacing w:val="10"/>
          <w:szCs w:val="28"/>
          <w:rtl/>
        </w:rPr>
        <w:t>הזדמנויות שונות בעבר</w:t>
      </w:r>
      <w:r w:rsidRPr="004B68EA">
        <w:rPr>
          <w:rFonts w:ascii="Century" w:hAnsi="Century" w:cs="FrankRuehl"/>
          <w:spacing w:val="10"/>
          <w:szCs w:val="28"/>
          <w:rtl/>
        </w:rPr>
        <w:t xml:space="preserve">. </w:t>
      </w:r>
      <w:r w:rsidRPr="004B68EA">
        <w:rPr>
          <w:rFonts w:ascii="Century" w:hAnsi="Century" w:cs="FrankRuehl" w:hint="cs"/>
          <w:spacing w:val="10"/>
          <w:szCs w:val="28"/>
          <w:rtl/>
        </w:rPr>
        <w:t>בהתאם, פ</w:t>
      </w:r>
      <w:r w:rsidRPr="004B68EA">
        <w:rPr>
          <w:rFonts w:ascii="Century" w:hAnsi="Century" w:cs="FrankRuehl" w:hint="eastAsia"/>
          <w:spacing w:val="10"/>
          <w:szCs w:val="28"/>
          <w:rtl/>
        </w:rPr>
        <w:t>תרון</w:t>
      </w:r>
      <w:r w:rsidRPr="004B68EA">
        <w:rPr>
          <w:rFonts w:ascii="Century" w:hAnsi="Century" w:cs="FrankRuehl"/>
          <w:spacing w:val="10"/>
          <w:szCs w:val="28"/>
          <w:rtl/>
        </w:rPr>
        <w:t xml:space="preserve"> </w:t>
      </w:r>
      <w:r w:rsidRPr="004B68EA">
        <w:rPr>
          <w:rFonts w:ascii="Century" w:hAnsi="Century" w:cs="FrankRuehl" w:hint="eastAsia"/>
          <w:spacing w:val="10"/>
          <w:szCs w:val="28"/>
          <w:rtl/>
        </w:rPr>
        <w:t>שייתן</w:t>
      </w:r>
      <w:r w:rsidRPr="004B68EA">
        <w:rPr>
          <w:rFonts w:ascii="Century" w:hAnsi="Century" w:cs="FrankRuehl"/>
          <w:spacing w:val="10"/>
          <w:szCs w:val="28"/>
          <w:rtl/>
        </w:rPr>
        <w:t xml:space="preserve"> </w:t>
      </w:r>
      <w:r w:rsidRPr="004B68EA">
        <w:rPr>
          <w:rFonts w:ascii="Century" w:hAnsi="Century" w:cs="FrankRuehl" w:hint="eastAsia"/>
          <w:spacing w:val="10"/>
          <w:szCs w:val="28"/>
          <w:rtl/>
        </w:rPr>
        <w:t>את</w:t>
      </w:r>
      <w:r w:rsidRPr="004B68EA">
        <w:rPr>
          <w:rFonts w:ascii="Century" w:hAnsi="Century" w:cs="FrankRuehl"/>
          <w:spacing w:val="10"/>
          <w:szCs w:val="28"/>
          <w:rtl/>
        </w:rPr>
        <w:t xml:space="preserve"> </w:t>
      </w:r>
      <w:r w:rsidRPr="004B68EA">
        <w:rPr>
          <w:rFonts w:ascii="Century" w:hAnsi="Century" w:cs="FrankRuehl" w:hint="eastAsia"/>
          <w:spacing w:val="10"/>
          <w:szCs w:val="28"/>
          <w:rtl/>
        </w:rPr>
        <w:t>מלוא</w:t>
      </w:r>
      <w:r w:rsidRPr="004B68EA">
        <w:rPr>
          <w:rFonts w:ascii="Century" w:hAnsi="Century" w:cs="FrankRuehl"/>
          <w:spacing w:val="10"/>
          <w:szCs w:val="28"/>
          <w:rtl/>
        </w:rPr>
        <w:t xml:space="preserve"> </w:t>
      </w:r>
      <w:r w:rsidRPr="004B68EA">
        <w:rPr>
          <w:rFonts w:ascii="Century" w:hAnsi="Century" w:cs="FrankRuehl" w:hint="eastAsia"/>
          <w:spacing w:val="10"/>
          <w:szCs w:val="28"/>
          <w:rtl/>
        </w:rPr>
        <w:t>המשקל</w:t>
      </w:r>
      <w:r w:rsidRPr="004B68EA">
        <w:rPr>
          <w:rFonts w:ascii="Century" w:hAnsi="Century" w:cs="FrankRuehl"/>
          <w:spacing w:val="10"/>
          <w:szCs w:val="28"/>
          <w:rtl/>
        </w:rPr>
        <w:t xml:space="preserve"> </w:t>
      </w:r>
      <w:r w:rsidRPr="004B68EA">
        <w:rPr>
          <w:rFonts w:ascii="Century" w:hAnsi="Century" w:cs="FrankRuehl" w:hint="eastAsia"/>
          <w:spacing w:val="10"/>
          <w:szCs w:val="28"/>
          <w:rtl/>
        </w:rPr>
        <w:t>הראוי</w:t>
      </w:r>
      <w:r w:rsidRPr="004B68EA">
        <w:rPr>
          <w:rFonts w:ascii="Century" w:hAnsi="Century" w:cs="FrankRuehl"/>
          <w:spacing w:val="10"/>
          <w:szCs w:val="28"/>
          <w:rtl/>
        </w:rPr>
        <w:t xml:space="preserve"> </w:t>
      </w:r>
      <w:r w:rsidRPr="004B68EA">
        <w:rPr>
          <w:rFonts w:ascii="Century" w:hAnsi="Century" w:cs="FrankRuehl" w:hint="cs"/>
          <w:spacing w:val="10"/>
          <w:szCs w:val="28"/>
          <w:rtl/>
        </w:rPr>
        <w:t xml:space="preserve">רק </w:t>
      </w:r>
      <w:r w:rsidRPr="004B68EA">
        <w:rPr>
          <w:rFonts w:ascii="Century" w:hAnsi="Century" w:cs="FrankRuehl" w:hint="eastAsia"/>
          <w:spacing w:val="10"/>
          <w:szCs w:val="28"/>
          <w:rtl/>
        </w:rPr>
        <w:t>לאחד</w:t>
      </w:r>
      <w:r w:rsidRPr="004B68EA">
        <w:rPr>
          <w:rFonts w:ascii="Century" w:hAnsi="Century" w:cs="FrankRuehl"/>
          <w:spacing w:val="10"/>
          <w:szCs w:val="28"/>
          <w:rtl/>
        </w:rPr>
        <w:t xml:space="preserve"> </w:t>
      </w:r>
      <w:r w:rsidRPr="004B68EA">
        <w:rPr>
          <w:rFonts w:ascii="Century" w:hAnsi="Century" w:cs="FrankRuehl" w:hint="eastAsia"/>
          <w:spacing w:val="10"/>
          <w:szCs w:val="28"/>
          <w:rtl/>
        </w:rPr>
        <w:t>מצדי</w:t>
      </w:r>
      <w:r w:rsidRPr="004B68EA">
        <w:rPr>
          <w:rFonts w:ascii="Century" w:hAnsi="Century" w:cs="FrankRuehl"/>
          <w:spacing w:val="10"/>
          <w:szCs w:val="28"/>
          <w:rtl/>
        </w:rPr>
        <w:t xml:space="preserve"> </w:t>
      </w:r>
      <w:r w:rsidRPr="004B68EA">
        <w:rPr>
          <w:rFonts w:ascii="Century" w:hAnsi="Century" w:cs="FrankRuehl" w:hint="eastAsia"/>
          <w:spacing w:val="10"/>
          <w:szCs w:val="28"/>
          <w:rtl/>
        </w:rPr>
        <w:t>המשוואה</w:t>
      </w:r>
      <w:r w:rsidRPr="004B68EA">
        <w:rPr>
          <w:rFonts w:ascii="Century" w:hAnsi="Century" w:cs="FrankRuehl"/>
          <w:spacing w:val="10"/>
          <w:szCs w:val="28"/>
          <w:rtl/>
        </w:rPr>
        <w:t xml:space="preserve"> </w:t>
      </w:r>
      <w:r w:rsidRPr="004B68EA">
        <w:rPr>
          <w:rFonts w:ascii="Century" w:hAnsi="Century" w:cs="FrankRuehl" w:hint="eastAsia"/>
          <w:spacing w:val="10"/>
          <w:szCs w:val="28"/>
          <w:rtl/>
        </w:rPr>
        <w:t>י</w:t>
      </w:r>
      <w:r w:rsidRPr="004B68EA">
        <w:rPr>
          <w:rFonts w:ascii="Century" w:hAnsi="Century" w:cs="FrankRuehl" w:hint="cs"/>
          <w:spacing w:val="10"/>
          <w:szCs w:val="28"/>
          <w:rtl/>
        </w:rPr>
        <w:t>עורר קושי</w:t>
      </w:r>
      <w:r w:rsidRPr="004B68EA">
        <w:rPr>
          <w:rFonts w:ascii="Century" w:hAnsi="Century" w:cs="FrankRuehl"/>
          <w:spacing w:val="10"/>
          <w:szCs w:val="28"/>
          <w:rtl/>
        </w:rPr>
        <w:t xml:space="preserve">. </w:t>
      </w:r>
      <w:r w:rsidRPr="004B68EA">
        <w:rPr>
          <w:rFonts w:ascii="Century" w:hAnsi="Century" w:cs="FrankRuehl" w:hint="eastAsia"/>
          <w:spacing w:val="10"/>
          <w:szCs w:val="28"/>
          <w:rtl/>
        </w:rPr>
        <w:t>אכן</w:t>
      </w:r>
      <w:r w:rsidRPr="004B68EA">
        <w:rPr>
          <w:rFonts w:ascii="Century" w:hAnsi="Century" w:cs="FrankRuehl"/>
          <w:spacing w:val="10"/>
          <w:szCs w:val="28"/>
          <w:rtl/>
        </w:rPr>
        <w:t xml:space="preserve">, </w:t>
      </w:r>
      <w:r w:rsidRPr="004B68EA">
        <w:rPr>
          <w:rFonts w:ascii="Century" w:hAnsi="Century" w:cs="FrankRuehl" w:hint="eastAsia"/>
          <w:spacing w:val="10"/>
          <w:szCs w:val="28"/>
          <w:rtl/>
        </w:rPr>
        <w:t>נקודת</w:t>
      </w:r>
      <w:r w:rsidRPr="004B68EA">
        <w:rPr>
          <w:rFonts w:ascii="Century" w:hAnsi="Century" w:cs="FrankRuehl"/>
          <w:spacing w:val="10"/>
          <w:szCs w:val="28"/>
          <w:rtl/>
        </w:rPr>
        <w:t xml:space="preserve"> </w:t>
      </w:r>
      <w:r w:rsidRPr="004B68EA">
        <w:rPr>
          <w:rFonts w:ascii="Century" w:hAnsi="Century" w:cs="FrankRuehl" w:hint="eastAsia"/>
          <w:spacing w:val="10"/>
          <w:szCs w:val="28"/>
          <w:rtl/>
        </w:rPr>
        <w:t>המוצא</w:t>
      </w:r>
      <w:r w:rsidRPr="004B68EA">
        <w:rPr>
          <w:rFonts w:ascii="Century" w:hAnsi="Century" w:cs="FrankRuehl"/>
          <w:spacing w:val="10"/>
          <w:szCs w:val="28"/>
          <w:rtl/>
        </w:rPr>
        <w:t xml:space="preserve"> </w:t>
      </w:r>
      <w:r w:rsidRPr="004B68EA">
        <w:rPr>
          <w:rFonts w:ascii="Century" w:hAnsi="Century" w:cs="FrankRuehl" w:hint="eastAsia"/>
          <w:spacing w:val="10"/>
          <w:szCs w:val="28"/>
          <w:rtl/>
        </w:rPr>
        <w:t>לדיון</w:t>
      </w:r>
      <w:r w:rsidRPr="004B68EA">
        <w:rPr>
          <w:rFonts w:ascii="Century" w:hAnsi="Century" w:cs="FrankRuehl"/>
          <w:spacing w:val="10"/>
          <w:szCs w:val="28"/>
          <w:rtl/>
        </w:rPr>
        <w:t xml:space="preserve"> </w:t>
      </w:r>
      <w:r w:rsidRPr="004B68EA">
        <w:rPr>
          <w:rFonts w:ascii="Century" w:hAnsi="Century" w:cs="FrankRuehl" w:hint="cs"/>
          <w:spacing w:val="10"/>
          <w:szCs w:val="28"/>
          <w:rtl/>
        </w:rPr>
        <w:t>היא ש</w:t>
      </w:r>
      <w:r w:rsidRPr="004B68EA">
        <w:rPr>
          <w:rFonts w:ascii="Century" w:hAnsi="Century" w:cs="FrankRuehl" w:hint="eastAsia"/>
          <w:spacing w:val="10"/>
          <w:szCs w:val="28"/>
          <w:rtl/>
        </w:rPr>
        <w:t>כאשר</w:t>
      </w:r>
      <w:r w:rsidRPr="004B68EA">
        <w:rPr>
          <w:rFonts w:ascii="Century" w:hAnsi="Century" w:cs="FrankRuehl"/>
          <w:spacing w:val="10"/>
          <w:szCs w:val="28"/>
          <w:rtl/>
        </w:rPr>
        <w:t xml:space="preserve"> </w:t>
      </w:r>
      <w:r w:rsidRPr="004B68EA">
        <w:rPr>
          <w:rFonts w:ascii="Century" w:hAnsi="Century" w:cs="FrankRuehl" w:hint="eastAsia"/>
          <w:spacing w:val="10"/>
          <w:szCs w:val="28"/>
          <w:rtl/>
        </w:rPr>
        <w:t>מדובר</w:t>
      </w:r>
      <w:r w:rsidRPr="004B68EA">
        <w:rPr>
          <w:rFonts w:ascii="Century" w:hAnsi="Century" w:cs="FrankRuehl"/>
          <w:spacing w:val="10"/>
          <w:szCs w:val="28"/>
          <w:rtl/>
        </w:rPr>
        <w:t xml:space="preserve"> </w:t>
      </w:r>
      <w:r w:rsidRPr="004B68EA">
        <w:rPr>
          <w:rFonts w:ascii="Century" w:hAnsi="Century" w:cs="FrankRuehl" w:hint="eastAsia"/>
          <w:spacing w:val="10"/>
          <w:szCs w:val="28"/>
          <w:rtl/>
        </w:rPr>
        <w:t>באזור</w:t>
      </w:r>
      <w:r w:rsidRPr="004B68EA">
        <w:rPr>
          <w:rFonts w:ascii="Century" w:hAnsi="Century" w:cs="FrankRuehl"/>
          <w:spacing w:val="10"/>
          <w:szCs w:val="28"/>
          <w:rtl/>
        </w:rPr>
        <w:t xml:space="preserve"> יהודה ושומרון (להלן: </w:t>
      </w:r>
      <w:r w:rsidRPr="004B68EA">
        <w:rPr>
          <w:rFonts w:ascii="Century" w:hAnsi="Century" w:cs="Miriam" w:hint="eastAsia"/>
          <w:b/>
          <w:rtl/>
        </w:rPr>
        <w:t>האזור</w:t>
      </w:r>
      <w:r w:rsidRPr="004B68EA">
        <w:rPr>
          <w:rFonts w:ascii="Century" w:hAnsi="Century" w:cs="FrankRuehl"/>
          <w:spacing w:val="10"/>
          <w:szCs w:val="28"/>
          <w:rtl/>
        </w:rPr>
        <w:t xml:space="preserve">) חייבת להיות </w:t>
      </w:r>
      <w:r w:rsidRPr="004B68EA">
        <w:rPr>
          <w:rFonts w:ascii="Century" w:hAnsi="Century" w:cs="FrankRuehl" w:hint="eastAsia"/>
          <w:spacing w:val="10"/>
          <w:szCs w:val="28"/>
          <w:rtl/>
        </w:rPr>
        <w:t>הקפדה</w:t>
      </w:r>
      <w:r w:rsidRPr="004B68EA">
        <w:rPr>
          <w:rFonts w:ascii="Century" w:hAnsi="Century" w:cs="FrankRuehl"/>
          <w:spacing w:val="10"/>
          <w:szCs w:val="28"/>
          <w:rtl/>
        </w:rPr>
        <w:t xml:space="preserve"> </w:t>
      </w:r>
      <w:r w:rsidRPr="004B68EA">
        <w:rPr>
          <w:rFonts w:ascii="Century" w:hAnsi="Century" w:cs="FrankRuehl" w:hint="cs"/>
          <w:spacing w:val="10"/>
          <w:szCs w:val="28"/>
          <w:rtl/>
        </w:rPr>
        <w:t>יתירה</w:t>
      </w:r>
      <w:r w:rsidRPr="004B68EA">
        <w:rPr>
          <w:rFonts w:ascii="Century" w:hAnsi="Century" w:cs="FrankRuehl"/>
          <w:spacing w:val="10"/>
          <w:szCs w:val="28"/>
          <w:rtl/>
        </w:rPr>
        <w:t xml:space="preserve"> </w:t>
      </w:r>
      <w:r w:rsidRPr="004B68EA">
        <w:rPr>
          <w:rFonts w:ascii="Century" w:hAnsi="Century" w:cs="FrankRuehl" w:hint="eastAsia"/>
          <w:spacing w:val="10"/>
          <w:szCs w:val="28"/>
          <w:rtl/>
        </w:rPr>
        <w:t>על</w:t>
      </w:r>
      <w:r w:rsidRPr="004B68EA">
        <w:rPr>
          <w:rFonts w:ascii="Century" w:hAnsi="Century" w:cs="FrankRuehl"/>
          <w:spacing w:val="10"/>
          <w:szCs w:val="28"/>
          <w:rtl/>
        </w:rPr>
        <w:t xml:space="preserve"> </w:t>
      </w:r>
      <w:r w:rsidRPr="004B68EA">
        <w:rPr>
          <w:rFonts w:ascii="Century" w:hAnsi="Century" w:cs="FrankRuehl" w:hint="eastAsia"/>
          <w:spacing w:val="10"/>
          <w:szCs w:val="28"/>
          <w:rtl/>
        </w:rPr>
        <w:t>זכויותיהם</w:t>
      </w:r>
      <w:r w:rsidRPr="004B68EA">
        <w:rPr>
          <w:rFonts w:ascii="Century" w:hAnsi="Century" w:cs="FrankRuehl"/>
          <w:spacing w:val="10"/>
          <w:szCs w:val="28"/>
          <w:rtl/>
        </w:rPr>
        <w:t xml:space="preserve"> </w:t>
      </w:r>
      <w:r w:rsidRPr="004B68EA">
        <w:rPr>
          <w:rFonts w:ascii="Century" w:hAnsi="Century" w:cs="FrankRuehl" w:hint="eastAsia"/>
          <w:spacing w:val="10"/>
          <w:szCs w:val="28"/>
          <w:rtl/>
        </w:rPr>
        <w:t>של</w:t>
      </w:r>
      <w:r w:rsidRPr="004B68EA">
        <w:rPr>
          <w:rFonts w:ascii="Century" w:hAnsi="Century" w:cs="FrankRuehl"/>
          <w:spacing w:val="10"/>
          <w:szCs w:val="28"/>
          <w:rtl/>
        </w:rPr>
        <w:t xml:space="preserve"> </w:t>
      </w:r>
      <w:r w:rsidRPr="004B68EA">
        <w:rPr>
          <w:rFonts w:ascii="Century" w:hAnsi="Century" w:cs="FrankRuehl" w:hint="eastAsia"/>
          <w:spacing w:val="10"/>
          <w:szCs w:val="28"/>
          <w:rtl/>
        </w:rPr>
        <w:t>תושבים</w:t>
      </w:r>
      <w:r w:rsidRPr="004B68EA">
        <w:rPr>
          <w:rFonts w:ascii="Century" w:hAnsi="Century" w:cs="FrankRuehl"/>
          <w:spacing w:val="10"/>
          <w:szCs w:val="28"/>
          <w:rtl/>
        </w:rPr>
        <w:t xml:space="preserve"> </w:t>
      </w:r>
      <w:r w:rsidRPr="004B68EA">
        <w:rPr>
          <w:rFonts w:ascii="Century" w:hAnsi="Century" w:cs="FrankRuehl" w:hint="eastAsia"/>
          <w:spacing w:val="10"/>
          <w:szCs w:val="28"/>
          <w:rtl/>
        </w:rPr>
        <w:t>מוגנים</w:t>
      </w:r>
      <w:r w:rsidRPr="004B68EA">
        <w:rPr>
          <w:rFonts w:ascii="Century" w:hAnsi="Century" w:cs="FrankRuehl"/>
          <w:spacing w:val="10"/>
          <w:szCs w:val="28"/>
          <w:rtl/>
        </w:rPr>
        <w:t xml:space="preserve">. </w:t>
      </w:r>
      <w:r w:rsidRPr="004B68EA">
        <w:rPr>
          <w:rFonts w:ascii="Century" w:hAnsi="Century" w:cs="FrankRuehl" w:hint="eastAsia"/>
          <w:spacing w:val="10"/>
          <w:szCs w:val="28"/>
          <w:rtl/>
        </w:rPr>
        <w:t>אולם</w:t>
      </w:r>
      <w:r w:rsidRPr="004B68EA">
        <w:rPr>
          <w:rFonts w:ascii="Century" w:hAnsi="Century" w:cs="FrankRuehl"/>
          <w:spacing w:val="10"/>
          <w:szCs w:val="28"/>
          <w:rtl/>
        </w:rPr>
        <w:t xml:space="preserve">, </w:t>
      </w:r>
      <w:r w:rsidRPr="004B68EA">
        <w:rPr>
          <w:rFonts w:ascii="Century" w:hAnsi="Century" w:cs="FrankRuehl" w:hint="eastAsia"/>
          <w:spacing w:val="10"/>
          <w:szCs w:val="28"/>
          <w:rtl/>
        </w:rPr>
        <w:t>משהתבקשנו</w:t>
      </w:r>
      <w:r w:rsidRPr="004B68EA">
        <w:rPr>
          <w:rFonts w:ascii="Century" w:hAnsi="Century" w:cs="FrankRuehl"/>
          <w:spacing w:val="10"/>
          <w:szCs w:val="28"/>
          <w:rtl/>
        </w:rPr>
        <w:t xml:space="preserve"> </w:t>
      </w:r>
      <w:r w:rsidRPr="004B68EA">
        <w:rPr>
          <w:rFonts w:ascii="Century" w:hAnsi="Century" w:cs="FrankRuehl" w:hint="eastAsia"/>
          <w:spacing w:val="10"/>
          <w:szCs w:val="28"/>
          <w:rtl/>
        </w:rPr>
        <w:t>להכריע</w:t>
      </w:r>
      <w:r w:rsidRPr="004B68EA">
        <w:rPr>
          <w:rFonts w:ascii="Century" w:hAnsi="Century" w:cs="FrankRuehl"/>
          <w:spacing w:val="10"/>
          <w:szCs w:val="28"/>
          <w:rtl/>
        </w:rPr>
        <w:t xml:space="preserve"> </w:t>
      </w:r>
      <w:r w:rsidRPr="004B68EA">
        <w:rPr>
          <w:rFonts w:ascii="Century" w:hAnsi="Century" w:cs="FrankRuehl" w:hint="eastAsia"/>
          <w:spacing w:val="10"/>
          <w:szCs w:val="28"/>
          <w:rtl/>
        </w:rPr>
        <w:t>במקרה</w:t>
      </w:r>
      <w:r w:rsidRPr="004B68EA">
        <w:rPr>
          <w:rFonts w:ascii="Century" w:hAnsi="Century" w:cs="FrankRuehl"/>
          <w:spacing w:val="10"/>
          <w:szCs w:val="28"/>
          <w:rtl/>
        </w:rPr>
        <w:t xml:space="preserve"> </w:t>
      </w:r>
      <w:r w:rsidRPr="004B68EA">
        <w:rPr>
          <w:rFonts w:ascii="Century" w:hAnsi="Century" w:cs="FrankRuehl" w:hint="eastAsia"/>
          <w:spacing w:val="10"/>
          <w:szCs w:val="28"/>
          <w:rtl/>
        </w:rPr>
        <w:t>דנן</w:t>
      </w:r>
      <w:r w:rsidRPr="004B68EA">
        <w:rPr>
          <w:rFonts w:ascii="Century" w:hAnsi="Century" w:cs="FrankRuehl"/>
          <w:spacing w:val="10"/>
          <w:szCs w:val="28"/>
          <w:rtl/>
        </w:rPr>
        <w:t xml:space="preserve"> </w:t>
      </w:r>
      <w:r w:rsidRPr="004B68EA">
        <w:rPr>
          <w:rFonts w:ascii="Century" w:hAnsi="Century" w:cs="FrankRuehl" w:hint="eastAsia"/>
          <w:spacing w:val="10"/>
          <w:szCs w:val="28"/>
          <w:rtl/>
        </w:rPr>
        <w:t>באשר</w:t>
      </w:r>
      <w:r w:rsidRPr="004B68EA">
        <w:rPr>
          <w:rFonts w:ascii="Century" w:hAnsi="Century" w:cs="FrankRuehl"/>
          <w:spacing w:val="10"/>
          <w:szCs w:val="28"/>
          <w:rtl/>
        </w:rPr>
        <w:t xml:space="preserve"> </w:t>
      </w:r>
      <w:r w:rsidRPr="004B68EA">
        <w:rPr>
          <w:rFonts w:ascii="Century" w:hAnsi="Century" w:cs="FrankRuehl" w:hint="eastAsia"/>
          <w:spacing w:val="10"/>
          <w:szCs w:val="28"/>
          <w:rtl/>
        </w:rPr>
        <w:t>להיקף</w:t>
      </w:r>
      <w:r w:rsidRPr="004B68EA">
        <w:rPr>
          <w:rFonts w:ascii="Century" w:hAnsi="Century" w:cs="FrankRuehl"/>
          <w:spacing w:val="10"/>
          <w:szCs w:val="28"/>
          <w:rtl/>
        </w:rPr>
        <w:t xml:space="preserve"> </w:t>
      </w:r>
      <w:r w:rsidRPr="004B68EA">
        <w:rPr>
          <w:rFonts w:ascii="Century" w:hAnsi="Century" w:cs="FrankRuehl" w:hint="eastAsia"/>
          <w:spacing w:val="10"/>
          <w:szCs w:val="28"/>
          <w:rtl/>
        </w:rPr>
        <w:t>תחולתו</w:t>
      </w:r>
      <w:r w:rsidRPr="004B68EA">
        <w:rPr>
          <w:rFonts w:ascii="Century" w:hAnsi="Century" w:cs="FrankRuehl"/>
          <w:spacing w:val="10"/>
          <w:szCs w:val="28"/>
          <w:rtl/>
        </w:rPr>
        <w:t xml:space="preserve"> </w:t>
      </w:r>
      <w:r w:rsidRPr="004B68EA">
        <w:rPr>
          <w:rFonts w:ascii="Century" w:hAnsi="Century" w:cs="FrankRuehl" w:hint="eastAsia"/>
          <w:spacing w:val="10"/>
          <w:szCs w:val="28"/>
          <w:rtl/>
        </w:rPr>
        <w:t>של</w:t>
      </w:r>
      <w:r w:rsidRPr="004B68EA">
        <w:rPr>
          <w:rFonts w:ascii="Century" w:hAnsi="Century" w:cs="FrankRuehl"/>
          <w:spacing w:val="10"/>
          <w:szCs w:val="28"/>
          <w:rtl/>
        </w:rPr>
        <w:t xml:space="preserve"> </w:t>
      </w:r>
      <w:r w:rsidRPr="004B68EA">
        <w:rPr>
          <w:rFonts w:ascii="Century" w:hAnsi="Century" w:cs="FrankRuehl" w:hint="eastAsia"/>
          <w:spacing w:val="10"/>
          <w:szCs w:val="28"/>
          <w:rtl/>
        </w:rPr>
        <w:t>סעיף</w:t>
      </w:r>
      <w:r w:rsidRPr="004B68EA">
        <w:rPr>
          <w:rFonts w:ascii="Century" w:hAnsi="Century" w:cs="FrankRuehl"/>
          <w:spacing w:val="10"/>
          <w:szCs w:val="28"/>
          <w:rtl/>
        </w:rPr>
        <w:t xml:space="preserve"> 5 </w:t>
      </w:r>
      <w:r w:rsidRPr="004B68EA">
        <w:rPr>
          <w:rFonts w:ascii="Century" w:hAnsi="Century" w:cs="FrankRuehl" w:hint="eastAsia"/>
          <w:spacing w:val="10"/>
          <w:szCs w:val="28"/>
          <w:rtl/>
        </w:rPr>
        <w:t>לצו</w:t>
      </w:r>
      <w:r w:rsidRPr="004B68EA">
        <w:rPr>
          <w:rFonts w:ascii="Century" w:hAnsi="Century" w:cs="FrankRuehl"/>
          <w:spacing w:val="10"/>
          <w:szCs w:val="28"/>
          <w:rtl/>
        </w:rPr>
        <w:t>, משמעות הדברים היא הגנה חזקה, אך לא מוחלטת, על זכויות הקניין שלהם. הרי</w:t>
      </w:r>
      <w:r w:rsidRPr="004B68EA">
        <w:rPr>
          <w:rFonts w:ascii="Century" w:hAnsi="Century" w:cs="FrankRuehl" w:hint="cs"/>
          <w:spacing w:val="10"/>
          <w:szCs w:val="28"/>
          <w:rtl/>
        </w:rPr>
        <w:t xml:space="preserve"> נקודת המוצא של ההסדר שנקבע בסעיף 5 לצו </w:t>
      </w:r>
      <w:r w:rsidRPr="004B68EA">
        <w:rPr>
          <w:rFonts w:ascii="Century" w:hAnsi="Century" w:cs="FrankRuehl"/>
          <w:spacing w:val="10"/>
          <w:szCs w:val="28"/>
          <w:rtl/>
        </w:rPr>
        <w:t>היא שכאשר מתקיימים התנאים לתחולת</w:t>
      </w:r>
      <w:r w:rsidRPr="004B68EA">
        <w:rPr>
          <w:rFonts w:ascii="Century" w:hAnsi="Century" w:cs="FrankRuehl" w:hint="cs"/>
          <w:spacing w:val="10"/>
          <w:szCs w:val="28"/>
          <w:rtl/>
        </w:rPr>
        <w:t>ו</w:t>
      </w:r>
      <w:r w:rsidRPr="004B68EA">
        <w:rPr>
          <w:rFonts w:ascii="Century" w:hAnsi="Century" w:cs="FrankRuehl"/>
          <w:spacing w:val="10"/>
          <w:szCs w:val="28"/>
          <w:rtl/>
        </w:rPr>
        <w:t xml:space="preserve"> ניתנת עדיפות לצדדים שלישיים על פני הבעלים המקוריים. אם כן, השאלה </w:t>
      </w:r>
      <w:r w:rsidRPr="004B68EA">
        <w:rPr>
          <w:rFonts w:ascii="Century" w:hAnsi="Century" w:cs="FrankRuehl" w:hint="eastAsia"/>
          <w:spacing w:val="10"/>
          <w:szCs w:val="28"/>
          <w:rtl/>
        </w:rPr>
        <w:t>איננה</w:t>
      </w:r>
      <w:r w:rsidRPr="004B68EA">
        <w:rPr>
          <w:rFonts w:ascii="Century" w:hAnsi="Century" w:cs="FrankRuehl"/>
          <w:spacing w:val="10"/>
          <w:szCs w:val="28"/>
          <w:rtl/>
        </w:rPr>
        <w:t xml:space="preserve"> </w:t>
      </w:r>
      <w:r w:rsidRPr="004B68EA">
        <w:rPr>
          <w:rFonts w:ascii="Century" w:hAnsi="Century" w:cs="FrankRuehl" w:hint="eastAsia"/>
          <w:spacing w:val="10"/>
          <w:szCs w:val="28"/>
          <w:rtl/>
        </w:rPr>
        <w:t>עוד</w:t>
      </w:r>
      <w:r w:rsidRPr="004B68EA">
        <w:rPr>
          <w:rFonts w:ascii="Century" w:hAnsi="Century" w:cs="FrankRuehl"/>
          <w:spacing w:val="10"/>
          <w:szCs w:val="28"/>
          <w:rtl/>
        </w:rPr>
        <w:t xml:space="preserve"> </w:t>
      </w:r>
      <w:r w:rsidRPr="004B68EA">
        <w:rPr>
          <w:rFonts w:ascii="Century" w:hAnsi="Century" w:cs="FrankRuehl" w:hint="eastAsia"/>
          <w:spacing w:val="10"/>
          <w:szCs w:val="28"/>
          <w:rtl/>
        </w:rPr>
        <w:t>האם</w:t>
      </w:r>
      <w:r w:rsidRPr="004B68EA">
        <w:rPr>
          <w:rFonts w:ascii="Century" w:hAnsi="Century" w:cs="FrankRuehl"/>
          <w:spacing w:val="10"/>
          <w:szCs w:val="28"/>
          <w:rtl/>
        </w:rPr>
        <w:t xml:space="preserve"> </w:t>
      </w:r>
      <w:r w:rsidRPr="004B68EA">
        <w:rPr>
          <w:rFonts w:ascii="Century" w:hAnsi="Century" w:cs="FrankRuehl" w:hint="eastAsia"/>
          <w:spacing w:val="10"/>
          <w:szCs w:val="28"/>
          <w:rtl/>
        </w:rPr>
        <w:t>יש</w:t>
      </w:r>
      <w:r w:rsidRPr="004B68EA">
        <w:rPr>
          <w:rFonts w:ascii="Century" w:hAnsi="Century" w:cs="FrankRuehl"/>
          <w:spacing w:val="10"/>
          <w:szCs w:val="28"/>
          <w:rtl/>
        </w:rPr>
        <w:t xml:space="preserve"> </w:t>
      </w:r>
      <w:r w:rsidRPr="004B68EA">
        <w:rPr>
          <w:rFonts w:ascii="Century" w:hAnsi="Century" w:cs="FrankRuehl" w:hint="eastAsia"/>
          <w:spacing w:val="10"/>
          <w:szCs w:val="28"/>
          <w:rtl/>
        </w:rPr>
        <w:t>אפשרות</w:t>
      </w:r>
      <w:r w:rsidRPr="004B68EA">
        <w:rPr>
          <w:rFonts w:ascii="Century" w:hAnsi="Century" w:cs="FrankRuehl"/>
          <w:spacing w:val="10"/>
          <w:szCs w:val="28"/>
          <w:rtl/>
        </w:rPr>
        <w:t xml:space="preserve"> </w:t>
      </w:r>
      <w:r w:rsidRPr="004B68EA">
        <w:rPr>
          <w:rFonts w:ascii="Century" w:hAnsi="Century" w:cs="FrankRuehl" w:hint="eastAsia"/>
          <w:spacing w:val="10"/>
          <w:szCs w:val="28"/>
          <w:rtl/>
        </w:rPr>
        <w:t>לפגיעה</w:t>
      </w:r>
      <w:r w:rsidRPr="004B68EA">
        <w:rPr>
          <w:rFonts w:ascii="Century" w:hAnsi="Century" w:cs="FrankRuehl"/>
          <w:spacing w:val="10"/>
          <w:szCs w:val="28"/>
          <w:rtl/>
        </w:rPr>
        <w:t xml:space="preserve"> </w:t>
      </w:r>
      <w:r w:rsidRPr="004B68EA">
        <w:rPr>
          <w:rFonts w:ascii="Century" w:hAnsi="Century" w:cs="FrankRuehl" w:hint="eastAsia"/>
          <w:spacing w:val="10"/>
          <w:szCs w:val="28"/>
          <w:rtl/>
        </w:rPr>
        <w:t>בזכויות</w:t>
      </w:r>
      <w:r w:rsidRPr="004B68EA">
        <w:rPr>
          <w:rFonts w:ascii="Century" w:hAnsi="Century" w:cs="FrankRuehl"/>
          <w:spacing w:val="10"/>
          <w:szCs w:val="28"/>
          <w:rtl/>
        </w:rPr>
        <w:t xml:space="preserve"> </w:t>
      </w:r>
      <w:r w:rsidRPr="004B68EA">
        <w:rPr>
          <w:rFonts w:ascii="Century" w:hAnsi="Century" w:cs="FrankRuehl" w:hint="eastAsia"/>
          <w:spacing w:val="10"/>
          <w:szCs w:val="28"/>
          <w:rtl/>
        </w:rPr>
        <w:t>קניין</w:t>
      </w:r>
      <w:r w:rsidRPr="004B68EA">
        <w:rPr>
          <w:rFonts w:ascii="Century" w:hAnsi="Century" w:cs="FrankRuehl"/>
          <w:spacing w:val="10"/>
          <w:szCs w:val="28"/>
          <w:rtl/>
        </w:rPr>
        <w:t xml:space="preserve">, </w:t>
      </w:r>
      <w:r w:rsidRPr="004B68EA">
        <w:rPr>
          <w:rFonts w:ascii="Century" w:hAnsi="Century" w:cs="FrankRuehl" w:hint="eastAsia"/>
          <w:spacing w:val="10"/>
          <w:szCs w:val="28"/>
          <w:rtl/>
        </w:rPr>
        <w:t>אלא</w:t>
      </w:r>
      <w:r w:rsidRPr="004B68EA">
        <w:rPr>
          <w:rFonts w:ascii="Century" w:hAnsi="Century" w:cs="FrankRuehl"/>
          <w:spacing w:val="10"/>
          <w:szCs w:val="28"/>
          <w:rtl/>
        </w:rPr>
        <w:t xml:space="preserve"> </w:t>
      </w:r>
      <w:r w:rsidRPr="004B68EA">
        <w:rPr>
          <w:rFonts w:ascii="Century" w:hAnsi="Century" w:cs="FrankRuehl" w:hint="eastAsia"/>
          <w:spacing w:val="10"/>
          <w:szCs w:val="28"/>
          <w:rtl/>
        </w:rPr>
        <w:t>האם</w:t>
      </w:r>
      <w:r w:rsidRPr="004B68EA">
        <w:rPr>
          <w:rFonts w:ascii="Century" w:hAnsi="Century" w:cs="FrankRuehl"/>
          <w:spacing w:val="10"/>
          <w:szCs w:val="28"/>
          <w:rtl/>
        </w:rPr>
        <w:t xml:space="preserve"> </w:t>
      </w:r>
      <w:r w:rsidRPr="004B68EA">
        <w:rPr>
          <w:rFonts w:ascii="Century" w:hAnsi="Century" w:cs="FrankRuehl" w:hint="eastAsia"/>
          <w:spacing w:val="10"/>
          <w:szCs w:val="28"/>
          <w:rtl/>
        </w:rPr>
        <w:t>התקיימו</w:t>
      </w:r>
      <w:r w:rsidRPr="004B68EA">
        <w:rPr>
          <w:rFonts w:ascii="Century" w:hAnsi="Century" w:cs="FrankRuehl"/>
          <w:spacing w:val="10"/>
          <w:szCs w:val="28"/>
          <w:rtl/>
        </w:rPr>
        <w:t xml:space="preserve"> </w:t>
      </w:r>
      <w:r w:rsidRPr="004B68EA">
        <w:rPr>
          <w:rFonts w:ascii="Century" w:hAnsi="Century" w:cs="FrankRuehl" w:hint="eastAsia"/>
          <w:spacing w:val="10"/>
          <w:szCs w:val="28"/>
          <w:rtl/>
        </w:rPr>
        <w:t>התנאים</w:t>
      </w:r>
      <w:r w:rsidRPr="004B68EA">
        <w:rPr>
          <w:rFonts w:ascii="Century" w:hAnsi="Century" w:cs="FrankRuehl"/>
          <w:spacing w:val="10"/>
          <w:szCs w:val="28"/>
          <w:rtl/>
        </w:rPr>
        <w:t xml:space="preserve"> </w:t>
      </w:r>
      <w:r w:rsidRPr="004B68EA">
        <w:rPr>
          <w:rFonts w:ascii="Century" w:hAnsi="Century" w:cs="FrankRuehl" w:hint="eastAsia"/>
          <w:spacing w:val="10"/>
          <w:szCs w:val="28"/>
          <w:rtl/>
        </w:rPr>
        <w:t>לתחולתו</w:t>
      </w:r>
      <w:r w:rsidRPr="004B68EA">
        <w:rPr>
          <w:rFonts w:ascii="Century" w:hAnsi="Century" w:cs="FrankRuehl"/>
          <w:spacing w:val="10"/>
          <w:szCs w:val="28"/>
          <w:rtl/>
        </w:rPr>
        <w:t xml:space="preserve"> </w:t>
      </w:r>
      <w:r w:rsidRPr="004B68EA">
        <w:rPr>
          <w:rFonts w:ascii="Century" w:hAnsi="Century" w:cs="FrankRuehl" w:hint="eastAsia"/>
          <w:spacing w:val="10"/>
          <w:szCs w:val="28"/>
          <w:rtl/>
        </w:rPr>
        <w:t>של</w:t>
      </w:r>
      <w:r w:rsidRPr="004B68EA">
        <w:rPr>
          <w:rFonts w:ascii="Century" w:hAnsi="Century" w:cs="FrankRuehl"/>
          <w:spacing w:val="10"/>
          <w:szCs w:val="28"/>
          <w:rtl/>
        </w:rPr>
        <w:t xml:space="preserve"> </w:t>
      </w:r>
      <w:r w:rsidRPr="004B68EA">
        <w:rPr>
          <w:rFonts w:ascii="Century" w:hAnsi="Century" w:cs="FrankRuehl" w:hint="eastAsia"/>
          <w:spacing w:val="10"/>
          <w:szCs w:val="28"/>
          <w:rtl/>
        </w:rPr>
        <w:t>ההסדר</w:t>
      </w:r>
      <w:r w:rsidRPr="004B68EA">
        <w:rPr>
          <w:rFonts w:ascii="Century" w:hAnsi="Century" w:cs="FrankRuehl"/>
          <w:spacing w:val="10"/>
          <w:szCs w:val="28"/>
          <w:rtl/>
        </w:rPr>
        <w:t xml:space="preserve"> </w:t>
      </w:r>
      <w:r w:rsidRPr="004B68EA">
        <w:rPr>
          <w:rFonts w:ascii="Century" w:hAnsi="Century" w:cs="FrankRuehl" w:hint="cs"/>
          <w:spacing w:val="10"/>
          <w:szCs w:val="28"/>
          <w:rtl/>
        </w:rPr>
        <w:t xml:space="preserve">שבפנינו, </w:t>
      </w:r>
      <w:r w:rsidRPr="004B68EA">
        <w:rPr>
          <w:rFonts w:ascii="Century" w:hAnsi="Century" w:cs="FrankRuehl" w:hint="eastAsia"/>
          <w:spacing w:val="10"/>
          <w:szCs w:val="28"/>
          <w:rtl/>
        </w:rPr>
        <w:t>הנחשב</w:t>
      </w:r>
      <w:r w:rsidRPr="004B68EA">
        <w:rPr>
          <w:rFonts w:ascii="Century" w:hAnsi="Century" w:cs="FrankRuehl"/>
          <w:spacing w:val="10"/>
          <w:szCs w:val="28"/>
          <w:rtl/>
        </w:rPr>
        <w:t xml:space="preserve"> </w:t>
      </w:r>
      <w:r w:rsidRPr="004B68EA">
        <w:rPr>
          <w:rFonts w:ascii="Century" w:hAnsi="Century" w:cs="FrankRuehl" w:hint="eastAsia"/>
          <w:spacing w:val="10"/>
          <w:szCs w:val="28"/>
          <w:rtl/>
        </w:rPr>
        <w:t>למעין</w:t>
      </w:r>
      <w:r w:rsidRPr="004B68EA">
        <w:rPr>
          <w:rFonts w:ascii="Century" w:hAnsi="Century" w:cs="FrankRuehl"/>
          <w:spacing w:val="10"/>
          <w:szCs w:val="28"/>
          <w:rtl/>
        </w:rPr>
        <w:t xml:space="preserve"> </w:t>
      </w:r>
      <w:r w:rsidRPr="004B68EA">
        <w:rPr>
          <w:rFonts w:ascii="Century" w:hAnsi="Century" w:cs="FrankRuehl" w:hint="eastAsia"/>
          <w:spacing w:val="10"/>
          <w:szCs w:val="28"/>
          <w:rtl/>
        </w:rPr>
        <w:t>תקנת</w:t>
      </w:r>
      <w:r w:rsidRPr="004B68EA">
        <w:rPr>
          <w:rFonts w:ascii="Century" w:hAnsi="Century" w:cs="FrankRuehl"/>
          <w:spacing w:val="10"/>
          <w:szCs w:val="28"/>
          <w:rtl/>
        </w:rPr>
        <w:t xml:space="preserve"> </w:t>
      </w:r>
      <w:r w:rsidRPr="004B68EA">
        <w:rPr>
          <w:rFonts w:ascii="Century" w:hAnsi="Century" w:cs="FrankRuehl" w:hint="eastAsia"/>
          <w:spacing w:val="10"/>
          <w:szCs w:val="28"/>
          <w:rtl/>
        </w:rPr>
        <w:t>שוק</w:t>
      </w:r>
      <w:r w:rsidRPr="004B68EA">
        <w:rPr>
          <w:rFonts w:ascii="Century" w:hAnsi="Century" w:cs="FrankRuehl" w:hint="cs"/>
          <w:spacing w:val="10"/>
          <w:szCs w:val="28"/>
          <w:rtl/>
        </w:rPr>
        <w:t>.</w:t>
      </w:r>
      <w:r w:rsidRPr="004B68EA">
        <w:rPr>
          <w:rFonts w:ascii="Century" w:hAnsi="Century" w:cs="FrankRuehl"/>
          <w:spacing w:val="10"/>
          <w:szCs w:val="28"/>
          <w:rtl/>
        </w:rPr>
        <w:t xml:space="preserve"> </w:t>
      </w:r>
      <w:r w:rsidRPr="004B68EA">
        <w:rPr>
          <w:rFonts w:ascii="Century" w:hAnsi="Century" w:cs="FrankRuehl" w:hint="eastAsia"/>
          <w:spacing w:val="10"/>
          <w:szCs w:val="28"/>
          <w:rtl/>
        </w:rPr>
        <w:t>זוהי</w:t>
      </w:r>
      <w:r w:rsidRPr="004B68EA">
        <w:rPr>
          <w:rFonts w:ascii="Century" w:hAnsi="Century" w:cs="FrankRuehl" w:hint="cs"/>
          <w:spacing w:val="10"/>
          <w:szCs w:val="28"/>
          <w:rtl/>
        </w:rPr>
        <w:t>, אם כן,</w:t>
      </w:r>
      <w:r w:rsidRPr="004B68EA">
        <w:rPr>
          <w:rFonts w:ascii="Century" w:hAnsi="Century" w:cs="FrankRuehl"/>
          <w:spacing w:val="10"/>
          <w:szCs w:val="28"/>
          <w:rtl/>
        </w:rPr>
        <w:t xml:space="preserve"> </w:t>
      </w:r>
      <w:r w:rsidRPr="004B68EA">
        <w:rPr>
          <w:rFonts w:ascii="Century" w:hAnsi="Century" w:cs="FrankRuehl" w:hint="eastAsia"/>
          <w:spacing w:val="10"/>
          <w:szCs w:val="28"/>
          <w:rtl/>
        </w:rPr>
        <w:t>נקודת</w:t>
      </w:r>
      <w:r w:rsidRPr="004B68EA">
        <w:rPr>
          <w:rFonts w:ascii="Century" w:hAnsi="Century" w:cs="FrankRuehl"/>
          <w:spacing w:val="10"/>
          <w:szCs w:val="28"/>
          <w:rtl/>
        </w:rPr>
        <w:t xml:space="preserve"> </w:t>
      </w:r>
      <w:r w:rsidRPr="004B68EA">
        <w:rPr>
          <w:rFonts w:ascii="Century" w:hAnsi="Century" w:cs="FrankRuehl" w:hint="eastAsia"/>
          <w:spacing w:val="10"/>
          <w:szCs w:val="28"/>
          <w:rtl/>
        </w:rPr>
        <w:t>המוצא</w:t>
      </w:r>
      <w:r w:rsidRPr="004B68EA">
        <w:rPr>
          <w:rFonts w:ascii="Century" w:hAnsi="Century" w:cs="FrankRuehl"/>
          <w:spacing w:val="10"/>
          <w:szCs w:val="28"/>
          <w:rtl/>
        </w:rPr>
        <w:t xml:space="preserve"> </w:t>
      </w:r>
      <w:r w:rsidRPr="004B68EA">
        <w:rPr>
          <w:rFonts w:ascii="Century" w:hAnsi="Century" w:cs="FrankRuehl" w:hint="eastAsia"/>
          <w:spacing w:val="10"/>
          <w:szCs w:val="28"/>
          <w:rtl/>
        </w:rPr>
        <w:t>לדיון</w:t>
      </w:r>
      <w:r w:rsidRPr="004B68EA">
        <w:rPr>
          <w:rFonts w:ascii="Century" w:hAnsi="Century" w:cs="FrankRuehl"/>
          <w:spacing w:val="10"/>
          <w:szCs w:val="28"/>
          <w:rtl/>
        </w:rPr>
        <w:t xml:space="preserve"> נוסף זה.</w:t>
      </w:r>
    </w:p>
    <w:p w:rsidR="005B1A77" w:rsidRPr="004B68EA" w:rsidRDefault="005B1A77" w:rsidP="005B1A77">
      <w:pPr>
        <w:spacing w:line="360" w:lineRule="auto"/>
        <w:jc w:val="both"/>
        <w:rPr>
          <w:rFonts w:ascii="Century" w:hAnsi="Century" w:cs="FrankRuehl"/>
          <w:spacing w:val="10"/>
          <w:szCs w:val="28"/>
          <w:rtl/>
        </w:rPr>
      </w:pPr>
    </w:p>
    <w:p w:rsidR="005B1A77" w:rsidRPr="004B68EA" w:rsidRDefault="005B1A77" w:rsidP="005B1A77">
      <w:pPr>
        <w:spacing w:line="360" w:lineRule="auto"/>
        <w:jc w:val="both"/>
        <w:rPr>
          <w:rFonts w:ascii="Century" w:hAnsi="Century" w:cs="FrankRuehl"/>
          <w:spacing w:val="10"/>
          <w:szCs w:val="28"/>
          <w:rtl/>
        </w:rPr>
      </w:pPr>
      <w:r w:rsidRPr="004B68EA">
        <w:rPr>
          <w:rFonts w:ascii="Century" w:hAnsi="Century" w:cs="FrankRuehl"/>
          <w:spacing w:val="10"/>
          <w:szCs w:val="28"/>
          <w:rtl/>
        </w:rPr>
        <w:t>5.</w:t>
      </w:r>
      <w:r w:rsidRPr="004B68EA">
        <w:rPr>
          <w:rFonts w:ascii="Century" w:hAnsi="Century" w:cs="FrankRuehl"/>
          <w:spacing w:val="10"/>
          <w:szCs w:val="28"/>
          <w:rtl/>
        </w:rPr>
        <w:tab/>
      </w:r>
      <w:r w:rsidRPr="004B68EA">
        <w:rPr>
          <w:rFonts w:ascii="Century" w:hAnsi="Century" w:cs="FrankRuehl" w:hint="eastAsia"/>
          <w:spacing w:val="10"/>
          <w:szCs w:val="28"/>
          <w:rtl/>
        </w:rPr>
        <w:t>אתחיל</w:t>
      </w:r>
      <w:r w:rsidRPr="004B68EA">
        <w:rPr>
          <w:rFonts w:ascii="Century" w:hAnsi="Century" w:cs="FrankRuehl"/>
          <w:spacing w:val="10"/>
          <w:szCs w:val="28"/>
          <w:rtl/>
        </w:rPr>
        <w:t xml:space="preserve"> </w:t>
      </w:r>
      <w:r w:rsidRPr="004B68EA">
        <w:rPr>
          <w:rFonts w:ascii="Century" w:hAnsi="Century" w:cs="FrankRuehl" w:hint="eastAsia"/>
          <w:spacing w:val="10"/>
          <w:szCs w:val="28"/>
          <w:rtl/>
        </w:rPr>
        <w:t>בכך</w:t>
      </w:r>
      <w:r w:rsidRPr="004B68EA">
        <w:rPr>
          <w:rFonts w:ascii="Century" w:hAnsi="Century" w:cs="FrankRuehl"/>
          <w:spacing w:val="10"/>
          <w:szCs w:val="28"/>
          <w:rtl/>
        </w:rPr>
        <w:t xml:space="preserve"> שאציין כי </w:t>
      </w:r>
      <w:r w:rsidRPr="004B68EA">
        <w:rPr>
          <w:rFonts w:ascii="Century" w:hAnsi="Century" w:cs="FrankRuehl" w:hint="eastAsia"/>
          <w:spacing w:val="10"/>
          <w:szCs w:val="28"/>
          <w:rtl/>
        </w:rPr>
        <w:t>במישור</w:t>
      </w:r>
      <w:r w:rsidRPr="004B68EA">
        <w:rPr>
          <w:rFonts w:ascii="Century" w:hAnsi="Century" w:cs="FrankRuehl"/>
          <w:spacing w:val="10"/>
          <w:szCs w:val="28"/>
          <w:rtl/>
        </w:rPr>
        <w:t xml:space="preserve"> </w:t>
      </w:r>
      <w:r w:rsidRPr="004B68EA">
        <w:rPr>
          <w:rFonts w:ascii="Century" w:hAnsi="Century" w:cs="FrankRuehl" w:hint="eastAsia"/>
          <w:spacing w:val="10"/>
          <w:szCs w:val="28"/>
          <w:rtl/>
        </w:rPr>
        <w:t>העקרוני</w:t>
      </w:r>
      <w:r w:rsidRPr="004B68EA">
        <w:rPr>
          <w:rFonts w:ascii="Century" w:hAnsi="Century" w:cs="FrankRuehl"/>
          <w:spacing w:val="10"/>
          <w:szCs w:val="28"/>
          <w:rtl/>
        </w:rPr>
        <w:t xml:space="preserve">-פרשני, </w:t>
      </w:r>
      <w:r w:rsidRPr="004B68EA">
        <w:rPr>
          <w:rFonts w:ascii="Century" w:hAnsi="Century" w:cs="FrankRuehl" w:hint="eastAsia"/>
          <w:spacing w:val="10"/>
          <w:szCs w:val="28"/>
          <w:rtl/>
        </w:rPr>
        <w:t>אני</w:t>
      </w:r>
      <w:r w:rsidRPr="004B68EA">
        <w:rPr>
          <w:rFonts w:ascii="Century" w:hAnsi="Century" w:cs="FrankRuehl"/>
          <w:spacing w:val="10"/>
          <w:szCs w:val="28"/>
          <w:rtl/>
        </w:rPr>
        <w:t xml:space="preserve"> </w:t>
      </w:r>
      <w:r w:rsidRPr="004B68EA">
        <w:rPr>
          <w:rFonts w:ascii="Century" w:hAnsi="Century" w:cs="FrankRuehl" w:hint="eastAsia"/>
          <w:spacing w:val="10"/>
          <w:szCs w:val="28"/>
          <w:rtl/>
        </w:rPr>
        <w:t>מסכימה</w:t>
      </w:r>
      <w:r w:rsidRPr="004B68EA">
        <w:rPr>
          <w:rFonts w:ascii="Century" w:hAnsi="Century" w:cs="FrankRuehl"/>
          <w:spacing w:val="10"/>
          <w:szCs w:val="28"/>
          <w:rtl/>
        </w:rPr>
        <w:t xml:space="preserve"> </w:t>
      </w:r>
      <w:r w:rsidRPr="004B68EA">
        <w:rPr>
          <w:rFonts w:ascii="Century" w:hAnsi="Century" w:cs="FrankRuehl" w:hint="eastAsia"/>
          <w:spacing w:val="10"/>
          <w:szCs w:val="28"/>
          <w:rtl/>
        </w:rPr>
        <w:t>לעיקרי</w:t>
      </w:r>
      <w:r w:rsidRPr="004B68EA">
        <w:rPr>
          <w:rFonts w:ascii="Century" w:hAnsi="Century" w:cs="FrankRuehl"/>
          <w:spacing w:val="10"/>
          <w:szCs w:val="28"/>
          <w:rtl/>
        </w:rPr>
        <w:t xml:space="preserve"> </w:t>
      </w:r>
      <w:r w:rsidRPr="004B68EA">
        <w:rPr>
          <w:rFonts w:ascii="Century" w:hAnsi="Century" w:cs="FrankRuehl" w:hint="eastAsia"/>
          <w:spacing w:val="10"/>
          <w:szCs w:val="28"/>
          <w:rtl/>
        </w:rPr>
        <w:t>עמדתו</w:t>
      </w:r>
      <w:r w:rsidRPr="004B68EA">
        <w:rPr>
          <w:rFonts w:ascii="Century" w:hAnsi="Century" w:cs="FrankRuehl"/>
          <w:spacing w:val="10"/>
          <w:szCs w:val="28"/>
          <w:rtl/>
        </w:rPr>
        <w:t xml:space="preserve"> </w:t>
      </w:r>
      <w:r w:rsidRPr="004B68EA">
        <w:rPr>
          <w:rFonts w:ascii="Century" w:hAnsi="Century" w:cs="FrankRuehl" w:hint="eastAsia"/>
          <w:spacing w:val="10"/>
          <w:szCs w:val="28"/>
          <w:rtl/>
        </w:rPr>
        <w:t>של</w:t>
      </w:r>
      <w:r w:rsidRPr="004B68EA">
        <w:rPr>
          <w:rFonts w:ascii="Century" w:hAnsi="Century" w:cs="FrankRuehl"/>
          <w:spacing w:val="10"/>
          <w:szCs w:val="28"/>
          <w:rtl/>
        </w:rPr>
        <w:t xml:space="preserve"> </w:t>
      </w:r>
      <w:r w:rsidRPr="004B68EA">
        <w:rPr>
          <w:rFonts w:ascii="Century" w:hAnsi="Century" w:cs="FrankRuehl" w:hint="eastAsia"/>
          <w:spacing w:val="10"/>
          <w:szCs w:val="28"/>
          <w:rtl/>
        </w:rPr>
        <w:t>חברי</w:t>
      </w:r>
      <w:r w:rsidRPr="004B68EA">
        <w:rPr>
          <w:rFonts w:ascii="Century" w:hAnsi="Century" w:cs="FrankRuehl"/>
          <w:spacing w:val="10"/>
          <w:szCs w:val="28"/>
          <w:rtl/>
        </w:rPr>
        <w:t xml:space="preserve"> </w:t>
      </w:r>
      <w:r w:rsidRPr="004B68EA">
        <w:rPr>
          <w:rFonts w:ascii="Century" w:hAnsi="Century" w:cs="FrankRuehl" w:hint="eastAsia"/>
          <w:spacing w:val="10"/>
          <w:szCs w:val="28"/>
          <w:rtl/>
        </w:rPr>
        <w:t>המשנה</w:t>
      </w:r>
      <w:r w:rsidRPr="004B68EA">
        <w:rPr>
          <w:rFonts w:ascii="Century" w:hAnsi="Century" w:cs="FrankRuehl"/>
          <w:spacing w:val="10"/>
          <w:szCs w:val="28"/>
          <w:rtl/>
        </w:rPr>
        <w:t xml:space="preserve"> </w:t>
      </w:r>
      <w:r w:rsidRPr="004B68EA">
        <w:rPr>
          <w:rFonts w:ascii="Century" w:hAnsi="Century" w:cs="FrankRuehl" w:hint="eastAsia"/>
          <w:spacing w:val="10"/>
          <w:szCs w:val="28"/>
          <w:rtl/>
        </w:rPr>
        <w:t>לנשיאה</w:t>
      </w:r>
      <w:r w:rsidRPr="004B68EA">
        <w:rPr>
          <w:rFonts w:ascii="Century" w:hAnsi="Century" w:cs="FrankRuehl"/>
          <w:spacing w:val="10"/>
          <w:szCs w:val="28"/>
          <w:rtl/>
        </w:rPr>
        <w:t xml:space="preserve"> </w:t>
      </w:r>
      <w:r w:rsidRPr="004B68EA">
        <w:rPr>
          <w:rFonts w:ascii="Century" w:hAnsi="Century" w:cs="Miriam" w:hint="eastAsia"/>
          <w:b/>
          <w:rtl/>
        </w:rPr>
        <w:t>ע</w:t>
      </w:r>
      <w:r w:rsidRPr="004B68EA">
        <w:rPr>
          <w:rFonts w:ascii="Century" w:hAnsi="Century" w:cs="Miriam"/>
          <w:b/>
          <w:rtl/>
        </w:rPr>
        <w:t>'</w:t>
      </w:r>
      <w:r w:rsidRPr="004B68EA">
        <w:rPr>
          <w:rFonts w:ascii="Century" w:hAnsi="Century" w:cs="FrankRuehl"/>
          <w:spacing w:val="10"/>
          <w:szCs w:val="28"/>
          <w:rtl/>
        </w:rPr>
        <w:t xml:space="preserve"> </w:t>
      </w:r>
      <w:r w:rsidRPr="004B68EA">
        <w:rPr>
          <w:rFonts w:ascii="Century" w:hAnsi="Century" w:cs="Miriam" w:hint="eastAsia"/>
          <w:b/>
          <w:rtl/>
        </w:rPr>
        <w:t>פוגלמן</w:t>
      </w:r>
      <w:r w:rsidRPr="004B68EA">
        <w:rPr>
          <w:rFonts w:ascii="Century" w:hAnsi="Century" w:cs="FrankRuehl"/>
          <w:spacing w:val="10"/>
          <w:szCs w:val="28"/>
          <w:rtl/>
        </w:rPr>
        <w:t xml:space="preserve">, המבוססת </w:t>
      </w:r>
      <w:r w:rsidRPr="004B68EA">
        <w:rPr>
          <w:rFonts w:ascii="Century" w:hAnsi="Century" w:cs="FrankRuehl" w:hint="eastAsia"/>
          <w:spacing w:val="10"/>
          <w:szCs w:val="28"/>
          <w:rtl/>
        </w:rPr>
        <w:t>מצדה</w:t>
      </w:r>
      <w:r w:rsidRPr="004B68EA">
        <w:rPr>
          <w:rFonts w:ascii="Century" w:hAnsi="Century" w:cs="FrankRuehl"/>
          <w:spacing w:val="10"/>
          <w:szCs w:val="28"/>
          <w:rtl/>
        </w:rPr>
        <w:t xml:space="preserve"> </w:t>
      </w:r>
      <w:r w:rsidRPr="004B68EA">
        <w:rPr>
          <w:rFonts w:ascii="Century" w:hAnsi="Century" w:cs="FrankRuehl" w:hint="eastAsia"/>
          <w:spacing w:val="10"/>
          <w:szCs w:val="28"/>
          <w:rtl/>
        </w:rPr>
        <w:t>על</w:t>
      </w:r>
      <w:r w:rsidRPr="004B68EA">
        <w:rPr>
          <w:rFonts w:ascii="Century" w:hAnsi="Century" w:cs="FrankRuehl"/>
          <w:spacing w:val="10"/>
          <w:szCs w:val="28"/>
          <w:rtl/>
        </w:rPr>
        <w:t xml:space="preserve"> עמדתה של חברתי הנשיאה </w:t>
      </w:r>
      <w:r w:rsidRPr="004B68EA">
        <w:rPr>
          <w:rFonts w:ascii="Century" w:hAnsi="Century" w:cs="Miriam" w:hint="eastAsia"/>
          <w:b/>
          <w:rtl/>
        </w:rPr>
        <w:t>א</w:t>
      </w:r>
      <w:r w:rsidRPr="004B68EA">
        <w:rPr>
          <w:rFonts w:ascii="Century" w:hAnsi="Century" w:cs="Miriam"/>
          <w:b/>
          <w:rtl/>
        </w:rPr>
        <w:t>'</w:t>
      </w:r>
      <w:r w:rsidRPr="004B68EA">
        <w:rPr>
          <w:rFonts w:ascii="Century" w:hAnsi="Century" w:cs="FrankRuehl"/>
          <w:spacing w:val="10"/>
          <w:szCs w:val="28"/>
          <w:rtl/>
        </w:rPr>
        <w:t xml:space="preserve"> </w:t>
      </w:r>
      <w:r w:rsidRPr="004B68EA">
        <w:rPr>
          <w:rFonts w:ascii="Century" w:hAnsi="Century" w:cs="Miriam" w:hint="eastAsia"/>
          <w:b/>
          <w:rtl/>
        </w:rPr>
        <w:t>חיות</w:t>
      </w:r>
      <w:r w:rsidRPr="004B68EA">
        <w:rPr>
          <w:rFonts w:ascii="Century" w:hAnsi="Century" w:cs="FrankRuehl"/>
          <w:spacing w:val="10"/>
          <w:szCs w:val="28"/>
          <w:rtl/>
        </w:rPr>
        <w:t xml:space="preserve"> בפסק הדין הקודם. </w:t>
      </w:r>
      <w:r w:rsidRPr="004B68EA">
        <w:rPr>
          <w:rFonts w:ascii="Century" w:hAnsi="Century" w:cs="FrankRuehl" w:hint="eastAsia"/>
          <w:spacing w:val="10"/>
          <w:szCs w:val="28"/>
          <w:rtl/>
        </w:rPr>
        <w:t>עמדה</w:t>
      </w:r>
      <w:r w:rsidRPr="004B68EA">
        <w:rPr>
          <w:rFonts w:ascii="Century" w:hAnsi="Century" w:cs="FrankRuehl"/>
          <w:spacing w:val="10"/>
          <w:szCs w:val="28"/>
          <w:rtl/>
        </w:rPr>
        <w:t xml:space="preserve"> </w:t>
      </w:r>
      <w:r w:rsidRPr="004B68EA">
        <w:rPr>
          <w:rFonts w:ascii="Century" w:hAnsi="Century" w:cs="FrankRuehl" w:hint="eastAsia"/>
          <w:spacing w:val="10"/>
          <w:szCs w:val="28"/>
          <w:rtl/>
        </w:rPr>
        <w:t>זו</w:t>
      </w:r>
      <w:r w:rsidRPr="004B68EA">
        <w:rPr>
          <w:rFonts w:ascii="Century" w:hAnsi="Century" w:cs="FrankRuehl"/>
          <w:spacing w:val="10"/>
          <w:szCs w:val="28"/>
          <w:rtl/>
        </w:rPr>
        <w:t xml:space="preserve"> </w:t>
      </w:r>
      <w:r w:rsidRPr="004B68EA">
        <w:rPr>
          <w:rFonts w:ascii="Century" w:hAnsi="Century" w:cs="FrankRuehl" w:hint="eastAsia"/>
          <w:spacing w:val="10"/>
          <w:szCs w:val="28"/>
          <w:rtl/>
        </w:rPr>
        <w:t>משרטטת</w:t>
      </w:r>
      <w:r w:rsidRPr="004B68EA">
        <w:rPr>
          <w:rFonts w:ascii="Century" w:hAnsi="Century" w:cs="FrankRuehl"/>
          <w:spacing w:val="10"/>
          <w:szCs w:val="28"/>
          <w:rtl/>
        </w:rPr>
        <w:t xml:space="preserve"> </w:t>
      </w:r>
      <w:r w:rsidRPr="004B68EA">
        <w:rPr>
          <w:rFonts w:ascii="Century" w:hAnsi="Century" w:cs="FrankRuehl" w:hint="eastAsia"/>
          <w:spacing w:val="10"/>
          <w:szCs w:val="28"/>
          <w:rtl/>
        </w:rPr>
        <w:t>שלושה</w:t>
      </w:r>
      <w:r w:rsidRPr="004B68EA">
        <w:rPr>
          <w:rFonts w:ascii="Century" w:hAnsi="Century" w:cs="FrankRuehl"/>
          <w:spacing w:val="10"/>
          <w:szCs w:val="28"/>
          <w:rtl/>
        </w:rPr>
        <w:t xml:space="preserve"> </w:t>
      </w:r>
      <w:r w:rsidRPr="004B68EA">
        <w:rPr>
          <w:rFonts w:ascii="Century" w:hAnsi="Century" w:cs="FrankRuehl" w:hint="eastAsia"/>
          <w:spacing w:val="10"/>
          <w:szCs w:val="28"/>
          <w:rtl/>
        </w:rPr>
        <w:t>קווים</w:t>
      </w:r>
      <w:r w:rsidRPr="004B68EA">
        <w:rPr>
          <w:rFonts w:ascii="Century" w:hAnsi="Century" w:cs="FrankRuehl"/>
          <w:spacing w:val="10"/>
          <w:szCs w:val="28"/>
          <w:rtl/>
        </w:rPr>
        <w:t xml:space="preserve"> </w:t>
      </w:r>
      <w:r w:rsidRPr="004B68EA">
        <w:rPr>
          <w:rFonts w:ascii="Century" w:hAnsi="Century" w:cs="FrankRuehl" w:hint="eastAsia"/>
          <w:spacing w:val="10"/>
          <w:szCs w:val="28"/>
          <w:rtl/>
        </w:rPr>
        <w:t>מנחים</w:t>
      </w:r>
      <w:r w:rsidRPr="004B68EA">
        <w:rPr>
          <w:rFonts w:ascii="Century" w:hAnsi="Century" w:cs="FrankRuehl"/>
          <w:spacing w:val="10"/>
          <w:szCs w:val="28"/>
          <w:rtl/>
        </w:rPr>
        <w:t xml:space="preserve"> </w:t>
      </w:r>
      <w:r w:rsidRPr="004B68EA">
        <w:rPr>
          <w:rFonts w:ascii="Century" w:hAnsi="Century" w:cs="FrankRuehl" w:hint="eastAsia"/>
          <w:spacing w:val="10"/>
          <w:szCs w:val="28"/>
          <w:rtl/>
        </w:rPr>
        <w:t>מרכזיים</w:t>
      </w:r>
      <w:r w:rsidRPr="004B68EA">
        <w:rPr>
          <w:rFonts w:ascii="Century" w:hAnsi="Century" w:cs="FrankRuehl"/>
          <w:spacing w:val="10"/>
          <w:szCs w:val="28"/>
          <w:rtl/>
        </w:rPr>
        <w:t xml:space="preserve"> </w:t>
      </w:r>
      <w:r w:rsidRPr="004B68EA">
        <w:rPr>
          <w:rFonts w:ascii="Century" w:hAnsi="Century" w:cs="FrankRuehl" w:hint="eastAsia"/>
          <w:spacing w:val="10"/>
          <w:szCs w:val="28"/>
          <w:rtl/>
        </w:rPr>
        <w:t>המשליכים</w:t>
      </w:r>
      <w:r w:rsidRPr="004B68EA">
        <w:rPr>
          <w:rFonts w:ascii="Century" w:hAnsi="Century" w:cs="FrankRuehl"/>
          <w:spacing w:val="10"/>
          <w:szCs w:val="28"/>
          <w:rtl/>
        </w:rPr>
        <w:t xml:space="preserve"> </w:t>
      </w:r>
      <w:r w:rsidRPr="004B68EA">
        <w:rPr>
          <w:rFonts w:ascii="Century" w:hAnsi="Century" w:cs="FrankRuehl" w:hint="eastAsia"/>
          <w:spacing w:val="10"/>
          <w:szCs w:val="28"/>
          <w:rtl/>
        </w:rPr>
        <w:t>על</w:t>
      </w:r>
      <w:r w:rsidRPr="004B68EA">
        <w:rPr>
          <w:rFonts w:ascii="Century" w:hAnsi="Century" w:cs="FrankRuehl"/>
          <w:spacing w:val="10"/>
          <w:szCs w:val="28"/>
          <w:rtl/>
        </w:rPr>
        <w:t xml:space="preserve"> </w:t>
      </w:r>
      <w:r w:rsidRPr="004B68EA">
        <w:rPr>
          <w:rFonts w:ascii="Century" w:hAnsi="Century" w:cs="FrankRuehl" w:hint="eastAsia"/>
          <w:spacing w:val="10"/>
          <w:szCs w:val="28"/>
          <w:rtl/>
        </w:rPr>
        <w:t>גבולות</w:t>
      </w:r>
      <w:r w:rsidRPr="004B68EA">
        <w:rPr>
          <w:rFonts w:ascii="Century" w:hAnsi="Century" w:cs="FrankRuehl"/>
          <w:spacing w:val="10"/>
          <w:szCs w:val="28"/>
          <w:rtl/>
        </w:rPr>
        <w:t xml:space="preserve"> </w:t>
      </w:r>
      <w:r w:rsidRPr="004B68EA">
        <w:rPr>
          <w:rFonts w:ascii="Century" w:hAnsi="Century" w:cs="FrankRuehl" w:hint="eastAsia"/>
          <w:spacing w:val="10"/>
          <w:szCs w:val="28"/>
          <w:rtl/>
        </w:rPr>
        <w:t>פרשנותו</w:t>
      </w:r>
      <w:r w:rsidRPr="004B68EA">
        <w:rPr>
          <w:rFonts w:ascii="Century" w:hAnsi="Century" w:cs="FrankRuehl"/>
          <w:spacing w:val="10"/>
          <w:szCs w:val="28"/>
          <w:rtl/>
        </w:rPr>
        <w:t xml:space="preserve"> </w:t>
      </w:r>
      <w:r w:rsidRPr="004B68EA">
        <w:rPr>
          <w:rFonts w:ascii="Century" w:hAnsi="Century" w:cs="FrankRuehl" w:hint="eastAsia"/>
          <w:spacing w:val="10"/>
          <w:szCs w:val="28"/>
          <w:rtl/>
        </w:rPr>
        <w:t>של</w:t>
      </w:r>
      <w:r w:rsidRPr="004B68EA">
        <w:rPr>
          <w:rFonts w:ascii="Century" w:hAnsi="Century" w:cs="FrankRuehl"/>
          <w:spacing w:val="10"/>
          <w:szCs w:val="28"/>
          <w:rtl/>
        </w:rPr>
        <w:t xml:space="preserve"> </w:t>
      </w:r>
      <w:r w:rsidRPr="004B68EA">
        <w:rPr>
          <w:rFonts w:ascii="Century" w:hAnsi="Century" w:cs="FrankRuehl" w:hint="eastAsia"/>
          <w:spacing w:val="10"/>
          <w:szCs w:val="28"/>
          <w:rtl/>
        </w:rPr>
        <w:t>סעיף</w:t>
      </w:r>
      <w:r w:rsidRPr="004B68EA">
        <w:rPr>
          <w:rFonts w:ascii="Century" w:hAnsi="Century" w:cs="FrankRuehl"/>
          <w:spacing w:val="10"/>
          <w:szCs w:val="28"/>
          <w:rtl/>
        </w:rPr>
        <w:t xml:space="preserve"> 5 </w:t>
      </w:r>
      <w:r w:rsidRPr="004B68EA">
        <w:rPr>
          <w:rFonts w:ascii="Century" w:hAnsi="Century" w:cs="FrankRuehl" w:hint="eastAsia"/>
          <w:spacing w:val="10"/>
          <w:szCs w:val="28"/>
          <w:rtl/>
        </w:rPr>
        <w:t>לצו</w:t>
      </w:r>
      <w:r w:rsidRPr="004B68EA">
        <w:rPr>
          <w:rFonts w:ascii="Century" w:hAnsi="Century" w:cs="FrankRuehl"/>
          <w:spacing w:val="10"/>
          <w:szCs w:val="28"/>
          <w:rtl/>
        </w:rPr>
        <w:t xml:space="preserve">: </w:t>
      </w:r>
      <w:r w:rsidRPr="004B68EA">
        <w:rPr>
          <w:rFonts w:ascii="Century" w:hAnsi="Century" w:cs="FrankRuehl" w:hint="eastAsia"/>
          <w:spacing w:val="10"/>
          <w:szCs w:val="28"/>
          <w:rtl/>
        </w:rPr>
        <w:t>קיומם</w:t>
      </w:r>
      <w:r w:rsidRPr="004B68EA">
        <w:rPr>
          <w:rFonts w:ascii="Century" w:hAnsi="Century" w:cs="FrankRuehl"/>
          <w:spacing w:val="10"/>
          <w:szCs w:val="28"/>
          <w:rtl/>
        </w:rPr>
        <w:t xml:space="preserve"> </w:t>
      </w:r>
      <w:r w:rsidRPr="004B68EA">
        <w:rPr>
          <w:rFonts w:ascii="Century" w:hAnsi="Century" w:cs="FrankRuehl" w:hint="eastAsia"/>
          <w:spacing w:val="10"/>
          <w:szCs w:val="28"/>
          <w:rtl/>
        </w:rPr>
        <w:t>של</w:t>
      </w:r>
      <w:r w:rsidRPr="004B68EA">
        <w:rPr>
          <w:rFonts w:ascii="Century" w:hAnsi="Century" w:cs="FrankRuehl"/>
          <w:spacing w:val="10"/>
          <w:szCs w:val="28"/>
          <w:rtl/>
        </w:rPr>
        <w:t xml:space="preserve"> </w:t>
      </w:r>
      <w:r w:rsidRPr="004B68EA">
        <w:rPr>
          <w:rFonts w:ascii="Century" w:hAnsi="Century" w:cs="FrankRuehl" w:hint="eastAsia"/>
          <w:spacing w:val="10"/>
          <w:szCs w:val="28"/>
          <w:rtl/>
        </w:rPr>
        <w:t>מאפיינים</w:t>
      </w:r>
      <w:r w:rsidRPr="004B68EA">
        <w:rPr>
          <w:rFonts w:ascii="Century" w:hAnsi="Century" w:cs="FrankRuehl"/>
          <w:spacing w:val="10"/>
          <w:szCs w:val="28"/>
          <w:rtl/>
        </w:rPr>
        <w:t xml:space="preserve"> </w:t>
      </w:r>
      <w:r w:rsidRPr="004B68EA">
        <w:rPr>
          <w:rFonts w:ascii="Century" w:hAnsi="Century" w:cs="FrankRuehl" w:hint="eastAsia"/>
          <w:spacing w:val="10"/>
          <w:szCs w:val="28"/>
          <w:rtl/>
        </w:rPr>
        <w:t>מיוחדים</w:t>
      </w:r>
      <w:r w:rsidRPr="004B68EA">
        <w:rPr>
          <w:rFonts w:ascii="Century" w:hAnsi="Century" w:cs="FrankRuehl"/>
          <w:spacing w:val="10"/>
          <w:szCs w:val="28"/>
          <w:rtl/>
        </w:rPr>
        <w:t xml:space="preserve"> </w:t>
      </w:r>
      <w:r w:rsidRPr="004B68EA">
        <w:rPr>
          <w:rFonts w:ascii="Century" w:hAnsi="Century" w:cs="FrankRuehl" w:hint="eastAsia"/>
          <w:spacing w:val="10"/>
          <w:szCs w:val="28"/>
          <w:rtl/>
        </w:rPr>
        <w:t>המתחייבים</w:t>
      </w:r>
      <w:r w:rsidRPr="004B68EA">
        <w:rPr>
          <w:rFonts w:ascii="Century" w:hAnsi="Century" w:cs="FrankRuehl"/>
          <w:spacing w:val="10"/>
          <w:szCs w:val="28"/>
          <w:rtl/>
        </w:rPr>
        <w:t xml:space="preserve"> </w:t>
      </w:r>
      <w:r w:rsidRPr="004B68EA">
        <w:rPr>
          <w:rFonts w:ascii="Century" w:hAnsi="Century" w:cs="FrankRuehl" w:hint="eastAsia"/>
          <w:spacing w:val="10"/>
          <w:szCs w:val="28"/>
          <w:rtl/>
        </w:rPr>
        <w:t>מן</w:t>
      </w:r>
      <w:r w:rsidRPr="004B68EA">
        <w:rPr>
          <w:rFonts w:ascii="Century" w:hAnsi="Century" w:cs="FrankRuehl"/>
          <w:spacing w:val="10"/>
          <w:szCs w:val="28"/>
          <w:rtl/>
        </w:rPr>
        <w:t xml:space="preserve"> </w:t>
      </w:r>
      <w:r w:rsidRPr="004B68EA">
        <w:rPr>
          <w:rFonts w:ascii="Century" w:hAnsi="Century" w:cs="FrankRuehl" w:hint="eastAsia"/>
          <w:spacing w:val="10"/>
          <w:szCs w:val="28"/>
          <w:rtl/>
        </w:rPr>
        <w:t>העובדה</w:t>
      </w:r>
      <w:r w:rsidRPr="004B68EA">
        <w:rPr>
          <w:rFonts w:ascii="Century" w:hAnsi="Century" w:cs="FrankRuehl"/>
          <w:spacing w:val="10"/>
          <w:szCs w:val="28"/>
          <w:rtl/>
        </w:rPr>
        <w:t xml:space="preserve"> </w:t>
      </w:r>
      <w:r w:rsidRPr="004B68EA">
        <w:rPr>
          <w:rFonts w:ascii="Century" w:hAnsi="Century" w:cs="FrankRuehl" w:hint="eastAsia"/>
          <w:spacing w:val="10"/>
          <w:szCs w:val="28"/>
          <w:rtl/>
        </w:rPr>
        <w:t>שההסדר</w:t>
      </w:r>
      <w:r w:rsidRPr="004B68EA">
        <w:rPr>
          <w:rFonts w:ascii="Century" w:hAnsi="Century" w:cs="FrankRuehl"/>
          <w:spacing w:val="10"/>
          <w:szCs w:val="28"/>
          <w:rtl/>
        </w:rPr>
        <w:t xml:space="preserve"> הקבוע בסעיף 5 לצו </w:t>
      </w:r>
      <w:r w:rsidRPr="004B68EA">
        <w:rPr>
          <w:rFonts w:ascii="Century" w:hAnsi="Century" w:cs="FrankRuehl" w:hint="eastAsia"/>
          <w:spacing w:val="10"/>
          <w:szCs w:val="28"/>
          <w:rtl/>
        </w:rPr>
        <w:t>מופעל</w:t>
      </w:r>
      <w:r w:rsidRPr="004B68EA">
        <w:rPr>
          <w:rFonts w:ascii="Century" w:hAnsi="Century" w:cs="FrankRuehl"/>
          <w:spacing w:val="10"/>
          <w:szCs w:val="28"/>
          <w:rtl/>
        </w:rPr>
        <w:t xml:space="preserve"> בשטח הנתון לתפיסה לוחמתית; הנטייה הכללית לפרשנות מצמצמת של הסדרים משפטיים הקובעים תקנות שוק; וכן משנה הזהירות הנדרש</w:t>
      </w:r>
      <w:r>
        <w:rPr>
          <w:rFonts w:ascii="Century" w:hAnsi="Century" w:cs="FrankRuehl" w:hint="cs"/>
          <w:spacing w:val="10"/>
          <w:szCs w:val="28"/>
          <w:rtl/>
        </w:rPr>
        <w:t xml:space="preserve"> בענייננו</w:t>
      </w:r>
      <w:r w:rsidRPr="004B68EA">
        <w:rPr>
          <w:rFonts w:ascii="Century" w:hAnsi="Century" w:cs="FrankRuehl"/>
          <w:spacing w:val="10"/>
          <w:szCs w:val="28"/>
          <w:rtl/>
        </w:rPr>
        <w:t xml:space="preserve"> בעריכת היקשים מהסדרים אחרים הקובעים תקנות שוק (פסקאות</w:t>
      </w:r>
      <w:r>
        <w:rPr>
          <w:rFonts w:ascii="Century" w:hAnsi="Century" w:cs="FrankRuehl" w:hint="cs"/>
          <w:spacing w:val="10"/>
          <w:szCs w:val="28"/>
          <w:rtl/>
        </w:rPr>
        <w:t xml:space="preserve">       </w:t>
      </w:r>
      <w:r w:rsidRPr="004B68EA">
        <w:rPr>
          <w:rFonts w:ascii="Century" w:hAnsi="Century" w:cs="FrankRuehl"/>
          <w:spacing w:val="10"/>
          <w:szCs w:val="28"/>
          <w:rtl/>
        </w:rPr>
        <w:t xml:space="preserve"> 49-29 לפסק דינו של המשנה לנשיאה </w:t>
      </w:r>
      <w:r w:rsidRPr="004B68EA">
        <w:rPr>
          <w:rFonts w:ascii="Century" w:hAnsi="Century" w:cs="Miriam" w:hint="eastAsia"/>
          <w:b/>
          <w:rtl/>
        </w:rPr>
        <w:t>פוגלמן</w:t>
      </w:r>
      <w:r w:rsidRPr="004B68EA">
        <w:rPr>
          <w:rFonts w:ascii="Century" w:hAnsi="Century" w:cs="FrankRuehl"/>
          <w:spacing w:val="10"/>
          <w:szCs w:val="28"/>
          <w:rtl/>
        </w:rPr>
        <w:t xml:space="preserve">). בהתאם לכך, וכנקודת מוצא לדיון בענייננו, אף אני סבורה כי פרשנותו של סעיף 5 לצו צריכה להיעשות </w:t>
      </w:r>
      <w:r w:rsidRPr="004B68EA">
        <w:rPr>
          <w:rFonts w:ascii="Century" w:hAnsi="Century" w:cs="FrankRuehl" w:hint="eastAsia"/>
          <w:spacing w:val="10"/>
          <w:szCs w:val="28"/>
          <w:rtl/>
        </w:rPr>
        <w:t>ככלל</w:t>
      </w:r>
      <w:r w:rsidRPr="004B68EA">
        <w:rPr>
          <w:rFonts w:ascii="Century" w:hAnsi="Century" w:cs="FrankRuehl"/>
          <w:spacing w:val="10"/>
          <w:szCs w:val="28"/>
          <w:rtl/>
        </w:rPr>
        <w:t xml:space="preserve"> </w:t>
      </w:r>
      <w:r w:rsidRPr="004B68EA">
        <w:rPr>
          <w:rFonts w:ascii="Century" w:hAnsi="Century" w:cs="FrankRuehl" w:hint="eastAsia"/>
          <w:spacing w:val="10"/>
          <w:szCs w:val="28"/>
          <w:rtl/>
        </w:rPr>
        <w:t>מתוך</w:t>
      </w:r>
      <w:r w:rsidRPr="004B68EA">
        <w:rPr>
          <w:rFonts w:ascii="Century" w:hAnsi="Century" w:cs="FrankRuehl"/>
          <w:spacing w:val="10"/>
          <w:szCs w:val="28"/>
          <w:rtl/>
        </w:rPr>
        <w:t xml:space="preserve"> מגמה </w:t>
      </w:r>
      <w:r w:rsidRPr="004B68EA">
        <w:rPr>
          <w:rFonts w:ascii="Century" w:hAnsi="Century" w:cs="FrankRuehl" w:hint="eastAsia"/>
          <w:spacing w:val="10"/>
          <w:szCs w:val="28"/>
          <w:rtl/>
        </w:rPr>
        <w:t>זהירה</w:t>
      </w:r>
      <w:r w:rsidRPr="004B68EA">
        <w:rPr>
          <w:rFonts w:ascii="Century" w:hAnsi="Century" w:cs="FrankRuehl"/>
          <w:spacing w:val="10"/>
          <w:szCs w:val="28"/>
          <w:rtl/>
        </w:rPr>
        <w:t>.</w:t>
      </w:r>
    </w:p>
    <w:p w:rsidR="005B1A77" w:rsidRDefault="005B1A77" w:rsidP="005B1A77">
      <w:pPr>
        <w:spacing w:line="360" w:lineRule="auto"/>
        <w:jc w:val="both"/>
        <w:rPr>
          <w:rFonts w:ascii="FrankRuehl" w:hAnsi="FrankRuehl" w:cs="FrankRuehl"/>
          <w:sz w:val="28"/>
          <w:szCs w:val="28"/>
          <w:rtl/>
        </w:rPr>
      </w:pPr>
    </w:p>
    <w:p w:rsidR="005B1A77" w:rsidRPr="008B59A5" w:rsidRDefault="005B1A77" w:rsidP="005B1A77">
      <w:pPr>
        <w:spacing w:line="360" w:lineRule="auto"/>
        <w:jc w:val="both"/>
        <w:rPr>
          <w:rFonts w:ascii="Century" w:hAnsi="Century" w:cs="FrankRuehl"/>
          <w:spacing w:val="10"/>
          <w:szCs w:val="28"/>
          <w:rtl/>
        </w:rPr>
      </w:pPr>
      <w:r w:rsidRPr="004B68EA">
        <w:rPr>
          <w:rFonts w:ascii="Century" w:hAnsi="Century" w:cs="FrankRuehl" w:hint="cs"/>
          <w:spacing w:val="10"/>
          <w:szCs w:val="28"/>
          <w:rtl/>
        </w:rPr>
        <w:t>6.</w:t>
      </w:r>
      <w:r w:rsidRPr="004B68EA">
        <w:rPr>
          <w:rFonts w:ascii="Century" w:hAnsi="Century" w:cs="FrankRuehl" w:hint="cs"/>
          <w:spacing w:val="10"/>
          <w:szCs w:val="28"/>
          <w:rtl/>
        </w:rPr>
        <w:tab/>
        <w:t xml:space="preserve">בהתאמה, מצאתי להסכים בעיקרן אף לאמות המידה העקרוניות שעליהן עמד חברי </w:t>
      </w:r>
      <w:r w:rsidRPr="004B68EA">
        <w:rPr>
          <w:rFonts w:ascii="Century" w:hAnsi="Century" w:cs="FrankRuehl" w:hint="eastAsia"/>
          <w:spacing w:val="10"/>
          <w:szCs w:val="28"/>
          <w:rtl/>
        </w:rPr>
        <w:t>המשנה</w:t>
      </w:r>
      <w:r w:rsidRPr="004B68EA">
        <w:rPr>
          <w:rFonts w:ascii="Century" w:hAnsi="Century" w:cs="FrankRuehl"/>
          <w:spacing w:val="10"/>
          <w:szCs w:val="28"/>
          <w:rtl/>
        </w:rPr>
        <w:t xml:space="preserve"> לנשיאה </w:t>
      </w:r>
      <w:r w:rsidRPr="004B68EA">
        <w:rPr>
          <w:rFonts w:ascii="Century" w:hAnsi="Century" w:cs="Miriam" w:hint="cs"/>
          <w:b/>
          <w:rtl/>
        </w:rPr>
        <w:t>פוגלמן</w:t>
      </w:r>
      <w:r w:rsidRPr="004B68EA">
        <w:rPr>
          <w:rFonts w:ascii="Century" w:hAnsi="Century" w:cs="FrankRuehl"/>
          <w:spacing w:val="10"/>
          <w:szCs w:val="28"/>
          <w:rtl/>
        </w:rPr>
        <w:t xml:space="preserve"> ביחס </w:t>
      </w:r>
      <w:r w:rsidRPr="004B68EA">
        <w:rPr>
          <w:rFonts w:ascii="Century" w:hAnsi="Century" w:cs="FrankRuehl" w:hint="eastAsia"/>
          <w:spacing w:val="10"/>
          <w:szCs w:val="28"/>
          <w:rtl/>
        </w:rPr>
        <w:t>לפרשנותה</w:t>
      </w:r>
      <w:r w:rsidRPr="004B68EA">
        <w:rPr>
          <w:rFonts w:ascii="Century" w:hAnsi="Century" w:cs="FrankRuehl"/>
          <w:spacing w:val="10"/>
          <w:szCs w:val="28"/>
          <w:rtl/>
        </w:rPr>
        <w:t xml:space="preserve"> </w:t>
      </w:r>
      <w:r w:rsidRPr="004B68EA">
        <w:rPr>
          <w:rFonts w:ascii="Century" w:hAnsi="Century" w:cs="FrankRuehl" w:hint="eastAsia"/>
          <w:spacing w:val="10"/>
          <w:szCs w:val="28"/>
          <w:rtl/>
        </w:rPr>
        <w:t>של</w:t>
      </w:r>
      <w:r w:rsidRPr="004B68EA">
        <w:rPr>
          <w:rFonts w:ascii="Century" w:hAnsi="Century" w:cs="FrankRuehl"/>
          <w:spacing w:val="10"/>
          <w:szCs w:val="28"/>
          <w:rtl/>
        </w:rPr>
        <w:t xml:space="preserve"> </w:t>
      </w:r>
      <w:r w:rsidRPr="004B68EA">
        <w:rPr>
          <w:rFonts w:ascii="Century" w:hAnsi="Century" w:cs="FrankRuehl" w:hint="eastAsia"/>
          <w:spacing w:val="10"/>
          <w:szCs w:val="28"/>
          <w:rtl/>
        </w:rPr>
        <w:t>דרישת</w:t>
      </w:r>
      <w:r w:rsidRPr="004B68EA">
        <w:rPr>
          <w:rFonts w:ascii="Century" w:hAnsi="Century" w:cs="FrankRuehl"/>
          <w:spacing w:val="10"/>
          <w:szCs w:val="28"/>
          <w:rtl/>
        </w:rPr>
        <w:t xml:space="preserve"> </w:t>
      </w:r>
      <w:r w:rsidRPr="004B68EA">
        <w:rPr>
          <w:rFonts w:ascii="Century" w:hAnsi="Century" w:cs="FrankRuehl" w:hint="eastAsia"/>
          <w:spacing w:val="10"/>
          <w:szCs w:val="28"/>
          <w:rtl/>
        </w:rPr>
        <w:t>תום</w:t>
      </w:r>
      <w:r w:rsidRPr="004B68EA">
        <w:rPr>
          <w:rFonts w:ascii="Century" w:hAnsi="Century" w:cs="FrankRuehl"/>
          <w:spacing w:val="10"/>
          <w:szCs w:val="28"/>
          <w:rtl/>
        </w:rPr>
        <w:t xml:space="preserve"> </w:t>
      </w:r>
      <w:r w:rsidRPr="004B68EA">
        <w:rPr>
          <w:rFonts w:ascii="Century" w:hAnsi="Century" w:cs="FrankRuehl" w:hint="eastAsia"/>
          <w:spacing w:val="10"/>
          <w:szCs w:val="28"/>
          <w:rtl/>
        </w:rPr>
        <w:t>הלב</w:t>
      </w:r>
      <w:r w:rsidRPr="004B68EA">
        <w:rPr>
          <w:rFonts w:ascii="Century" w:hAnsi="Century" w:cs="FrankRuehl"/>
          <w:spacing w:val="10"/>
          <w:szCs w:val="28"/>
          <w:rtl/>
        </w:rPr>
        <w:t xml:space="preserve"> </w:t>
      </w:r>
      <w:r w:rsidRPr="004B68EA">
        <w:rPr>
          <w:rFonts w:ascii="Century" w:hAnsi="Century" w:cs="FrankRuehl" w:hint="eastAsia"/>
          <w:spacing w:val="10"/>
          <w:szCs w:val="28"/>
          <w:rtl/>
        </w:rPr>
        <w:t>הקבועה</w:t>
      </w:r>
      <w:r w:rsidRPr="004B68EA">
        <w:rPr>
          <w:rFonts w:ascii="Century" w:hAnsi="Century" w:cs="FrankRuehl"/>
          <w:spacing w:val="10"/>
          <w:szCs w:val="28"/>
          <w:rtl/>
        </w:rPr>
        <w:t xml:space="preserve"> </w:t>
      </w:r>
      <w:r w:rsidRPr="004B68EA">
        <w:rPr>
          <w:rFonts w:ascii="Century" w:hAnsi="Century" w:cs="FrankRuehl" w:hint="eastAsia"/>
          <w:spacing w:val="10"/>
          <w:szCs w:val="28"/>
          <w:rtl/>
        </w:rPr>
        <w:t>בסעיף</w:t>
      </w:r>
      <w:r w:rsidRPr="004B68EA">
        <w:rPr>
          <w:rFonts w:ascii="Century" w:hAnsi="Century" w:cs="FrankRuehl"/>
          <w:spacing w:val="10"/>
          <w:szCs w:val="28"/>
          <w:rtl/>
        </w:rPr>
        <w:t xml:space="preserve"> 5 לצו. בדומה לגישתו, וכ</w:t>
      </w:r>
      <w:r w:rsidRPr="004B68EA">
        <w:rPr>
          <w:rFonts w:ascii="Century" w:hAnsi="Century" w:cs="FrankRuehl" w:hint="cs"/>
          <w:spacing w:val="10"/>
          <w:szCs w:val="28"/>
          <w:rtl/>
        </w:rPr>
        <w:t>כ</w:t>
      </w:r>
      <w:r w:rsidRPr="004B68EA">
        <w:rPr>
          <w:rFonts w:ascii="Century" w:hAnsi="Century" w:cs="FrankRuehl"/>
          <w:spacing w:val="10"/>
          <w:szCs w:val="28"/>
          <w:rtl/>
        </w:rPr>
        <w:t xml:space="preserve">ל שהדברים אמורים </w:t>
      </w:r>
      <w:r w:rsidRPr="004B68EA">
        <w:rPr>
          <w:rFonts w:ascii="Century" w:hAnsi="Century" w:cs="FrankRuehl" w:hint="cs"/>
          <w:spacing w:val="10"/>
          <w:szCs w:val="28"/>
          <w:rtl/>
        </w:rPr>
        <w:t>ביחס ל</w:t>
      </w:r>
      <w:r w:rsidRPr="004B68EA">
        <w:rPr>
          <w:rFonts w:ascii="Century" w:hAnsi="Century" w:cs="FrankRuehl" w:hint="eastAsia"/>
          <w:spacing w:val="10"/>
          <w:szCs w:val="28"/>
          <w:rtl/>
        </w:rPr>
        <w:t>ממונה</w:t>
      </w:r>
      <w:r w:rsidRPr="004B68EA">
        <w:rPr>
          <w:rFonts w:ascii="Century" w:hAnsi="Century" w:cs="FrankRuehl"/>
          <w:spacing w:val="10"/>
          <w:szCs w:val="28"/>
          <w:rtl/>
        </w:rPr>
        <w:t xml:space="preserve"> </w:t>
      </w:r>
      <w:r w:rsidRPr="004B68EA">
        <w:rPr>
          <w:rFonts w:ascii="Century" w:hAnsi="Century" w:cs="FrankRuehl" w:hint="eastAsia"/>
          <w:spacing w:val="10"/>
          <w:szCs w:val="28"/>
          <w:rtl/>
        </w:rPr>
        <w:t>על</w:t>
      </w:r>
      <w:r w:rsidRPr="004B68EA">
        <w:rPr>
          <w:rFonts w:ascii="Century" w:hAnsi="Century" w:cs="FrankRuehl"/>
          <w:spacing w:val="10"/>
          <w:szCs w:val="28"/>
          <w:rtl/>
        </w:rPr>
        <w:t xml:space="preserve"> </w:t>
      </w:r>
      <w:r w:rsidRPr="004B68EA">
        <w:rPr>
          <w:rFonts w:ascii="Century" w:hAnsi="Century" w:cs="FrankRuehl" w:hint="eastAsia"/>
          <w:spacing w:val="10"/>
          <w:szCs w:val="28"/>
          <w:rtl/>
        </w:rPr>
        <w:t>הרכוש</w:t>
      </w:r>
      <w:r w:rsidRPr="004B68EA">
        <w:rPr>
          <w:rFonts w:ascii="Century" w:hAnsi="Century" w:cs="FrankRuehl"/>
          <w:spacing w:val="10"/>
          <w:szCs w:val="28"/>
          <w:rtl/>
        </w:rPr>
        <w:t xml:space="preserve"> </w:t>
      </w:r>
      <w:r w:rsidRPr="004B68EA">
        <w:rPr>
          <w:rFonts w:ascii="Century" w:hAnsi="Century" w:cs="FrankRuehl" w:hint="eastAsia"/>
          <w:spacing w:val="10"/>
          <w:szCs w:val="28"/>
          <w:rtl/>
        </w:rPr>
        <w:t>הממשלתי</w:t>
      </w:r>
      <w:r w:rsidRPr="004B68EA">
        <w:rPr>
          <w:rFonts w:ascii="Century" w:hAnsi="Century" w:cs="FrankRuehl"/>
          <w:spacing w:val="10"/>
          <w:szCs w:val="28"/>
          <w:rtl/>
        </w:rPr>
        <w:t xml:space="preserve">, </w:t>
      </w:r>
      <w:r w:rsidRPr="004B68EA">
        <w:rPr>
          <w:rFonts w:ascii="Century" w:hAnsi="Century" w:cs="FrankRuehl" w:hint="eastAsia"/>
          <w:spacing w:val="10"/>
          <w:szCs w:val="28"/>
          <w:rtl/>
        </w:rPr>
        <w:t>אף</w:t>
      </w:r>
      <w:r w:rsidRPr="004B68EA">
        <w:rPr>
          <w:rFonts w:ascii="Century" w:hAnsi="Century" w:cs="FrankRuehl"/>
          <w:spacing w:val="10"/>
          <w:szCs w:val="28"/>
          <w:rtl/>
        </w:rPr>
        <w:t xml:space="preserve"> </w:t>
      </w:r>
      <w:r w:rsidRPr="004B68EA">
        <w:rPr>
          <w:rFonts w:ascii="Century" w:hAnsi="Century" w:cs="FrankRuehl" w:hint="eastAsia"/>
          <w:spacing w:val="10"/>
          <w:szCs w:val="28"/>
          <w:rtl/>
        </w:rPr>
        <w:t>אני</w:t>
      </w:r>
      <w:r w:rsidRPr="004B68EA">
        <w:rPr>
          <w:rFonts w:ascii="Century" w:hAnsi="Century" w:cs="FrankRuehl"/>
          <w:spacing w:val="10"/>
          <w:szCs w:val="28"/>
          <w:rtl/>
        </w:rPr>
        <w:t xml:space="preserve"> </w:t>
      </w:r>
      <w:r w:rsidRPr="004B68EA">
        <w:rPr>
          <w:rFonts w:ascii="Century" w:hAnsi="Century" w:cs="FrankRuehl" w:hint="eastAsia"/>
          <w:spacing w:val="10"/>
          <w:szCs w:val="28"/>
          <w:rtl/>
        </w:rPr>
        <w:t>סבורה</w:t>
      </w:r>
      <w:r w:rsidRPr="004B68EA">
        <w:rPr>
          <w:rFonts w:ascii="Century" w:hAnsi="Century" w:cs="FrankRuehl"/>
          <w:spacing w:val="10"/>
          <w:szCs w:val="28"/>
          <w:rtl/>
        </w:rPr>
        <w:t xml:space="preserve"> </w:t>
      </w:r>
      <w:r w:rsidRPr="004B68EA">
        <w:rPr>
          <w:rFonts w:ascii="Century" w:hAnsi="Century" w:cs="FrankRuehl" w:hint="eastAsia"/>
          <w:spacing w:val="10"/>
          <w:szCs w:val="28"/>
          <w:rtl/>
        </w:rPr>
        <w:t>כי</w:t>
      </w:r>
      <w:r w:rsidRPr="004B68EA">
        <w:rPr>
          <w:rFonts w:ascii="Century" w:hAnsi="Century" w:cs="FrankRuehl"/>
          <w:spacing w:val="10"/>
          <w:szCs w:val="28"/>
          <w:rtl/>
        </w:rPr>
        <w:t xml:space="preserve"> </w:t>
      </w:r>
      <w:r w:rsidRPr="004B68EA">
        <w:rPr>
          <w:rFonts w:ascii="Century" w:hAnsi="Century" w:cs="FrankRuehl" w:hint="cs"/>
          <w:spacing w:val="10"/>
          <w:szCs w:val="28"/>
          <w:rtl/>
        </w:rPr>
        <w:t>ההסדר</w:t>
      </w:r>
      <w:r w:rsidRPr="004B68EA">
        <w:rPr>
          <w:rFonts w:ascii="Century" w:hAnsi="Century" w:cs="FrankRuehl"/>
          <w:spacing w:val="10"/>
          <w:szCs w:val="28"/>
          <w:rtl/>
        </w:rPr>
        <w:t xml:space="preserve"> </w:t>
      </w:r>
      <w:r w:rsidRPr="004B68EA">
        <w:rPr>
          <w:rFonts w:ascii="Century" w:hAnsi="Century" w:cs="FrankRuehl" w:hint="cs"/>
          <w:spacing w:val="10"/>
          <w:szCs w:val="28"/>
          <w:rtl/>
        </w:rPr>
        <w:t>הנדון</w:t>
      </w:r>
      <w:r w:rsidRPr="004B68EA">
        <w:rPr>
          <w:rFonts w:ascii="Century" w:hAnsi="Century" w:cs="FrankRuehl"/>
          <w:spacing w:val="10"/>
          <w:szCs w:val="28"/>
          <w:rtl/>
        </w:rPr>
        <w:t xml:space="preserve"> </w:t>
      </w:r>
      <w:r w:rsidRPr="004B68EA">
        <w:rPr>
          <w:rFonts w:ascii="Century" w:hAnsi="Century" w:cs="FrankRuehl" w:hint="eastAsia"/>
          <w:spacing w:val="10"/>
          <w:szCs w:val="28"/>
          <w:rtl/>
        </w:rPr>
        <w:t>מחייב</w:t>
      </w:r>
      <w:r w:rsidRPr="004B68EA">
        <w:rPr>
          <w:rFonts w:ascii="Century" w:hAnsi="Century" w:cs="FrankRuehl"/>
          <w:spacing w:val="10"/>
          <w:szCs w:val="28"/>
          <w:rtl/>
        </w:rPr>
        <w:t xml:space="preserve"> </w:t>
      </w:r>
      <w:r w:rsidRPr="004B68EA">
        <w:rPr>
          <w:rFonts w:ascii="Century" w:hAnsi="Century" w:cs="FrankRuehl" w:hint="cs"/>
          <w:spacing w:val="10"/>
          <w:szCs w:val="28"/>
          <w:rtl/>
        </w:rPr>
        <w:t xml:space="preserve">עמידה </w:t>
      </w:r>
      <w:r w:rsidRPr="004B68EA">
        <w:rPr>
          <w:rFonts w:ascii="Century" w:hAnsi="Century" w:cs="FrankRuehl"/>
          <w:spacing w:val="10"/>
          <w:szCs w:val="28"/>
          <w:rtl/>
        </w:rPr>
        <w:t>על דרישת תום לב סובייקטיבית "ברף גבוה"</w:t>
      </w:r>
      <w:r w:rsidRPr="004B68EA">
        <w:rPr>
          <w:rFonts w:ascii="Century" w:hAnsi="Century" w:cs="FrankRuehl" w:hint="cs"/>
          <w:spacing w:val="10"/>
          <w:szCs w:val="28"/>
          <w:rtl/>
        </w:rPr>
        <w:t xml:space="preserve">, </w:t>
      </w:r>
      <w:r w:rsidRPr="004B68EA">
        <w:rPr>
          <w:rFonts w:ascii="Century" w:hAnsi="Century" w:cs="FrankRuehl" w:hint="cs"/>
          <w:spacing w:val="10"/>
          <w:szCs w:val="28"/>
          <w:rtl/>
        </w:rPr>
        <w:lastRenderedPageBreak/>
        <w:t>אם כי, כפי שצוין, כזו שאינה מטילה על הממונה "חובת זהירות" הנבחנת לפי סטנדרט אובייקטיבי טהור</w:t>
      </w:r>
      <w:r w:rsidRPr="004B68EA">
        <w:rPr>
          <w:rFonts w:ascii="Century" w:hAnsi="Century" w:cs="FrankRuehl"/>
          <w:spacing w:val="10"/>
          <w:szCs w:val="28"/>
          <w:rtl/>
        </w:rPr>
        <w:t xml:space="preserve">. </w:t>
      </w:r>
      <w:r w:rsidRPr="004B68EA">
        <w:rPr>
          <w:rFonts w:ascii="Century" w:hAnsi="Century" w:cs="FrankRuehl" w:hint="eastAsia"/>
          <w:spacing w:val="10"/>
          <w:szCs w:val="28"/>
          <w:rtl/>
        </w:rPr>
        <w:t>זאת</w:t>
      </w:r>
      <w:r w:rsidRPr="004B68EA">
        <w:rPr>
          <w:rFonts w:ascii="Century" w:hAnsi="Century" w:cs="FrankRuehl"/>
          <w:spacing w:val="10"/>
          <w:szCs w:val="28"/>
          <w:rtl/>
        </w:rPr>
        <w:t xml:space="preserve">, </w:t>
      </w:r>
      <w:r w:rsidRPr="004B68EA">
        <w:rPr>
          <w:rFonts w:ascii="Century" w:hAnsi="Century" w:cs="FrankRuehl" w:hint="eastAsia"/>
          <w:spacing w:val="10"/>
          <w:szCs w:val="28"/>
          <w:rtl/>
        </w:rPr>
        <w:t>בעיקרו</w:t>
      </w:r>
      <w:r w:rsidRPr="004B68EA">
        <w:rPr>
          <w:rFonts w:ascii="Century" w:hAnsi="Century" w:cs="FrankRuehl"/>
          <w:spacing w:val="10"/>
          <w:szCs w:val="28"/>
          <w:rtl/>
        </w:rPr>
        <w:t xml:space="preserve"> </w:t>
      </w:r>
      <w:r w:rsidRPr="004B68EA">
        <w:rPr>
          <w:rFonts w:ascii="Century" w:hAnsi="Century" w:cs="FrankRuehl" w:hint="eastAsia"/>
          <w:spacing w:val="10"/>
          <w:szCs w:val="28"/>
          <w:rtl/>
        </w:rPr>
        <w:t>של</w:t>
      </w:r>
      <w:r w:rsidRPr="004B68EA">
        <w:rPr>
          <w:rFonts w:ascii="Century" w:hAnsi="Century" w:cs="FrankRuehl"/>
          <w:spacing w:val="10"/>
          <w:szCs w:val="28"/>
          <w:rtl/>
        </w:rPr>
        <w:t xml:space="preserve"> </w:t>
      </w:r>
      <w:r w:rsidRPr="004B68EA">
        <w:rPr>
          <w:rFonts w:ascii="Century" w:hAnsi="Century" w:cs="FrankRuehl" w:hint="eastAsia"/>
          <w:spacing w:val="10"/>
          <w:szCs w:val="28"/>
          <w:rtl/>
        </w:rPr>
        <w:t>דבר</w:t>
      </w:r>
      <w:r w:rsidRPr="004B68EA">
        <w:rPr>
          <w:rFonts w:ascii="Century" w:hAnsi="Century" w:cs="FrankRuehl"/>
          <w:spacing w:val="10"/>
          <w:szCs w:val="28"/>
          <w:rtl/>
        </w:rPr>
        <w:t xml:space="preserve">, </w:t>
      </w:r>
      <w:r w:rsidRPr="004B68EA">
        <w:rPr>
          <w:rFonts w:ascii="Century" w:hAnsi="Century" w:cs="FrankRuehl" w:hint="eastAsia"/>
          <w:spacing w:val="10"/>
          <w:szCs w:val="28"/>
          <w:rtl/>
        </w:rPr>
        <w:t>וכפי</w:t>
      </w:r>
      <w:r w:rsidRPr="004B68EA">
        <w:rPr>
          <w:rFonts w:ascii="Century" w:hAnsi="Century" w:cs="FrankRuehl"/>
          <w:spacing w:val="10"/>
          <w:szCs w:val="28"/>
          <w:rtl/>
        </w:rPr>
        <w:t xml:space="preserve"> </w:t>
      </w:r>
      <w:r w:rsidRPr="004B68EA">
        <w:rPr>
          <w:rFonts w:ascii="Century" w:hAnsi="Century" w:cs="FrankRuehl" w:hint="eastAsia"/>
          <w:spacing w:val="10"/>
          <w:szCs w:val="28"/>
          <w:rtl/>
        </w:rPr>
        <w:t>שציינה</w:t>
      </w:r>
      <w:r w:rsidRPr="004B68EA">
        <w:rPr>
          <w:rFonts w:ascii="Century" w:hAnsi="Century" w:cs="FrankRuehl"/>
          <w:spacing w:val="10"/>
          <w:szCs w:val="28"/>
          <w:rtl/>
        </w:rPr>
        <w:t xml:space="preserve"> </w:t>
      </w:r>
      <w:r w:rsidRPr="004B68EA">
        <w:rPr>
          <w:rFonts w:ascii="Century" w:hAnsi="Century" w:cs="FrankRuehl" w:hint="eastAsia"/>
          <w:spacing w:val="10"/>
          <w:szCs w:val="28"/>
          <w:rtl/>
        </w:rPr>
        <w:t>גם</w:t>
      </w:r>
      <w:r w:rsidRPr="004B68EA">
        <w:rPr>
          <w:rFonts w:ascii="Century" w:hAnsi="Century" w:cs="FrankRuehl"/>
          <w:spacing w:val="10"/>
          <w:szCs w:val="28"/>
          <w:rtl/>
        </w:rPr>
        <w:t xml:space="preserve"> </w:t>
      </w:r>
      <w:r w:rsidRPr="004B68EA">
        <w:rPr>
          <w:rFonts w:ascii="Century" w:hAnsi="Century" w:cs="FrankRuehl" w:hint="cs"/>
          <w:spacing w:val="10"/>
          <w:szCs w:val="28"/>
          <w:rtl/>
        </w:rPr>
        <w:t xml:space="preserve">חברתי </w:t>
      </w:r>
      <w:r w:rsidRPr="004B68EA">
        <w:rPr>
          <w:rFonts w:ascii="Century" w:hAnsi="Century" w:cs="FrankRuehl" w:hint="eastAsia"/>
          <w:spacing w:val="10"/>
          <w:szCs w:val="28"/>
          <w:rtl/>
        </w:rPr>
        <w:t>הנשיאה</w:t>
      </w:r>
      <w:r w:rsidRPr="004B68EA">
        <w:rPr>
          <w:rFonts w:ascii="Century" w:hAnsi="Century" w:cs="FrankRuehl"/>
          <w:spacing w:val="10"/>
          <w:szCs w:val="28"/>
          <w:rtl/>
        </w:rPr>
        <w:t xml:space="preserve"> </w:t>
      </w:r>
      <w:r w:rsidRPr="004B68EA">
        <w:rPr>
          <w:rFonts w:ascii="Century" w:hAnsi="Century" w:cs="Miriam" w:hint="cs"/>
          <w:b/>
          <w:rtl/>
        </w:rPr>
        <w:t>חיות</w:t>
      </w:r>
      <w:r w:rsidRPr="004B68EA">
        <w:rPr>
          <w:rFonts w:ascii="Century" w:hAnsi="Century" w:cs="FrankRuehl"/>
          <w:spacing w:val="10"/>
          <w:szCs w:val="28"/>
          <w:rtl/>
        </w:rPr>
        <w:t xml:space="preserve"> </w:t>
      </w:r>
      <w:r w:rsidRPr="004B68EA">
        <w:rPr>
          <w:rFonts w:ascii="Century" w:hAnsi="Century" w:cs="FrankRuehl" w:hint="eastAsia"/>
          <w:spacing w:val="10"/>
          <w:szCs w:val="28"/>
          <w:rtl/>
        </w:rPr>
        <w:t>בדעת</w:t>
      </w:r>
      <w:r w:rsidRPr="004B68EA">
        <w:rPr>
          <w:rFonts w:ascii="Century" w:hAnsi="Century" w:cs="FrankRuehl"/>
          <w:spacing w:val="10"/>
          <w:szCs w:val="28"/>
          <w:rtl/>
        </w:rPr>
        <w:t xml:space="preserve"> </w:t>
      </w:r>
      <w:r w:rsidRPr="004B68EA">
        <w:rPr>
          <w:rFonts w:ascii="Century" w:hAnsi="Century" w:cs="FrankRuehl" w:hint="eastAsia"/>
          <w:spacing w:val="10"/>
          <w:szCs w:val="28"/>
          <w:rtl/>
        </w:rPr>
        <w:t>הרוב</w:t>
      </w:r>
      <w:r w:rsidRPr="004B68EA">
        <w:rPr>
          <w:rFonts w:ascii="Century" w:hAnsi="Century" w:cs="FrankRuehl"/>
          <w:spacing w:val="10"/>
          <w:szCs w:val="28"/>
          <w:rtl/>
        </w:rPr>
        <w:t xml:space="preserve"> </w:t>
      </w:r>
      <w:r w:rsidRPr="004B68EA">
        <w:rPr>
          <w:rFonts w:ascii="Century" w:hAnsi="Century" w:cs="FrankRuehl" w:hint="eastAsia"/>
          <w:spacing w:val="10"/>
          <w:szCs w:val="28"/>
          <w:rtl/>
        </w:rPr>
        <w:t>בפסק</w:t>
      </w:r>
      <w:r w:rsidRPr="004B68EA">
        <w:rPr>
          <w:rFonts w:ascii="Century" w:hAnsi="Century" w:cs="FrankRuehl"/>
          <w:spacing w:val="10"/>
          <w:szCs w:val="28"/>
          <w:rtl/>
        </w:rPr>
        <w:t xml:space="preserve"> </w:t>
      </w:r>
      <w:r w:rsidRPr="004B68EA">
        <w:rPr>
          <w:rFonts w:ascii="Century" w:hAnsi="Century" w:cs="FrankRuehl" w:hint="eastAsia"/>
          <w:spacing w:val="10"/>
          <w:szCs w:val="28"/>
          <w:rtl/>
        </w:rPr>
        <w:t>הדין</w:t>
      </w:r>
      <w:r w:rsidRPr="004B68EA">
        <w:rPr>
          <w:rFonts w:ascii="Century" w:hAnsi="Century" w:cs="FrankRuehl"/>
          <w:spacing w:val="10"/>
          <w:szCs w:val="28"/>
          <w:rtl/>
        </w:rPr>
        <w:t xml:space="preserve"> הקודם, בהתחשב </w:t>
      </w:r>
      <w:r w:rsidRPr="004B68EA">
        <w:rPr>
          <w:rFonts w:ascii="Century" w:hAnsi="Century" w:cs="FrankRuehl" w:hint="cs"/>
          <w:spacing w:val="10"/>
          <w:szCs w:val="28"/>
          <w:rtl/>
        </w:rPr>
        <w:t xml:space="preserve">במאפייניו החריגים של ההסדר הקבוע בסעיף 5 לצו ובפרט </w:t>
      </w:r>
      <w:r w:rsidRPr="004B68EA">
        <w:rPr>
          <w:rFonts w:ascii="Century" w:hAnsi="Century" w:cs="FrankRuehl" w:hint="eastAsia"/>
          <w:spacing w:val="10"/>
          <w:szCs w:val="28"/>
          <w:rtl/>
        </w:rPr>
        <w:t>בחובות</w:t>
      </w:r>
      <w:r w:rsidRPr="004B68EA">
        <w:rPr>
          <w:rFonts w:ascii="Century" w:hAnsi="Century" w:cs="FrankRuehl"/>
          <w:spacing w:val="10"/>
          <w:szCs w:val="28"/>
          <w:rtl/>
        </w:rPr>
        <w:t xml:space="preserve"> </w:t>
      </w:r>
      <w:r w:rsidRPr="004B68EA">
        <w:rPr>
          <w:rFonts w:ascii="Century" w:hAnsi="Century" w:cs="FrankRuehl" w:hint="eastAsia"/>
          <w:spacing w:val="10"/>
          <w:szCs w:val="28"/>
          <w:rtl/>
        </w:rPr>
        <w:t>המיוחדות</w:t>
      </w:r>
      <w:r w:rsidRPr="004B68EA">
        <w:rPr>
          <w:rFonts w:ascii="Century" w:hAnsi="Century" w:cs="FrankRuehl"/>
          <w:spacing w:val="10"/>
          <w:szCs w:val="28"/>
          <w:rtl/>
        </w:rPr>
        <w:t xml:space="preserve"> </w:t>
      </w:r>
      <w:r w:rsidRPr="004B68EA">
        <w:rPr>
          <w:rFonts w:ascii="Century" w:hAnsi="Century" w:cs="FrankRuehl" w:hint="eastAsia"/>
          <w:spacing w:val="10"/>
          <w:szCs w:val="28"/>
          <w:rtl/>
        </w:rPr>
        <w:t>החלות</w:t>
      </w:r>
      <w:r w:rsidRPr="004B68EA">
        <w:rPr>
          <w:rFonts w:ascii="Century" w:hAnsi="Century" w:cs="FrankRuehl"/>
          <w:spacing w:val="10"/>
          <w:szCs w:val="28"/>
          <w:rtl/>
        </w:rPr>
        <w:t xml:space="preserve"> </w:t>
      </w:r>
      <w:r w:rsidRPr="004B68EA">
        <w:rPr>
          <w:rFonts w:ascii="Century" w:hAnsi="Century" w:cs="FrankRuehl" w:hint="eastAsia"/>
          <w:spacing w:val="10"/>
          <w:szCs w:val="28"/>
          <w:rtl/>
        </w:rPr>
        <w:t>על</w:t>
      </w:r>
      <w:r w:rsidRPr="004B68EA">
        <w:rPr>
          <w:rFonts w:ascii="Century" w:hAnsi="Century" w:cs="FrankRuehl"/>
          <w:spacing w:val="10"/>
          <w:szCs w:val="28"/>
          <w:rtl/>
        </w:rPr>
        <w:t xml:space="preserve"> </w:t>
      </w:r>
      <w:r w:rsidRPr="004B68EA">
        <w:rPr>
          <w:rFonts w:ascii="Century" w:hAnsi="Century" w:cs="FrankRuehl" w:hint="eastAsia"/>
          <w:spacing w:val="10"/>
          <w:szCs w:val="28"/>
          <w:rtl/>
        </w:rPr>
        <w:t>המפקד</w:t>
      </w:r>
      <w:r w:rsidRPr="004B68EA">
        <w:rPr>
          <w:rFonts w:ascii="Century" w:hAnsi="Century" w:cs="FrankRuehl"/>
          <w:spacing w:val="10"/>
          <w:szCs w:val="28"/>
          <w:rtl/>
        </w:rPr>
        <w:t xml:space="preserve"> </w:t>
      </w:r>
      <w:r w:rsidRPr="004B68EA">
        <w:rPr>
          <w:rFonts w:ascii="Century" w:hAnsi="Century" w:cs="FrankRuehl" w:hint="eastAsia"/>
          <w:spacing w:val="10"/>
          <w:szCs w:val="28"/>
          <w:rtl/>
        </w:rPr>
        <w:t>הצבאי</w:t>
      </w:r>
      <w:r w:rsidRPr="004B68EA">
        <w:rPr>
          <w:rFonts w:ascii="Century" w:hAnsi="Century" w:cs="FrankRuehl"/>
          <w:spacing w:val="10"/>
          <w:szCs w:val="28"/>
          <w:rtl/>
        </w:rPr>
        <w:t xml:space="preserve"> </w:t>
      </w:r>
      <w:r w:rsidRPr="004B68EA">
        <w:rPr>
          <w:rFonts w:ascii="Century" w:hAnsi="Century" w:cs="FrankRuehl" w:hint="eastAsia"/>
          <w:spacing w:val="10"/>
          <w:szCs w:val="28"/>
          <w:rtl/>
        </w:rPr>
        <w:t>באזור</w:t>
      </w:r>
      <w:r w:rsidRPr="004B68EA">
        <w:rPr>
          <w:rFonts w:ascii="Century" w:hAnsi="Century" w:cs="FrankRuehl"/>
          <w:spacing w:val="10"/>
          <w:szCs w:val="28"/>
          <w:rtl/>
        </w:rPr>
        <w:t xml:space="preserve"> </w:t>
      </w:r>
      <w:r w:rsidRPr="004B68EA">
        <w:rPr>
          <w:rFonts w:ascii="Century" w:hAnsi="Century" w:cs="FrankRuehl" w:hint="eastAsia"/>
          <w:spacing w:val="10"/>
          <w:szCs w:val="28"/>
          <w:rtl/>
        </w:rPr>
        <w:t>ועל</w:t>
      </w:r>
      <w:r w:rsidRPr="004B68EA">
        <w:rPr>
          <w:rFonts w:ascii="Century" w:hAnsi="Century" w:cs="FrankRuehl"/>
          <w:spacing w:val="10"/>
          <w:szCs w:val="28"/>
          <w:rtl/>
        </w:rPr>
        <w:t xml:space="preserve"> </w:t>
      </w:r>
      <w:r w:rsidRPr="004B68EA">
        <w:rPr>
          <w:rFonts w:ascii="Century" w:hAnsi="Century" w:cs="FrankRuehl" w:hint="eastAsia"/>
          <w:spacing w:val="10"/>
          <w:szCs w:val="28"/>
          <w:rtl/>
        </w:rPr>
        <w:t>הממונה</w:t>
      </w:r>
      <w:r w:rsidRPr="004B68EA">
        <w:rPr>
          <w:rFonts w:ascii="Century" w:hAnsi="Century" w:cs="FrankRuehl" w:hint="cs"/>
          <w:spacing w:val="10"/>
          <w:szCs w:val="28"/>
          <w:rtl/>
        </w:rPr>
        <w:t xml:space="preserve"> מכוח כללי </w:t>
      </w:r>
      <w:r w:rsidRPr="008B59A5">
        <w:rPr>
          <w:rFonts w:ascii="Century" w:hAnsi="Century" w:cs="FrankRuehl" w:hint="cs"/>
          <w:spacing w:val="10"/>
          <w:szCs w:val="28"/>
          <w:rtl/>
        </w:rPr>
        <w:t xml:space="preserve">המשפט הבינלאומי. </w:t>
      </w:r>
    </w:p>
    <w:p w:rsidR="005B1A77" w:rsidRPr="008B59A5" w:rsidRDefault="005B1A77" w:rsidP="005B1A77">
      <w:pPr>
        <w:spacing w:line="360" w:lineRule="auto"/>
        <w:jc w:val="both"/>
        <w:rPr>
          <w:rFonts w:ascii="Century" w:hAnsi="Century" w:cs="FrankRuehl"/>
          <w:spacing w:val="10"/>
          <w:szCs w:val="28"/>
          <w:rtl/>
        </w:rPr>
      </w:pPr>
    </w:p>
    <w:p w:rsidR="005B1A77" w:rsidRPr="008B59A5" w:rsidRDefault="005B1A77" w:rsidP="00EE5DC3">
      <w:pPr>
        <w:spacing w:line="360" w:lineRule="auto"/>
        <w:jc w:val="both"/>
        <w:rPr>
          <w:rFonts w:ascii="Century" w:hAnsi="Century" w:cs="FrankRuehl"/>
          <w:spacing w:val="10"/>
          <w:szCs w:val="28"/>
          <w:rtl/>
        </w:rPr>
      </w:pPr>
      <w:r w:rsidRPr="008B59A5">
        <w:rPr>
          <w:rFonts w:ascii="Century" w:hAnsi="Century" w:cs="FrankRuehl" w:hint="cs"/>
          <w:spacing w:val="10"/>
          <w:szCs w:val="28"/>
          <w:rtl/>
        </w:rPr>
        <w:t>7.</w:t>
      </w:r>
      <w:r w:rsidRPr="008B59A5">
        <w:rPr>
          <w:rFonts w:ascii="Century" w:hAnsi="Century" w:cs="FrankRuehl" w:hint="cs"/>
          <w:spacing w:val="10"/>
          <w:szCs w:val="28"/>
          <w:rtl/>
        </w:rPr>
        <w:tab/>
        <w:t xml:space="preserve">במובן זה, אין בידי לקבל את גישתו העקרונית של חברי המשנה לנשיאה (בדימ') </w:t>
      </w:r>
      <w:r w:rsidRPr="008B59A5">
        <w:rPr>
          <w:rFonts w:ascii="Century" w:hAnsi="Century" w:cs="Miriam" w:hint="eastAsia"/>
          <w:b/>
          <w:rtl/>
        </w:rPr>
        <w:t>נ</w:t>
      </w:r>
      <w:r w:rsidRPr="008B59A5">
        <w:rPr>
          <w:rFonts w:ascii="Century" w:hAnsi="Century" w:cs="Miriam" w:hint="cs"/>
          <w:b/>
          <w:rtl/>
        </w:rPr>
        <w:t xml:space="preserve">' </w:t>
      </w:r>
      <w:r w:rsidRPr="008B59A5">
        <w:rPr>
          <w:rFonts w:ascii="Century" w:hAnsi="Century" w:cs="Miriam" w:hint="eastAsia"/>
          <w:b/>
          <w:rtl/>
        </w:rPr>
        <w:t>הנדל</w:t>
      </w:r>
      <w:r w:rsidRPr="008B59A5">
        <w:rPr>
          <w:rFonts w:ascii="Century" w:hAnsi="Century" w:cs="FrankRuehl"/>
          <w:spacing w:val="10"/>
          <w:szCs w:val="28"/>
          <w:rtl/>
        </w:rPr>
        <w:t>,</w:t>
      </w:r>
      <w:r w:rsidRPr="008B59A5">
        <w:rPr>
          <w:rFonts w:ascii="Century" w:hAnsi="Century" w:cs="FrankRuehl" w:hint="cs"/>
          <w:spacing w:val="10"/>
          <w:szCs w:val="28"/>
          <w:rtl/>
        </w:rPr>
        <w:t xml:space="preserve"> המבקש לנתק בין סטנדרט הבחינה "האזרחי" המוטל על הממונה בגדרי סעיף 5 לצו, לבין החובות המוטלות עליו מכוח המשפט המינהלי והמשפט הבינלאומי</w:t>
      </w:r>
      <w:r>
        <w:rPr>
          <w:rFonts w:ascii="Century" w:hAnsi="Century" w:cs="FrankRuehl" w:hint="cs"/>
          <w:spacing w:val="10"/>
          <w:szCs w:val="28"/>
          <w:rtl/>
        </w:rPr>
        <w:t xml:space="preserve"> (פסקה 2 לפסק דינו בדיון הנוסף)</w:t>
      </w:r>
      <w:r w:rsidRPr="008B59A5">
        <w:rPr>
          <w:rFonts w:ascii="Century" w:hAnsi="Century" w:cs="FrankRuehl" w:hint="cs"/>
          <w:spacing w:val="10"/>
          <w:szCs w:val="28"/>
          <w:rtl/>
        </w:rPr>
        <w:t>. לטעמי, היבטים אלה אינם ניתנים להפרדה, וזאת לאורו של עקרון "הדואליות הנורמטיבית" (ראו:</w:t>
      </w:r>
      <w:r w:rsidRPr="008B59A5">
        <w:rPr>
          <w:rFonts w:ascii="Century" w:hAnsi="Century" w:cs="FrankRuehl"/>
          <w:spacing w:val="10"/>
          <w:szCs w:val="28"/>
          <w:rtl/>
        </w:rPr>
        <w:t xml:space="preserve"> דפנה ברק-ארז </w:t>
      </w:r>
      <w:r w:rsidRPr="008B59A5">
        <w:rPr>
          <w:rFonts w:ascii="Century" w:hAnsi="Century" w:cs="Miriam" w:hint="eastAsia"/>
          <w:b/>
          <w:rtl/>
        </w:rPr>
        <w:t>משפט</w:t>
      </w:r>
      <w:r w:rsidRPr="008B59A5">
        <w:rPr>
          <w:rFonts w:ascii="Century" w:hAnsi="Century" w:cs="Miriam"/>
          <w:b/>
          <w:rtl/>
        </w:rPr>
        <w:t xml:space="preserve"> </w:t>
      </w:r>
      <w:r w:rsidRPr="008B59A5">
        <w:rPr>
          <w:rFonts w:ascii="Century" w:hAnsi="Century" w:cs="Miriam" w:hint="eastAsia"/>
          <w:b/>
          <w:rtl/>
        </w:rPr>
        <w:t>מינהלי</w:t>
      </w:r>
      <w:r w:rsidRPr="008B59A5">
        <w:rPr>
          <w:rFonts w:ascii="Century" w:hAnsi="Century" w:cs="Miriam"/>
          <w:b/>
          <w:rtl/>
        </w:rPr>
        <w:t xml:space="preserve"> – </w:t>
      </w:r>
      <w:r w:rsidRPr="008B59A5">
        <w:rPr>
          <w:rFonts w:ascii="Century" w:hAnsi="Century" w:cs="Miriam" w:hint="eastAsia"/>
          <w:b/>
          <w:rtl/>
        </w:rPr>
        <w:t>משפט</w:t>
      </w:r>
      <w:r w:rsidRPr="008B59A5">
        <w:rPr>
          <w:rFonts w:ascii="Century" w:hAnsi="Century" w:cs="Miriam"/>
          <w:b/>
          <w:rtl/>
        </w:rPr>
        <w:t xml:space="preserve"> </w:t>
      </w:r>
      <w:r w:rsidRPr="008B59A5">
        <w:rPr>
          <w:rFonts w:ascii="Century" w:hAnsi="Century" w:cs="Miriam" w:hint="eastAsia"/>
          <w:b/>
          <w:rtl/>
        </w:rPr>
        <w:t>מינהלי</w:t>
      </w:r>
      <w:r w:rsidRPr="008B59A5">
        <w:rPr>
          <w:rFonts w:ascii="Century" w:hAnsi="Century" w:cs="Miriam"/>
          <w:b/>
          <w:rtl/>
        </w:rPr>
        <w:t xml:space="preserve"> </w:t>
      </w:r>
      <w:r w:rsidRPr="008B59A5">
        <w:rPr>
          <w:rFonts w:ascii="Century" w:hAnsi="Century" w:cs="Miriam" w:hint="eastAsia"/>
          <w:b/>
          <w:rtl/>
        </w:rPr>
        <w:t>כלכלי</w:t>
      </w:r>
      <w:r w:rsidRPr="008B59A5">
        <w:rPr>
          <w:rFonts w:ascii="Century" w:hAnsi="Century" w:cs="FrankRuehl"/>
          <w:spacing w:val="10"/>
          <w:szCs w:val="28"/>
          <w:rtl/>
        </w:rPr>
        <w:t xml:space="preserve"> כרך ג 23-12 (2013)</w:t>
      </w:r>
      <w:r w:rsidRPr="008B59A5">
        <w:rPr>
          <w:rFonts w:ascii="Century" w:hAnsi="Century" w:cs="FrankRuehl" w:hint="cs"/>
          <w:spacing w:val="10"/>
          <w:szCs w:val="28"/>
          <w:rtl/>
        </w:rPr>
        <w:t xml:space="preserve">). בהתאם לכך, והגם שבפנינו לכאורה סוגיה אזרחית-קניינית, זו אינה מוכרעת אך על-ידי המשפט הפרטי, אלא היא כפופה אף לכללי המשפט הציבורי, ובהם כללי המשפט הבינלאומי, אשר מוסיפים לחול על הממונה. הדברים אמורים ביתר שאת אף בהינתן שאין מדובר בעסקה בעלת אופי מסחרי רגיל, כי אם בהסדר החל מלכתחילה במצבים שבהם פעל הממונה מכוח הסמכויות המוקנות לו ובהתאם לתפקידו באזור. בנסיבות אלו, אני סבורה כי פרשנותו הראויה של סטנדרט תום הלב החל על הממונה מחייבת לתת משקל של ממש למאפייניו הציבוריים. מתוקף כך, אין בידי אף להסכים לגישתו של חברי השופט </w:t>
      </w:r>
      <w:r w:rsidRPr="008B59A5">
        <w:rPr>
          <w:rFonts w:ascii="Century" w:hAnsi="Century" w:cs="Miriam" w:hint="eastAsia"/>
          <w:b/>
          <w:rtl/>
        </w:rPr>
        <w:t>נ</w:t>
      </w:r>
      <w:r w:rsidRPr="008B59A5">
        <w:rPr>
          <w:rFonts w:ascii="Century" w:hAnsi="Century" w:cs="Miriam"/>
          <w:b/>
          <w:rtl/>
        </w:rPr>
        <w:t>'</w:t>
      </w:r>
      <w:r w:rsidRPr="008B59A5">
        <w:rPr>
          <w:rFonts w:ascii="Century" w:hAnsi="Century" w:cs="FrankRuehl" w:hint="cs"/>
          <w:spacing w:val="10"/>
          <w:szCs w:val="28"/>
          <w:rtl/>
        </w:rPr>
        <w:t xml:space="preserve"> </w:t>
      </w:r>
      <w:r w:rsidRPr="008B59A5">
        <w:rPr>
          <w:rFonts w:ascii="Century" w:hAnsi="Century" w:cs="Miriam" w:hint="eastAsia"/>
          <w:b/>
          <w:rtl/>
        </w:rPr>
        <w:t>סולברג</w:t>
      </w:r>
      <w:r w:rsidRPr="008B59A5">
        <w:rPr>
          <w:rFonts w:ascii="Century" w:hAnsi="Century" w:cs="FrankRuehl" w:hint="cs"/>
          <w:spacing w:val="10"/>
          <w:szCs w:val="28"/>
          <w:rtl/>
        </w:rPr>
        <w:t xml:space="preserve">, הנוטה להניח כי אין לבחון את תום ליבו של הממונה "בצורה כה קפדנית" (פסקה </w:t>
      </w:r>
      <w:r w:rsidR="00EE5DC3">
        <w:rPr>
          <w:rFonts w:ascii="Century" w:hAnsi="Century" w:cs="FrankRuehl" w:hint="cs"/>
          <w:spacing w:val="10"/>
          <w:szCs w:val="28"/>
          <w:rtl/>
        </w:rPr>
        <w:t>92</w:t>
      </w:r>
      <w:r w:rsidRPr="008B59A5">
        <w:rPr>
          <w:rFonts w:ascii="Century" w:hAnsi="Century" w:cs="FrankRuehl" w:hint="cs"/>
          <w:spacing w:val="10"/>
          <w:szCs w:val="28"/>
          <w:rtl/>
        </w:rPr>
        <w:t xml:space="preserve"> לפסק דינו). </w:t>
      </w:r>
    </w:p>
    <w:p w:rsidR="005B1A77" w:rsidRDefault="005B1A77" w:rsidP="005B1A77">
      <w:pPr>
        <w:spacing w:line="360" w:lineRule="auto"/>
        <w:jc w:val="both"/>
        <w:rPr>
          <w:rFonts w:ascii="Century" w:hAnsi="Century" w:cs="FrankRuehl"/>
          <w:spacing w:val="10"/>
          <w:szCs w:val="28"/>
          <w:rtl/>
        </w:rPr>
      </w:pPr>
    </w:p>
    <w:p w:rsidR="005B1A77" w:rsidRDefault="005B1A77" w:rsidP="005B1A77">
      <w:pPr>
        <w:spacing w:line="360" w:lineRule="auto"/>
        <w:jc w:val="both"/>
        <w:rPr>
          <w:rFonts w:ascii="Century" w:hAnsi="Century" w:cs="FrankRuehl"/>
          <w:spacing w:val="10"/>
          <w:szCs w:val="28"/>
          <w:rtl/>
        </w:rPr>
      </w:pPr>
      <w:r>
        <w:rPr>
          <w:rFonts w:ascii="Century" w:hAnsi="Century" w:cs="FrankRuehl" w:hint="cs"/>
          <w:spacing w:val="10"/>
          <w:szCs w:val="28"/>
          <w:rtl/>
        </w:rPr>
        <w:t>8.</w:t>
      </w:r>
      <w:r>
        <w:rPr>
          <w:rFonts w:ascii="Century" w:hAnsi="Century" w:cs="FrankRuehl" w:hint="cs"/>
          <w:spacing w:val="10"/>
          <w:szCs w:val="28"/>
          <w:rtl/>
        </w:rPr>
        <w:tab/>
      </w:r>
      <w:r w:rsidRPr="008B59A5">
        <w:rPr>
          <w:rFonts w:ascii="Century" w:hAnsi="Century" w:cs="FrankRuehl" w:hint="cs"/>
          <w:spacing w:val="10"/>
          <w:szCs w:val="28"/>
          <w:rtl/>
        </w:rPr>
        <w:t xml:space="preserve">אולם בנקודה זו לא תם הדיון. מבלי לגרוע מהאמור, ועל אף שאני צועדת כאמור כברת דרך ארוכה במתווה העקרוני שסלל חברי המשנה לנשיאה </w:t>
      </w:r>
      <w:r w:rsidRPr="008B59A5">
        <w:rPr>
          <w:rFonts w:ascii="Century" w:hAnsi="Century" w:cs="Miriam" w:hint="eastAsia"/>
          <w:b/>
          <w:rtl/>
        </w:rPr>
        <w:t>פוגלמן</w:t>
      </w:r>
      <w:r w:rsidRPr="008B59A5">
        <w:rPr>
          <w:rFonts w:ascii="Century" w:hAnsi="Century" w:cs="FrankRuehl" w:hint="cs"/>
          <w:spacing w:val="10"/>
          <w:szCs w:val="28"/>
          <w:rtl/>
        </w:rPr>
        <w:t xml:space="preserve">, אין בידי להצטרף אליו לכל אורכו. כשם שאינני שותפה לעמדתו של חברי המשנה לנשיאה (בדימ') </w:t>
      </w:r>
      <w:r w:rsidRPr="008B59A5">
        <w:rPr>
          <w:rFonts w:ascii="Century" w:hAnsi="Century" w:cs="Miriam" w:hint="eastAsia"/>
          <w:b/>
          <w:rtl/>
        </w:rPr>
        <w:t>הנדל</w:t>
      </w:r>
      <w:r w:rsidRPr="008B59A5">
        <w:rPr>
          <w:rFonts w:ascii="Century" w:hAnsi="Century" w:cs="FrankRuehl"/>
          <w:spacing w:val="10"/>
          <w:szCs w:val="28"/>
          <w:rtl/>
        </w:rPr>
        <w:t xml:space="preserve"> </w:t>
      </w:r>
      <w:r w:rsidRPr="008B59A5">
        <w:rPr>
          <w:rFonts w:ascii="Century" w:hAnsi="Century" w:cs="FrankRuehl" w:hint="cs"/>
          <w:spacing w:val="10"/>
          <w:szCs w:val="28"/>
          <w:rtl/>
        </w:rPr>
        <w:t xml:space="preserve">הבוחנת את </w:t>
      </w:r>
      <w:r>
        <w:rPr>
          <w:rFonts w:ascii="Century" w:hAnsi="Century" w:cs="FrankRuehl" w:hint="cs"/>
          <w:spacing w:val="10"/>
          <w:szCs w:val="28"/>
          <w:rtl/>
        </w:rPr>
        <w:t xml:space="preserve">הדברים </w:t>
      </w:r>
      <w:r w:rsidRPr="008B59A5">
        <w:rPr>
          <w:rFonts w:ascii="Century" w:hAnsi="Century" w:cs="FrankRuehl" w:hint="cs"/>
          <w:spacing w:val="10"/>
          <w:szCs w:val="28"/>
          <w:rtl/>
        </w:rPr>
        <w:t xml:space="preserve">תוך מיקוד במשפט הפרטי, כך אינני סבורה שניתן לבחון את הנושא שבפנינו תוך מיקוד ב"חוליה הראשונה" בלבד של ההתקשרות בין הממונה להסתדרות הציונית (להלן גם: </w:t>
      </w:r>
      <w:r w:rsidRPr="008B59A5">
        <w:rPr>
          <w:rFonts w:ascii="Century" w:hAnsi="Century" w:cs="Miriam" w:hint="eastAsia"/>
          <w:b/>
          <w:rtl/>
        </w:rPr>
        <w:t>ההסתדרות</w:t>
      </w:r>
      <w:r w:rsidRPr="008B59A5">
        <w:rPr>
          <w:rFonts w:ascii="Century" w:hAnsi="Century" w:cs="FrankRuehl" w:hint="cs"/>
          <w:spacing w:val="10"/>
          <w:szCs w:val="28"/>
          <w:rtl/>
        </w:rPr>
        <w:t xml:space="preserve">), בהתאם לגישה שהנחתה את חברי המשנה לנשיאה </w:t>
      </w:r>
      <w:r w:rsidRPr="008B59A5">
        <w:rPr>
          <w:rFonts w:ascii="Century" w:hAnsi="Century" w:cs="Miriam"/>
          <w:b/>
          <w:rtl/>
        </w:rPr>
        <w:t>פוגלמן</w:t>
      </w:r>
      <w:r w:rsidRPr="008B59A5">
        <w:rPr>
          <w:rFonts w:ascii="Century" w:hAnsi="Century" w:cs="FrankRuehl" w:hint="cs"/>
          <w:spacing w:val="10"/>
          <w:szCs w:val="28"/>
          <w:rtl/>
        </w:rPr>
        <w:t xml:space="preserve">. למעשה, כפי שאסביר בהמשך, מרכז הכובד בענייננו טמון לטעמי דווקא בחוליית ההסתמכות הבאה, קרי במישור היחסים שבין הממונה וההסתדרות למי שהתיישבו בפועל במצפה כרמים. בכך עמדתי קרובה במידה רבה לעמדתו של חברי השופט </w:t>
      </w:r>
      <w:r w:rsidRPr="008B59A5">
        <w:rPr>
          <w:rFonts w:ascii="Century" w:hAnsi="Century" w:cs="Miriam" w:hint="cs"/>
          <w:b/>
          <w:rtl/>
        </w:rPr>
        <w:t>י' עמית</w:t>
      </w:r>
      <w:r w:rsidRPr="008B59A5">
        <w:rPr>
          <w:rFonts w:ascii="Century" w:hAnsi="Century" w:cs="FrankRuehl" w:hint="cs"/>
          <w:spacing w:val="10"/>
          <w:szCs w:val="28"/>
          <w:rtl/>
        </w:rPr>
        <w:t xml:space="preserve">, שמושתתת בעיקרה על שיקול ההסתמכות של המחזיקים במקרקעין, תושבי מצפה כרמים. לצד זאת, היא נבדלת ממנה במספר היבטים הנוגעים לפרטי פרשנותו של סעיף 5 לצו.   </w:t>
      </w:r>
    </w:p>
    <w:p w:rsidR="005B1A77" w:rsidRPr="008B59A5" w:rsidRDefault="005B1A77" w:rsidP="005B1A77">
      <w:pPr>
        <w:spacing w:line="360" w:lineRule="auto"/>
        <w:jc w:val="both"/>
        <w:rPr>
          <w:rFonts w:ascii="Century" w:hAnsi="Century" w:cs="FrankRuehl"/>
          <w:spacing w:val="10"/>
          <w:szCs w:val="28"/>
          <w:rtl/>
        </w:rPr>
      </w:pPr>
    </w:p>
    <w:p w:rsidR="005B1A77" w:rsidRPr="008B59A5" w:rsidRDefault="005B1A77" w:rsidP="005B1A77">
      <w:pPr>
        <w:spacing w:line="360" w:lineRule="auto"/>
        <w:jc w:val="both"/>
        <w:rPr>
          <w:rFonts w:ascii="Century" w:hAnsi="Century" w:cs="FrankRuehl"/>
          <w:spacing w:val="10"/>
          <w:szCs w:val="28"/>
          <w:rtl/>
        </w:rPr>
      </w:pPr>
      <w:r w:rsidRPr="008B59A5">
        <w:rPr>
          <w:rFonts w:ascii="Century" w:hAnsi="Century" w:cs="FrankRuehl" w:hint="cs"/>
          <w:spacing w:val="10"/>
          <w:szCs w:val="28"/>
          <w:rtl/>
        </w:rPr>
        <w:lastRenderedPageBreak/>
        <w:t xml:space="preserve">9. </w:t>
      </w:r>
      <w:r w:rsidRPr="008B59A5">
        <w:rPr>
          <w:rFonts w:ascii="Century" w:hAnsi="Century" w:cs="FrankRuehl" w:hint="cs"/>
          <w:spacing w:val="10"/>
          <w:szCs w:val="28"/>
          <w:rtl/>
        </w:rPr>
        <w:tab/>
        <w:t xml:space="preserve">אפנה אפוא כעת להצגת גישתי, המבוססת על הגדרה שונה למונח "עסקה" בצו, הגדרה הבוחנת גם את יתר חוליות ההסתמכות </w:t>
      </w:r>
      <w:r>
        <w:rPr>
          <w:rFonts w:ascii="Century" w:hAnsi="Century" w:cs="FrankRuehl" w:hint="cs"/>
          <w:spacing w:val="10"/>
          <w:szCs w:val="28"/>
          <w:rtl/>
        </w:rPr>
        <w:t>שנובעות אף הן מההתקשרות הראשוני</w:t>
      </w:r>
      <w:r w:rsidRPr="008B59A5">
        <w:rPr>
          <w:rFonts w:ascii="Century" w:hAnsi="Century" w:cs="FrankRuehl" w:hint="cs"/>
          <w:spacing w:val="10"/>
          <w:szCs w:val="28"/>
          <w:rtl/>
        </w:rPr>
        <w:t xml:space="preserve">ת מול הממונה. בהתאמה, וכפי שיוסבר, יש לדברים השלכה גם על יישום יתר תנאיו של סעיף 5 לצו. על רקע זה, אציין כבר עתה כי בסופו של יום, מצאתי לקבוע כי בנסיבות המורכבות של המקרה דנן התקיימו היסודות הדרושים לתחולתו של סעיף 5 לצו. </w:t>
      </w:r>
    </w:p>
    <w:p w:rsidR="005B1A77" w:rsidRDefault="005B1A77" w:rsidP="005B1A77">
      <w:pPr>
        <w:spacing w:line="360" w:lineRule="auto"/>
        <w:jc w:val="both"/>
        <w:rPr>
          <w:rFonts w:ascii="Century" w:hAnsi="Century" w:cs="FrankRuehl"/>
          <w:spacing w:val="10"/>
          <w:szCs w:val="28"/>
          <w:rtl/>
        </w:rPr>
      </w:pPr>
    </w:p>
    <w:p w:rsidR="005B1A77" w:rsidRPr="008B59A5" w:rsidRDefault="005B1A77" w:rsidP="005B1A77">
      <w:pPr>
        <w:spacing w:line="360" w:lineRule="auto"/>
        <w:jc w:val="both"/>
        <w:rPr>
          <w:rFonts w:ascii="Century" w:hAnsi="Century" w:cs="FrankRuehl"/>
          <w:spacing w:val="10"/>
          <w:szCs w:val="28"/>
          <w:rtl/>
        </w:rPr>
      </w:pPr>
      <w:r w:rsidRPr="008B59A5">
        <w:rPr>
          <w:rFonts w:ascii="Century" w:hAnsi="Century" w:cs="FrankRuehl" w:hint="cs"/>
          <w:spacing w:val="10"/>
          <w:szCs w:val="28"/>
          <w:rtl/>
        </w:rPr>
        <w:t>10.</w:t>
      </w:r>
      <w:r w:rsidRPr="008B59A5">
        <w:rPr>
          <w:rFonts w:ascii="Century" w:hAnsi="Century" w:cs="FrankRuehl" w:hint="cs"/>
          <w:spacing w:val="10"/>
          <w:szCs w:val="28"/>
          <w:rtl/>
        </w:rPr>
        <w:tab/>
        <w:t>בעיקרו של דבר, כפי שאסביר, מנקודת מבטי, התכלית העיקרית של סעיף 5 לצו היא הגנה על הסתמכות ממשית וקונקרטית על עסקה שנעשתה בטעות תמת-לב, כאשר הדגש מושם בבחינת עניינם של מי שמצויים בקצה חוליית ההתקשרות. זאת, בהתאם ל"כוכב הצפון" של מוסד תקנת השוק בכללותו. בהקשר זה אדגיש כי נקודת המוצא הכללית לדיון הנוסף דנן נסבה על סיווגו של ההסדר המעוגן בסעיף 5 לצו כ"מעין תקנת שוק". סוגיה זו כשלעצמה לא עמדה בפנינו כעת, וממילא איני נדרשת אליה. אולם, כאשר זוהי נקודת המוצא, יש לה נפקות חשובה בכל הנוגע להבנתם של תנאי הסעיף, ובפרט אלו הנוגעים ל</w:t>
      </w:r>
      <w:r w:rsidRPr="008B59A5">
        <w:rPr>
          <w:rFonts w:ascii="Century" w:hAnsi="Century" w:cs="Miriam" w:hint="eastAsia"/>
          <w:b/>
          <w:rtl/>
        </w:rPr>
        <w:t>עסקה</w:t>
      </w:r>
      <w:r>
        <w:rPr>
          <w:rFonts w:ascii="Century" w:hAnsi="Century" w:cs="FrankRuehl" w:hint="cs"/>
          <w:spacing w:val="10"/>
          <w:szCs w:val="28"/>
          <w:rtl/>
        </w:rPr>
        <w:t xml:space="preserve"> </w:t>
      </w:r>
      <w:r w:rsidRPr="008B59A5">
        <w:rPr>
          <w:rFonts w:ascii="Century" w:hAnsi="Century" w:cs="FrankRuehl" w:hint="cs"/>
          <w:spacing w:val="10"/>
          <w:szCs w:val="28"/>
          <w:rtl/>
        </w:rPr>
        <w:t>עם</w:t>
      </w:r>
      <w:r>
        <w:rPr>
          <w:rFonts w:ascii="Century" w:hAnsi="Century" w:cs="FrankRuehl" w:hint="cs"/>
          <w:spacing w:val="10"/>
          <w:szCs w:val="28"/>
          <w:rtl/>
        </w:rPr>
        <w:t xml:space="preserve"> </w:t>
      </w:r>
      <w:r w:rsidRPr="008B59A5">
        <w:rPr>
          <w:rFonts w:ascii="Century" w:hAnsi="Century" w:cs="Miriam" w:hint="eastAsia"/>
          <w:b/>
          <w:rtl/>
        </w:rPr>
        <w:t>אדם</w:t>
      </w:r>
      <w:r w:rsidRPr="008B59A5">
        <w:rPr>
          <w:rFonts w:ascii="Century" w:hAnsi="Century" w:cs="Miriam"/>
          <w:b/>
          <w:rtl/>
        </w:rPr>
        <w:t xml:space="preserve"> </w:t>
      </w:r>
      <w:r w:rsidRPr="008B59A5">
        <w:rPr>
          <w:rFonts w:ascii="Century" w:hAnsi="Century" w:cs="Miriam" w:hint="eastAsia"/>
          <w:b/>
          <w:rtl/>
        </w:rPr>
        <w:t>אחר</w:t>
      </w:r>
      <w:r>
        <w:rPr>
          <w:rFonts w:ascii="Century" w:hAnsi="Century" w:cs="FrankRuehl" w:hint="cs"/>
          <w:spacing w:val="10"/>
          <w:szCs w:val="28"/>
          <w:rtl/>
        </w:rPr>
        <w:t>;</w:t>
      </w:r>
      <w:r>
        <w:rPr>
          <w:rFonts w:ascii="Century" w:hAnsi="Century" w:cs="Miriam" w:hint="cs"/>
          <w:b/>
          <w:rtl/>
        </w:rPr>
        <w:t xml:space="preserve"> </w:t>
      </w:r>
      <w:r w:rsidRPr="008B59A5">
        <w:rPr>
          <w:rFonts w:ascii="Century" w:hAnsi="Century" w:cs="FrankRuehl" w:hint="cs"/>
          <w:spacing w:val="10"/>
          <w:szCs w:val="28"/>
          <w:rtl/>
        </w:rPr>
        <w:t>ל</w:t>
      </w:r>
      <w:r w:rsidRPr="008B59A5">
        <w:rPr>
          <w:rFonts w:ascii="Century" w:hAnsi="Century" w:cs="Miriam" w:hint="eastAsia"/>
          <w:b/>
          <w:rtl/>
        </w:rPr>
        <w:t>תום</w:t>
      </w:r>
      <w:r w:rsidRPr="008B59A5">
        <w:rPr>
          <w:rFonts w:ascii="Century" w:hAnsi="Century" w:cs="Miriam"/>
          <w:b/>
          <w:rtl/>
        </w:rPr>
        <w:t xml:space="preserve"> </w:t>
      </w:r>
      <w:r w:rsidRPr="008B59A5">
        <w:rPr>
          <w:rFonts w:ascii="Century" w:hAnsi="Century" w:cs="Miriam" w:hint="eastAsia"/>
          <w:b/>
          <w:rtl/>
        </w:rPr>
        <w:t>הלב</w:t>
      </w:r>
      <w:r w:rsidRPr="008B59A5">
        <w:rPr>
          <w:rFonts w:ascii="Century" w:hAnsi="Century" w:cs="Miriam" w:hint="cs"/>
          <w:b/>
          <w:rtl/>
        </w:rPr>
        <w:t xml:space="preserve"> </w:t>
      </w:r>
      <w:r w:rsidRPr="008B59A5">
        <w:rPr>
          <w:rFonts w:ascii="Century" w:hAnsi="Century" w:cs="FrankRuehl" w:hint="cs"/>
          <w:spacing w:val="10"/>
          <w:szCs w:val="28"/>
          <w:rtl/>
        </w:rPr>
        <w:t xml:space="preserve">של הצדדים; וכן לקיומה של </w:t>
      </w:r>
      <w:r w:rsidRPr="0070357B">
        <w:rPr>
          <w:rFonts w:ascii="Century" w:hAnsi="Century" w:cs="Miriam" w:hint="eastAsia"/>
          <w:b/>
          <w:rtl/>
        </w:rPr>
        <w:t>תמורה</w:t>
      </w:r>
      <w:r w:rsidRPr="008B59A5">
        <w:rPr>
          <w:rFonts w:ascii="Century" w:hAnsi="Century" w:cs="FrankRuehl" w:hint="cs"/>
          <w:spacing w:val="10"/>
          <w:szCs w:val="28"/>
          <w:rtl/>
        </w:rPr>
        <w:t>. אדרש להלן לדברים בהתאם לסדרם. עוד קודם לכן אדגיש כבר עתה כי עמדתי בהקשרים אלו עולה בקנה אחד עם הגישה הפרשנית המצמצמת ביחס לסעיף 5 לצו שלה אני שותפה</w:t>
      </w:r>
      <w:r>
        <w:rPr>
          <w:rFonts w:ascii="Century" w:hAnsi="Century" w:cs="FrankRuehl" w:hint="cs"/>
          <w:spacing w:val="10"/>
          <w:szCs w:val="28"/>
          <w:rtl/>
        </w:rPr>
        <w:t>.</w:t>
      </w:r>
      <w:r w:rsidRPr="008B59A5">
        <w:rPr>
          <w:rFonts w:ascii="Century" w:hAnsi="Century" w:cs="FrankRuehl" w:hint="cs"/>
          <w:spacing w:val="10"/>
          <w:szCs w:val="28"/>
          <w:rtl/>
        </w:rPr>
        <w:t xml:space="preserve"> זאת</w:t>
      </w:r>
      <w:r>
        <w:rPr>
          <w:rFonts w:ascii="Century" w:hAnsi="Century" w:cs="FrankRuehl" w:hint="cs"/>
          <w:spacing w:val="10"/>
          <w:szCs w:val="28"/>
          <w:rtl/>
        </w:rPr>
        <w:t>,</w:t>
      </w:r>
      <w:r w:rsidRPr="008B59A5">
        <w:rPr>
          <w:rFonts w:ascii="Century" w:hAnsi="Century" w:cs="FrankRuehl" w:hint="cs"/>
          <w:spacing w:val="10"/>
          <w:szCs w:val="28"/>
          <w:rtl/>
        </w:rPr>
        <w:t xml:space="preserve"> מתוך ההכרה בהקפדה הנדרשת ביחס להיקף תחולתו של הסדר תקנת השוק בשטח המצוי בתפיסה לוחמתית.</w:t>
      </w:r>
    </w:p>
    <w:p w:rsidR="005B1A77" w:rsidRDefault="005B1A77" w:rsidP="005B1A77">
      <w:pPr>
        <w:spacing w:line="360" w:lineRule="auto"/>
        <w:jc w:val="both"/>
        <w:rPr>
          <w:rFonts w:ascii="Century" w:hAnsi="Century" w:cs="FrankRuehl"/>
          <w:spacing w:val="10"/>
          <w:szCs w:val="28"/>
          <w:rtl/>
        </w:rPr>
      </w:pPr>
    </w:p>
    <w:p w:rsidR="005B1A77" w:rsidRPr="008B59A5" w:rsidRDefault="005B1A77" w:rsidP="005B1A77">
      <w:pPr>
        <w:spacing w:line="360" w:lineRule="auto"/>
        <w:jc w:val="both"/>
        <w:rPr>
          <w:rFonts w:ascii="Century" w:hAnsi="Century" w:cs="FrankRuehl"/>
          <w:spacing w:val="10"/>
          <w:szCs w:val="28"/>
          <w:rtl/>
        </w:rPr>
      </w:pPr>
      <w:r w:rsidRPr="008B59A5">
        <w:rPr>
          <w:rFonts w:ascii="Century" w:hAnsi="Century" w:cs="FrankRuehl" w:hint="cs"/>
          <w:spacing w:val="10"/>
          <w:szCs w:val="28"/>
          <w:rtl/>
        </w:rPr>
        <w:t>11.</w:t>
      </w:r>
      <w:r w:rsidRPr="008B59A5">
        <w:rPr>
          <w:rFonts w:ascii="Century" w:hAnsi="Century" w:cs="FrankRuehl" w:hint="cs"/>
          <w:spacing w:val="10"/>
          <w:szCs w:val="28"/>
          <w:rtl/>
        </w:rPr>
        <w:tab/>
        <w:t>עוד אבקש להבהיר כבר עתה כי ביחס להיבטים אלה מסקנתי שונה בחלקה מעמדתם של יתר חבריי התומכים בקבלת העתירה לדיון נוסף. שוני זה אינו משליך על התוצאות האופרטיביות של המקרה דנן, אך צפוי להשפיע על מקרים אחרים, ובכללם שטחים נוספים</w:t>
      </w:r>
      <w:r>
        <w:rPr>
          <w:rFonts w:ascii="Century" w:hAnsi="Century" w:cs="FrankRuehl" w:hint="cs"/>
          <w:spacing w:val="10"/>
          <w:szCs w:val="28"/>
          <w:rtl/>
        </w:rPr>
        <w:t xml:space="preserve"> </w:t>
      </w:r>
      <w:r w:rsidRPr="008B59A5">
        <w:rPr>
          <w:rFonts w:ascii="Century" w:hAnsi="Century" w:cs="FrankRuehl" w:hint="cs"/>
          <w:spacing w:val="10"/>
          <w:szCs w:val="28"/>
          <w:rtl/>
        </w:rPr>
        <w:t xml:space="preserve">שחרגו מגבולות צו התפיסה המקורי </w:t>
      </w:r>
      <w:r>
        <w:rPr>
          <w:rFonts w:ascii="Century" w:hAnsi="Century" w:cs="FrankRuehl" w:hint="cs"/>
          <w:spacing w:val="10"/>
          <w:szCs w:val="28"/>
          <w:rtl/>
        </w:rPr>
        <w:t xml:space="preserve">בענייננו </w:t>
      </w:r>
      <w:r w:rsidRPr="008B59A5">
        <w:rPr>
          <w:rFonts w:ascii="Century" w:hAnsi="Century" w:cs="FrankRuehl" w:hint="cs"/>
          <w:spacing w:val="10"/>
          <w:szCs w:val="28"/>
          <w:rtl/>
        </w:rPr>
        <w:t>ו</w:t>
      </w:r>
      <w:r>
        <w:rPr>
          <w:rFonts w:ascii="Century" w:hAnsi="Century" w:cs="FrankRuehl" w:hint="cs"/>
          <w:spacing w:val="10"/>
          <w:szCs w:val="28"/>
          <w:rtl/>
        </w:rPr>
        <w:t>לא נדונו בהליך דנן</w:t>
      </w:r>
      <w:r w:rsidRPr="008B59A5">
        <w:rPr>
          <w:rFonts w:ascii="Century" w:hAnsi="Century" w:cs="FrankRuehl" w:hint="cs"/>
          <w:spacing w:val="10"/>
          <w:szCs w:val="28"/>
          <w:rtl/>
        </w:rPr>
        <w:t>. הכל כמפורט בהמשך.</w:t>
      </w:r>
    </w:p>
    <w:p w:rsidR="005B1A77" w:rsidRDefault="005B1A77" w:rsidP="005B1A77">
      <w:pPr>
        <w:spacing w:line="360" w:lineRule="auto"/>
        <w:jc w:val="both"/>
        <w:rPr>
          <w:rFonts w:ascii="Century" w:hAnsi="Century" w:cs="FrankRuehl"/>
          <w:spacing w:val="10"/>
          <w:szCs w:val="28"/>
          <w:rtl/>
        </w:rPr>
      </w:pPr>
    </w:p>
    <w:p w:rsidR="005B1A77" w:rsidRPr="008B59A5" w:rsidRDefault="005B1A77" w:rsidP="005B1A77">
      <w:pPr>
        <w:spacing w:line="360" w:lineRule="auto"/>
        <w:jc w:val="both"/>
        <w:rPr>
          <w:rFonts w:ascii="Century" w:hAnsi="Century" w:cs="Miriam"/>
          <w:b/>
          <w:rtl/>
        </w:rPr>
      </w:pPr>
      <w:r w:rsidRPr="008B59A5">
        <w:rPr>
          <w:rFonts w:ascii="Century" w:hAnsi="Century" w:cs="Miriam" w:hint="cs"/>
          <w:b/>
          <w:rtl/>
        </w:rPr>
        <w:t>סוגיה ראשונה: הגדרת "</w:t>
      </w:r>
      <w:r w:rsidRPr="008B59A5">
        <w:rPr>
          <w:rFonts w:ascii="Century" w:hAnsi="Century" w:cs="Miriam" w:hint="eastAsia"/>
          <w:b/>
          <w:rtl/>
        </w:rPr>
        <w:t>עסקה</w:t>
      </w:r>
      <w:r w:rsidRPr="008B59A5">
        <w:rPr>
          <w:rFonts w:ascii="Century" w:hAnsi="Century" w:cs="Miriam" w:hint="cs"/>
          <w:b/>
          <w:rtl/>
        </w:rPr>
        <w:t>"</w:t>
      </w:r>
      <w:r w:rsidRPr="008B59A5">
        <w:rPr>
          <w:rFonts w:ascii="Century" w:hAnsi="Century" w:cs="Miriam"/>
          <w:b/>
          <w:rtl/>
        </w:rPr>
        <w:t xml:space="preserve"> </w:t>
      </w:r>
      <w:r w:rsidRPr="008B59A5">
        <w:rPr>
          <w:rFonts w:ascii="Century" w:hAnsi="Century" w:cs="Miriam" w:hint="cs"/>
          <w:b/>
          <w:rtl/>
        </w:rPr>
        <w:t>עם "א</w:t>
      </w:r>
      <w:r w:rsidRPr="008B59A5">
        <w:rPr>
          <w:rFonts w:ascii="Century" w:hAnsi="Century" w:cs="Miriam" w:hint="eastAsia"/>
          <w:b/>
          <w:rtl/>
        </w:rPr>
        <w:t>דם</w:t>
      </w:r>
      <w:r w:rsidRPr="008B59A5">
        <w:rPr>
          <w:rFonts w:ascii="Century" w:hAnsi="Century" w:cs="Miriam"/>
          <w:b/>
          <w:rtl/>
        </w:rPr>
        <w:t xml:space="preserve"> </w:t>
      </w:r>
      <w:r w:rsidRPr="008B59A5">
        <w:rPr>
          <w:rFonts w:ascii="Century" w:hAnsi="Century" w:cs="Miriam" w:hint="eastAsia"/>
          <w:b/>
          <w:rtl/>
        </w:rPr>
        <w:t>אחר</w:t>
      </w:r>
      <w:r w:rsidRPr="008B59A5">
        <w:rPr>
          <w:rFonts w:ascii="Century" w:hAnsi="Century" w:cs="Miriam" w:hint="cs"/>
          <w:b/>
          <w:rtl/>
        </w:rPr>
        <w:t>"</w:t>
      </w:r>
      <w:r w:rsidRPr="008B59A5">
        <w:rPr>
          <w:rFonts w:ascii="Century" w:hAnsi="Century" w:cs="Miriam"/>
          <w:b/>
          <w:rtl/>
        </w:rPr>
        <w:t xml:space="preserve"> </w:t>
      </w:r>
    </w:p>
    <w:p w:rsidR="005B1A77" w:rsidRDefault="005B1A77" w:rsidP="005B1A77">
      <w:pPr>
        <w:spacing w:line="360" w:lineRule="auto"/>
        <w:jc w:val="both"/>
        <w:rPr>
          <w:rFonts w:ascii="Century" w:hAnsi="Century" w:cs="FrankRuehl"/>
          <w:spacing w:val="10"/>
          <w:szCs w:val="28"/>
          <w:rtl/>
        </w:rPr>
      </w:pPr>
    </w:p>
    <w:p w:rsidR="005B1A77" w:rsidRPr="00183075" w:rsidRDefault="005B1A77" w:rsidP="005B1A77">
      <w:pPr>
        <w:spacing w:line="360" w:lineRule="auto"/>
        <w:jc w:val="both"/>
        <w:rPr>
          <w:rFonts w:ascii="Century" w:hAnsi="Century" w:cs="FrankRuehl"/>
          <w:spacing w:val="10"/>
          <w:szCs w:val="28"/>
          <w:rtl/>
        </w:rPr>
      </w:pPr>
      <w:r>
        <w:rPr>
          <w:rFonts w:ascii="Century" w:hAnsi="Century" w:cs="FrankRuehl" w:hint="cs"/>
          <w:spacing w:val="10"/>
          <w:szCs w:val="28"/>
          <w:rtl/>
        </w:rPr>
        <w:t>12.</w:t>
      </w:r>
      <w:r>
        <w:rPr>
          <w:rFonts w:ascii="Century" w:hAnsi="Century" w:cs="FrankRuehl" w:hint="cs"/>
          <w:spacing w:val="10"/>
          <w:szCs w:val="28"/>
          <w:rtl/>
        </w:rPr>
        <w:tab/>
      </w:r>
      <w:r w:rsidRPr="00880AAC">
        <w:rPr>
          <w:rFonts w:ascii="Century" w:hAnsi="Century" w:cs="FrankRuehl" w:hint="cs"/>
          <w:spacing w:val="10"/>
          <w:szCs w:val="28"/>
          <w:rtl/>
        </w:rPr>
        <w:t>אחת הסוגיות המקדמיות שאליהן אני מבקשת להתייחס נוגעת לזהות הצדדים ל"</w:t>
      </w:r>
      <w:r w:rsidRPr="00880AAC">
        <w:rPr>
          <w:rFonts w:ascii="Century" w:hAnsi="Century" w:cs="Miriam" w:hint="eastAsia"/>
          <w:b/>
          <w:rtl/>
        </w:rPr>
        <w:t>עסקה</w:t>
      </w:r>
      <w:r w:rsidRPr="00880AAC">
        <w:rPr>
          <w:rFonts w:ascii="Century" w:hAnsi="Century" w:cs="FrankRuehl" w:hint="cs"/>
          <w:spacing w:val="10"/>
          <w:szCs w:val="28"/>
          <w:rtl/>
        </w:rPr>
        <w:t xml:space="preserve">" שבפנינו. הדברים אמורים בהינתן דרישתו הבסיסית של סעיף 5 לצו לקיומה של עסקה בין הממונה לבין </w:t>
      </w:r>
      <w:r>
        <w:rPr>
          <w:rFonts w:ascii="Century" w:hAnsi="Century" w:cs="Miriam" w:hint="cs"/>
          <w:b/>
          <w:rtl/>
        </w:rPr>
        <w:t>"</w:t>
      </w:r>
      <w:r w:rsidRPr="00880AAC">
        <w:rPr>
          <w:rFonts w:ascii="Century" w:hAnsi="Century" w:cs="Miriam" w:hint="cs"/>
          <w:b/>
          <w:rtl/>
        </w:rPr>
        <w:t>אדם אחר</w:t>
      </w:r>
      <w:r>
        <w:rPr>
          <w:rFonts w:ascii="Century" w:hAnsi="Century" w:cs="FrankRuehl" w:hint="cs"/>
          <w:spacing w:val="10"/>
          <w:szCs w:val="28"/>
          <w:rtl/>
        </w:rPr>
        <w:t>"</w:t>
      </w:r>
      <w:r w:rsidRPr="00880AAC">
        <w:rPr>
          <w:rFonts w:ascii="Century" w:hAnsi="Century" w:cs="FrankRuehl" w:hint="cs"/>
          <w:spacing w:val="10"/>
          <w:szCs w:val="28"/>
          <w:rtl/>
        </w:rPr>
        <w:t xml:space="preserve">. למעשה, ההתייחסות לזהות הצדדים </w:t>
      </w:r>
      <w:r>
        <w:rPr>
          <w:rFonts w:ascii="Century" w:hAnsi="Century" w:cs="FrankRuehl" w:hint="cs"/>
          <w:spacing w:val="10"/>
          <w:szCs w:val="28"/>
          <w:rtl/>
        </w:rPr>
        <w:t>שלובה</w:t>
      </w:r>
      <w:r w:rsidRPr="00880AAC">
        <w:rPr>
          <w:rFonts w:ascii="Century" w:hAnsi="Century" w:cs="FrankRuehl" w:hint="cs"/>
          <w:spacing w:val="10"/>
          <w:szCs w:val="28"/>
          <w:rtl/>
        </w:rPr>
        <w:t xml:space="preserve"> אף ביתר דרישות הסעיף, במובן זה שיש בה כדי להשליך על השאלה מי הם הגורמים שביחס אליהם יש לבחון את התקיימותן. על רקע זה, יש להדגיש כי לאורך כל שלבי ההתדיינות בתיק דנן, החל מפסק דינו של בית המשפט המחוזי, עובר בפסק הדין הקודם, ולמעשה גם עתה במסגרת עמדתו של חברי המשנה לנשיאה </w:t>
      </w:r>
      <w:r w:rsidRPr="00183075">
        <w:rPr>
          <w:rFonts w:ascii="Century" w:hAnsi="Century" w:cs="Miriam" w:hint="eastAsia"/>
          <w:b/>
          <w:rtl/>
        </w:rPr>
        <w:t>פוגלמן</w:t>
      </w:r>
      <w:r w:rsidRPr="00183075">
        <w:rPr>
          <w:rFonts w:ascii="Century" w:hAnsi="Century" w:cs="FrankRuehl" w:hint="cs"/>
          <w:spacing w:val="10"/>
          <w:szCs w:val="28"/>
          <w:rtl/>
        </w:rPr>
        <w:t xml:space="preserve"> בגדרי דיון נוסף זה, רובו </w:t>
      </w:r>
      <w:r w:rsidRPr="00183075">
        <w:rPr>
          <w:rFonts w:ascii="Century" w:hAnsi="Century" w:cs="FrankRuehl" w:hint="cs"/>
          <w:spacing w:val="10"/>
          <w:szCs w:val="28"/>
          <w:rtl/>
        </w:rPr>
        <w:lastRenderedPageBreak/>
        <w:t xml:space="preserve">ככולו של הדיון התמקד במערכת היחסים שבין הממונה להסתדרות הציונית בלבד. במובן זה, הלכה למעשה, הדיון המשפטי נמנע מלתת כל ביטוי למי שמהווים בעיניי שחקן משמעותי בהשתלשלות האירועים בענייננו </w:t>
      </w:r>
      <w:r w:rsidRPr="00183075">
        <w:rPr>
          <w:rFonts w:ascii="Century" w:hAnsi="Century" w:cs="FrankRuehl"/>
          <w:spacing w:val="10"/>
          <w:szCs w:val="28"/>
          <w:rtl/>
        </w:rPr>
        <w:t xml:space="preserve">– </w:t>
      </w:r>
      <w:r w:rsidRPr="00183075">
        <w:rPr>
          <w:rFonts w:ascii="Century" w:hAnsi="Century" w:cs="FrankRuehl" w:hint="eastAsia"/>
          <w:spacing w:val="10"/>
          <w:szCs w:val="28"/>
          <w:rtl/>
        </w:rPr>
        <w:t>המחזיקים</w:t>
      </w:r>
      <w:r w:rsidRPr="00183075">
        <w:rPr>
          <w:rFonts w:ascii="Century" w:hAnsi="Century" w:cs="FrankRuehl"/>
          <w:spacing w:val="10"/>
          <w:szCs w:val="28"/>
          <w:rtl/>
        </w:rPr>
        <w:t xml:space="preserve"> </w:t>
      </w:r>
      <w:r w:rsidRPr="00183075">
        <w:rPr>
          <w:rFonts w:ascii="Century" w:hAnsi="Century" w:cs="FrankRuehl" w:hint="eastAsia"/>
          <w:spacing w:val="10"/>
          <w:szCs w:val="28"/>
          <w:rtl/>
        </w:rPr>
        <w:t>בפועל</w:t>
      </w:r>
      <w:r w:rsidRPr="00183075">
        <w:rPr>
          <w:rFonts w:ascii="Century" w:hAnsi="Century" w:cs="FrankRuehl"/>
          <w:spacing w:val="10"/>
          <w:szCs w:val="28"/>
          <w:rtl/>
        </w:rPr>
        <w:t xml:space="preserve">, </w:t>
      </w:r>
      <w:r w:rsidRPr="00183075">
        <w:rPr>
          <w:rFonts w:ascii="Century" w:hAnsi="Century" w:cs="FrankRuehl" w:hint="eastAsia"/>
          <w:spacing w:val="10"/>
          <w:szCs w:val="28"/>
          <w:rtl/>
        </w:rPr>
        <w:t>תושבי</w:t>
      </w:r>
      <w:r w:rsidRPr="00183075">
        <w:rPr>
          <w:rFonts w:ascii="Century" w:hAnsi="Century" w:cs="FrankRuehl"/>
          <w:spacing w:val="10"/>
          <w:szCs w:val="28"/>
          <w:rtl/>
        </w:rPr>
        <w:t xml:space="preserve"> </w:t>
      </w:r>
      <w:r w:rsidRPr="00183075">
        <w:rPr>
          <w:rFonts w:ascii="Century" w:hAnsi="Century" w:cs="FrankRuehl" w:hint="eastAsia"/>
          <w:spacing w:val="10"/>
          <w:szCs w:val="28"/>
          <w:rtl/>
        </w:rPr>
        <w:t>מצפה</w:t>
      </w:r>
      <w:r w:rsidRPr="00183075">
        <w:rPr>
          <w:rFonts w:ascii="Century" w:hAnsi="Century" w:cs="FrankRuehl"/>
          <w:spacing w:val="10"/>
          <w:szCs w:val="28"/>
          <w:rtl/>
        </w:rPr>
        <w:t xml:space="preserve"> </w:t>
      </w:r>
      <w:r w:rsidRPr="00183075">
        <w:rPr>
          <w:rFonts w:ascii="Century" w:hAnsi="Century" w:cs="FrankRuehl" w:hint="eastAsia"/>
          <w:spacing w:val="10"/>
          <w:szCs w:val="28"/>
          <w:rtl/>
        </w:rPr>
        <w:t>כרמים</w:t>
      </w:r>
      <w:r w:rsidRPr="00183075">
        <w:rPr>
          <w:rFonts w:ascii="Century" w:hAnsi="Century" w:cs="FrankRuehl"/>
          <w:spacing w:val="10"/>
          <w:szCs w:val="28"/>
          <w:rtl/>
        </w:rPr>
        <w:t xml:space="preserve"> </w:t>
      </w:r>
      <w:r w:rsidRPr="00183075">
        <w:rPr>
          <w:rFonts w:ascii="Century" w:hAnsi="Century" w:cs="FrankRuehl" w:hint="eastAsia"/>
          <w:spacing w:val="10"/>
          <w:szCs w:val="28"/>
          <w:rtl/>
        </w:rPr>
        <w:t>אשר</w:t>
      </w:r>
      <w:r w:rsidRPr="00183075">
        <w:rPr>
          <w:rFonts w:ascii="Century" w:hAnsi="Century" w:cs="FrankRuehl"/>
          <w:spacing w:val="10"/>
          <w:szCs w:val="28"/>
          <w:rtl/>
        </w:rPr>
        <w:t xml:space="preserve"> </w:t>
      </w:r>
      <w:r w:rsidRPr="00183075">
        <w:rPr>
          <w:rFonts w:ascii="Century" w:hAnsi="Century" w:cs="FrankRuehl" w:hint="eastAsia"/>
          <w:spacing w:val="10"/>
          <w:szCs w:val="28"/>
          <w:rtl/>
        </w:rPr>
        <w:t>פעלו</w:t>
      </w:r>
      <w:r w:rsidRPr="00183075">
        <w:rPr>
          <w:rFonts w:ascii="Century" w:hAnsi="Century" w:cs="FrankRuehl"/>
          <w:spacing w:val="10"/>
          <w:szCs w:val="28"/>
          <w:rtl/>
        </w:rPr>
        <w:t xml:space="preserve"> </w:t>
      </w:r>
      <w:r w:rsidRPr="00183075">
        <w:rPr>
          <w:rFonts w:ascii="Century" w:hAnsi="Century" w:cs="FrankRuehl" w:hint="eastAsia"/>
          <w:spacing w:val="10"/>
          <w:szCs w:val="28"/>
          <w:rtl/>
        </w:rPr>
        <w:t>בהסתמך</w:t>
      </w:r>
      <w:r w:rsidRPr="00183075">
        <w:rPr>
          <w:rFonts w:ascii="Century" w:hAnsi="Century" w:cs="FrankRuehl"/>
          <w:spacing w:val="10"/>
          <w:szCs w:val="28"/>
          <w:rtl/>
        </w:rPr>
        <w:t xml:space="preserve"> </w:t>
      </w:r>
      <w:r w:rsidRPr="00183075">
        <w:rPr>
          <w:rFonts w:ascii="Century" w:hAnsi="Century" w:cs="FrankRuehl" w:hint="eastAsia"/>
          <w:spacing w:val="10"/>
          <w:szCs w:val="28"/>
          <w:rtl/>
        </w:rPr>
        <w:t>על</w:t>
      </w:r>
      <w:r w:rsidRPr="00183075">
        <w:rPr>
          <w:rFonts w:ascii="Century" w:hAnsi="Century" w:cs="FrankRuehl"/>
          <w:spacing w:val="10"/>
          <w:szCs w:val="28"/>
          <w:rtl/>
        </w:rPr>
        <w:t xml:space="preserve"> </w:t>
      </w:r>
      <w:r w:rsidRPr="00183075">
        <w:rPr>
          <w:rFonts w:ascii="Century" w:hAnsi="Century" w:cs="FrankRuehl" w:hint="eastAsia"/>
          <w:spacing w:val="10"/>
          <w:szCs w:val="28"/>
          <w:rtl/>
        </w:rPr>
        <w:t>התנהלותם</w:t>
      </w:r>
      <w:r w:rsidRPr="00183075">
        <w:rPr>
          <w:rFonts w:ascii="Century" w:hAnsi="Century" w:cs="FrankRuehl"/>
          <w:spacing w:val="10"/>
          <w:szCs w:val="28"/>
          <w:rtl/>
        </w:rPr>
        <w:t xml:space="preserve"> </w:t>
      </w:r>
      <w:r w:rsidRPr="00183075">
        <w:rPr>
          <w:rFonts w:ascii="Century" w:hAnsi="Century" w:cs="FrankRuehl" w:hint="eastAsia"/>
          <w:spacing w:val="10"/>
          <w:szCs w:val="28"/>
          <w:rtl/>
        </w:rPr>
        <w:t>של</w:t>
      </w:r>
      <w:r w:rsidRPr="00183075">
        <w:rPr>
          <w:rFonts w:ascii="Century" w:hAnsi="Century" w:cs="FrankRuehl"/>
          <w:spacing w:val="10"/>
          <w:szCs w:val="28"/>
          <w:rtl/>
        </w:rPr>
        <w:t xml:space="preserve"> </w:t>
      </w:r>
      <w:r w:rsidRPr="00183075">
        <w:rPr>
          <w:rFonts w:ascii="Century" w:hAnsi="Century" w:cs="FrankRuehl" w:hint="eastAsia"/>
          <w:spacing w:val="10"/>
          <w:szCs w:val="28"/>
          <w:rtl/>
        </w:rPr>
        <w:t>הממונה</w:t>
      </w:r>
      <w:r w:rsidRPr="00183075">
        <w:rPr>
          <w:rFonts w:ascii="Century" w:hAnsi="Century" w:cs="FrankRuehl"/>
          <w:spacing w:val="10"/>
          <w:szCs w:val="28"/>
          <w:rtl/>
        </w:rPr>
        <w:t xml:space="preserve">, </w:t>
      </w:r>
      <w:r w:rsidRPr="00183075">
        <w:rPr>
          <w:rFonts w:ascii="Century" w:hAnsi="Century" w:cs="FrankRuehl" w:hint="eastAsia"/>
          <w:spacing w:val="10"/>
          <w:szCs w:val="28"/>
          <w:rtl/>
        </w:rPr>
        <w:t>המפקד</w:t>
      </w:r>
      <w:r w:rsidRPr="00183075">
        <w:rPr>
          <w:rFonts w:ascii="Century" w:hAnsi="Century" w:cs="FrankRuehl"/>
          <w:spacing w:val="10"/>
          <w:szCs w:val="28"/>
          <w:rtl/>
        </w:rPr>
        <w:t xml:space="preserve"> </w:t>
      </w:r>
      <w:r w:rsidRPr="00183075">
        <w:rPr>
          <w:rFonts w:ascii="Century" w:hAnsi="Century" w:cs="FrankRuehl" w:hint="eastAsia"/>
          <w:spacing w:val="10"/>
          <w:szCs w:val="28"/>
          <w:rtl/>
        </w:rPr>
        <w:t>הצבאי</w:t>
      </w:r>
      <w:r w:rsidRPr="00183075">
        <w:rPr>
          <w:rFonts w:ascii="Century" w:hAnsi="Century" w:cs="FrankRuehl"/>
          <w:spacing w:val="10"/>
          <w:szCs w:val="28"/>
          <w:rtl/>
        </w:rPr>
        <w:t xml:space="preserve"> </w:t>
      </w:r>
      <w:r w:rsidRPr="00183075">
        <w:rPr>
          <w:rFonts w:ascii="Century" w:hAnsi="Century" w:cs="FrankRuehl" w:hint="eastAsia"/>
          <w:spacing w:val="10"/>
          <w:szCs w:val="28"/>
          <w:rtl/>
        </w:rPr>
        <w:t>וההסתדרות</w:t>
      </w:r>
      <w:r w:rsidRPr="00183075">
        <w:rPr>
          <w:rFonts w:ascii="Century" w:hAnsi="Century" w:cs="FrankRuehl"/>
          <w:spacing w:val="10"/>
          <w:szCs w:val="28"/>
          <w:rtl/>
        </w:rPr>
        <w:t xml:space="preserve">. </w:t>
      </w:r>
      <w:r w:rsidRPr="00183075">
        <w:rPr>
          <w:rFonts w:ascii="Century" w:hAnsi="Century" w:cs="FrankRuehl" w:hint="eastAsia"/>
          <w:spacing w:val="10"/>
          <w:szCs w:val="28"/>
          <w:rtl/>
        </w:rPr>
        <w:t>הדברים</w:t>
      </w:r>
      <w:r w:rsidRPr="00183075">
        <w:rPr>
          <w:rFonts w:ascii="Century" w:hAnsi="Century" w:cs="FrankRuehl"/>
          <w:spacing w:val="10"/>
          <w:szCs w:val="28"/>
          <w:rtl/>
        </w:rPr>
        <w:t xml:space="preserve"> </w:t>
      </w:r>
      <w:r w:rsidRPr="00183075">
        <w:rPr>
          <w:rFonts w:ascii="Century" w:hAnsi="Century" w:cs="FrankRuehl" w:hint="eastAsia"/>
          <w:spacing w:val="10"/>
          <w:szCs w:val="28"/>
          <w:rtl/>
        </w:rPr>
        <w:t>הובהרו</w:t>
      </w:r>
      <w:r w:rsidRPr="00183075">
        <w:rPr>
          <w:rFonts w:ascii="Century" w:hAnsi="Century" w:cs="FrankRuehl"/>
          <w:spacing w:val="10"/>
          <w:szCs w:val="28"/>
          <w:rtl/>
        </w:rPr>
        <w:t xml:space="preserve"> </w:t>
      </w:r>
      <w:r w:rsidRPr="00183075">
        <w:rPr>
          <w:rFonts w:ascii="Century" w:hAnsi="Century" w:cs="FrankRuehl" w:hint="eastAsia"/>
          <w:spacing w:val="10"/>
          <w:szCs w:val="28"/>
          <w:rtl/>
        </w:rPr>
        <w:t>אף</w:t>
      </w:r>
      <w:r w:rsidRPr="00183075">
        <w:rPr>
          <w:rFonts w:ascii="Century" w:hAnsi="Century" w:cs="FrankRuehl"/>
          <w:spacing w:val="10"/>
          <w:szCs w:val="28"/>
          <w:rtl/>
        </w:rPr>
        <w:t xml:space="preserve"> </w:t>
      </w:r>
      <w:r w:rsidRPr="00183075">
        <w:rPr>
          <w:rFonts w:ascii="Century" w:hAnsi="Century" w:cs="FrankRuehl" w:hint="eastAsia"/>
          <w:spacing w:val="10"/>
          <w:szCs w:val="28"/>
          <w:rtl/>
        </w:rPr>
        <w:t>בהדגשתו</w:t>
      </w:r>
      <w:r w:rsidRPr="00183075">
        <w:rPr>
          <w:rFonts w:ascii="Century" w:hAnsi="Century" w:cs="FrankRuehl"/>
          <w:spacing w:val="10"/>
          <w:szCs w:val="28"/>
          <w:rtl/>
        </w:rPr>
        <w:t xml:space="preserve"> </w:t>
      </w:r>
      <w:r w:rsidRPr="00183075">
        <w:rPr>
          <w:rFonts w:ascii="Century" w:hAnsi="Century" w:cs="FrankRuehl" w:hint="eastAsia"/>
          <w:spacing w:val="10"/>
          <w:szCs w:val="28"/>
          <w:rtl/>
        </w:rPr>
        <w:t>של</w:t>
      </w:r>
      <w:r w:rsidRPr="00183075">
        <w:rPr>
          <w:rFonts w:ascii="Century" w:hAnsi="Century" w:cs="FrankRuehl"/>
          <w:spacing w:val="10"/>
          <w:szCs w:val="28"/>
          <w:rtl/>
        </w:rPr>
        <w:t xml:space="preserve"> </w:t>
      </w:r>
      <w:r w:rsidRPr="00183075">
        <w:rPr>
          <w:rFonts w:ascii="Century" w:hAnsi="Century" w:cs="FrankRuehl" w:hint="eastAsia"/>
          <w:spacing w:val="10"/>
          <w:szCs w:val="28"/>
          <w:rtl/>
        </w:rPr>
        <w:t>חברי</w:t>
      </w:r>
      <w:r w:rsidRPr="00183075">
        <w:rPr>
          <w:rFonts w:ascii="Century" w:hAnsi="Century" w:cs="FrankRuehl"/>
          <w:spacing w:val="10"/>
          <w:szCs w:val="28"/>
          <w:rtl/>
        </w:rPr>
        <w:t xml:space="preserve"> </w:t>
      </w:r>
      <w:r w:rsidRPr="00183075">
        <w:rPr>
          <w:rFonts w:ascii="Century" w:hAnsi="Century" w:cs="FrankRuehl" w:hint="eastAsia"/>
          <w:spacing w:val="10"/>
          <w:szCs w:val="28"/>
          <w:rtl/>
        </w:rPr>
        <w:t>המשנה</w:t>
      </w:r>
      <w:r w:rsidRPr="00183075">
        <w:rPr>
          <w:rFonts w:ascii="Century" w:hAnsi="Century" w:cs="FrankRuehl"/>
          <w:spacing w:val="10"/>
          <w:szCs w:val="28"/>
          <w:rtl/>
        </w:rPr>
        <w:t xml:space="preserve"> </w:t>
      </w:r>
      <w:r w:rsidRPr="00183075">
        <w:rPr>
          <w:rFonts w:ascii="Century" w:hAnsi="Century" w:cs="FrankRuehl" w:hint="eastAsia"/>
          <w:spacing w:val="10"/>
          <w:szCs w:val="28"/>
          <w:rtl/>
        </w:rPr>
        <w:t>לנשיאה</w:t>
      </w:r>
      <w:r w:rsidRPr="00183075">
        <w:rPr>
          <w:rFonts w:ascii="Century" w:hAnsi="Century" w:cs="FrankRuehl"/>
          <w:spacing w:val="10"/>
          <w:szCs w:val="28"/>
          <w:rtl/>
        </w:rPr>
        <w:t xml:space="preserve"> </w:t>
      </w:r>
      <w:r w:rsidRPr="00183075">
        <w:rPr>
          <w:rFonts w:ascii="Century" w:hAnsi="Century" w:cs="FrankRuehl" w:hint="cs"/>
          <w:spacing w:val="10"/>
          <w:szCs w:val="28"/>
          <w:rtl/>
        </w:rPr>
        <w:t>בשולי פסק דינו כי "המחזיקים הם לא צד ל'עסקה' שנמצאת במוקד הדיון הנוסף (אלא ההסתדרות הציונית והממונה)" (פסקה 101 לפסק דינו</w:t>
      </w:r>
      <w:r>
        <w:rPr>
          <w:rFonts w:ascii="Century" w:hAnsi="Century" w:cs="FrankRuehl" w:hint="cs"/>
          <w:spacing w:val="10"/>
          <w:szCs w:val="28"/>
          <w:rtl/>
        </w:rPr>
        <w:t xml:space="preserve">. ראו גם: פסקה 4 לפסק דינה של חברתי השופטת </w:t>
      </w:r>
      <w:r w:rsidRPr="00863E02">
        <w:rPr>
          <w:rFonts w:ascii="Century" w:hAnsi="Century" w:cs="Miriam" w:hint="eastAsia"/>
          <w:b/>
          <w:rtl/>
        </w:rPr>
        <w:t>ע</w:t>
      </w:r>
      <w:r w:rsidRPr="00863E02">
        <w:rPr>
          <w:rFonts w:ascii="Century" w:hAnsi="Century" w:cs="Miriam"/>
          <w:b/>
          <w:rtl/>
        </w:rPr>
        <w:t>'</w:t>
      </w:r>
      <w:r w:rsidRPr="00867997">
        <w:rPr>
          <w:rFonts w:ascii="Century" w:hAnsi="Century" w:cs="FrankRuehl" w:hint="cs"/>
          <w:spacing w:val="10"/>
          <w:szCs w:val="28"/>
          <w:rtl/>
        </w:rPr>
        <w:t xml:space="preserve"> </w:t>
      </w:r>
      <w:r w:rsidRPr="00863E02">
        <w:rPr>
          <w:rFonts w:ascii="Century" w:hAnsi="Century" w:cs="Miriam" w:hint="eastAsia"/>
          <w:b/>
          <w:rtl/>
        </w:rPr>
        <w:t>ברון</w:t>
      </w:r>
      <w:r w:rsidRPr="00183075">
        <w:rPr>
          <w:rFonts w:ascii="Century" w:hAnsi="Century" w:cs="FrankRuehl" w:hint="cs"/>
          <w:spacing w:val="10"/>
          <w:szCs w:val="28"/>
          <w:rtl/>
        </w:rPr>
        <w:t>).</w:t>
      </w:r>
      <w:r>
        <w:rPr>
          <w:rFonts w:ascii="Century" w:hAnsi="Century" w:cs="FrankRuehl" w:hint="cs"/>
          <w:spacing w:val="10"/>
          <w:szCs w:val="28"/>
          <w:rtl/>
        </w:rPr>
        <w:t xml:space="preserve"> </w:t>
      </w:r>
    </w:p>
    <w:p w:rsidR="005B1A77" w:rsidRDefault="005B1A77" w:rsidP="005B1A77">
      <w:pPr>
        <w:spacing w:line="360" w:lineRule="auto"/>
        <w:jc w:val="both"/>
        <w:rPr>
          <w:rFonts w:ascii="Century" w:hAnsi="Century" w:cs="FrankRuehl"/>
          <w:spacing w:val="10"/>
          <w:szCs w:val="28"/>
          <w:rtl/>
        </w:rPr>
      </w:pPr>
    </w:p>
    <w:p w:rsidR="005B1A77" w:rsidRPr="00716345" w:rsidRDefault="005B1A77" w:rsidP="00DB19B0">
      <w:pPr>
        <w:spacing w:line="360" w:lineRule="auto"/>
        <w:jc w:val="both"/>
        <w:rPr>
          <w:rFonts w:ascii="Century" w:hAnsi="Century" w:cs="FrankRuehl"/>
          <w:spacing w:val="10"/>
          <w:szCs w:val="28"/>
          <w:rtl/>
        </w:rPr>
      </w:pPr>
      <w:r>
        <w:rPr>
          <w:rFonts w:ascii="Century" w:hAnsi="Century" w:cs="FrankRuehl" w:hint="cs"/>
          <w:spacing w:val="10"/>
          <w:szCs w:val="28"/>
          <w:rtl/>
        </w:rPr>
        <w:t>13</w:t>
      </w:r>
      <w:r w:rsidRPr="00183075">
        <w:rPr>
          <w:rFonts w:ascii="Century" w:hAnsi="Century" w:cs="FrankRuehl" w:hint="cs"/>
          <w:spacing w:val="10"/>
          <w:szCs w:val="28"/>
          <w:rtl/>
        </w:rPr>
        <w:t>.</w:t>
      </w:r>
      <w:r w:rsidRPr="00183075">
        <w:rPr>
          <w:rFonts w:ascii="Century" w:hAnsi="Century" w:cs="FrankRuehl" w:hint="cs"/>
          <w:spacing w:val="10"/>
          <w:szCs w:val="28"/>
          <w:rtl/>
        </w:rPr>
        <w:tab/>
        <w:t xml:space="preserve">מנקודת מבטי, גישה פרשנית זו אינה מבטאת נכונה את תכליתו של ההסדר שבפנינו. לשיטתי, קיים קושי ממשי בהכרה בהסתדרות הציונית, כשלעצמה, כמי שמהווה "אדם אחר" כדרישת סעיף 5 לצו. לצורך בחינת קיומה של </w:t>
      </w:r>
      <w:r w:rsidRPr="00183075">
        <w:rPr>
          <w:rFonts w:ascii="Century" w:hAnsi="Century" w:cs="Miriam" w:hint="eastAsia"/>
          <w:b/>
          <w:rtl/>
        </w:rPr>
        <w:t>עסקה</w:t>
      </w:r>
      <w:r w:rsidRPr="00183075">
        <w:rPr>
          <w:rFonts w:ascii="Century" w:hAnsi="Century" w:cs="FrankRuehl" w:hint="cs"/>
          <w:spacing w:val="10"/>
          <w:szCs w:val="28"/>
          <w:rtl/>
        </w:rPr>
        <w:t xml:space="preserve"> לעניין סעיף זה, כמו גם בהקשר של יתר התנאים המנויים בו, </w:t>
      </w:r>
      <w:r w:rsidRPr="00183075">
        <w:rPr>
          <w:rFonts w:ascii="Century" w:hAnsi="Century" w:cs="FrankRuehl" w:hint="eastAsia"/>
          <w:spacing w:val="10"/>
          <w:szCs w:val="28"/>
          <w:rtl/>
        </w:rPr>
        <w:t>לא</w:t>
      </w:r>
      <w:r w:rsidRPr="00183075">
        <w:rPr>
          <w:rFonts w:ascii="Century" w:hAnsi="Century" w:cs="FrankRuehl"/>
          <w:spacing w:val="10"/>
          <w:szCs w:val="28"/>
          <w:rtl/>
        </w:rPr>
        <w:t xml:space="preserve"> </w:t>
      </w:r>
      <w:r w:rsidRPr="00183075">
        <w:rPr>
          <w:rFonts w:ascii="Century" w:hAnsi="Century" w:cs="FrankRuehl" w:hint="eastAsia"/>
          <w:spacing w:val="10"/>
          <w:szCs w:val="28"/>
          <w:rtl/>
        </w:rPr>
        <w:t>ניתן</w:t>
      </w:r>
      <w:r w:rsidRPr="00183075">
        <w:rPr>
          <w:rFonts w:ascii="Century" w:hAnsi="Century" w:cs="FrankRuehl"/>
          <w:spacing w:val="10"/>
          <w:szCs w:val="28"/>
          <w:rtl/>
        </w:rPr>
        <w:t xml:space="preserve"> </w:t>
      </w:r>
      <w:r w:rsidRPr="00183075">
        <w:rPr>
          <w:rFonts w:ascii="Century" w:hAnsi="Century" w:cs="FrankRuehl" w:hint="eastAsia"/>
          <w:spacing w:val="10"/>
          <w:szCs w:val="28"/>
          <w:rtl/>
        </w:rPr>
        <w:t>להסתפק</w:t>
      </w:r>
      <w:r w:rsidRPr="00183075">
        <w:rPr>
          <w:rFonts w:ascii="Century" w:hAnsi="Century" w:cs="FrankRuehl"/>
          <w:spacing w:val="10"/>
          <w:szCs w:val="28"/>
          <w:rtl/>
        </w:rPr>
        <w:t xml:space="preserve"> </w:t>
      </w:r>
      <w:r w:rsidRPr="00183075">
        <w:rPr>
          <w:rFonts w:ascii="Century" w:hAnsi="Century" w:cs="FrankRuehl" w:hint="eastAsia"/>
          <w:spacing w:val="10"/>
          <w:szCs w:val="28"/>
          <w:rtl/>
        </w:rPr>
        <w:t>בבחינה</w:t>
      </w:r>
      <w:r w:rsidRPr="00183075">
        <w:rPr>
          <w:rFonts w:ascii="Century" w:hAnsi="Century" w:cs="FrankRuehl"/>
          <w:spacing w:val="10"/>
          <w:szCs w:val="28"/>
          <w:rtl/>
        </w:rPr>
        <w:t xml:space="preserve"> </w:t>
      </w:r>
      <w:r w:rsidRPr="00183075">
        <w:rPr>
          <w:rFonts w:ascii="Century" w:hAnsi="Century" w:cs="FrankRuehl" w:hint="eastAsia"/>
          <w:spacing w:val="10"/>
          <w:szCs w:val="28"/>
          <w:rtl/>
        </w:rPr>
        <w:t>של</w:t>
      </w:r>
      <w:r w:rsidRPr="00183075">
        <w:rPr>
          <w:rFonts w:ascii="Century" w:hAnsi="Century" w:cs="FrankRuehl"/>
          <w:spacing w:val="10"/>
          <w:szCs w:val="28"/>
          <w:rtl/>
        </w:rPr>
        <w:t xml:space="preserve"> מערכת היחסים בין הממונה ל</w:t>
      </w:r>
      <w:r w:rsidRPr="00183075">
        <w:rPr>
          <w:rFonts w:ascii="Century" w:hAnsi="Century" w:cs="FrankRuehl" w:hint="eastAsia"/>
          <w:spacing w:val="10"/>
          <w:szCs w:val="28"/>
          <w:rtl/>
        </w:rPr>
        <w:t>גוף</w:t>
      </w:r>
      <w:r w:rsidRPr="00183075">
        <w:rPr>
          <w:rFonts w:ascii="Century" w:hAnsi="Century" w:cs="FrankRuehl"/>
          <w:spacing w:val="10"/>
          <w:szCs w:val="28"/>
          <w:rtl/>
        </w:rPr>
        <w:t xml:space="preserve"> </w:t>
      </w:r>
      <w:r w:rsidRPr="00183075">
        <w:rPr>
          <w:rFonts w:ascii="Century" w:hAnsi="Century" w:cs="FrankRuehl" w:hint="eastAsia"/>
          <w:spacing w:val="10"/>
          <w:szCs w:val="28"/>
          <w:rtl/>
        </w:rPr>
        <w:t>המיישב</w:t>
      </w:r>
      <w:r w:rsidRPr="00183075">
        <w:rPr>
          <w:rFonts w:ascii="Century" w:hAnsi="Century" w:cs="FrankRuehl"/>
          <w:spacing w:val="10"/>
          <w:szCs w:val="28"/>
          <w:rtl/>
        </w:rPr>
        <w:t xml:space="preserve"> </w:t>
      </w:r>
      <w:r w:rsidRPr="00183075">
        <w:rPr>
          <w:rFonts w:ascii="Century" w:hAnsi="Century" w:cs="FrankRuehl" w:hint="eastAsia"/>
          <w:spacing w:val="10"/>
          <w:szCs w:val="28"/>
          <w:rtl/>
        </w:rPr>
        <w:t>לבדו</w:t>
      </w:r>
      <w:r w:rsidRPr="00183075">
        <w:rPr>
          <w:rFonts w:ascii="Century" w:hAnsi="Century" w:cs="FrankRuehl"/>
          <w:spacing w:val="10"/>
          <w:szCs w:val="28"/>
          <w:rtl/>
        </w:rPr>
        <w:t xml:space="preserve">, </w:t>
      </w:r>
      <w:r w:rsidRPr="00183075">
        <w:rPr>
          <w:rFonts w:ascii="Century" w:hAnsi="Century" w:cs="FrankRuehl" w:hint="eastAsia"/>
          <w:spacing w:val="10"/>
          <w:szCs w:val="28"/>
          <w:rtl/>
        </w:rPr>
        <w:t>אלא</w:t>
      </w:r>
      <w:r w:rsidRPr="00183075">
        <w:rPr>
          <w:rFonts w:ascii="Century" w:hAnsi="Century" w:cs="FrankRuehl"/>
          <w:spacing w:val="10"/>
          <w:szCs w:val="28"/>
          <w:rtl/>
        </w:rPr>
        <w:t xml:space="preserve"> </w:t>
      </w:r>
      <w:r w:rsidRPr="00183075">
        <w:rPr>
          <w:rFonts w:ascii="Century" w:hAnsi="Century" w:cs="FrankRuehl" w:hint="eastAsia"/>
          <w:spacing w:val="10"/>
          <w:szCs w:val="28"/>
          <w:rtl/>
        </w:rPr>
        <w:t>יש</w:t>
      </w:r>
      <w:r w:rsidRPr="00183075">
        <w:rPr>
          <w:rFonts w:ascii="Century" w:hAnsi="Century" w:cs="FrankRuehl"/>
          <w:spacing w:val="10"/>
          <w:szCs w:val="28"/>
          <w:rtl/>
        </w:rPr>
        <w:t xml:space="preserve"> הכרח </w:t>
      </w:r>
      <w:r w:rsidRPr="00183075">
        <w:rPr>
          <w:rFonts w:ascii="Century" w:hAnsi="Century" w:cs="FrankRuehl" w:hint="eastAsia"/>
          <w:spacing w:val="10"/>
          <w:szCs w:val="28"/>
          <w:rtl/>
        </w:rPr>
        <w:t>לבחון</w:t>
      </w:r>
      <w:r w:rsidRPr="00183075">
        <w:rPr>
          <w:rFonts w:ascii="Century" w:hAnsi="Century" w:cs="FrankRuehl"/>
          <w:spacing w:val="10"/>
          <w:szCs w:val="28"/>
          <w:rtl/>
        </w:rPr>
        <w:t xml:space="preserve"> במיוחד </w:t>
      </w:r>
      <w:r w:rsidRPr="00183075">
        <w:rPr>
          <w:rFonts w:ascii="Century" w:hAnsi="Century" w:cs="FrankRuehl" w:hint="eastAsia"/>
          <w:spacing w:val="10"/>
          <w:szCs w:val="28"/>
          <w:rtl/>
        </w:rPr>
        <w:t>דווקא</w:t>
      </w:r>
      <w:r w:rsidRPr="00183075">
        <w:rPr>
          <w:rFonts w:ascii="Century" w:hAnsi="Century" w:cs="FrankRuehl"/>
          <w:spacing w:val="10"/>
          <w:szCs w:val="28"/>
          <w:rtl/>
        </w:rPr>
        <w:t xml:space="preserve"> </w:t>
      </w:r>
      <w:r w:rsidRPr="00183075">
        <w:rPr>
          <w:rFonts w:ascii="Century" w:hAnsi="Century" w:cs="FrankRuehl" w:hint="eastAsia"/>
          <w:spacing w:val="10"/>
          <w:szCs w:val="28"/>
          <w:rtl/>
        </w:rPr>
        <w:t>את</w:t>
      </w:r>
      <w:r w:rsidRPr="00183075">
        <w:rPr>
          <w:rFonts w:ascii="Century" w:hAnsi="Century" w:cs="FrankRuehl"/>
          <w:spacing w:val="10"/>
          <w:szCs w:val="28"/>
          <w:rtl/>
        </w:rPr>
        <w:t xml:space="preserve"> </w:t>
      </w:r>
      <w:r w:rsidRPr="00183075">
        <w:rPr>
          <w:rFonts w:ascii="Century" w:hAnsi="Century" w:cs="FrankRuehl" w:hint="eastAsia"/>
          <w:spacing w:val="10"/>
          <w:szCs w:val="28"/>
          <w:rtl/>
        </w:rPr>
        <w:t>חוליות</w:t>
      </w:r>
      <w:r w:rsidRPr="00183075">
        <w:rPr>
          <w:rFonts w:ascii="Century" w:hAnsi="Century" w:cs="FrankRuehl"/>
          <w:spacing w:val="10"/>
          <w:szCs w:val="28"/>
          <w:rtl/>
        </w:rPr>
        <w:t xml:space="preserve"> </w:t>
      </w:r>
      <w:r w:rsidRPr="00183075">
        <w:rPr>
          <w:rFonts w:ascii="Century" w:hAnsi="Century" w:cs="FrankRuehl" w:hint="eastAsia"/>
          <w:spacing w:val="10"/>
          <w:szCs w:val="28"/>
          <w:rtl/>
        </w:rPr>
        <w:t>ההסתמכות</w:t>
      </w:r>
      <w:r w:rsidRPr="00183075">
        <w:rPr>
          <w:rFonts w:ascii="Century" w:hAnsi="Century" w:cs="FrankRuehl"/>
          <w:spacing w:val="10"/>
          <w:szCs w:val="28"/>
          <w:rtl/>
        </w:rPr>
        <w:t xml:space="preserve"> </w:t>
      </w:r>
      <w:r w:rsidRPr="00183075">
        <w:rPr>
          <w:rFonts w:ascii="Century" w:hAnsi="Century" w:cs="FrankRuehl" w:hint="eastAsia"/>
          <w:spacing w:val="10"/>
          <w:szCs w:val="28"/>
          <w:rtl/>
        </w:rPr>
        <w:t>הבאות</w:t>
      </w:r>
      <w:r w:rsidRPr="00183075">
        <w:rPr>
          <w:rFonts w:ascii="Century" w:hAnsi="Century" w:cs="FrankRuehl"/>
          <w:spacing w:val="10"/>
          <w:szCs w:val="28"/>
          <w:rtl/>
        </w:rPr>
        <w:t xml:space="preserve">. במובן זה, </w:t>
      </w:r>
      <w:r w:rsidRPr="00183075">
        <w:rPr>
          <w:rFonts w:ascii="Century" w:hAnsi="Century" w:cs="FrankRuehl" w:hint="eastAsia"/>
          <w:spacing w:val="10"/>
          <w:szCs w:val="28"/>
          <w:rtl/>
        </w:rPr>
        <w:t>אני</w:t>
      </w:r>
      <w:r w:rsidRPr="00183075">
        <w:rPr>
          <w:rFonts w:ascii="Century" w:hAnsi="Century" w:cs="FrankRuehl"/>
          <w:spacing w:val="10"/>
          <w:szCs w:val="28"/>
          <w:rtl/>
        </w:rPr>
        <w:t xml:space="preserve"> מסכימה </w:t>
      </w:r>
      <w:r w:rsidRPr="00183075">
        <w:rPr>
          <w:rFonts w:ascii="Century" w:hAnsi="Century" w:cs="FrankRuehl" w:hint="eastAsia"/>
          <w:spacing w:val="10"/>
          <w:szCs w:val="28"/>
          <w:rtl/>
        </w:rPr>
        <w:t>להטעמתו</w:t>
      </w:r>
      <w:r w:rsidRPr="00183075">
        <w:rPr>
          <w:rFonts w:ascii="Century" w:hAnsi="Century" w:cs="FrankRuehl"/>
          <w:spacing w:val="10"/>
          <w:szCs w:val="28"/>
          <w:rtl/>
        </w:rPr>
        <w:t xml:space="preserve"> </w:t>
      </w:r>
      <w:r w:rsidRPr="00183075">
        <w:rPr>
          <w:rFonts w:ascii="Century" w:hAnsi="Century" w:cs="FrankRuehl" w:hint="eastAsia"/>
          <w:spacing w:val="10"/>
          <w:szCs w:val="28"/>
          <w:rtl/>
        </w:rPr>
        <w:t>של</w:t>
      </w:r>
      <w:r w:rsidRPr="00183075">
        <w:rPr>
          <w:rFonts w:ascii="Century" w:hAnsi="Century" w:cs="FrankRuehl"/>
          <w:spacing w:val="10"/>
          <w:szCs w:val="28"/>
          <w:rtl/>
        </w:rPr>
        <w:t xml:space="preserve"> </w:t>
      </w:r>
      <w:r w:rsidRPr="00183075">
        <w:rPr>
          <w:rFonts w:ascii="Century" w:hAnsi="Century" w:cs="FrankRuehl" w:hint="eastAsia"/>
          <w:spacing w:val="10"/>
          <w:szCs w:val="28"/>
          <w:rtl/>
        </w:rPr>
        <w:t>חברי</w:t>
      </w:r>
      <w:r w:rsidRPr="00183075">
        <w:rPr>
          <w:rFonts w:ascii="Century" w:hAnsi="Century" w:cs="FrankRuehl"/>
          <w:spacing w:val="10"/>
          <w:szCs w:val="28"/>
          <w:rtl/>
        </w:rPr>
        <w:t xml:space="preserve"> השופט </w:t>
      </w:r>
      <w:r w:rsidRPr="00183075">
        <w:rPr>
          <w:rFonts w:ascii="Century" w:hAnsi="Century" w:cs="Miriam" w:hint="eastAsia"/>
          <w:b/>
          <w:rtl/>
        </w:rPr>
        <w:t>סולברג</w:t>
      </w:r>
      <w:r w:rsidRPr="00183075">
        <w:rPr>
          <w:rFonts w:ascii="Century" w:hAnsi="Century" w:cs="FrankRuehl"/>
          <w:spacing w:val="10"/>
          <w:szCs w:val="28"/>
          <w:rtl/>
        </w:rPr>
        <w:t xml:space="preserve">, כי יש להתייחס אל </w:t>
      </w:r>
      <w:r w:rsidRPr="00183075">
        <w:rPr>
          <w:rFonts w:ascii="Century" w:hAnsi="Century" w:cs="FrankRuehl" w:hint="eastAsia"/>
          <w:spacing w:val="10"/>
          <w:szCs w:val="28"/>
          <w:rtl/>
        </w:rPr>
        <w:t>המחזיקים</w:t>
      </w:r>
      <w:r w:rsidRPr="00183075">
        <w:rPr>
          <w:rFonts w:ascii="Century" w:hAnsi="Century" w:cs="FrankRuehl"/>
          <w:spacing w:val="10"/>
          <w:szCs w:val="28"/>
          <w:rtl/>
        </w:rPr>
        <w:t xml:space="preserve"> </w:t>
      </w:r>
      <w:r w:rsidRPr="00183075">
        <w:rPr>
          <w:rFonts w:ascii="Century" w:hAnsi="Century" w:cs="FrankRuehl" w:hint="eastAsia"/>
          <w:spacing w:val="10"/>
          <w:szCs w:val="28"/>
          <w:rtl/>
        </w:rPr>
        <w:t>כאל</w:t>
      </w:r>
      <w:r w:rsidRPr="00183075">
        <w:rPr>
          <w:rFonts w:ascii="Century" w:hAnsi="Century" w:cs="FrankRuehl"/>
          <w:spacing w:val="10"/>
          <w:szCs w:val="28"/>
          <w:rtl/>
        </w:rPr>
        <w:t xml:space="preserve"> "'הצד </w:t>
      </w:r>
      <w:r w:rsidRPr="00183075">
        <w:rPr>
          <w:rFonts w:ascii="Century" w:hAnsi="Century" w:cs="FrankRuehl" w:hint="eastAsia"/>
          <w:spacing w:val="10"/>
          <w:szCs w:val="28"/>
          <w:rtl/>
        </w:rPr>
        <w:t>האמיתי</w:t>
      </w:r>
      <w:r w:rsidRPr="00183075">
        <w:rPr>
          <w:rFonts w:ascii="Century" w:hAnsi="Century" w:cs="FrankRuehl"/>
          <w:spacing w:val="10"/>
          <w:szCs w:val="28"/>
          <w:rtl/>
        </w:rPr>
        <w:t xml:space="preserve">' </w:t>
      </w:r>
      <w:r w:rsidRPr="00183075">
        <w:rPr>
          <w:rFonts w:ascii="Century" w:hAnsi="Century" w:cs="FrankRuehl" w:hint="eastAsia"/>
          <w:spacing w:val="10"/>
          <w:szCs w:val="28"/>
          <w:rtl/>
        </w:rPr>
        <w:t>בהתנגשות</w:t>
      </w:r>
      <w:r w:rsidRPr="00183075">
        <w:rPr>
          <w:rFonts w:ascii="Century" w:hAnsi="Century" w:cs="FrankRuehl"/>
          <w:spacing w:val="10"/>
          <w:szCs w:val="28"/>
          <w:rtl/>
        </w:rPr>
        <w:t xml:space="preserve"> </w:t>
      </w:r>
      <w:r w:rsidRPr="00183075">
        <w:rPr>
          <w:rFonts w:ascii="Century" w:hAnsi="Century" w:cs="FrankRuehl" w:hint="eastAsia"/>
          <w:spacing w:val="10"/>
          <w:szCs w:val="28"/>
          <w:rtl/>
        </w:rPr>
        <w:t>הזכויות</w:t>
      </w:r>
      <w:r w:rsidRPr="00183075">
        <w:rPr>
          <w:rFonts w:ascii="Century" w:hAnsi="Century" w:cs="FrankRuehl"/>
          <w:spacing w:val="10"/>
          <w:szCs w:val="28"/>
          <w:rtl/>
        </w:rPr>
        <w:t xml:space="preserve"> </w:t>
      </w:r>
      <w:r w:rsidRPr="00183075">
        <w:rPr>
          <w:rFonts w:ascii="Century" w:hAnsi="Century" w:cs="FrankRuehl" w:hint="eastAsia"/>
          <w:spacing w:val="10"/>
          <w:szCs w:val="28"/>
          <w:rtl/>
        </w:rPr>
        <w:t>ש</w:t>
      </w:r>
      <w:r>
        <w:rPr>
          <w:rFonts w:ascii="Century" w:hAnsi="Century" w:cs="FrankRuehl" w:hint="cs"/>
          <w:spacing w:val="10"/>
          <w:szCs w:val="28"/>
          <w:rtl/>
        </w:rPr>
        <w:t>ל</w:t>
      </w:r>
      <w:r w:rsidRPr="00183075">
        <w:rPr>
          <w:rFonts w:ascii="Century" w:hAnsi="Century" w:cs="FrankRuehl" w:hint="eastAsia"/>
          <w:spacing w:val="10"/>
          <w:szCs w:val="28"/>
          <w:rtl/>
        </w:rPr>
        <w:t>פנינו</w:t>
      </w:r>
      <w:r w:rsidRPr="00183075">
        <w:rPr>
          <w:rFonts w:ascii="Century" w:hAnsi="Century" w:cs="FrankRuehl"/>
          <w:spacing w:val="10"/>
          <w:szCs w:val="28"/>
          <w:rtl/>
        </w:rPr>
        <w:t xml:space="preserve">" (פסקה </w:t>
      </w:r>
      <w:r w:rsidR="00DB19B0">
        <w:rPr>
          <w:rFonts w:ascii="Century" w:hAnsi="Century" w:cs="FrankRuehl" w:hint="cs"/>
          <w:spacing w:val="10"/>
          <w:szCs w:val="28"/>
          <w:rtl/>
        </w:rPr>
        <w:t>99</w:t>
      </w:r>
      <w:r w:rsidRPr="00183075">
        <w:rPr>
          <w:rFonts w:ascii="Century" w:hAnsi="Century" w:cs="FrankRuehl"/>
          <w:spacing w:val="10"/>
          <w:szCs w:val="28"/>
          <w:rtl/>
        </w:rPr>
        <w:t xml:space="preserve"> </w:t>
      </w:r>
      <w:r w:rsidRPr="00183075">
        <w:rPr>
          <w:rFonts w:ascii="Century" w:hAnsi="Century" w:cs="FrankRuehl" w:hint="eastAsia"/>
          <w:spacing w:val="10"/>
          <w:szCs w:val="28"/>
          <w:rtl/>
        </w:rPr>
        <w:t>לפסק</w:t>
      </w:r>
      <w:r w:rsidRPr="00183075">
        <w:rPr>
          <w:rFonts w:ascii="Century" w:hAnsi="Century" w:cs="FrankRuehl"/>
          <w:spacing w:val="10"/>
          <w:szCs w:val="28"/>
          <w:rtl/>
        </w:rPr>
        <w:t xml:space="preserve"> </w:t>
      </w:r>
      <w:r w:rsidRPr="00183075">
        <w:rPr>
          <w:rFonts w:ascii="Century" w:hAnsi="Century" w:cs="FrankRuehl" w:hint="eastAsia"/>
          <w:spacing w:val="10"/>
          <w:szCs w:val="28"/>
          <w:rtl/>
        </w:rPr>
        <w:t>דינו</w:t>
      </w:r>
      <w:r w:rsidRPr="00183075">
        <w:rPr>
          <w:rFonts w:ascii="Century" w:hAnsi="Century" w:cs="FrankRuehl"/>
          <w:spacing w:val="10"/>
          <w:szCs w:val="28"/>
          <w:rtl/>
        </w:rPr>
        <w:t>)</w:t>
      </w:r>
      <w:r>
        <w:rPr>
          <w:rFonts w:ascii="Century" w:hAnsi="Century" w:cs="FrankRuehl"/>
          <w:spacing w:val="10"/>
          <w:szCs w:val="28"/>
          <w:rtl/>
        </w:rPr>
        <w:t xml:space="preserve"> –</w:t>
      </w:r>
      <w:r w:rsidRPr="00183075">
        <w:rPr>
          <w:rFonts w:ascii="Century" w:hAnsi="Century" w:cs="FrankRuehl"/>
          <w:spacing w:val="10"/>
          <w:szCs w:val="28"/>
          <w:rtl/>
        </w:rPr>
        <w:t xml:space="preserve"> </w:t>
      </w:r>
      <w:r w:rsidRPr="00183075">
        <w:rPr>
          <w:rFonts w:ascii="Century" w:hAnsi="Century" w:cs="FrankRuehl" w:hint="eastAsia"/>
          <w:spacing w:val="10"/>
          <w:szCs w:val="28"/>
          <w:rtl/>
        </w:rPr>
        <w:t>עמדה</w:t>
      </w:r>
      <w:r w:rsidRPr="00183075">
        <w:rPr>
          <w:rFonts w:ascii="Century" w:hAnsi="Century" w:cs="FrankRuehl"/>
          <w:spacing w:val="10"/>
          <w:szCs w:val="28"/>
          <w:rtl/>
        </w:rPr>
        <w:t xml:space="preserve"> </w:t>
      </w:r>
      <w:r w:rsidRPr="00183075">
        <w:rPr>
          <w:rFonts w:ascii="Century" w:hAnsi="Century" w:cs="FrankRuehl" w:hint="eastAsia"/>
          <w:spacing w:val="10"/>
          <w:szCs w:val="28"/>
          <w:rtl/>
        </w:rPr>
        <w:t>אשר</w:t>
      </w:r>
      <w:r w:rsidRPr="00183075">
        <w:rPr>
          <w:rFonts w:ascii="Century" w:hAnsi="Century" w:cs="FrankRuehl"/>
          <w:spacing w:val="10"/>
          <w:szCs w:val="28"/>
          <w:rtl/>
        </w:rPr>
        <w:t xml:space="preserve"> קיבלה הדגשה </w:t>
      </w:r>
      <w:r w:rsidRPr="00183075">
        <w:rPr>
          <w:rFonts w:ascii="Century" w:hAnsi="Century" w:cs="FrankRuehl" w:hint="eastAsia"/>
          <w:spacing w:val="10"/>
          <w:szCs w:val="28"/>
          <w:rtl/>
        </w:rPr>
        <w:t>משמעותית</w:t>
      </w:r>
      <w:r w:rsidRPr="00183075">
        <w:rPr>
          <w:rFonts w:ascii="Century" w:hAnsi="Century" w:cs="FrankRuehl"/>
          <w:spacing w:val="10"/>
          <w:szCs w:val="28"/>
          <w:rtl/>
        </w:rPr>
        <w:t xml:space="preserve"> </w:t>
      </w:r>
      <w:r w:rsidRPr="00183075">
        <w:rPr>
          <w:rFonts w:ascii="Century" w:hAnsi="Century" w:cs="FrankRuehl" w:hint="eastAsia"/>
          <w:spacing w:val="10"/>
          <w:szCs w:val="28"/>
          <w:rtl/>
        </w:rPr>
        <w:t>אף</w:t>
      </w:r>
      <w:r w:rsidRPr="00183075">
        <w:rPr>
          <w:rFonts w:ascii="Century" w:hAnsi="Century" w:cs="FrankRuehl"/>
          <w:spacing w:val="10"/>
          <w:szCs w:val="28"/>
          <w:rtl/>
        </w:rPr>
        <w:t xml:space="preserve"> על-ידי חברי השופט </w:t>
      </w:r>
      <w:r w:rsidRPr="00183075">
        <w:rPr>
          <w:rFonts w:ascii="Century" w:hAnsi="Century" w:cs="Miriam" w:hint="eastAsia"/>
          <w:b/>
          <w:rtl/>
        </w:rPr>
        <w:t>עמית</w:t>
      </w:r>
      <w:r w:rsidRPr="00183075">
        <w:rPr>
          <w:rFonts w:ascii="Century" w:hAnsi="Century" w:cs="FrankRuehl"/>
          <w:spacing w:val="10"/>
          <w:szCs w:val="28"/>
          <w:rtl/>
        </w:rPr>
        <w:t xml:space="preserve"> (</w:t>
      </w:r>
      <w:r w:rsidRPr="00183075">
        <w:rPr>
          <w:rFonts w:ascii="Century" w:hAnsi="Century" w:cs="FrankRuehl" w:hint="eastAsia"/>
          <w:spacing w:val="10"/>
          <w:szCs w:val="28"/>
          <w:rtl/>
        </w:rPr>
        <w:t>פסקה</w:t>
      </w:r>
      <w:r w:rsidRPr="00183075">
        <w:rPr>
          <w:rFonts w:ascii="Century" w:hAnsi="Century" w:cs="FrankRuehl"/>
          <w:spacing w:val="10"/>
          <w:szCs w:val="28"/>
          <w:rtl/>
        </w:rPr>
        <w:t xml:space="preserve"> 9 לפסק דינו</w:t>
      </w:r>
      <w:r w:rsidRPr="00716345">
        <w:rPr>
          <w:rFonts w:ascii="Century" w:hAnsi="Century" w:cs="FrankRuehl"/>
          <w:spacing w:val="10"/>
          <w:szCs w:val="28"/>
          <w:rtl/>
        </w:rPr>
        <w:t xml:space="preserve">). </w:t>
      </w:r>
    </w:p>
    <w:p w:rsidR="005B1A77" w:rsidRDefault="005B1A77" w:rsidP="005B1A77">
      <w:pPr>
        <w:spacing w:line="360" w:lineRule="auto"/>
        <w:jc w:val="both"/>
        <w:rPr>
          <w:rFonts w:ascii="Century" w:hAnsi="Century" w:cs="FrankRuehl"/>
          <w:spacing w:val="10"/>
          <w:szCs w:val="28"/>
          <w:rtl/>
        </w:rPr>
      </w:pPr>
      <w:r>
        <w:rPr>
          <w:rFonts w:cs="FrankRuehl" w:hint="cs"/>
          <w:sz w:val="28"/>
          <w:szCs w:val="28"/>
          <w:rtl/>
        </w:rPr>
        <w:t xml:space="preserve"> </w:t>
      </w:r>
    </w:p>
    <w:p w:rsidR="005B1A77" w:rsidRPr="00183075" w:rsidRDefault="005B1A77" w:rsidP="005B1A77">
      <w:pPr>
        <w:spacing w:line="360" w:lineRule="auto"/>
        <w:jc w:val="both"/>
        <w:rPr>
          <w:rFonts w:ascii="Century" w:hAnsi="Century" w:cs="FrankRuehl"/>
          <w:spacing w:val="10"/>
          <w:szCs w:val="28"/>
          <w:shd w:val="clear" w:color="auto" w:fill="FFFFFF"/>
          <w:rtl/>
        </w:rPr>
      </w:pPr>
      <w:r w:rsidRPr="00183075">
        <w:rPr>
          <w:rFonts w:ascii="Century" w:hAnsi="Century" w:cs="FrankRuehl" w:hint="cs"/>
          <w:spacing w:val="10"/>
          <w:szCs w:val="28"/>
          <w:shd w:val="clear" w:color="auto" w:fill="FFFFFF"/>
          <w:rtl/>
        </w:rPr>
        <w:t>14.</w:t>
      </w:r>
      <w:r w:rsidRPr="00183075">
        <w:rPr>
          <w:rFonts w:ascii="Century" w:hAnsi="Century" w:cs="FrankRuehl" w:hint="cs"/>
          <w:spacing w:val="10"/>
          <w:szCs w:val="28"/>
          <w:shd w:val="clear" w:color="auto" w:fill="FFFFFF"/>
          <w:rtl/>
        </w:rPr>
        <w:tab/>
      </w:r>
      <w:r w:rsidRPr="00183075">
        <w:rPr>
          <w:rFonts w:ascii="Century" w:hAnsi="Century" w:cs="FrankRuehl" w:hint="eastAsia"/>
          <w:spacing w:val="10"/>
          <w:szCs w:val="28"/>
          <w:shd w:val="clear" w:color="auto" w:fill="FFFFFF"/>
          <w:rtl/>
        </w:rPr>
        <w:t>במקרה</w:t>
      </w:r>
      <w:r w:rsidRPr="00183075">
        <w:rPr>
          <w:rFonts w:ascii="Century" w:hAnsi="Century" w:cs="FrankRuehl"/>
          <w:spacing w:val="10"/>
          <w:szCs w:val="28"/>
          <w:shd w:val="clear" w:color="auto" w:fill="FFFFFF"/>
          <w:rtl/>
        </w:rPr>
        <w:t xml:space="preserve"> שבפנינו, </w:t>
      </w:r>
      <w:r w:rsidRPr="00183075">
        <w:rPr>
          <w:rFonts w:ascii="Century" w:hAnsi="Century" w:cs="FrankRuehl" w:hint="eastAsia"/>
          <w:spacing w:val="10"/>
          <w:szCs w:val="28"/>
          <w:shd w:val="clear" w:color="auto" w:fill="FFFFFF"/>
          <w:rtl/>
        </w:rPr>
        <w:t>בפסק</w:t>
      </w:r>
      <w:r w:rsidRPr="00183075">
        <w:rPr>
          <w:rFonts w:ascii="Century" w:hAnsi="Century" w:cs="FrankRuehl"/>
          <w:spacing w:val="10"/>
          <w:szCs w:val="28"/>
          <w:shd w:val="clear" w:color="auto" w:fill="FFFFFF"/>
          <w:rtl/>
        </w:rPr>
        <w:t xml:space="preserve"> הדין הקודם סברו כל השופטים כי אין צורך להכריע בשאלה העקרונית שעניינה פרשנות התיבה "אדם אחר". </w:t>
      </w:r>
      <w:r w:rsidRPr="00183075">
        <w:rPr>
          <w:rFonts w:ascii="Century" w:hAnsi="Century" w:cs="FrankRuehl" w:hint="eastAsia"/>
          <w:spacing w:val="10"/>
          <w:szCs w:val="28"/>
          <w:rtl/>
        </w:rPr>
        <w:t>לעומת</w:t>
      </w:r>
      <w:r w:rsidRPr="00183075">
        <w:rPr>
          <w:rFonts w:ascii="Century" w:hAnsi="Century" w:cs="FrankRuehl"/>
          <w:spacing w:val="10"/>
          <w:szCs w:val="28"/>
          <w:rtl/>
        </w:rPr>
        <w:t xml:space="preserve"> זאת, </w:t>
      </w:r>
      <w:r w:rsidRPr="00183075">
        <w:rPr>
          <w:rFonts w:ascii="Century" w:hAnsi="Century" w:cs="FrankRuehl" w:hint="eastAsia"/>
          <w:spacing w:val="10"/>
          <w:szCs w:val="28"/>
          <w:rtl/>
        </w:rPr>
        <w:t>חברי</w:t>
      </w:r>
      <w:r w:rsidRPr="00183075">
        <w:rPr>
          <w:rFonts w:ascii="Century" w:hAnsi="Century" w:cs="FrankRuehl"/>
          <w:spacing w:val="10"/>
          <w:szCs w:val="28"/>
          <w:rtl/>
        </w:rPr>
        <w:t xml:space="preserve"> </w:t>
      </w:r>
      <w:r w:rsidRPr="00183075">
        <w:rPr>
          <w:rFonts w:ascii="Century" w:hAnsi="Century" w:cs="FrankRuehl" w:hint="eastAsia"/>
          <w:spacing w:val="10"/>
          <w:szCs w:val="28"/>
          <w:rtl/>
        </w:rPr>
        <w:t>השופט</w:t>
      </w:r>
      <w:r w:rsidRPr="00183075">
        <w:rPr>
          <w:rFonts w:ascii="Century" w:hAnsi="Century" w:cs="FrankRuehl" w:hint="cs"/>
          <w:spacing w:val="10"/>
          <w:szCs w:val="28"/>
          <w:rtl/>
        </w:rPr>
        <w:t xml:space="preserve"> </w:t>
      </w:r>
      <w:r w:rsidRPr="00183075">
        <w:rPr>
          <w:rFonts w:ascii="Century" w:hAnsi="Century" w:cs="Miriam" w:hint="eastAsia"/>
          <w:b/>
          <w:rtl/>
        </w:rPr>
        <w:t>סולברג</w:t>
      </w:r>
      <w:r w:rsidRPr="00183075">
        <w:rPr>
          <w:rFonts w:ascii="Century" w:hAnsi="Century" w:cs="FrankRuehl" w:hint="cs"/>
          <w:spacing w:val="10"/>
          <w:szCs w:val="28"/>
          <w:rtl/>
        </w:rPr>
        <w:t xml:space="preserve"> דן כעת בשאלה, ואף מכריע בה. בעיקרו של דבר, לשיטתו, מאחר שההסתדרות הציונית היא גוף עצמאי ובעל אישיות משפטית נפרדת מהמדינה אין מניעה לראות בה "אדם אחר" לצורכי סעיף 5 לצו (פסקה 46 לפסק דינו).</w:t>
      </w:r>
      <w:r>
        <w:rPr>
          <w:rFonts w:ascii="Century" w:hAnsi="Century" w:cs="FrankRuehl" w:hint="cs"/>
          <w:spacing w:val="10"/>
          <w:szCs w:val="28"/>
          <w:rtl/>
        </w:rPr>
        <w:t xml:space="preserve"> </w:t>
      </w:r>
      <w:r w:rsidRPr="00183075">
        <w:rPr>
          <w:rFonts w:ascii="Century" w:hAnsi="Century" w:cs="FrankRuehl" w:hint="cs"/>
          <w:spacing w:val="10"/>
          <w:szCs w:val="28"/>
          <w:rtl/>
        </w:rPr>
        <w:t xml:space="preserve">לתוצאה דומה הגיע עתה גם חברי השופט </w:t>
      </w:r>
      <w:r w:rsidRPr="0070357B">
        <w:rPr>
          <w:rFonts w:ascii="Century" w:hAnsi="Century" w:cs="Miriam" w:hint="eastAsia"/>
          <w:b/>
          <w:rtl/>
        </w:rPr>
        <w:t>עמית</w:t>
      </w:r>
      <w:r w:rsidRPr="00183075">
        <w:rPr>
          <w:rFonts w:ascii="Century" w:hAnsi="Century" w:cs="FrankRuehl" w:hint="cs"/>
          <w:spacing w:val="10"/>
          <w:szCs w:val="28"/>
          <w:rtl/>
        </w:rPr>
        <w:t xml:space="preserve">, הגם שציין כי היא אינה חפה מקשיים נוכח מאפייניה של ההסתדרות הציונית (פסקה 6 לפסק דינו), ואף הדגיש כי לשיטתו ניתן לראות גם בחוליות ההתקשרות הבאות, ובאופן קונקרטי במחזיקים, כמי שמהווים "אדם אחר" לצורך ההסדר שבפנינו (פסקה 9 לפסק דינו).   </w:t>
      </w:r>
    </w:p>
    <w:p w:rsidR="005B1A77" w:rsidRDefault="005B1A77" w:rsidP="005B1A77">
      <w:pPr>
        <w:spacing w:line="360" w:lineRule="auto"/>
        <w:jc w:val="both"/>
        <w:rPr>
          <w:rFonts w:cs="FrankRuehl"/>
          <w:color w:val="000000"/>
          <w:spacing w:val="10"/>
          <w:sz w:val="28"/>
          <w:szCs w:val="28"/>
          <w:shd w:val="clear" w:color="auto" w:fill="FFFFFF"/>
          <w:rtl/>
        </w:rPr>
      </w:pPr>
    </w:p>
    <w:p w:rsidR="005B1A77" w:rsidRPr="00183075" w:rsidRDefault="005B1A77" w:rsidP="005B1A77">
      <w:pPr>
        <w:spacing w:line="360" w:lineRule="auto"/>
        <w:jc w:val="both"/>
        <w:rPr>
          <w:rFonts w:ascii="Century" w:hAnsi="Century" w:cs="FrankRuehl"/>
          <w:spacing w:val="10"/>
          <w:szCs w:val="28"/>
          <w:rtl/>
        </w:rPr>
      </w:pPr>
      <w:r w:rsidRPr="00183075">
        <w:rPr>
          <w:rFonts w:ascii="Century" w:hAnsi="Century" w:cs="FrankRuehl" w:hint="cs"/>
          <w:spacing w:val="10"/>
          <w:szCs w:val="28"/>
          <w:shd w:val="clear" w:color="auto" w:fill="FFFFFF"/>
          <w:rtl/>
        </w:rPr>
        <w:t>15.</w:t>
      </w:r>
      <w:r w:rsidRPr="00183075">
        <w:rPr>
          <w:rFonts w:ascii="Century" w:hAnsi="Century" w:cs="FrankRuehl" w:hint="cs"/>
          <w:spacing w:val="10"/>
          <w:szCs w:val="28"/>
          <w:shd w:val="clear" w:color="auto" w:fill="FFFFFF"/>
          <w:rtl/>
        </w:rPr>
        <w:tab/>
      </w:r>
      <w:r w:rsidRPr="00183075">
        <w:rPr>
          <w:rFonts w:ascii="Century" w:hAnsi="Century" w:cs="FrankRuehl" w:hint="cs"/>
          <w:spacing w:val="10"/>
          <w:szCs w:val="28"/>
          <w:rtl/>
        </w:rPr>
        <w:t xml:space="preserve">עמדתי שונה. לגישתי, אין מקום להכיר ברגיל בהסכם "ערטילאי" בין הממונה לבין גורם מיישב כמו ההסתדרות הציונית כממלא את דרישותיו של סעיף 5 לצו, כל עוד לא קיים גורם שלישי אחר נוסף שפעל בהסתמך על אותו הסכם. על דרך הכלל, עמידה בתנאי של </w:t>
      </w:r>
      <w:r w:rsidRPr="00183075">
        <w:rPr>
          <w:rFonts w:ascii="Century" w:hAnsi="Century" w:cs="Miriam" w:hint="cs"/>
          <w:b/>
          <w:rtl/>
        </w:rPr>
        <w:t>עסקה</w:t>
      </w:r>
      <w:r w:rsidRPr="00183075">
        <w:rPr>
          <w:rFonts w:ascii="Century" w:hAnsi="Century" w:cs="FrankRuehl" w:hint="cs"/>
          <w:spacing w:val="10"/>
          <w:szCs w:val="28"/>
          <w:rtl/>
        </w:rPr>
        <w:t xml:space="preserve"> עם </w:t>
      </w:r>
      <w:r w:rsidRPr="00183075">
        <w:rPr>
          <w:rFonts w:ascii="Century" w:hAnsi="Century" w:cs="Miriam" w:hint="cs"/>
          <w:b/>
          <w:rtl/>
        </w:rPr>
        <w:t xml:space="preserve">אדם אחר </w:t>
      </w:r>
      <w:r w:rsidRPr="00183075">
        <w:rPr>
          <w:rFonts w:ascii="Century" w:hAnsi="Century" w:cs="FrankRuehl" w:hint="cs"/>
          <w:spacing w:val="10"/>
          <w:szCs w:val="28"/>
          <w:rtl/>
        </w:rPr>
        <w:t xml:space="preserve">לצורך סעיף 5 לצו דורשת קיומו של צד שלישי "ממשי", וזאת בשונה ממי שניתן לראותו כ"צד קרוב" לממונה. מסקנה זו מתבקשת לטעמי בשים לב לתכלית שעליה נועד ההסדר להגן, כמו גם למאפיינים נוספים של הסדר תקנת השוק </w:t>
      </w:r>
      <w:r w:rsidRPr="00183075">
        <w:rPr>
          <w:rFonts w:ascii="Century" w:hAnsi="Century" w:cs="FrankRuehl" w:hint="cs"/>
          <w:spacing w:val="10"/>
          <w:szCs w:val="28"/>
          <w:rtl/>
        </w:rPr>
        <w:lastRenderedPageBreak/>
        <w:t xml:space="preserve">שבפנינו. יתר על כן, כפי שאסביר בהמשך, מסקנתי זו משליכה אף על פרשנותם של התנאים האחרים שאליהם אדרש </w:t>
      </w:r>
      <w:r w:rsidRPr="00183075">
        <w:rPr>
          <w:rFonts w:ascii="Century" w:hAnsi="Century" w:cs="FrankRuehl"/>
          <w:spacing w:val="10"/>
          <w:szCs w:val="28"/>
          <w:rtl/>
        </w:rPr>
        <w:t>–</w:t>
      </w:r>
      <w:r w:rsidRPr="00183075">
        <w:rPr>
          <w:rFonts w:ascii="Century" w:hAnsi="Century" w:cs="FrankRuehl" w:hint="cs"/>
          <w:spacing w:val="10"/>
          <w:szCs w:val="28"/>
          <w:rtl/>
        </w:rPr>
        <w:t xml:space="preserve"> "תמורה" ו"תום לב".</w:t>
      </w:r>
    </w:p>
    <w:p w:rsidR="005B1A77" w:rsidRPr="00FA176C" w:rsidRDefault="005B1A77" w:rsidP="005B1A77">
      <w:pPr>
        <w:spacing w:line="360" w:lineRule="auto"/>
        <w:jc w:val="both"/>
        <w:rPr>
          <w:rFonts w:ascii="Century" w:hAnsi="Century" w:cs="FrankRuehl"/>
          <w:spacing w:val="10"/>
          <w:szCs w:val="28"/>
          <w:rtl/>
        </w:rPr>
      </w:pPr>
    </w:p>
    <w:p w:rsidR="005B1A77" w:rsidRPr="00FA176C" w:rsidRDefault="005B1A77" w:rsidP="005B1A77">
      <w:pPr>
        <w:spacing w:line="360" w:lineRule="auto"/>
        <w:jc w:val="both"/>
        <w:rPr>
          <w:rFonts w:ascii="Century" w:hAnsi="Century" w:cs="FrankRuehl"/>
          <w:spacing w:val="10"/>
          <w:szCs w:val="28"/>
          <w:rtl/>
        </w:rPr>
      </w:pPr>
      <w:r w:rsidRPr="00FA176C">
        <w:rPr>
          <w:rFonts w:ascii="Century" w:hAnsi="Century" w:cs="FrankRuehl" w:hint="cs"/>
          <w:spacing w:val="10"/>
          <w:szCs w:val="28"/>
          <w:rtl/>
        </w:rPr>
        <w:t>16.</w:t>
      </w:r>
      <w:r w:rsidRPr="00FA176C">
        <w:rPr>
          <w:rFonts w:ascii="Century" w:hAnsi="Century" w:cs="FrankRuehl" w:hint="cs"/>
          <w:spacing w:val="10"/>
          <w:szCs w:val="28"/>
          <w:rtl/>
        </w:rPr>
        <w:tab/>
        <w:t>על מנת להסביר את גישתי</w:t>
      </w:r>
      <w:r w:rsidRPr="00FA176C">
        <w:rPr>
          <w:rFonts w:ascii="Century" w:hAnsi="Century" w:cs="FrankRuehl" w:hint="cs"/>
          <w:spacing w:val="10"/>
          <w:szCs w:val="28"/>
          <w:shd w:val="clear" w:color="auto" w:fill="FFFFFF"/>
          <w:rtl/>
        </w:rPr>
        <w:t xml:space="preserve"> אני מבקשת לשוב ולעמוד על התכלית המרכזית הניצבת ביסודו של סעיף 5 לצו. </w:t>
      </w:r>
      <w:r w:rsidRPr="00FA176C">
        <w:rPr>
          <w:rFonts w:ascii="Century" w:hAnsi="Century" w:cs="FrankRuehl" w:hint="cs"/>
          <w:spacing w:val="10"/>
          <w:szCs w:val="28"/>
          <w:rtl/>
        </w:rPr>
        <w:t xml:space="preserve">בליבו של הסדר זה עומד הצורך להגן על אינטרס ההסתמכות של גורמים </w:t>
      </w:r>
      <w:r w:rsidRPr="00FA176C">
        <w:rPr>
          <w:rFonts w:ascii="Century" w:hAnsi="Century" w:cs="FrankRuehl" w:hint="eastAsia"/>
          <w:spacing w:val="10"/>
          <w:szCs w:val="28"/>
          <w:rtl/>
        </w:rPr>
        <w:t>חיצוניים</w:t>
      </w:r>
      <w:r>
        <w:rPr>
          <w:rFonts w:ascii="Century" w:hAnsi="Century" w:cs="FrankRuehl" w:hint="cs"/>
          <w:spacing w:val="10"/>
          <w:szCs w:val="28"/>
          <w:rtl/>
        </w:rPr>
        <w:t xml:space="preserve"> המתקשרים עם הממונה, נוכח קיומו של </w:t>
      </w:r>
      <w:r w:rsidRPr="00FA176C">
        <w:rPr>
          <w:rFonts w:ascii="Century" w:hAnsi="Century" w:cs="FrankRuehl" w:hint="cs"/>
          <w:spacing w:val="10"/>
          <w:szCs w:val="28"/>
          <w:rtl/>
        </w:rPr>
        <w:t>קושי מעשי להטיל עליהם חובות בירור משמעותיות. זאת, בין היתר, בשל מציאות עובדתית ומשפטית שבה מרבית שטחי המקרקעין באזור אינם מוסדרים, ובהינתן המגבלות המוטלות על האפשרות לעיון במרשמי המקרקעין באזור, בשונה מהדין הנוהג בישראל (ראו: צו בדבר מקרקעין (עיון במרשמים) (יהודה ושומרון) (מס' 1737), התשע"ד-2014; רע"א 2505/16</w:t>
      </w:r>
      <w:r w:rsidRPr="00FA176C">
        <w:rPr>
          <w:rFonts w:ascii="FrankRuehl" w:hAnsi="FrankRuehl" w:cs="FrankRuehl" w:hint="cs"/>
          <w:sz w:val="28"/>
          <w:szCs w:val="28"/>
          <w:rtl/>
        </w:rPr>
        <w:t xml:space="preserve"> </w:t>
      </w:r>
      <w:r w:rsidRPr="00FA176C">
        <w:rPr>
          <w:rFonts w:ascii="Century" w:hAnsi="Century" w:cs="Miriam" w:hint="cs"/>
          <w:b/>
          <w:rtl/>
        </w:rPr>
        <w:t>אנג'ל נ' המינהל האזרחי ביהודה ושומרון</w:t>
      </w:r>
      <w:r>
        <w:rPr>
          <w:rFonts w:ascii="FrankRuehl" w:hAnsi="FrankRuehl" w:cs="FrankRuehl" w:hint="cs"/>
          <w:sz w:val="28"/>
          <w:szCs w:val="28"/>
          <w:rtl/>
        </w:rPr>
        <w:t xml:space="preserve">, </w:t>
      </w:r>
      <w:r w:rsidRPr="00FA176C">
        <w:rPr>
          <w:rFonts w:ascii="Century" w:hAnsi="Century" w:cs="FrankRuehl" w:hint="cs"/>
          <w:spacing w:val="10"/>
          <w:szCs w:val="28"/>
          <w:rtl/>
        </w:rPr>
        <w:t>פסקאות 31-30 לפסק דינו של השופט</w:t>
      </w:r>
      <w:r w:rsidRPr="00FA176C">
        <w:rPr>
          <w:rFonts w:ascii="FrankRuehl" w:hAnsi="FrankRuehl" w:cs="FrankRuehl" w:hint="cs"/>
          <w:sz w:val="28"/>
          <w:szCs w:val="28"/>
          <w:rtl/>
        </w:rPr>
        <w:t xml:space="preserve"> </w:t>
      </w:r>
      <w:r w:rsidRPr="00FA176C">
        <w:rPr>
          <w:rFonts w:ascii="Century" w:hAnsi="Century" w:cs="Miriam" w:hint="cs"/>
          <w:b/>
          <w:rtl/>
        </w:rPr>
        <w:t>א' שהם</w:t>
      </w:r>
      <w:r w:rsidRPr="00FA176C">
        <w:rPr>
          <w:rFonts w:ascii="FrankRuehl" w:hAnsi="FrankRuehl" w:cs="FrankRuehl" w:hint="cs"/>
          <w:sz w:val="28"/>
          <w:szCs w:val="28"/>
          <w:rtl/>
        </w:rPr>
        <w:t xml:space="preserve"> </w:t>
      </w:r>
      <w:r>
        <w:rPr>
          <w:rFonts w:ascii="Century" w:hAnsi="Century" w:cs="FrankRuehl" w:hint="cs"/>
          <w:spacing w:val="10"/>
          <w:szCs w:val="28"/>
          <w:rtl/>
        </w:rPr>
        <w:t>(22.12.2016).</w:t>
      </w:r>
      <w:r w:rsidRPr="00FA176C">
        <w:rPr>
          <w:rFonts w:ascii="Century" w:hAnsi="Century" w:cs="FrankRuehl" w:hint="cs"/>
          <w:spacing w:val="10"/>
          <w:szCs w:val="28"/>
          <w:rtl/>
        </w:rPr>
        <w:t xml:space="preserve"> כן ראו: </w:t>
      </w:r>
      <w:r w:rsidRPr="00FA176C">
        <w:rPr>
          <w:rFonts w:ascii="Century" w:hAnsi="Century" w:cs="FrankRuehl" w:hint="cs"/>
          <w:spacing w:val="10"/>
          <w:szCs w:val="28"/>
          <w:shd w:val="clear" w:color="auto" w:fill="FFFFFF"/>
          <w:rtl/>
        </w:rPr>
        <w:t xml:space="preserve">רונית לוין-שנור </w:t>
      </w:r>
      <w:r w:rsidRPr="00FA176C">
        <w:rPr>
          <w:rFonts w:ascii="Century" w:hAnsi="Century" w:cs="Miriam" w:hint="eastAsia"/>
          <w:b/>
          <w:shd w:val="clear" w:color="auto" w:fill="FFFFFF"/>
          <w:rtl/>
        </w:rPr>
        <w:t>דיני</w:t>
      </w:r>
      <w:r w:rsidRPr="00FA176C">
        <w:rPr>
          <w:rFonts w:ascii="Century" w:hAnsi="Century" w:cs="Miriam"/>
          <w:b/>
          <w:shd w:val="clear" w:color="auto" w:fill="FFFFFF"/>
          <w:rtl/>
        </w:rPr>
        <w:t xml:space="preserve"> רישום מקרקעין – הרישום, ההסדר ותוצאותיהם בישראל ובגדה </w:t>
      </w:r>
      <w:r w:rsidRPr="00FA176C">
        <w:rPr>
          <w:rFonts w:ascii="Century" w:hAnsi="Century" w:cs="Miriam" w:hint="cs"/>
          <w:b/>
          <w:shd w:val="clear" w:color="auto" w:fill="FFFFFF"/>
          <w:rtl/>
        </w:rPr>
        <w:t>המערבית</w:t>
      </w:r>
      <w:r>
        <w:rPr>
          <w:rFonts w:cs="FrankRuehl" w:hint="cs"/>
          <w:color w:val="000000"/>
          <w:spacing w:val="10"/>
          <w:sz w:val="28"/>
          <w:szCs w:val="28"/>
          <w:shd w:val="clear" w:color="auto" w:fill="FFFFFF"/>
          <w:rtl/>
        </w:rPr>
        <w:t xml:space="preserve"> </w:t>
      </w:r>
      <w:r w:rsidRPr="00FA176C">
        <w:rPr>
          <w:rFonts w:ascii="Century" w:hAnsi="Century" w:cs="FrankRuehl" w:hint="cs"/>
          <w:spacing w:val="10"/>
          <w:szCs w:val="28"/>
          <w:shd w:val="clear" w:color="auto" w:fill="FFFFFF"/>
          <w:rtl/>
        </w:rPr>
        <w:t xml:space="preserve">279 (2012)). </w:t>
      </w:r>
      <w:r w:rsidRPr="00FA176C">
        <w:rPr>
          <w:rFonts w:ascii="Century" w:hAnsi="Century" w:cs="FrankRuehl" w:hint="cs"/>
          <w:spacing w:val="10"/>
          <w:szCs w:val="28"/>
          <w:rtl/>
        </w:rPr>
        <w:t>במובן זה, ההסדר הקבוע בסעיף 5 לצו נועד לקדם ודאות ויציבות משפטית, באופן שיש בו לתת מענה לקשיים המאפיינים את הפעילות המורכבת באזור ובפרט לנגישותו המוגבלת למידע של אדם מן הישוב המבקש להסתמך על המידע שהוצג לו על-ידי הממונה</w:t>
      </w:r>
      <w:r w:rsidRPr="00FA176C">
        <w:rPr>
          <w:rFonts w:ascii="Century" w:hAnsi="Century" w:cs="FrankRuehl" w:hint="cs"/>
          <w:spacing w:val="10"/>
          <w:szCs w:val="28"/>
          <w:shd w:val="clear" w:color="auto" w:fill="FFFFFF"/>
          <w:rtl/>
        </w:rPr>
        <w:t>.</w:t>
      </w:r>
      <w:r w:rsidRPr="00FA176C">
        <w:rPr>
          <w:rFonts w:ascii="FrankRuehl" w:hAnsi="FrankRuehl" w:cs="FrankRuehl" w:hint="cs"/>
          <w:sz w:val="28"/>
          <w:szCs w:val="28"/>
          <w:rtl/>
        </w:rPr>
        <w:t xml:space="preserve"> </w:t>
      </w:r>
      <w:r w:rsidRPr="00FA176C">
        <w:rPr>
          <w:rFonts w:ascii="Century" w:hAnsi="Century" w:cs="FrankRuehl" w:hint="cs"/>
          <w:spacing w:val="10"/>
          <w:szCs w:val="28"/>
          <w:shd w:val="clear" w:color="auto" w:fill="FFFFFF"/>
          <w:rtl/>
        </w:rPr>
        <w:t>רציונל זה עולה בקנה אחד, בשינויים המחויבים, עם ההצדקה העקרונית הניצבת ביסודן של מספר תקנות שוק ספציפיות בדין הישראלי שעניינן "כשרות עסקאות", ונועדו לאפשר לפרטים להסתמך על פעולותיה של הרשות המוסמכת בהתאם לנסיבות העניין (ראו: סעיף 10 לחוק נכסי גרמנים, התש"י-1950 (להלן</w:t>
      </w:r>
      <w:r w:rsidRPr="00FA176C">
        <w:rPr>
          <w:rFonts w:ascii="Century" w:hAnsi="Century" w:cs="Miriam" w:hint="cs"/>
          <w:b/>
          <w:shd w:val="clear" w:color="auto" w:fill="FFFFFF"/>
          <w:rtl/>
        </w:rPr>
        <w:t xml:space="preserve">: </w:t>
      </w:r>
      <w:r w:rsidRPr="00FA176C">
        <w:rPr>
          <w:rFonts w:ascii="Century" w:hAnsi="Century" w:cs="Miriam" w:hint="eastAsia"/>
          <w:b/>
          <w:shd w:val="clear" w:color="auto" w:fill="FFFFFF"/>
          <w:rtl/>
        </w:rPr>
        <w:t>חוק</w:t>
      </w:r>
      <w:r w:rsidRPr="00FA176C">
        <w:rPr>
          <w:rFonts w:ascii="Century" w:hAnsi="Century" w:cs="Miriam"/>
          <w:b/>
          <w:shd w:val="clear" w:color="auto" w:fill="FFFFFF"/>
          <w:rtl/>
        </w:rPr>
        <w:t xml:space="preserve"> </w:t>
      </w:r>
      <w:r w:rsidRPr="00FA176C">
        <w:rPr>
          <w:rFonts w:ascii="Century" w:hAnsi="Century" w:cs="Miriam" w:hint="eastAsia"/>
          <w:b/>
          <w:shd w:val="clear" w:color="auto" w:fill="FFFFFF"/>
          <w:rtl/>
        </w:rPr>
        <w:t>נכסי</w:t>
      </w:r>
      <w:r w:rsidRPr="00FA176C">
        <w:rPr>
          <w:rFonts w:ascii="Century" w:hAnsi="Century" w:cs="Miriam"/>
          <w:b/>
          <w:shd w:val="clear" w:color="auto" w:fill="FFFFFF"/>
          <w:rtl/>
        </w:rPr>
        <w:t xml:space="preserve"> </w:t>
      </w:r>
      <w:r w:rsidRPr="00FA176C">
        <w:rPr>
          <w:rFonts w:ascii="Century" w:hAnsi="Century" w:cs="Miriam" w:hint="eastAsia"/>
          <w:b/>
          <w:shd w:val="clear" w:color="auto" w:fill="FFFFFF"/>
          <w:rtl/>
        </w:rPr>
        <w:t>גרמנים</w:t>
      </w:r>
      <w:r w:rsidRPr="00FA176C">
        <w:rPr>
          <w:rFonts w:ascii="Century" w:hAnsi="Century" w:cs="FrankRuehl" w:hint="cs"/>
          <w:spacing w:val="10"/>
          <w:szCs w:val="28"/>
          <w:shd w:val="clear" w:color="auto" w:fill="FFFFFF"/>
          <w:rtl/>
        </w:rPr>
        <w:t>);</w:t>
      </w:r>
      <w:r w:rsidRPr="00FA176C">
        <w:rPr>
          <w:rFonts w:ascii="Century" w:hAnsi="Century" w:cs="FrankRuehl"/>
          <w:spacing w:val="10"/>
          <w:szCs w:val="28"/>
          <w:rtl/>
        </w:rPr>
        <w:t xml:space="preserve"> </w:t>
      </w:r>
      <w:r w:rsidRPr="00FA176C">
        <w:rPr>
          <w:rFonts w:ascii="Century" w:hAnsi="Century" w:cs="FrankRuehl"/>
          <w:spacing w:val="10"/>
          <w:szCs w:val="28"/>
          <w:shd w:val="clear" w:color="auto" w:fill="FFFFFF"/>
          <w:rtl/>
        </w:rPr>
        <w:t>סעיף 17 לחוק נכסי נפקדים, התש"י-1950</w:t>
      </w:r>
      <w:r w:rsidRPr="00FA176C">
        <w:rPr>
          <w:rFonts w:cs="FrankRuehl" w:hint="cs"/>
          <w:color w:val="000000"/>
          <w:spacing w:val="10"/>
          <w:sz w:val="28"/>
          <w:szCs w:val="28"/>
          <w:shd w:val="clear" w:color="auto" w:fill="FFFFFF"/>
          <w:rtl/>
        </w:rPr>
        <w:t xml:space="preserve"> </w:t>
      </w:r>
      <w:r w:rsidRPr="00FA176C">
        <w:rPr>
          <w:rFonts w:ascii="Century" w:hAnsi="Century" w:cs="FrankRuehl" w:hint="cs"/>
          <w:spacing w:val="10"/>
          <w:szCs w:val="28"/>
          <w:shd w:val="clear" w:color="auto" w:fill="FFFFFF"/>
          <w:rtl/>
        </w:rPr>
        <w:t>(להלן:</w:t>
      </w:r>
      <w:r w:rsidRPr="00FA176C">
        <w:rPr>
          <w:rFonts w:cs="FrankRuehl" w:hint="cs"/>
          <w:color w:val="000000"/>
          <w:spacing w:val="10"/>
          <w:sz w:val="28"/>
          <w:szCs w:val="28"/>
          <w:shd w:val="clear" w:color="auto" w:fill="FFFFFF"/>
          <w:rtl/>
        </w:rPr>
        <w:t xml:space="preserve"> </w:t>
      </w:r>
      <w:r w:rsidRPr="00FA176C">
        <w:rPr>
          <w:rFonts w:ascii="Century" w:hAnsi="Century" w:cs="Miriam" w:hint="eastAsia"/>
          <w:b/>
          <w:shd w:val="clear" w:color="auto" w:fill="FFFFFF"/>
          <w:rtl/>
        </w:rPr>
        <w:t>חוק</w:t>
      </w:r>
      <w:r w:rsidRPr="00FA176C">
        <w:rPr>
          <w:rFonts w:ascii="Century" w:hAnsi="Century" w:cs="Miriam"/>
          <w:b/>
          <w:shd w:val="clear" w:color="auto" w:fill="FFFFFF"/>
          <w:rtl/>
        </w:rPr>
        <w:t xml:space="preserve"> </w:t>
      </w:r>
      <w:r w:rsidRPr="00FA176C">
        <w:rPr>
          <w:rFonts w:ascii="Century" w:hAnsi="Century" w:cs="Miriam" w:hint="eastAsia"/>
          <w:b/>
          <w:shd w:val="clear" w:color="auto" w:fill="FFFFFF"/>
          <w:rtl/>
        </w:rPr>
        <w:t>נכסי</w:t>
      </w:r>
      <w:r w:rsidRPr="00FA176C">
        <w:rPr>
          <w:rFonts w:ascii="Century" w:hAnsi="Century" w:cs="Miriam"/>
          <w:b/>
          <w:shd w:val="clear" w:color="auto" w:fill="FFFFFF"/>
          <w:rtl/>
        </w:rPr>
        <w:t xml:space="preserve"> </w:t>
      </w:r>
      <w:r w:rsidRPr="00FA176C">
        <w:rPr>
          <w:rFonts w:ascii="Century" w:hAnsi="Century" w:cs="Miriam" w:hint="eastAsia"/>
          <w:b/>
          <w:shd w:val="clear" w:color="auto" w:fill="FFFFFF"/>
          <w:rtl/>
        </w:rPr>
        <w:t>נפקדים</w:t>
      </w:r>
      <w:r w:rsidRPr="00FA176C">
        <w:rPr>
          <w:rFonts w:ascii="Century" w:hAnsi="Century" w:cs="FrankRuehl" w:hint="cs"/>
          <w:spacing w:val="10"/>
          <w:szCs w:val="28"/>
          <w:shd w:val="clear" w:color="auto" w:fill="FFFFFF"/>
          <w:rtl/>
        </w:rPr>
        <w:t xml:space="preserve">); </w:t>
      </w:r>
      <w:r w:rsidRPr="00FA176C">
        <w:rPr>
          <w:rFonts w:ascii="Century" w:hAnsi="Century" w:cs="FrankRuehl"/>
          <w:spacing w:val="10"/>
          <w:szCs w:val="28"/>
          <w:shd w:val="clear" w:color="auto" w:fill="FFFFFF"/>
          <w:rtl/>
        </w:rPr>
        <w:t>סעיף 16 לחוק האפוטרופוס הכללי, התשל"ח-1978</w:t>
      </w:r>
      <w:r w:rsidRPr="00FA176C">
        <w:rPr>
          <w:rFonts w:ascii="Century" w:hAnsi="Century" w:cs="FrankRuehl" w:hint="cs"/>
          <w:spacing w:val="10"/>
          <w:szCs w:val="28"/>
          <w:shd w:val="clear" w:color="auto" w:fill="FFFFFF"/>
          <w:rtl/>
        </w:rPr>
        <w:t xml:space="preserve"> (להלן: חוק</w:t>
      </w:r>
      <w:r w:rsidRPr="00FA176C">
        <w:rPr>
          <w:rFonts w:cs="FrankRuehl" w:hint="cs"/>
          <w:color w:val="000000"/>
          <w:spacing w:val="10"/>
          <w:sz w:val="28"/>
          <w:szCs w:val="28"/>
          <w:shd w:val="clear" w:color="auto" w:fill="FFFFFF"/>
          <w:rtl/>
        </w:rPr>
        <w:t xml:space="preserve"> </w:t>
      </w:r>
      <w:r w:rsidRPr="00FA176C">
        <w:rPr>
          <w:rFonts w:ascii="Century" w:hAnsi="Century" w:cs="Miriam" w:hint="eastAsia"/>
          <w:b/>
          <w:shd w:val="clear" w:color="auto" w:fill="FFFFFF"/>
          <w:rtl/>
        </w:rPr>
        <w:t>האפוטרופוס</w:t>
      </w:r>
      <w:r w:rsidRPr="00FA176C">
        <w:rPr>
          <w:rFonts w:ascii="Century" w:hAnsi="Century" w:cs="FrankRuehl" w:hint="cs"/>
          <w:spacing w:val="10"/>
          <w:szCs w:val="28"/>
          <w:shd w:val="clear" w:color="auto" w:fill="FFFFFF"/>
          <w:rtl/>
        </w:rPr>
        <w:t>); סעיף 70 לחוק נכסים של נספי השואה (השבה ליורשים והקדשה למטרות סיוע והנצחה), התשס"ו-2006).</w:t>
      </w:r>
    </w:p>
    <w:p w:rsidR="005B1A77" w:rsidRDefault="005B1A77" w:rsidP="005B1A77">
      <w:pPr>
        <w:spacing w:line="360" w:lineRule="auto"/>
        <w:jc w:val="both"/>
        <w:rPr>
          <w:rFonts w:cs="FrankRuehl"/>
          <w:color w:val="000000"/>
          <w:spacing w:val="10"/>
          <w:sz w:val="28"/>
          <w:szCs w:val="28"/>
          <w:shd w:val="clear" w:color="auto" w:fill="FFFFFF"/>
          <w:rtl/>
        </w:rPr>
      </w:pPr>
    </w:p>
    <w:p w:rsidR="005B1A77" w:rsidRPr="00F01399" w:rsidRDefault="005B1A77" w:rsidP="005B1A77">
      <w:pPr>
        <w:spacing w:line="360" w:lineRule="auto"/>
        <w:jc w:val="both"/>
        <w:rPr>
          <w:rFonts w:ascii="Century" w:hAnsi="Century" w:cs="FrankRuehl"/>
          <w:spacing w:val="10"/>
          <w:szCs w:val="28"/>
          <w:rtl/>
        </w:rPr>
      </w:pPr>
      <w:r>
        <w:rPr>
          <w:rFonts w:cs="FrankRuehl" w:hint="cs"/>
          <w:color w:val="000000"/>
          <w:spacing w:val="10"/>
          <w:sz w:val="28"/>
          <w:szCs w:val="28"/>
          <w:shd w:val="clear" w:color="auto" w:fill="FFFFFF"/>
          <w:rtl/>
        </w:rPr>
        <w:t>17.</w:t>
      </w:r>
      <w:r>
        <w:rPr>
          <w:rFonts w:cs="FrankRuehl" w:hint="cs"/>
          <w:color w:val="000000"/>
          <w:spacing w:val="10"/>
          <w:sz w:val="28"/>
          <w:szCs w:val="28"/>
          <w:shd w:val="clear" w:color="auto" w:fill="FFFFFF"/>
          <w:rtl/>
        </w:rPr>
        <w:tab/>
      </w:r>
      <w:r w:rsidRPr="00F01399">
        <w:rPr>
          <w:rFonts w:ascii="Century" w:hAnsi="Century" w:cs="FrankRuehl" w:hint="cs"/>
          <w:spacing w:val="10"/>
          <w:szCs w:val="28"/>
          <w:shd w:val="clear" w:color="auto" w:fill="FFFFFF"/>
          <w:rtl/>
        </w:rPr>
        <w:t xml:space="preserve">חשיבות ההגנה על אינטרס ההסתמכות של </w:t>
      </w:r>
      <w:r>
        <w:rPr>
          <w:rFonts w:ascii="Century" w:hAnsi="Century" w:cs="FrankRuehl" w:hint="cs"/>
          <w:spacing w:val="10"/>
          <w:szCs w:val="28"/>
          <w:shd w:val="clear" w:color="auto" w:fill="FFFFFF"/>
          <w:rtl/>
        </w:rPr>
        <w:t>המתקשר</w:t>
      </w:r>
      <w:r w:rsidRPr="00F01399">
        <w:rPr>
          <w:rFonts w:ascii="Century" w:hAnsi="Century" w:cs="FrankRuehl" w:hint="cs"/>
          <w:spacing w:val="10"/>
          <w:szCs w:val="28"/>
          <w:shd w:val="clear" w:color="auto" w:fill="FFFFFF"/>
          <w:rtl/>
        </w:rPr>
        <w:t xml:space="preserve"> אינה מתמצה לטעמי בהתקשרות הראשונית שנעשית עם הממונה. לאמיתו של דבר, כפי שהטעימו למעשה גם חבריי השופט</w:t>
      </w:r>
      <w:r>
        <w:rPr>
          <w:rFonts w:ascii="Century" w:hAnsi="Century" w:cs="FrankRuehl" w:hint="cs"/>
          <w:spacing w:val="10"/>
          <w:szCs w:val="28"/>
          <w:shd w:val="clear" w:color="auto" w:fill="FFFFFF"/>
          <w:rtl/>
        </w:rPr>
        <w:t>ים</w:t>
      </w:r>
      <w:r>
        <w:rPr>
          <w:rFonts w:cs="FrankRuehl" w:hint="cs"/>
          <w:color w:val="000000"/>
          <w:spacing w:val="10"/>
          <w:sz w:val="28"/>
          <w:szCs w:val="28"/>
          <w:shd w:val="clear" w:color="auto" w:fill="FFFFFF"/>
          <w:rtl/>
        </w:rPr>
        <w:t xml:space="preserve"> </w:t>
      </w:r>
      <w:r w:rsidRPr="00F01399">
        <w:rPr>
          <w:rFonts w:ascii="Century" w:hAnsi="Century" w:cs="Miriam" w:hint="eastAsia"/>
          <w:b/>
          <w:shd w:val="clear" w:color="auto" w:fill="FFFFFF"/>
          <w:rtl/>
        </w:rPr>
        <w:t>סולברג</w:t>
      </w:r>
      <w:r w:rsidRPr="00F01399">
        <w:rPr>
          <w:rFonts w:ascii="Miriam" w:hAnsi="Miriam" w:cs="Miriam" w:hint="cs"/>
          <w:color w:val="000000"/>
          <w:spacing w:val="10"/>
          <w:sz w:val="24"/>
          <w:shd w:val="clear" w:color="auto" w:fill="FFFFFF"/>
          <w:rtl/>
        </w:rPr>
        <w:t xml:space="preserve"> </w:t>
      </w:r>
      <w:r w:rsidRPr="00F01399">
        <w:rPr>
          <w:rFonts w:ascii="Century" w:hAnsi="Century" w:cs="FrankRuehl" w:hint="eastAsia"/>
          <w:spacing w:val="10"/>
          <w:szCs w:val="28"/>
          <w:shd w:val="clear" w:color="auto" w:fill="FFFFFF"/>
          <w:rtl/>
        </w:rPr>
        <w:t>ו</w:t>
      </w:r>
      <w:r w:rsidRPr="00F01399">
        <w:rPr>
          <w:rFonts w:ascii="Century" w:hAnsi="Century" w:cs="FrankRuehl"/>
          <w:spacing w:val="10"/>
          <w:szCs w:val="28"/>
          <w:shd w:val="clear" w:color="auto" w:fill="FFFFFF"/>
          <w:rtl/>
        </w:rPr>
        <w:t>-</w:t>
      </w:r>
      <w:r w:rsidRPr="00F01399">
        <w:rPr>
          <w:rFonts w:ascii="Century" w:hAnsi="Century" w:cs="Miriam" w:hint="eastAsia"/>
          <w:b/>
          <w:shd w:val="clear" w:color="auto" w:fill="FFFFFF"/>
          <w:rtl/>
        </w:rPr>
        <w:t>עמית</w:t>
      </w:r>
      <w:r>
        <w:rPr>
          <w:rFonts w:cs="FrankRuehl" w:hint="cs"/>
          <w:color w:val="000000"/>
          <w:spacing w:val="10"/>
          <w:sz w:val="28"/>
          <w:szCs w:val="28"/>
          <w:shd w:val="clear" w:color="auto" w:fill="FFFFFF"/>
          <w:rtl/>
        </w:rPr>
        <w:t xml:space="preserve">, </w:t>
      </w:r>
      <w:r w:rsidRPr="00F01399">
        <w:rPr>
          <w:rFonts w:ascii="Century" w:hAnsi="Century" w:cs="FrankRuehl" w:hint="cs"/>
          <w:spacing w:val="10"/>
          <w:szCs w:val="28"/>
          <w:shd w:val="clear" w:color="auto" w:fill="FFFFFF"/>
          <w:rtl/>
        </w:rPr>
        <w:t xml:space="preserve">מטרתו של ההסדר להגן אף על החוליות הבאות בשרשרת ההתקשרויות </w:t>
      </w:r>
      <w:r w:rsidRPr="00F01399">
        <w:rPr>
          <w:rFonts w:ascii="Century" w:hAnsi="Century" w:cs="FrankRuehl"/>
          <w:spacing w:val="10"/>
          <w:szCs w:val="28"/>
          <w:shd w:val="clear" w:color="auto" w:fill="FFFFFF"/>
          <w:rtl/>
        </w:rPr>
        <w:t>–</w:t>
      </w:r>
      <w:r w:rsidRPr="00F01399">
        <w:rPr>
          <w:rFonts w:ascii="Century" w:hAnsi="Century" w:cs="FrankRuehl" w:hint="cs"/>
          <w:spacing w:val="10"/>
          <w:szCs w:val="28"/>
          <w:shd w:val="clear" w:color="auto" w:fill="FFFFFF"/>
          <w:rtl/>
        </w:rPr>
        <w:t xml:space="preserve"> כל עוד אלו פעלו בתום לב, ובהסתמך על ההסכם המקורי שערך הממונה. הדברים אמורים בשים לב לעובדה כי בפועל דווקא הסתמכותם של מי שמצויים בקצה השרשרת </w:t>
      </w:r>
      <w:r w:rsidRPr="00F01399">
        <w:rPr>
          <w:rFonts w:ascii="Century" w:hAnsi="Century" w:cs="FrankRuehl"/>
          <w:spacing w:val="10"/>
          <w:szCs w:val="28"/>
          <w:shd w:val="clear" w:color="auto" w:fill="FFFFFF"/>
          <w:rtl/>
        </w:rPr>
        <w:t>–</w:t>
      </w:r>
      <w:r w:rsidRPr="00F01399">
        <w:rPr>
          <w:rFonts w:ascii="Century" w:hAnsi="Century" w:cs="FrankRuehl" w:hint="cs"/>
          <w:spacing w:val="10"/>
          <w:szCs w:val="28"/>
          <w:shd w:val="clear" w:color="auto" w:fill="FFFFFF"/>
          <w:rtl/>
        </w:rPr>
        <w:t xml:space="preserve"> ולענייננו המחזיקים בפועל </w:t>
      </w:r>
      <w:r w:rsidRPr="00F01399">
        <w:rPr>
          <w:rFonts w:ascii="Century" w:hAnsi="Century" w:cs="FrankRuehl"/>
          <w:spacing w:val="10"/>
          <w:szCs w:val="28"/>
          <w:shd w:val="clear" w:color="auto" w:fill="FFFFFF"/>
          <w:rtl/>
        </w:rPr>
        <w:t>–</w:t>
      </w:r>
      <w:r w:rsidRPr="00F01399">
        <w:rPr>
          <w:rFonts w:ascii="Century" w:hAnsi="Century" w:cs="FrankRuehl" w:hint="cs"/>
          <w:spacing w:val="10"/>
          <w:szCs w:val="28"/>
          <w:shd w:val="clear" w:color="auto" w:fill="FFFFFF"/>
          <w:rtl/>
        </w:rPr>
        <w:t xml:space="preserve"> על הממונה ועל התנהלותו לאורך הדרך, היא רבה במיוחד, ובהתאמה הפגיעה הממשית בהם עלולה להיות חמורה ביותר. </w:t>
      </w:r>
      <w:r w:rsidRPr="00F01399">
        <w:rPr>
          <w:rFonts w:ascii="Century" w:hAnsi="Century" w:cs="FrankRuehl" w:hint="cs"/>
          <w:spacing w:val="10"/>
          <w:szCs w:val="28"/>
          <w:rtl/>
        </w:rPr>
        <w:t xml:space="preserve">למעשה, ברגיל, שאלת ההסתמכות של חוליית קצה זו היא החשובה ביותר, מאחר שעל הסתמכותו של הגורם המיישב, ככל שהייתה, קל יחסית לפצות בכסף. לעומת זאת, </w:t>
      </w:r>
      <w:r w:rsidRPr="00F01399">
        <w:rPr>
          <w:rFonts w:ascii="Century" w:hAnsi="Century" w:cs="FrankRuehl" w:hint="cs"/>
          <w:spacing w:val="10"/>
          <w:szCs w:val="28"/>
          <w:rtl/>
        </w:rPr>
        <w:lastRenderedPageBreak/>
        <w:t>המשמעות של פינוי מבית מגורים היא כזו, שחרף הכללים המשפטיים החלים עליה, אין ספק שהיא חורגת מן התחום הכלכלי-ממוני בלבד.</w:t>
      </w:r>
    </w:p>
    <w:p w:rsidR="005B1A77" w:rsidRPr="00F01399" w:rsidRDefault="005B1A77" w:rsidP="005B1A77">
      <w:pPr>
        <w:spacing w:line="360" w:lineRule="auto"/>
        <w:jc w:val="both"/>
        <w:rPr>
          <w:rFonts w:ascii="Century" w:hAnsi="Century" w:cs="FrankRuehl"/>
          <w:spacing w:val="10"/>
          <w:szCs w:val="28"/>
          <w:shd w:val="clear" w:color="auto" w:fill="FFFFFF"/>
          <w:rtl/>
        </w:rPr>
      </w:pPr>
    </w:p>
    <w:p w:rsidR="005B1A77" w:rsidRPr="00F01399" w:rsidRDefault="005B1A77" w:rsidP="005B1A77">
      <w:pPr>
        <w:spacing w:line="360" w:lineRule="auto"/>
        <w:jc w:val="both"/>
        <w:rPr>
          <w:rFonts w:ascii="Century" w:hAnsi="Century" w:cs="FrankRuehl"/>
          <w:spacing w:val="10"/>
          <w:szCs w:val="28"/>
          <w:shd w:val="clear" w:color="auto" w:fill="FFFFFF"/>
          <w:rtl/>
        </w:rPr>
      </w:pPr>
      <w:r w:rsidRPr="00F01399">
        <w:rPr>
          <w:rFonts w:ascii="Century" w:hAnsi="Century" w:cs="FrankRuehl" w:hint="cs"/>
          <w:spacing w:val="10"/>
          <w:szCs w:val="28"/>
          <w:shd w:val="clear" w:color="auto" w:fill="FFFFFF"/>
          <w:rtl/>
        </w:rPr>
        <w:t>18.</w:t>
      </w:r>
      <w:r w:rsidRPr="00F01399">
        <w:rPr>
          <w:rFonts w:ascii="Century" w:hAnsi="Century" w:cs="FrankRuehl" w:hint="cs"/>
          <w:spacing w:val="10"/>
          <w:szCs w:val="28"/>
          <w:shd w:val="clear" w:color="auto" w:fill="FFFFFF"/>
          <w:rtl/>
        </w:rPr>
        <w:tab/>
      </w:r>
      <w:r w:rsidRPr="00F01399">
        <w:rPr>
          <w:rFonts w:ascii="Century" w:hAnsi="Century" w:cs="FrankRuehl" w:hint="cs"/>
          <w:spacing w:val="10"/>
          <w:szCs w:val="28"/>
          <w:rtl/>
        </w:rPr>
        <w:t xml:space="preserve"> מנקודת ראות זו, אני סבורה כי לא ניתן לראות בהסתדרות הציונית גורם עצמאי שחוסה תחת תכליתו של ההסדר שבפנינו. בהקשר זה נתתי דעתי לכך שאף כי מבחינה פורמלית ההסתדרות הציונית היא אישיות משפטית נפרדת מהמדינה, במקרים רבים היא פועלת כגורם ביצועי מטעמה וכשותף מרכזי חשוב בהליכי הפיתוח והתכנון. במובן זה, ובאופן מהותי, ההסתדרות הציונית משמשת במידה רבה כ"זרועו הארוכה" של הממונה (ראו בהקשר זה את דברי המשנה לנשיאה </w:t>
      </w:r>
      <w:r w:rsidRPr="00F01399">
        <w:rPr>
          <w:rFonts w:ascii="Century" w:hAnsi="Century" w:cs="Miriam" w:hint="eastAsia"/>
          <w:b/>
          <w:shd w:val="clear" w:color="auto" w:fill="FFFFFF"/>
          <w:rtl/>
        </w:rPr>
        <w:t>א</w:t>
      </w:r>
      <w:r w:rsidRPr="00F01399">
        <w:rPr>
          <w:rFonts w:ascii="Century" w:hAnsi="Century" w:cs="Miriam"/>
          <w:b/>
          <w:shd w:val="clear" w:color="auto" w:fill="FFFFFF"/>
          <w:rtl/>
        </w:rPr>
        <w:t xml:space="preserve">' </w:t>
      </w:r>
      <w:r w:rsidRPr="00F01399">
        <w:rPr>
          <w:rFonts w:ascii="Century" w:hAnsi="Century" w:cs="Miriam" w:hint="eastAsia"/>
          <w:b/>
          <w:shd w:val="clear" w:color="auto" w:fill="FFFFFF"/>
          <w:rtl/>
        </w:rPr>
        <w:t>רובינשטיין</w:t>
      </w:r>
      <w:r w:rsidRPr="00F01399">
        <w:rPr>
          <w:rFonts w:cs="FrankRuehl" w:hint="cs"/>
          <w:color w:val="000000"/>
          <w:spacing w:val="10"/>
          <w:sz w:val="28"/>
          <w:szCs w:val="28"/>
          <w:rtl/>
        </w:rPr>
        <w:t xml:space="preserve"> </w:t>
      </w:r>
      <w:r w:rsidRPr="00F01399">
        <w:rPr>
          <w:rFonts w:ascii="Century" w:hAnsi="Century" w:cs="FrankRuehl" w:hint="cs"/>
          <w:spacing w:val="10"/>
          <w:szCs w:val="28"/>
          <w:rtl/>
        </w:rPr>
        <w:t>בבג"ץ 3301/15</w:t>
      </w:r>
      <w:r w:rsidRPr="00F01399">
        <w:rPr>
          <w:rFonts w:cs="FrankRuehl" w:hint="cs"/>
          <w:color w:val="000000"/>
          <w:spacing w:val="10"/>
          <w:sz w:val="28"/>
          <w:szCs w:val="28"/>
          <w:rtl/>
        </w:rPr>
        <w:t xml:space="preserve"> </w:t>
      </w:r>
      <w:r w:rsidRPr="00F01399">
        <w:rPr>
          <w:rFonts w:ascii="Century" w:hAnsi="Century" w:cs="Miriam" w:hint="eastAsia"/>
          <w:b/>
          <w:shd w:val="clear" w:color="auto" w:fill="FFFFFF"/>
          <w:rtl/>
        </w:rPr>
        <w:t>גלאון</w:t>
      </w:r>
      <w:r w:rsidRPr="00F01399">
        <w:rPr>
          <w:rFonts w:ascii="Century" w:hAnsi="Century" w:cs="Miriam"/>
          <w:b/>
          <w:shd w:val="clear" w:color="auto" w:fill="FFFFFF"/>
          <w:rtl/>
        </w:rPr>
        <w:t xml:space="preserve"> </w:t>
      </w:r>
      <w:r w:rsidRPr="00F01399">
        <w:rPr>
          <w:rFonts w:ascii="Century" w:hAnsi="Century" w:cs="Miriam" w:hint="eastAsia"/>
          <w:b/>
          <w:shd w:val="clear" w:color="auto" w:fill="FFFFFF"/>
          <w:rtl/>
        </w:rPr>
        <w:t>נ</w:t>
      </w:r>
      <w:r w:rsidRPr="00F01399">
        <w:rPr>
          <w:rFonts w:ascii="Century" w:hAnsi="Century" w:cs="Miriam"/>
          <w:b/>
          <w:shd w:val="clear" w:color="auto" w:fill="FFFFFF"/>
          <w:rtl/>
        </w:rPr>
        <w:t>' סיעת הליכוד בכנסת ה-20</w:t>
      </w:r>
      <w:r>
        <w:rPr>
          <w:rFonts w:cs="FrankRuehl" w:hint="cs"/>
          <w:color w:val="000000"/>
          <w:spacing w:val="10"/>
          <w:sz w:val="28"/>
          <w:szCs w:val="28"/>
          <w:rtl/>
        </w:rPr>
        <w:t xml:space="preserve">, </w:t>
      </w:r>
      <w:r w:rsidRPr="00F01399">
        <w:rPr>
          <w:rFonts w:ascii="Century" w:hAnsi="Century" w:cs="FrankRuehl" w:hint="cs"/>
          <w:spacing w:val="10"/>
          <w:szCs w:val="28"/>
          <w:rtl/>
        </w:rPr>
        <w:t>פסקאות ט"ז וכ"א (29.6.2015), שאליהם הפנה חברי השופט</w:t>
      </w:r>
      <w:r w:rsidRPr="00F01399">
        <w:rPr>
          <w:rFonts w:cs="FrankRuehl" w:hint="cs"/>
          <w:color w:val="000000"/>
          <w:spacing w:val="10"/>
          <w:sz w:val="28"/>
          <w:szCs w:val="28"/>
          <w:rtl/>
        </w:rPr>
        <w:t xml:space="preserve"> </w:t>
      </w:r>
      <w:r w:rsidRPr="00F01399">
        <w:rPr>
          <w:rFonts w:ascii="Century" w:hAnsi="Century" w:cs="Miriam" w:hint="eastAsia"/>
          <w:b/>
          <w:shd w:val="clear" w:color="auto" w:fill="FFFFFF"/>
          <w:rtl/>
        </w:rPr>
        <w:t>עמית</w:t>
      </w:r>
      <w:r>
        <w:rPr>
          <w:rFonts w:ascii="Miriam" w:hAnsi="Miriam" w:cs="Miriam" w:hint="cs"/>
          <w:color w:val="000000"/>
          <w:spacing w:val="10"/>
          <w:sz w:val="24"/>
          <w:shd w:val="clear" w:color="auto" w:fill="FFFFFF"/>
          <w:rtl/>
        </w:rPr>
        <w:t xml:space="preserve">. </w:t>
      </w:r>
      <w:r w:rsidRPr="00F01399">
        <w:rPr>
          <w:rFonts w:ascii="Century" w:hAnsi="Century" w:cs="FrankRuehl" w:hint="eastAsia"/>
          <w:spacing w:val="10"/>
          <w:szCs w:val="28"/>
          <w:rtl/>
        </w:rPr>
        <w:t>עוד</w:t>
      </w:r>
      <w:r w:rsidRPr="00F01399">
        <w:rPr>
          <w:rFonts w:ascii="Century" w:hAnsi="Century" w:cs="FrankRuehl"/>
          <w:spacing w:val="10"/>
          <w:szCs w:val="28"/>
          <w:rtl/>
        </w:rPr>
        <w:t xml:space="preserve"> </w:t>
      </w:r>
      <w:r w:rsidRPr="00F01399">
        <w:rPr>
          <w:rFonts w:ascii="Century" w:hAnsi="Century" w:cs="FrankRuehl" w:hint="eastAsia"/>
          <w:spacing w:val="10"/>
          <w:szCs w:val="28"/>
          <w:rtl/>
        </w:rPr>
        <w:t>על</w:t>
      </w:r>
      <w:r w:rsidRPr="00F01399">
        <w:rPr>
          <w:rFonts w:ascii="Century" w:hAnsi="Century" w:cs="FrankRuehl"/>
          <w:spacing w:val="10"/>
          <w:szCs w:val="28"/>
          <w:rtl/>
        </w:rPr>
        <w:t xml:space="preserve"> </w:t>
      </w:r>
      <w:r w:rsidRPr="00F01399">
        <w:rPr>
          <w:rFonts w:ascii="Century" w:hAnsi="Century" w:cs="FrankRuehl" w:hint="eastAsia"/>
          <w:spacing w:val="10"/>
          <w:szCs w:val="28"/>
          <w:rtl/>
        </w:rPr>
        <w:t>זיקת</w:t>
      </w:r>
      <w:r w:rsidRPr="00F01399">
        <w:rPr>
          <w:rFonts w:ascii="Century" w:hAnsi="Century" w:cs="FrankRuehl" w:hint="cs"/>
          <w:spacing w:val="10"/>
          <w:szCs w:val="28"/>
          <w:rtl/>
        </w:rPr>
        <w:t>ן</w:t>
      </w:r>
      <w:r w:rsidRPr="00F01399">
        <w:rPr>
          <w:rFonts w:ascii="Century" w:hAnsi="Century" w:cs="FrankRuehl"/>
          <w:spacing w:val="10"/>
          <w:szCs w:val="28"/>
          <w:rtl/>
        </w:rPr>
        <w:t xml:space="preserve"> של </w:t>
      </w:r>
      <w:r w:rsidRPr="00F01399">
        <w:rPr>
          <w:rFonts w:ascii="Century" w:hAnsi="Century" w:cs="FrankRuehl" w:hint="eastAsia"/>
          <w:spacing w:val="10"/>
          <w:szCs w:val="28"/>
          <w:rtl/>
        </w:rPr>
        <w:t>ההסתדרות</w:t>
      </w:r>
      <w:r w:rsidRPr="00F01399">
        <w:rPr>
          <w:rFonts w:ascii="Century" w:hAnsi="Century" w:cs="FrankRuehl"/>
          <w:spacing w:val="10"/>
          <w:szCs w:val="28"/>
          <w:rtl/>
        </w:rPr>
        <w:t xml:space="preserve"> </w:t>
      </w:r>
      <w:r w:rsidRPr="00F01399">
        <w:rPr>
          <w:rFonts w:ascii="Century" w:hAnsi="Century" w:cs="FrankRuehl" w:hint="eastAsia"/>
          <w:spacing w:val="10"/>
          <w:szCs w:val="28"/>
          <w:rtl/>
        </w:rPr>
        <w:t>הציונית</w:t>
      </w:r>
      <w:r w:rsidRPr="00F01399">
        <w:rPr>
          <w:rFonts w:ascii="Century" w:hAnsi="Century" w:cs="FrankRuehl"/>
          <w:spacing w:val="10"/>
          <w:szCs w:val="28"/>
          <w:rtl/>
        </w:rPr>
        <w:t xml:space="preserve"> </w:t>
      </w:r>
      <w:r w:rsidRPr="00F01399">
        <w:rPr>
          <w:rFonts w:ascii="Century" w:hAnsi="Century" w:cs="FrankRuehl" w:hint="eastAsia"/>
          <w:spacing w:val="10"/>
          <w:szCs w:val="28"/>
          <w:rtl/>
        </w:rPr>
        <w:t>והחטיבה</w:t>
      </w:r>
      <w:r w:rsidRPr="00F01399">
        <w:rPr>
          <w:rFonts w:ascii="Century" w:hAnsi="Century" w:cs="FrankRuehl"/>
          <w:spacing w:val="10"/>
          <w:szCs w:val="28"/>
          <w:rtl/>
        </w:rPr>
        <w:t xml:space="preserve"> </w:t>
      </w:r>
      <w:r w:rsidRPr="00F01399">
        <w:rPr>
          <w:rFonts w:ascii="Century" w:hAnsi="Century" w:cs="FrankRuehl" w:hint="eastAsia"/>
          <w:spacing w:val="10"/>
          <w:szCs w:val="28"/>
          <w:rtl/>
        </w:rPr>
        <w:t>להתיישבות</w:t>
      </w:r>
      <w:r w:rsidRPr="00F01399">
        <w:rPr>
          <w:rFonts w:ascii="Century" w:hAnsi="Century" w:cs="FrankRuehl"/>
          <w:spacing w:val="10"/>
          <w:szCs w:val="28"/>
          <w:rtl/>
        </w:rPr>
        <w:t xml:space="preserve"> </w:t>
      </w:r>
      <w:r w:rsidRPr="00F01399">
        <w:rPr>
          <w:rFonts w:ascii="Century" w:hAnsi="Century" w:cs="FrankRuehl" w:hint="eastAsia"/>
          <w:spacing w:val="10"/>
          <w:szCs w:val="28"/>
          <w:rtl/>
        </w:rPr>
        <w:t>למדינה</w:t>
      </w:r>
      <w:r w:rsidRPr="00F01399">
        <w:rPr>
          <w:rFonts w:ascii="Century" w:hAnsi="Century" w:cs="FrankRuehl"/>
          <w:spacing w:val="10"/>
          <w:szCs w:val="28"/>
          <w:rtl/>
        </w:rPr>
        <w:t xml:space="preserve"> </w:t>
      </w:r>
      <w:r w:rsidRPr="00F01399">
        <w:rPr>
          <w:rFonts w:ascii="Century" w:hAnsi="Century" w:cs="FrankRuehl" w:hint="eastAsia"/>
          <w:spacing w:val="10"/>
          <w:szCs w:val="28"/>
          <w:rtl/>
        </w:rPr>
        <w:t>ראו</w:t>
      </w:r>
      <w:r w:rsidRPr="00F01399">
        <w:rPr>
          <w:rFonts w:ascii="Century" w:hAnsi="Century" w:cs="FrankRuehl"/>
          <w:spacing w:val="10"/>
          <w:szCs w:val="28"/>
          <w:rtl/>
        </w:rPr>
        <w:t xml:space="preserve"> </w:t>
      </w:r>
      <w:r w:rsidRPr="00F01399">
        <w:rPr>
          <w:rFonts w:ascii="Century" w:hAnsi="Century" w:cs="FrankRuehl" w:hint="eastAsia"/>
          <w:spacing w:val="10"/>
          <w:szCs w:val="28"/>
          <w:rtl/>
        </w:rPr>
        <w:t>גם</w:t>
      </w:r>
      <w:r w:rsidRPr="00F01399">
        <w:rPr>
          <w:rFonts w:ascii="Century" w:hAnsi="Century" w:cs="FrankRuehl"/>
          <w:spacing w:val="10"/>
          <w:szCs w:val="28"/>
          <w:rtl/>
        </w:rPr>
        <w:t>:</w:t>
      </w:r>
      <w:r w:rsidRPr="00F01399">
        <w:rPr>
          <w:rFonts w:ascii="Century" w:hAnsi="Century" w:cs="FrankRuehl" w:hint="cs"/>
          <w:spacing w:val="10"/>
          <w:szCs w:val="28"/>
          <w:shd w:val="clear" w:color="auto" w:fill="FFFFFF"/>
          <w:rtl/>
        </w:rPr>
        <w:t xml:space="preserve"> </w:t>
      </w:r>
      <w:r w:rsidRPr="00F01399">
        <w:rPr>
          <w:rFonts w:ascii="Century" w:hAnsi="Century" w:cs="FrankRuehl"/>
          <w:spacing w:val="10"/>
          <w:szCs w:val="28"/>
          <w:rtl/>
        </w:rPr>
        <w:t xml:space="preserve">בג"ץ 9518/16 </w:t>
      </w:r>
      <w:r w:rsidRPr="00F01399">
        <w:rPr>
          <w:rFonts w:ascii="Century" w:hAnsi="Century" w:cs="Miriam"/>
          <w:b/>
          <w:shd w:val="clear" w:color="auto" w:fill="FFFFFF"/>
          <w:rtl/>
        </w:rPr>
        <w:t>הראל נ' כנסת ישראל</w:t>
      </w:r>
      <w:r w:rsidRPr="00496E72">
        <w:rPr>
          <w:rFonts w:cs="FrankRuehl"/>
          <w:color w:val="000000"/>
          <w:spacing w:val="10"/>
          <w:sz w:val="28"/>
          <w:szCs w:val="28"/>
          <w:rtl/>
        </w:rPr>
        <w:t xml:space="preserve">, </w:t>
      </w:r>
      <w:r w:rsidRPr="00F01399">
        <w:rPr>
          <w:rFonts w:ascii="Century" w:hAnsi="Century" w:cs="FrankRuehl"/>
          <w:spacing w:val="10"/>
          <w:szCs w:val="28"/>
          <w:rtl/>
        </w:rPr>
        <w:t>פסק</w:t>
      </w:r>
      <w:r w:rsidRPr="00F01399">
        <w:rPr>
          <w:rFonts w:ascii="Century" w:hAnsi="Century" w:cs="FrankRuehl" w:hint="cs"/>
          <w:spacing w:val="10"/>
          <w:szCs w:val="28"/>
          <w:rtl/>
        </w:rPr>
        <w:t xml:space="preserve">אות מ"ג ו-ע"ב (5.9.2017). כן ראו: </w:t>
      </w:r>
      <w:r w:rsidRPr="00F01399">
        <w:rPr>
          <w:rFonts w:ascii="Century" w:hAnsi="Century" w:cs="FrankRuehl"/>
          <w:spacing w:val="10"/>
          <w:szCs w:val="28"/>
          <w:rtl/>
        </w:rPr>
        <w:t>סעיף 6ב לחוק מעמדן של ההסתדרות הציונית העולמית ושל הסוכנות היהודית לארץ ישראל, התשי"ג-1952</w:t>
      </w:r>
      <w:r w:rsidRPr="00F01399">
        <w:rPr>
          <w:rFonts w:ascii="Century" w:hAnsi="Century" w:cs="FrankRuehl" w:hint="cs"/>
          <w:spacing w:val="10"/>
          <w:szCs w:val="28"/>
          <w:rtl/>
        </w:rPr>
        <w:t>). הדברים אמורים בשים לב לפרקטיקה הנוהגת באזור, בהינתן העובדה כי בפועל חלק משמעותי מן העסקאות שמבצע הממונה נעשות עם גורמים מיישבים ובפרט עם ההסתדרות הציונית (ראו: חגי ויניצקי "תקנת השוק בעסקאות עם הממונה על הרכוש הממשלתי ביהודה ושומרון"</w:t>
      </w:r>
      <w:r w:rsidRPr="00A956CA">
        <w:rPr>
          <w:rFonts w:ascii="Century" w:hAnsi="Century" w:cs="FrankRuehl" w:hint="cs"/>
          <w:spacing w:val="10"/>
          <w:szCs w:val="28"/>
          <w:rtl/>
        </w:rPr>
        <w:t xml:space="preserve"> </w:t>
      </w:r>
      <w:r w:rsidRPr="00F01399">
        <w:rPr>
          <w:rFonts w:ascii="Century" w:hAnsi="Century" w:cs="Miriam" w:hint="cs"/>
          <w:b/>
          <w:rtl/>
        </w:rPr>
        <w:t>משפטים</w:t>
      </w:r>
      <w:r w:rsidRPr="00F01399">
        <w:rPr>
          <w:rFonts w:ascii="Century" w:hAnsi="Century" w:cs="FrankRuehl" w:hint="cs"/>
          <w:spacing w:val="10"/>
          <w:szCs w:val="28"/>
          <w:rtl/>
        </w:rPr>
        <w:t xml:space="preserve"> נ 359, 379 (2020) (להלן: </w:t>
      </w:r>
      <w:r w:rsidRPr="00F01399">
        <w:rPr>
          <w:rFonts w:ascii="Century" w:hAnsi="Century" w:cs="Miriam" w:hint="cs"/>
          <w:b/>
          <w:rtl/>
        </w:rPr>
        <w:t>ויניצקי</w:t>
      </w:r>
      <w:r w:rsidRPr="00F01399">
        <w:rPr>
          <w:rFonts w:ascii="Century" w:hAnsi="Century" w:cs="FrankRuehl" w:hint="cs"/>
          <w:spacing w:val="10"/>
          <w:szCs w:val="28"/>
          <w:rtl/>
        </w:rPr>
        <w:t xml:space="preserve">). כן ראו: בג"ץ 1308/17 </w:t>
      </w:r>
      <w:r w:rsidRPr="00F01399">
        <w:rPr>
          <w:rFonts w:ascii="Century" w:hAnsi="Century" w:cs="Miriam" w:hint="cs"/>
          <w:b/>
          <w:rtl/>
        </w:rPr>
        <w:t>עיריית סלואד נ' הכנסת</w:t>
      </w:r>
      <w:r w:rsidRPr="00F01399">
        <w:rPr>
          <w:rFonts w:ascii="Century" w:hAnsi="Century" w:cs="FrankRuehl" w:hint="cs"/>
          <w:spacing w:val="10"/>
          <w:szCs w:val="28"/>
          <w:rtl/>
        </w:rPr>
        <w:t>,</w:t>
      </w:r>
      <w:r>
        <w:rPr>
          <w:rFonts w:ascii="Century" w:hAnsi="Century" w:cs="FrankRuehl" w:hint="cs"/>
          <w:spacing w:val="10"/>
          <w:szCs w:val="28"/>
          <w:rtl/>
        </w:rPr>
        <w:t xml:space="preserve"> </w:t>
      </w:r>
      <w:r w:rsidRPr="00F01399">
        <w:rPr>
          <w:rFonts w:ascii="Century" w:hAnsi="Century" w:cs="FrankRuehl" w:hint="cs"/>
          <w:spacing w:val="10"/>
          <w:szCs w:val="28"/>
          <w:rtl/>
        </w:rPr>
        <w:t xml:space="preserve">פסקה 48 לפסק דינה של הנשיאה </w:t>
      </w:r>
      <w:r w:rsidRPr="00F01399">
        <w:rPr>
          <w:rFonts w:ascii="Century" w:hAnsi="Century" w:cs="Miriam" w:hint="cs"/>
          <w:b/>
          <w:rtl/>
        </w:rPr>
        <w:t>חיות</w:t>
      </w:r>
      <w:r w:rsidRPr="00F01399">
        <w:rPr>
          <w:rFonts w:ascii="Century" w:hAnsi="Century" w:cs="FrankRuehl" w:hint="cs"/>
          <w:spacing w:val="10"/>
          <w:szCs w:val="28"/>
          <w:rtl/>
        </w:rPr>
        <w:t xml:space="preserve"> (9.6.2020)). זאת ועוד: כפי שציין חברי המשנה לנשיאה </w:t>
      </w:r>
      <w:r w:rsidRPr="00F01399">
        <w:rPr>
          <w:rFonts w:ascii="Century" w:hAnsi="Century" w:cs="Miriam" w:hint="eastAsia"/>
          <w:b/>
          <w:rtl/>
        </w:rPr>
        <w:t>פוגלמן</w:t>
      </w:r>
      <w:r w:rsidRPr="00F01399">
        <w:rPr>
          <w:rFonts w:cs="FrankRuehl" w:hint="cs"/>
          <w:color w:val="000000"/>
          <w:spacing w:val="10"/>
          <w:sz w:val="28"/>
          <w:szCs w:val="28"/>
          <w:rtl/>
        </w:rPr>
        <w:t xml:space="preserve"> </w:t>
      </w:r>
      <w:r w:rsidRPr="00F01399">
        <w:rPr>
          <w:rFonts w:ascii="Century" w:hAnsi="Century" w:cs="FrankRuehl" w:hint="cs"/>
          <w:spacing w:val="10"/>
          <w:szCs w:val="28"/>
          <w:rtl/>
        </w:rPr>
        <w:t>(פסקה 63</w:t>
      </w:r>
      <w:r w:rsidRPr="008A2BF9">
        <w:rPr>
          <w:rFonts w:ascii="Century" w:hAnsi="Century" w:cs="FrankRuehl" w:hint="cs"/>
          <w:spacing w:val="10"/>
          <w:szCs w:val="28"/>
          <w:rtl/>
        </w:rPr>
        <w:t xml:space="preserve"> </w:t>
      </w:r>
      <w:r>
        <w:rPr>
          <w:rFonts w:ascii="Century" w:hAnsi="Century" w:cs="FrankRuehl" w:hint="cs"/>
          <w:spacing w:val="10"/>
          <w:szCs w:val="28"/>
          <w:rtl/>
        </w:rPr>
        <w:t>ל</w:t>
      </w:r>
      <w:r w:rsidRPr="00F01399">
        <w:rPr>
          <w:rFonts w:ascii="Century" w:hAnsi="Century" w:cs="FrankRuehl" w:hint="cs"/>
          <w:spacing w:val="10"/>
          <w:szCs w:val="28"/>
          <w:rtl/>
        </w:rPr>
        <w:t xml:space="preserve">פסק דינו), ההסתדרות הציונית היא במידה רבה "שחקן חוזר" ומרכזי השונה במאפייניו מאדם פרטי "פשוט" המתקשר בעסקה עם הממונה. על רקע כלל האמור, ניכר כי מערכת היחסים שבין הממונה להסתדרות הציונית משקפת קרבה של ממש ושיתוף פעולה הדוק, ומבטאת במידה רבה דמיון אינטרסים. בהתאם לכך, דומה כי תפקידה של ההסתדרות הציונית במקרה דנן ובדומים לו קרוב במהותו לזה של "גורם מתווך", וזאת טרם מימוש ההתקשרות עם גורמים קונקרטיים אחרים. </w:t>
      </w:r>
    </w:p>
    <w:p w:rsidR="005B1A77" w:rsidRDefault="005B1A77" w:rsidP="005B1A77">
      <w:pPr>
        <w:spacing w:line="360" w:lineRule="auto"/>
        <w:jc w:val="both"/>
        <w:rPr>
          <w:rFonts w:cs="FrankRuehl"/>
          <w:color w:val="000000"/>
          <w:spacing w:val="10"/>
          <w:sz w:val="28"/>
          <w:szCs w:val="28"/>
          <w:shd w:val="clear" w:color="auto" w:fill="FFFFFF"/>
          <w:rtl/>
        </w:rPr>
      </w:pPr>
    </w:p>
    <w:p w:rsidR="005B1A77" w:rsidRPr="00F01399" w:rsidRDefault="005B1A77" w:rsidP="005B1A77">
      <w:pPr>
        <w:spacing w:line="360" w:lineRule="auto"/>
        <w:jc w:val="both"/>
        <w:rPr>
          <w:rFonts w:ascii="Century" w:hAnsi="Century" w:cs="FrankRuehl"/>
          <w:spacing w:val="10"/>
          <w:szCs w:val="28"/>
          <w:rtl/>
        </w:rPr>
      </w:pPr>
      <w:r>
        <w:rPr>
          <w:rFonts w:cs="FrankRuehl" w:hint="cs"/>
          <w:color w:val="000000"/>
          <w:spacing w:val="10"/>
          <w:sz w:val="28"/>
          <w:szCs w:val="28"/>
          <w:rtl/>
        </w:rPr>
        <w:t>19.</w:t>
      </w:r>
      <w:r>
        <w:rPr>
          <w:rFonts w:cs="FrankRuehl" w:hint="cs"/>
          <w:color w:val="000000"/>
          <w:spacing w:val="10"/>
          <w:sz w:val="28"/>
          <w:szCs w:val="28"/>
          <w:rtl/>
        </w:rPr>
        <w:tab/>
      </w:r>
      <w:r w:rsidRPr="00F01399">
        <w:rPr>
          <w:rFonts w:ascii="Century" w:hAnsi="Century" w:cs="FrankRuehl" w:hint="cs"/>
          <w:spacing w:val="10"/>
          <w:szCs w:val="28"/>
          <w:rtl/>
        </w:rPr>
        <w:t>נוכח האמור, קיים קושי לטעמי בקביעה שקם להסתדרות הציונית, בעמדה</w:t>
      </w:r>
      <w:r>
        <w:rPr>
          <w:rFonts w:cs="FrankRuehl" w:hint="cs"/>
          <w:color w:val="000000"/>
          <w:spacing w:val="10"/>
          <w:sz w:val="28"/>
          <w:szCs w:val="28"/>
          <w:rtl/>
        </w:rPr>
        <w:t xml:space="preserve"> </w:t>
      </w:r>
      <w:r w:rsidRPr="00F01399">
        <w:rPr>
          <w:rFonts w:ascii="Century" w:hAnsi="Century" w:cs="Miriam" w:hint="eastAsia"/>
          <w:b/>
          <w:rtl/>
        </w:rPr>
        <w:t>לבדה</w:t>
      </w:r>
      <w:r>
        <w:rPr>
          <w:rFonts w:cs="FrankRuehl" w:hint="cs"/>
          <w:color w:val="000000"/>
          <w:spacing w:val="10"/>
          <w:sz w:val="28"/>
          <w:szCs w:val="28"/>
          <w:rtl/>
        </w:rPr>
        <w:t xml:space="preserve">, </w:t>
      </w:r>
      <w:r w:rsidRPr="00F01399">
        <w:rPr>
          <w:rFonts w:ascii="Century" w:hAnsi="Century" w:cs="FrankRuehl" w:hint="cs"/>
          <w:spacing w:val="10"/>
          <w:szCs w:val="28"/>
          <w:rtl/>
        </w:rPr>
        <w:t xml:space="preserve">אינטרס הסתמכות לגיטימי ועצמאי מן הסוג שעליו ביקש סעיף 5 לצו להגן, המצדיק העדפה על פני זכות הקניין של בעלי הנכס המקוריים. קביעה כזו אינה נותנת לטעמי די משקל לזיקתה החזקה של ההסתדרות הציונית לממונה ולמעורבותה בקידום הליכי התכנון, שאליהן נוספות יכולותיה המקצועיות הגבוהות ומשאביה המוסדיים. ברי כי בנסיבות אלו נחלשת משמעותית תכליתו של ההסדר, </w:t>
      </w:r>
      <w:r>
        <w:rPr>
          <w:rFonts w:ascii="Century" w:hAnsi="Century" w:cs="FrankRuehl" w:hint="cs"/>
          <w:spacing w:val="10"/>
          <w:szCs w:val="28"/>
          <w:rtl/>
        </w:rPr>
        <w:t>אשר נועד</w:t>
      </w:r>
      <w:r w:rsidRPr="00F01399">
        <w:rPr>
          <w:rFonts w:ascii="Century" w:hAnsi="Century" w:cs="FrankRuehl" w:hint="cs"/>
          <w:spacing w:val="10"/>
          <w:szCs w:val="28"/>
          <w:rtl/>
        </w:rPr>
        <w:t xml:space="preserve"> להגן על יכולתם של צדדים </w:t>
      </w:r>
      <w:r w:rsidRPr="00F01399">
        <w:rPr>
          <w:rFonts w:ascii="Century" w:hAnsi="Century" w:cs="Miriam" w:hint="cs"/>
          <w:b/>
          <w:rtl/>
        </w:rPr>
        <w:t>אחרים</w:t>
      </w:r>
      <w:r w:rsidRPr="00F01399">
        <w:rPr>
          <w:rFonts w:ascii="Century" w:hAnsi="Century" w:cs="FrankRuehl" w:hint="cs"/>
          <w:spacing w:val="10"/>
          <w:szCs w:val="28"/>
          <w:rtl/>
        </w:rPr>
        <w:t xml:space="preserve"> להסתמך על הממונה. למעשה, הזהירות הנדרשת בהכרה במעמדה העצמאי של ההסתדרות הציונית משתקפת, גם אם באופן חלקי בלבד, בעמדתה של המדינה לאורך </w:t>
      </w:r>
      <w:r w:rsidRPr="00F01399">
        <w:rPr>
          <w:rFonts w:ascii="Century" w:hAnsi="Century" w:cs="FrankRuehl" w:hint="cs"/>
          <w:spacing w:val="10"/>
          <w:szCs w:val="28"/>
          <w:rtl/>
        </w:rPr>
        <w:lastRenderedPageBreak/>
        <w:t xml:space="preserve">ההליך. כך, הגם שהדגישה כי אין צורך להכריע בסוגיה עקרונית זו, ציינה המדינה כי "בהקשר הכללי, תבהיר המדינה... כי היא אינה עומדת על כך שבכל מצב ועניין, יעמוד הממונה על קיום העסקה, רק מעצם קיומו של חוזה בין הממונה להסתדרות הציונית" (ראו סעיף 29 להשלמת טיעון מטעם המדינה מיום 31.5.2021). </w:t>
      </w:r>
    </w:p>
    <w:p w:rsidR="005B1A77" w:rsidRDefault="005B1A77" w:rsidP="005B1A77">
      <w:pPr>
        <w:spacing w:line="360" w:lineRule="auto"/>
        <w:jc w:val="both"/>
        <w:rPr>
          <w:rFonts w:cs="FrankRuehl"/>
          <w:color w:val="000000"/>
          <w:spacing w:val="10"/>
          <w:sz w:val="28"/>
          <w:szCs w:val="28"/>
          <w:rtl/>
        </w:rPr>
      </w:pPr>
    </w:p>
    <w:p w:rsidR="005B1A77" w:rsidRPr="0022226C" w:rsidRDefault="005B1A77" w:rsidP="005B1A77">
      <w:pPr>
        <w:spacing w:line="360" w:lineRule="auto"/>
        <w:jc w:val="both"/>
        <w:rPr>
          <w:rFonts w:cs="FrankRuehl"/>
          <w:color w:val="000000"/>
          <w:spacing w:val="10"/>
          <w:sz w:val="28"/>
          <w:szCs w:val="28"/>
          <w:shd w:val="clear" w:color="auto" w:fill="FFFFFF"/>
          <w:rtl/>
        </w:rPr>
      </w:pPr>
      <w:r w:rsidRPr="00F01399">
        <w:rPr>
          <w:rFonts w:ascii="Century" w:hAnsi="Century" w:cs="FrankRuehl" w:hint="cs"/>
          <w:spacing w:val="10"/>
          <w:szCs w:val="28"/>
          <w:rtl/>
        </w:rPr>
        <w:t>20.</w:t>
      </w:r>
      <w:r w:rsidRPr="00F01399">
        <w:rPr>
          <w:rFonts w:ascii="Century" w:hAnsi="Century" w:cs="FrankRuehl" w:hint="cs"/>
          <w:spacing w:val="10"/>
          <w:szCs w:val="28"/>
          <w:rtl/>
        </w:rPr>
        <w:tab/>
        <w:t xml:space="preserve">המסקנה כי לצורך תחולתו של ההסדר יש להצביע על צד שלישי ממשי, בשונה מגורם מיישב כשלעצמו, מתחייבת אף מן הגישה המצמצמת הכללית עליה עמדתי. לשיטתי, קביעה כי די בגורם המיישב לבדו כדי לקיים את </w:t>
      </w:r>
      <w:r>
        <w:rPr>
          <w:rFonts w:ascii="Century" w:hAnsi="Century" w:cs="FrankRuehl" w:hint="cs"/>
          <w:spacing w:val="10"/>
          <w:szCs w:val="28"/>
          <w:rtl/>
        </w:rPr>
        <w:t xml:space="preserve">התנאי של "אדם אחר" </w:t>
      </w:r>
      <w:r w:rsidRPr="00F01399">
        <w:rPr>
          <w:rFonts w:ascii="Century" w:hAnsi="Century" w:cs="FrankRuehl" w:hint="cs"/>
          <w:spacing w:val="10"/>
          <w:szCs w:val="28"/>
          <w:rtl/>
        </w:rPr>
        <w:t xml:space="preserve">אינה מאזנת כראוי בין תועלתו של ההסדר לבין הפגיעה הקשה בזכויותיהם של הבעלים המקוריים. </w:t>
      </w:r>
      <w:r w:rsidRPr="00F01399">
        <w:rPr>
          <w:rFonts w:ascii="Century" w:hAnsi="Century" w:cs="FrankRuehl" w:hint="cs"/>
          <w:spacing w:val="10"/>
          <w:szCs w:val="28"/>
          <w:shd w:val="clear" w:color="auto" w:fill="FFFFFF"/>
          <w:rtl/>
        </w:rPr>
        <w:t>עמדה זו משקפת את מידת הרצינות שיש לייחס לחובות המוטלות על המפקד הצבאי באזור ועל הממונה מכוח המשפט הבינלאומי. זאת, בפרט ביחס להגנה על זכויות הקניין של האוכלוסיי</w:t>
      </w:r>
      <w:r w:rsidRPr="00F01399">
        <w:rPr>
          <w:rFonts w:ascii="Century" w:hAnsi="Century" w:cs="FrankRuehl" w:hint="eastAsia"/>
          <w:spacing w:val="10"/>
          <w:szCs w:val="28"/>
          <w:shd w:val="clear" w:color="auto" w:fill="FFFFFF"/>
          <w:rtl/>
        </w:rPr>
        <w:t>ה</w:t>
      </w:r>
      <w:r w:rsidRPr="00F01399">
        <w:rPr>
          <w:rFonts w:ascii="Century" w:hAnsi="Century" w:cs="FrankRuehl" w:hint="cs"/>
          <w:spacing w:val="10"/>
          <w:szCs w:val="28"/>
          <w:shd w:val="clear" w:color="auto" w:fill="FFFFFF"/>
          <w:rtl/>
        </w:rPr>
        <w:t xml:space="preserve"> המוגנת (ראו האסמכתאות בפסקאות 34-31 לפסק דינו של חברי המשנה לנשיאה </w:t>
      </w:r>
      <w:r w:rsidRPr="00F01399">
        <w:rPr>
          <w:rFonts w:ascii="Century" w:hAnsi="Century" w:cs="Miriam" w:hint="eastAsia"/>
          <w:b/>
          <w:shd w:val="clear" w:color="auto" w:fill="FFFFFF"/>
          <w:rtl/>
        </w:rPr>
        <w:t>פוגלמן</w:t>
      </w:r>
      <w:r w:rsidRPr="00F01399">
        <w:rPr>
          <w:rFonts w:ascii="Century" w:hAnsi="Century" w:cs="FrankRuehl" w:hint="cs"/>
          <w:spacing w:val="10"/>
          <w:szCs w:val="28"/>
          <w:shd w:val="clear" w:color="auto" w:fill="FFFFFF"/>
          <w:rtl/>
        </w:rPr>
        <w:t xml:space="preserve">). הדברים אמורים, בין השאר, על רקע הקושי הרב המתחייב מן העובדה כי במישור התוצאתי הפעלתו של ההסדר הקבוע בסעיף 5 לצו צפויה להיטיב באופן כמעט בלעדי עם </w:t>
      </w:r>
      <w:r w:rsidRPr="00F01399">
        <w:rPr>
          <w:rFonts w:ascii="Century" w:hAnsi="Century" w:cs="FrankRuehl" w:hint="cs"/>
          <w:spacing w:val="10"/>
          <w:szCs w:val="28"/>
          <w:rtl/>
        </w:rPr>
        <w:t>התושבים הישראלים באזור</w:t>
      </w:r>
      <w:r w:rsidRPr="00F01399">
        <w:rPr>
          <w:rFonts w:ascii="Century" w:hAnsi="Century" w:cs="FrankRuehl" w:hint="cs"/>
          <w:spacing w:val="10"/>
          <w:szCs w:val="28"/>
          <w:shd w:val="clear" w:color="auto" w:fill="FFFFFF"/>
          <w:rtl/>
        </w:rPr>
        <w:t xml:space="preserve"> (ראו פסקה 33 לפסק דינו של המשנה לנשיאה</w:t>
      </w:r>
      <w:r w:rsidRPr="00F01399">
        <w:rPr>
          <w:rFonts w:cs="FrankRuehl" w:hint="cs"/>
          <w:color w:val="000000"/>
          <w:spacing w:val="10"/>
          <w:sz w:val="28"/>
          <w:szCs w:val="28"/>
          <w:shd w:val="clear" w:color="auto" w:fill="FFFFFF"/>
          <w:rtl/>
        </w:rPr>
        <w:t xml:space="preserve"> </w:t>
      </w:r>
      <w:r w:rsidRPr="00F01399">
        <w:rPr>
          <w:rFonts w:ascii="Century" w:hAnsi="Century" w:cs="Miriam" w:hint="eastAsia"/>
          <w:b/>
          <w:shd w:val="clear" w:color="auto" w:fill="FFFFFF"/>
          <w:rtl/>
        </w:rPr>
        <w:t>פוגלמן</w:t>
      </w:r>
      <w:r w:rsidRPr="00F01399">
        <w:rPr>
          <w:rFonts w:cs="FrankRuehl" w:hint="cs"/>
          <w:color w:val="000000"/>
          <w:spacing w:val="10"/>
          <w:sz w:val="28"/>
          <w:szCs w:val="28"/>
          <w:shd w:val="clear" w:color="auto" w:fill="FFFFFF"/>
          <w:rtl/>
        </w:rPr>
        <w:t xml:space="preserve"> </w:t>
      </w:r>
      <w:r w:rsidRPr="00F01399">
        <w:rPr>
          <w:rFonts w:ascii="Century" w:hAnsi="Century" w:cs="FrankRuehl" w:hint="cs"/>
          <w:spacing w:val="10"/>
          <w:szCs w:val="28"/>
          <w:shd w:val="clear" w:color="auto" w:fill="FFFFFF"/>
          <w:rtl/>
        </w:rPr>
        <w:t>וכן פסקה 35 לפסק דינה של הנשיאה</w:t>
      </w:r>
      <w:r w:rsidRPr="00F01399">
        <w:rPr>
          <w:rFonts w:cs="FrankRuehl" w:hint="cs"/>
          <w:color w:val="000000"/>
          <w:spacing w:val="10"/>
          <w:sz w:val="28"/>
          <w:szCs w:val="28"/>
          <w:shd w:val="clear" w:color="auto" w:fill="FFFFFF"/>
          <w:rtl/>
        </w:rPr>
        <w:t xml:space="preserve"> </w:t>
      </w:r>
      <w:r w:rsidRPr="00F01399">
        <w:rPr>
          <w:rFonts w:ascii="Century" w:hAnsi="Century" w:cs="Miriam" w:hint="eastAsia"/>
          <w:b/>
          <w:shd w:val="clear" w:color="auto" w:fill="FFFFFF"/>
          <w:rtl/>
        </w:rPr>
        <w:t>חיות</w:t>
      </w:r>
      <w:r w:rsidRPr="00F01399">
        <w:rPr>
          <w:rFonts w:cs="FrankRuehl" w:hint="cs"/>
          <w:color w:val="000000"/>
          <w:spacing w:val="10"/>
          <w:sz w:val="28"/>
          <w:szCs w:val="28"/>
          <w:shd w:val="clear" w:color="auto" w:fill="FFFFFF"/>
          <w:rtl/>
        </w:rPr>
        <w:t xml:space="preserve"> </w:t>
      </w:r>
      <w:r w:rsidRPr="00F01399">
        <w:rPr>
          <w:rFonts w:ascii="Century" w:hAnsi="Century" w:cs="FrankRuehl" w:hint="cs"/>
          <w:spacing w:val="10"/>
          <w:szCs w:val="28"/>
          <w:shd w:val="clear" w:color="auto" w:fill="FFFFFF"/>
          <w:rtl/>
        </w:rPr>
        <w:t>בפסק הדין הקודם</w:t>
      </w:r>
      <w:r>
        <w:rPr>
          <w:rFonts w:cs="FrankRuehl" w:hint="cs"/>
          <w:color w:val="000000"/>
          <w:spacing w:val="10"/>
          <w:sz w:val="28"/>
          <w:szCs w:val="28"/>
          <w:shd w:val="clear" w:color="auto" w:fill="FFFFFF"/>
          <w:rtl/>
        </w:rPr>
        <w:t xml:space="preserve">). </w:t>
      </w:r>
    </w:p>
    <w:p w:rsidR="005B1A77" w:rsidRDefault="005B1A77" w:rsidP="005B1A77">
      <w:pPr>
        <w:spacing w:line="360" w:lineRule="auto"/>
        <w:jc w:val="both"/>
        <w:rPr>
          <w:rFonts w:cs="FrankRuehl"/>
          <w:color w:val="000000"/>
          <w:spacing w:val="10"/>
          <w:sz w:val="28"/>
          <w:szCs w:val="28"/>
          <w:rtl/>
        </w:rPr>
      </w:pPr>
    </w:p>
    <w:p w:rsidR="005B1A77" w:rsidRDefault="005B1A77" w:rsidP="005B1A77">
      <w:pPr>
        <w:spacing w:line="360" w:lineRule="auto"/>
        <w:jc w:val="both"/>
        <w:rPr>
          <w:rFonts w:ascii="Century" w:hAnsi="Century" w:cs="FrankRuehl"/>
          <w:spacing w:val="10"/>
          <w:szCs w:val="28"/>
          <w:rtl/>
        </w:rPr>
      </w:pPr>
      <w:r>
        <w:rPr>
          <w:rFonts w:cs="FrankRuehl" w:hint="cs"/>
          <w:color w:val="000000"/>
          <w:spacing w:val="10"/>
          <w:sz w:val="28"/>
          <w:szCs w:val="28"/>
          <w:rtl/>
        </w:rPr>
        <w:t>21.</w:t>
      </w:r>
      <w:r>
        <w:rPr>
          <w:rFonts w:cs="FrankRuehl" w:hint="cs"/>
          <w:color w:val="000000"/>
          <w:spacing w:val="10"/>
          <w:sz w:val="28"/>
          <w:szCs w:val="28"/>
          <w:rtl/>
        </w:rPr>
        <w:tab/>
      </w:r>
      <w:r w:rsidRPr="00F01399">
        <w:rPr>
          <w:rFonts w:ascii="Century" w:hAnsi="Century" w:cs="FrankRuehl" w:hint="cs"/>
          <w:spacing w:val="10"/>
          <w:szCs w:val="28"/>
          <w:rtl/>
        </w:rPr>
        <w:t>לא נעלם מעיניי כי בהקשרן של תקנות שוק אחרות שחלות במשפט הישראלי ננקטה גישה שונה ביחס לפירוש התיבה "אדם אחר". נקודה זו זכתה להדגשה על-ידי חברי השופט</w:t>
      </w:r>
      <w:r w:rsidRPr="00F01399">
        <w:rPr>
          <w:rFonts w:cs="FrankRuehl" w:hint="cs"/>
          <w:color w:val="000000"/>
          <w:spacing w:val="10"/>
          <w:sz w:val="28"/>
          <w:szCs w:val="28"/>
          <w:rtl/>
        </w:rPr>
        <w:t xml:space="preserve"> </w:t>
      </w:r>
      <w:r w:rsidRPr="00F01399">
        <w:rPr>
          <w:rFonts w:ascii="Century" w:hAnsi="Century" w:cs="Miriam" w:hint="eastAsia"/>
          <w:b/>
          <w:rtl/>
        </w:rPr>
        <w:t>סולברג</w:t>
      </w:r>
      <w:r w:rsidRPr="00F01399">
        <w:rPr>
          <w:rFonts w:cs="FrankRuehl" w:hint="cs"/>
          <w:color w:val="000000"/>
          <w:spacing w:val="10"/>
          <w:sz w:val="28"/>
          <w:szCs w:val="28"/>
          <w:rtl/>
        </w:rPr>
        <w:t xml:space="preserve"> </w:t>
      </w:r>
      <w:r w:rsidRPr="00F01399">
        <w:rPr>
          <w:rFonts w:ascii="Century" w:hAnsi="Century" w:cs="FrankRuehl" w:hint="cs"/>
          <w:spacing w:val="10"/>
          <w:szCs w:val="28"/>
          <w:rtl/>
        </w:rPr>
        <w:t>(פסקה 47 לפסק דינו) וכן על-ידי חברי השופט</w:t>
      </w:r>
      <w:r w:rsidRPr="00F01399">
        <w:rPr>
          <w:rFonts w:cs="FrankRuehl" w:hint="cs"/>
          <w:color w:val="000000"/>
          <w:spacing w:val="10"/>
          <w:sz w:val="28"/>
          <w:szCs w:val="28"/>
          <w:rtl/>
        </w:rPr>
        <w:t xml:space="preserve"> </w:t>
      </w:r>
      <w:r w:rsidRPr="00F01399">
        <w:rPr>
          <w:rFonts w:ascii="Century" w:hAnsi="Century" w:cs="Miriam" w:hint="eastAsia"/>
          <w:b/>
          <w:rtl/>
        </w:rPr>
        <w:t>עמית</w:t>
      </w:r>
      <w:r w:rsidRPr="00F01399">
        <w:rPr>
          <w:rFonts w:ascii="Century" w:hAnsi="Century" w:cs="Miriam" w:hint="cs"/>
          <w:b/>
          <w:rtl/>
        </w:rPr>
        <w:t xml:space="preserve"> </w:t>
      </w:r>
      <w:r w:rsidRPr="00900269">
        <w:rPr>
          <w:rFonts w:cs="FrankRuehl"/>
          <w:color w:val="000000"/>
          <w:spacing w:val="10"/>
          <w:sz w:val="28"/>
          <w:szCs w:val="28"/>
          <w:rtl/>
        </w:rPr>
        <w:t>(</w:t>
      </w:r>
      <w:r w:rsidRPr="00F01399">
        <w:rPr>
          <w:rFonts w:ascii="Century" w:hAnsi="Century" w:cs="FrankRuehl" w:hint="eastAsia"/>
          <w:spacing w:val="10"/>
          <w:szCs w:val="28"/>
          <w:rtl/>
        </w:rPr>
        <w:t>פסקה</w:t>
      </w:r>
      <w:r w:rsidRPr="00F01399">
        <w:rPr>
          <w:rFonts w:ascii="Century" w:hAnsi="Century" w:cs="FrankRuehl"/>
          <w:spacing w:val="10"/>
          <w:szCs w:val="28"/>
          <w:rtl/>
        </w:rPr>
        <w:t xml:space="preserve"> 6 </w:t>
      </w:r>
      <w:r w:rsidRPr="00F01399">
        <w:rPr>
          <w:rFonts w:ascii="Century" w:hAnsi="Century" w:cs="FrankRuehl" w:hint="eastAsia"/>
          <w:spacing w:val="10"/>
          <w:szCs w:val="28"/>
          <w:rtl/>
        </w:rPr>
        <w:t>לפסק</w:t>
      </w:r>
      <w:r w:rsidRPr="00F01399">
        <w:rPr>
          <w:rFonts w:ascii="Century" w:hAnsi="Century" w:cs="FrankRuehl"/>
          <w:spacing w:val="10"/>
          <w:szCs w:val="28"/>
          <w:rtl/>
        </w:rPr>
        <w:t xml:space="preserve"> </w:t>
      </w:r>
      <w:r w:rsidRPr="00F01399">
        <w:rPr>
          <w:rFonts w:ascii="Century" w:hAnsi="Century" w:cs="FrankRuehl" w:hint="eastAsia"/>
          <w:spacing w:val="10"/>
          <w:szCs w:val="28"/>
          <w:rtl/>
        </w:rPr>
        <w:t>דינו</w:t>
      </w:r>
      <w:r w:rsidRPr="00F01399">
        <w:rPr>
          <w:rFonts w:ascii="Century" w:hAnsi="Century" w:cs="FrankRuehl"/>
          <w:spacing w:val="10"/>
          <w:szCs w:val="28"/>
          <w:rtl/>
        </w:rPr>
        <w:t>)</w:t>
      </w:r>
      <w:r w:rsidRPr="00F01399">
        <w:rPr>
          <w:rFonts w:ascii="Century" w:hAnsi="Century" w:cs="FrankRuehl" w:hint="cs"/>
          <w:spacing w:val="10"/>
          <w:szCs w:val="28"/>
          <w:rtl/>
        </w:rPr>
        <w:t xml:space="preserve">. כך, בהקשרו של סעיף 17 לחוק נכסי נפקדים, נקבע בעבר כי יש לראות את רשות </w:t>
      </w:r>
      <w:r w:rsidRPr="00F01399">
        <w:rPr>
          <w:rFonts w:ascii="Century" w:hAnsi="Century" w:cs="FrankRuehl" w:hint="eastAsia"/>
          <w:spacing w:val="10"/>
          <w:szCs w:val="28"/>
          <w:rtl/>
        </w:rPr>
        <w:t>הפיתוח</w:t>
      </w:r>
      <w:r w:rsidRPr="00F01399">
        <w:rPr>
          <w:rFonts w:ascii="Century" w:hAnsi="Century" w:cs="FrankRuehl"/>
          <w:spacing w:val="10"/>
          <w:szCs w:val="28"/>
          <w:rtl/>
        </w:rPr>
        <w:t xml:space="preserve"> </w:t>
      </w:r>
      <w:r w:rsidRPr="00F01399">
        <w:rPr>
          <w:rFonts w:ascii="Century" w:hAnsi="Century" w:cs="FrankRuehl" w:hint="eastAsia"/>
          <w:spacing w:val="10"/>
          <w:szCs w:val="28"/>
          <w:rtl/>
        </w:rPr>
        <w:t>כממלאת</w:t>
      </w:r>
      <w:r w:rsidRPr="00F01399">
        <w:rPr>
          <w:rFonts w:ascii="Century" w:hAnsi="Century" w:cs="FrankRuehl"/>
          <w:spacing w:val="10"/>
          <w:szCs w:val="28"/>
          <w:rtl/>
        </w:rPr>
        <w:t xml:space="preserve"> </w:t>
      </w:r>
      <w:r w:rsidRPr="00F01399">
        <w:rPr>
          <w:rFonts w:ascii="Century" w:hAnsi="Century" w:cs="FrankRuehl" w:hint="eastAsia"/>
          <w:spacing w:val="10"/>
          <w:szCs w:val="28"/>
          <w:rtl/>
        </w:rPr>
        <w:t>תנאי</w:t>
      </w:r>
      <w:r w:rsidRPr="00F01399">
        <w:rPr>
          <w:rFonts w:ascii="Century" w:hAnsi="Century" w:cs="FrankRuehl"/>
          <w:spacing w:val="10"/>
          <w:szCs w:val="28"/>
          <w:rtl/>
        </w:rPr>
        <w:t xml:space="preserve"> </w:t>
      </w:r>
      <w:r w:rsidRPr="00F01399">
        <w:rPr>
          <w:rFonts w:ascii="Century" w:hAnsi="Century" w:cs="FrankRuehl" w:hint="eastAsia"/>
          <w:spacing w:val="10"/>
          <w:szCs w:val="28"/>
          <w:rtl/>
        </w:rPr>
        <w:t>זה</w:t>
      </w:r>
      <w:r w:rsidRPr="00F01399">
        <w:rPr>
          <w:rFonts w:ascii="Century" w:hAnsi="Century" w:cs="FrankRuehl"/>
          <w:spacing w:val="10"/>
          <w:szCs w:val="28"/>
          <w:rtl/>
        </w:rPr>
        <w:t xml:space="preserve"> וכי "אין בכך שהאפוטרופוס ורשות הפיתוח שניהם בגדר 'רשות </w:t>
      </w:r>
      <w:r w:rsidRPr="00F01399">
        <w:rPr>
          <w:rFonts w:ascii="Century" w:hAnsi="Century" w:cs="FrankRuehl" w:hint="eastAsia"/>
          <w:spacing w:val="10"/>
          <w:szCs w:val="28"/>
          <w:rtl/>
        </w:rPr>
        <w:t>מינהלית</w:t>
      </w:r>
      <w:r w:rsidRPr="00F01399">
        <w:rPr>
          <w:rFonts w:ascii="Century" w:hAnsi="Century" w:cs="FrankRuehl"/>
          <w:spacing w:val="10"/>
          <w:szCs w:val="28"/>
          <w:rtl/>
        </w:rPr>
        <w:t xml:space="preserve">' </w:t>
      </w:r>
      <w:r w:rsidRPr="00F01399">
        <w:rPr>
          <w:rFonts w:ascii="Century" w:hAnsi="Century" w:cs="FrankRuehl" w:hint="eastAsia"/>
          <w:spacing w:val="10"/>
          <w:szCs w:val="28"/>
          <w:rtl/>
        </w:rPr>
        <w:t>כדי</w:t>
      </w:r>
      <w:r w:rsidRPr="00F01399">
        <w:rPr>
          <w:rFonts w:ascii="Century" w:hAnsi="Century" w:cs="FrankRuehl"/>
          <w:spacing w:val="10"/>
          <w:szCs w:val="28"/>
          <w:rtl/>
        </w:rPr>
        <w:t xml:space="preserve"> </w:t>
      </w:r>
      <w:r w:rsidRPr="00F01399">
        <w:rPr>
          <w:rFonts w:ascii="Century" w:hAnsi="Century" w:cs="FrankRuehl" w:hint="eastAsia"/>
          <w:spacing w:val="10"/>
          <w:szCs w:val="28"/>
          <w:rtl/>
        </w:rPr>
        <w:t>לשנות</w:t>
      </w:r>
      <w:r w:rsidRPr="00F01399">
        <w:rPr>
          <w:rFonts w:ascii="Century" w:hAnsi="Century" w:cs="FrankRuehl"/>
          <w:spacing w:val="10"/>
          <w:szCs w:val="28"/>
          <w:rtl/>
        </w:rPr>
        <w:t xml:space="preserve"> </w:t>
      </w:r>
      <w:r w:rsidRPr="00F01399">
        <w:rPr>
          <w:rFonts w:ascii="Century" w:hAnsi="Century" w:cs="FrankRuehl" w:hint="eastAsia"/>
          <w:spacing w:val="10"/>
          <w:szCs w:val="28"/>
          <w:rtl/>
        </w:rPr>
        <w:t>את</w:t>
      </w:r>
      <w:r w:rsidRPr="00F01399">
        <w:rPr>
          <w:rFonts w:ascii="Century" w:hAnsi="Century" w:cs="FrankRuehl"/>
          <w:spacing w:val="10"/>
          <w:szCs w:val="28"/>
          <w:rtl/>
        </w:rPr>
        <w:t xml:space="preserve"> </w:t>
      </w:r>
      <w:r w:rsidRPr="00F01399">
        <w:rPr>
          <w:rFonts w:ascii="Century" w:hAnsi="Century" w:cs="FrankRuehl" w:hint="eastAsia"/>
          <w:spacing w:val="10"/>
          <w:szCs w:val="28"/>
          <w:rtl/>
        </w:rPr>
        <w:t>המסקנה</w:t>
      </w:r>
      <w:r w:rsidRPr="00F01399">
        <w:rPr>
          <w:rFonts w:ascii="Century" w:hAnsi="Century" w:cs="FrankRuehl"/>
          <w:spacing w:val="10"/>
          <w:szCs w:val="28"/>
          <w:rtl/>
        </w:rPr>
        <w:t>" (ע"א 11085</w:t>
      </w:r>
      <w:r w:rsidRPr="00F01399">
        <w:rPr>
          <w:rFonts w:ascii="Century" w:hAnsi="Century" w:cs="FrankRuehl" w:hint="cs"/>
          <w:spacing w:val="10"/>
          <w:szCs w:val="28"/>
          <w:rtl/>
        </w:rPr>
        <w:t>/</w:t>
      </w:r>
      <w:r w:rsidRPr="00F01399">
        <w:rPr>
          <w:rFonts w:ascii="Century" w:hAnsi="Century" w:cs="FrankRuehl"/>
          <w:spacing w:val="10"/>
          <w:szCs w:val="28"/>
          <w:rtl/>
        </w:rPr>
        <w:t>08</w:t>
      </w:r>
      <w:r w:rsidRPr="00C90F77">
        <w:rPr>
          <w:rFonts w:ascii="Century" w:hAnsi="Century" w:cs="FrankRuehl"/>
          <w:spacing w:val="10"/>
          <w:szCs w:val="28"/>
          <w:rtl/>
        </w:rPr>
        <w:t xml:space="preserve"> </w:t>
      </w:r>
      <w:r w:rsidRPr="00F01399">
        <w:rPr>
          <w:rFonts w:ascii="Century" w:hAnsi="Century" w:cs="Miriam"/>
          <w:b/>
          <w:rtl/>
        </w:rPr>
        <w:t>עזבון המנוח אברהים מחמד מראד נ' רשות הפיתוח</w:t>
      </w:r>
      <w:r w:rsidRPr="00F01399">
        <w:rPr>
          <w:rFonts w:ascii="Century" w:hAnsi="Century" w:cs="FrankRuehl"/>
          <w:spacing w:val="10"/>
          <w:szCs w:val="28"/>
          <w:rtl/>
        </w:rPr>
        <w:t>, פסקה 7 (9.10.2011)</w:t>
      </w:r>
      <w:r w:rsidRPr="00F01399">
        <w:rPr>
          <w:rFonts w:ascii="Century" w:hAnsi="Century" w:cs="FrankRuehl" w:hint="cs"/>
          <w:spacing w:val="10"/>
          <w:szCs w:val="28"/>
          <w:rtl/>
        </w:rPr>
        <w:t xml:space="preserve">. כן ראו: רע"א 2401/21 </w:t>
      </w:r>
      <w:r w:rsidRPr="00F01399">
        <w:rPr>
          <w:rFonts w:ascii="Century" w:hAnsi="Century" w:cs="Miriam" w:hint="eastAsia"/>
          <w:b/>
          <w:rtl/>
        </w:rPr>
        <w:t>ג</w:t>
      </w:r>
      <w:r w:rsidRPr="00F01399">
        <w:rPr>
          <w:rFonts w:ascii="Century" w:hAnsi="Century" w:cs="Miriam"/>
          <w:b/>
          <w:rtl/>
        </w:rPr>
        <w:t>'</w:t>
      </w:r>
      <w:r w:rsidRPr="00F01399">
        <w:rPr>
          <w:rFonts w:ascii="Century" w:hAnsi="Century" w:cs="Miriam" w:hint="eastAsia"/>
          <w:b/>
          <w:rtl/>
        </w:rPr>
        <w:t>אעוני</w:t>
      </w:r>
      <w:r w:rsidRPr="00F01399">
        <w:rPr>
          <w:rFonts w:ascii="Century" w:hAnsi="Century" w:cs="Miriam"/>
          <w:b/>
          <w:rtl/>
        </w:rPr>
        <w:t xml:space="preserve"> </w:t>
      </w:r>
      <w:r w:rsidRPr="00F01399">
        <w:rPr>
          <w:rFonts w:ascii="Century" w:hAnsi="Century" w:cs="Miriam" w:hint="eastAsia"/>
          <w:b/>
          <w:rtl/>
        </w:rPr>
        <w:t>נ</w:t>
      </w:r>
      <w:r w:rsidRPr="00F01399">
        <w:rPr>
          <w:rFonts w:ascii="Century" w:hAnsi="Century" w:cs="Miriam"/>
          <w:b/>
          <w:rtl/>
        </w:rPr>
        <w:t xml:space="preserve">' </w:t>
      </w:r>
      <w:r w:rsidRPr="00F01399">
        <w:rPr>
          <w:rFonts w:ascii="Century" w:hAnsi="Century" w:cs="Miriam" w:hint="eastAsia"/>
          <w:b/>
          <w:rtl/>
        </w:rPr>
        <w:t>נחלת</w:t>
      </w:r>
      <w:r w:rsidRPr="00F01399">
        <w:rPr>
          <w:rFonts w:ascii="Century" w:hAnsi="Century" w:cs="Miriam"/>
          <w:b/>
          <w:rtl/>
        </w:rPr>
        <w:t xml:space="preserve"> </w:t>
      </w:r>
      <w:r w:rsidRPr="00F01399">
        <w:rPr>
          <w:rFonts w:ascii="Century" w:hAnsi="Century" w:cs="Miriam" w:hint="eastAsia"/>
          <w:b/>
          <w:rtl/>
        </w:rPr>
        <w:t>שמעון</w:t>
      </w:r>
      <w:r w:rsidRPr="00F01399">
        <w:rPr>
          <w:rFonts w:ascii="Century" w:hAnsi="Century" w:cs="Miriam"/>
          <w:b/>
          <w:rtl/>
        </w:rPr>
        <w:t xml:space="preserve"> </w:t>
      </w:r>
      <w:r w:rsidRPr="00F01399">
        <w:rPr>
          <w:rFonts w:ascii="Century" w:hAnsi="Century" w:cs="Miriam" w:hint="eastAsia"/>
          <w:b/>
          <w:rtl/>
        </w:rPr>
        <w:t>בע</w:t>
      </w:r>
      <w:r w:rsidRPr="00F01399">
        <w:rPr>
          <w:rFonts w:ascii="Century" w:hAnsi="Century" w:cs="Miriam"/>
          <w:b/>
          <w:rtl/>
        </w:rPr>
        <w:t>"</w:t>
      </w:r>
      <w:r w:rsidRPr="00F01399">
        <w:rPr>
          <w:rFonts w:ascii="Century" w:hAnsi="Century" w:cs="Miriam" w:hint="eastAsia"/>
          <w:b/>
          <w:rtl/>
        </w:rPr>
        <w:t>מ</w:t>
      </w:r>
      <w:r>
        <w:rPr>
          <w:rFonts w:ascii="Century" w:hAnsi="Century" w:cs="FrankRuehl" w:hint="cs"/>
          <w:spacing w:val="10"/>
          <w:szCs w:val="28"/>
          <w:rtl/>
        </w:rPr>
        <w:t xml:space="preserve">, </w:t>
      </w:r>
      <w:r w:rsidRPr="00F01399">
        <w:rPr>
          <w:rFonts w:ascii="Century" w:hAnsi="Century" w:cs="FrankRuehl" w:hint="cs"/>
          <w:spacing w:val="10"/>
          <w:szCs w:val="28"/>
          <w:rtl/>
        </w:rPr>
        <w:t>פסקה 14 לפסק דינו של השופט</w:t>
      </w:r>
      <w:r w:rsidRPr="00F01399">
        <w:rPr>
          <w:rFonts w:ascii="Century" w:hAnsi="Century" w:cs="Miriam"/>
          <w:b/>
          <w:rtl/>
        </w:rPr>
        <w:t xml:space="preserve"> </w:t>
      </w:r>
      <w:r w:rsidRPr="005E1370">
        <w:rPr>
          <w:rFonts w:ascii="Century" w:hAnsi="Century" w:cs="Miriam" w:hint="eastAsia"/>
          <w:b/>
          <w:rtl/>
        </w:rPr>
        <w:t>עמית</w:t>
      </w:r>
      <w:r w:rsidRPr="00470ED3">
        <w:rPr>
          <w:rFonts w:ascii="Century" w:hAnsi="Century" w:cs="FrankRuehl" w:hint="cs"/>
          <w:spacing w:val="10"/>
          <w:szCs w:val="28"/>
          <w:rtl/>
        </w:rPr>
        <w:t xml:space="preserve"> </w:t>
      </w:r>
      <w:r>
        <w:rPr>
          <w:rFonts w:ascii="Century" w:hAnsi="Century" w:cs="FrankRuehl" w:hint="cs"/>
          <w:spacing w:val="10"/>
          <w:szCs w:val="28"/>
          <w:rtl/>
        </w:rPr>
        <w:t>(</w:t>
      </w:r>
      <w:r w:rsidRPr="00F01399">
        <w:rPr>
          <w:rFonts w:ascii="Century" w:hAnsi="Century" w:cs="FrankRuehl" w:hint="cs"/>
          <w:spacing w:val="10"/>
          <w:szCs w:val="28"/>
          <w:rtl/>
        </w:rPr>
        <w:t xml:space="preserve">1.3.2022) (להלן: עניין </w:t>
      </w:r>
      <w:r w:rsidRPr="00F01399">
        <w:rPr>
          <w:rFonts w:ascii="Century" w:hAnsi="Century" w:cs="Miriam" w:hint="eastAsia"/>
          <w:b/>
          <w:rtl/>
        </w:rPr>
        <w:t>ג</w:t>
      </w:r>
      <w:r w:rsidRPr="00F01399">
        <w:rPr>
          <w:rFonts w:ascii="Century" w:hAnsi="Century" w:cs="Miriam"/>
          <w:b/>
          <w:rtl/>
        </w:rPr>
        <w:t>'</w:t>
      </w:r>
      <w:r w:rsidRPr="00F01399">
        <w:rPr>
          <w:rFonts w:ascii="Century" w:hAnsi="Century" w:cs="Miriam" w:hint="eastAsia"/>
          <w:b/>
          <w:rtl/>
        </w:rPr>
        <w:t>אע</w:t>
      </w:r>
      <w:r w:rsidRPr="00F01399">
        <w:rPr>
          <w:rFonts w:ascii="Century" w:hAnsi="Century" w:cs="Miriam" w:hint="cs"/>
          <w:b/>
          <w:rtl/>
        </w:rPr>
        <w:t>ו</w:t>
      </w:r>
      <w:r w:rsidRPr="00F01399">
        <w:rPr>
          <w:rFonts w:ascii="Century" w:hAnsi="Century" w:cs="Miriam" w:hint="eastAsia"/>
          <w:b/>
          <w:rtl/>
        </w:rPr>
        <w:t>ני</w:t>
      </w:r>
      <w:r w:rsidRPr="00F01399">
        <w:rPr>
          <w:rFonts w:ascii="Century" w:hAnsi="Century" w:cs="FrankRuehl" w:hint="cs"/>
          <w:spacing w:val="10"/>
          <w:szCs w:val="28"/>
          <w:rtl/>
        </w:rPr>
        <w:t xml:space="preserve">). כמו כן, ראו: ע"א 7793/19 </w:t>
      </w:r>
      <w:r w:rsidRPr="00F01399">
        <w:rPr>
          <w:rFonts w:ascii="Century" w:hAnsi="Century" w:cs="Miriam" w:hint="eastAsia"/>
          <w:b/>
          <w:rtl/>
        </w:rPr>
        <w:t>מדינת</w:t>
      </w:r>
      <w:r w:rsidRPr="00F01399">
        <w:rPr>
          <w:rFonts w:ascii="Century" w:hAnsi="Century" w:cs="Miriam"/>
          <w:b/>
          <w:rtl/>
        </w:rPr>
        <w:t xml:space="preserve"> </w:t>
      </w:r>
      <w:r w:rsidRPr="00F01399">
        <w:rPr>
          <w:rFonts w:ascii="Century" w:hAnsi="Century" w:cs="Miriam" w:hint="eastAsia"/>
          <w:b/>
          <w:rtl/>
        </w:rPr>
        <w:t>ישראל</w:t>
      </w:r>
      <w:r w:rsidRPr="00F01399">
        <w:rPr>
          <w:rFonts w:ascii="Century" w:hAnsi="Century" w:cs="Miriam"/>
          <w:b/>
          <w:rtl/>
        </w:rPr>
        <w:t xml:space="preserve"> – </w:t>
      </w:r>
      <w:r w:rsidRPr="00F01399">
        <w:rPr>
          <w:rFonts w:ascii="Century" w:hAnsi="Century" w:cs="Miriam" w:hint="eastAsia"/>
          <w:b/>
          <w:rtl/>
        </w:rPr>
        <w:t>רשות</w:t>
      </w:r>
      <w:r w:rsidRPr="00F01399">
        <w:rPr>
          <w:rFonts w:ascii="Century" w:hAnsi="Century" w:cs="Miriam"/>
          <w:b/>
          <w:rtl/>
        </w:rPr>
        <w:t xml:space="preserve"> </w:t>
      </w:r>
      <w:r w:rsidRPr="00F01399">
        <w:rPr>
          <w:rFonts w:ascii="Century" w:hAnsi="Century" w:cs="Miriam" w:hint="eastAsia"/>
          <w:b/>
          <w:rtl/>
        </w:rPr>
        <w:t>הפיתוח</w:t>
      </w:r>
      <w:r w:rsidRPr="00F01399">
        <w:rPr>
          <w:rFonts w:ascii="Century" w:hAnsi="Century" w:cs="Miriam"/>
          <w:b/>
          <w:rtl/>
        </w:rPr>
        <w:t xml:space="preserve"> </w:t>
      </w:r>
      <w:r w:rsidRPr="00F01399">
        <w:rPr>
          <w:rFonts w:ascii="Century" w:hAnsi="Century" w:cs="Miriam" w:hint="eastAsia"/>
          <w:b/>
          <w:rtl/>
        </w:rPr>
        <w:t>נ</w:t>
      </w:r>
      <w:r w:rsidRPr="00F01399">
        <w:rPr>
          <w:rFonts w:ascii="Century" w:hAnsi="Century" w:cs="Miriam"/>
          <w:b/>
          <w:rtl/>
        </w:rPr>
        <w:t xml:space="preserve">' </w:t>
      </w:r>
      <w:r w:rsidRPr="00F01399">
        <w:rPr>
          <w:rFonts w:ascii="Century" w:hAnsi="Century" w:cs="Miriam" w:hint="eastAsia"/>
          <w:b/>
          <w:rtl/>
        </w:rPr>
        <w:t>עיזבון</w:t>
      </w:r>
      <w:r w:rsidRPr="00F01399">
        <w:rPr>
          <w:rFonts w:ascii="Century" w:hAnsi="Century" w:cs="Miriam"/>
          <w:b/>
          <w:rtl/>
        </w:rPr>
        <w:t xml:space="preserve"> </w:t>
      </w:r>
      <w:r w:rsidRPr="00F01399">
        <w:rPr>
          <w:rFonts w:ascii="Century" w:hAnsi="Century" w:cs="Miriam" w:hint="eastAsia"/>
          <w:b/>
          <w:rtl/>
        </w:rPr>
        <w:t>עקל</w:t>
      </w:r>
      <w:r>
        <w:rPr>
          <w:rFonts w:ascii="Century" w:hAnsi="Century" w:cs="FrankRuehl" w:hint="cs"/>
          <w:spacing w:val="10"/>
          <w:szCs w:val="28"/>
          <w:rtl/>
        </w:rPr>
        <w:t xml:space="preserve">, </w:t>
      </w:r>
      <w:r w:rsidRPr="00F01399">
        <w:rPr>
          <w:rFonts w:ascii="Century" w:hAnsi="Century" w:cs="FrankRuehl" w:hint="cs"/>
          <w:spacing w:val="10"/>
          <w:szCs w:val="28"/>
          <w:rtl/>
        </w:rPr>
        <w:t xml:space="preserve">פסקאות 12-10 לפסק דינו של השופט </w:t>
      </w:r>
      <w:r w:rsidRPr="00F01399">
        <w:rPr>
          <w:rFonts w:ascii="Century" w:hAnsi="Century" w:cs="Miriam" w:hint="eastAsia"/>
          <w:b/>
          <w:rtl/>
        </w:rPr>
        <w:t>ע</w:t>
      </w:r>
      <w:r w:rsidRPr="00F01399">
        <w:rPr>
          <w:rFonts w:ascii="Century" w:hAnsi="Century" w:cs="Miriam"/>
          <w:b/>
          <w:rtl/>
        </w:rPr>
        <w:t xml:space="preserve">' </w:t>
      </w:r>
      <w:r w:rsidRPr="00F01399">
        <w:rPr>
          <w:rFonts w:ascii="Century" w:hAnsi="Century" w:cs="Miriam" w:hint="eastAsia"/>
          <w:b/>
          <w:rtl/>
        </w:rPr>
        <w:t>גרוסקופף</w:t>
      </w:r>
      <w:r w:rsidRPr="00F01399">
        <w:rPr>
          <w:rFonts w:ascii="Century" w:hAnsi="Century" w:cs="FrankRuehl" w:hint="cs"/>
          <w:spacing w:val="10"/>
          <w:szCs w:val="28"/>
          <w:rtl/>
        </w:rPr>
        <w:t xml:space="preserve"> (8.5.2022), ומנגד עמדתו החולקת (בדעת מיעוט) של השופט </w:t>
      </w:r>
      <w:r w:rsidRPr="00F01399">
        <w:rPr>
          <w:rFonts w:ascii="Century" w:hAnsi="Century" w:cs="Miriam" w:hint="eastAsia"/>
          <w:b/>
          <w:rtl/>
        </w:rPr>
        <w:t>ג</w:t>
      </w:r>
      <w:r w:rsidRPr="00F01399">
        <w:rPr>
          <w:rFonts w:ascii="Century" w:hAnsi="Century" w:cs="Miriam"/>
          <w:b/>
          <w:rtl/>
        </w:rPr>
        <w:t xml:space="preserve">' </w:t>
      </w:r>
      <w:r w:rsidRPr="00F01399">
        <w:rPr>
          <w:rFonts w:ascii="Century" w:hAnsi="Century" w:cs="Miriam" w:hint="eastAsia"/>
          <w:b/>
          <w:rtl/>
        </w:rPr>
        <w:t>קרא</w:t>
      </w:r>
      <w:r>
        <w:rPr>
          <w:rFonts w:ascii="Century" w:hAnsi="Century" w:cs="FrankRuehl" w:hint="cs"/>
          <w:spacing w:val="10"/>
          <w:szCs w:val="28"/>
          <w:rtl/>
        </w:rPr>
        <w:t xml:space="preserve">, </w:t>
      </w:r>
      <w:r w:rsidRPr="00F01399">
        <w:rPr>
          <w:rFonts w:ascii="Century" w:hAnsi="Century" w:cs="FrankRuehl" w:hint="cs"/>
          <w:spacing w:val="10"/>
          <w:szCs w:val="28"/>
          <w:rtl/>
        </w:rPr>
        <w:t xml:space="preserve">בפסקאות 56-51 לפסק דינו (להלן: </w:t>
      </w:r>
      <w:r w:rsidRPr="00F01399">
        <w:rPr>
          <w:rFonts w:ascii="Century" w:hAnsi="Century" w:cs="FrankRuehl" w:hint="eastAsia"/>
          <w:spacing w:val="10"/>
          <w:szCs w:val="28"/>
          <w:rtl/>
        </w:rPr>
        <w:t>עניין</w:t>
      </w:r>
      <w:r w:rsidRPr="00F01399">
        <w:rPr>
          <w:rFonts w:ascii="FrankRuehl" w:hAnsi="FrankRuehl" w:cs="FrankRuehl"/>
          <w:b/>
          <w:sz w:val="28"/>
          <w:szCs w:val="28"/>
          <w:rtl/>
        </w:rPr>
        <w:t xml:space="preserve"> </w:t>
      </w:r>
      <w:r w:rsidRPr="00F01399">
        <w:rPr>
          <w:rFonts w:ascii="Century" w:hAnsi="Century" w:cs="Miriam" w:hint="cs"/>
          <w:b/>
          <w:rtl/>
        </w:rPr>
        <w:t>עקל</w:t>
      </w:r>
      <w:r w:rsidRPr="00F01399">
        <w:rPr>
          <w:rFonts w:ascii="Century" w:hAnsi="Century" w:cs="FrankRuehl" w:hint="cs"/>
          <w:spacing w:val="10"/>
          <w:szCs w:val="28"/>
          <w:rtl/>
        </w:rPr>
        <w:t>)</w:t>
      </w:r>
      <w:r w:rsidRPr="00F01399">
        <w:rPr>
          <w:rFonts w:ascii="Century" w:hAnsi="Century" w:cs="FrankRuehl"/>
          <w:spacing w:val="10"/>
          <w:szCs w:val="28"/>
          <w:rtl/>
        </w:rPr>
        <w:t>)</w:t>
      </w:r>
      <w:r w:rsidRPr="00C90F77">
        <w:rPr>
          <w:rFonts w:ascii="Century" w:hAnsi="Century" w:cs="FrankRuehl"/>
          <w:spacing w:val="10"/>
          <w:szCs w:val="28"/>
          <w:rtl/>
        </w:rPr>
        <w:t>.</w:t>
      </w:r>
    </w:p>
    <w:p w:rsidR="005B1A77" w:rsidRDefault="005B1A77" w:rsidP="005B1A77">
      <w:pPr>
        <w:spacing w:line="360" w:lineRule="auto"/>
        <w:jc w:val="both"/>
        <w:rPr>
          <w:rFonts w:ascii="Century" w:hAnsi="Century" w:cs="FrankRuehl"/>
          <w:spacing w:val="10"/>
          <w:szCs w:val="28"/>
          <w:rtl/>
        </w:rPr>
      </w:pPr>
    </w:p>
    <w:p w:rsidR="005B1A77" w:rsidRPr="00F01399" w:rsidRDefault="005B1A77" w:rsidP="005B1A77">
      <w:pPr>
        <w:spacing w:line="360" w:lineRule="auto"/>
        <w:jc w:val="both"/>
        <w:rPr>
          <w:rFonts w:ascii="Century" w:hAnsi="Century" w:cs="FrankRuehl"/>
          <w:spacing w:val="10"/>
          <w:szCs w:val="28"/>
          <w:rtl/>
        </w:rPr>
      </w:pPr>
      <w:r>
        <w:rPr>
          <w:rFonts w:ascii="Century" w:hAnsi="Century" w:cs="FrankRuehl" w:hint="cs"/>
          <w:spacing w:val="10"/>
          <w:szCs w:val="28"/>
          <w:rtl/>
        </w:rPr>
        <w:t>22.</w:t>
      </w:r>
      <w:r>
        <w:rPr>
          <w:rFonts w:ascii="Century" w:hAnsi="Century" w:cs="FrankRuehl"/>
          <w:spacing w:val="10"/>
          <w:szCs w:val="28"/>
          <w:rtl/>
        </w:rPr>
        <w:tab/>
      </w:r>
      <w:r w:rsidRPr="00F01399">
        <w:rPr>
          <w:rFonts w:ascii="Century" w:hAnsi="Century" w:cs="FrankRuehl" w:hint="cs"/>
          <w:spacing w:val="10"/>
          <w:szCs w:val="28"/>
          <w:rtl/>
        </w:rPr>
        <w:t xml:space="preserve">אולם, מנקודת מבטי, אין הנדון דומה לראיה, בהתחשב בכך שמדובר בחקיקה החלה באזור. </w:t>
      </w:r>
      <w:r w:rsidRPr="00F01399">
        <w:rPr>
          <w:rFonts w:ascii="Century" w:hAnsi="Century" w:cs="FrankRuehl"/>
          <w:spacing w:val="10"/>
          <w:szCs w:val="28"/>
          <w:rtl/>
        </w:rPr>
        <w:t xml:space="preserve">כפי שציין חברי המשנה לנשיאה </w:t>
      </w:r>
      <w:r w:rsidRPr="00F01399">
        <w:rPr>
          <w:rFonts w:ascii="Century" w:hAnsi="Century" w:cs="Miriam" w:hint="eastAsia"/>
          <w:b/>
          <w:rtl/>
        </w:rPr>
        <w:t>פוגלמן</w:t>
      </w:r>
      <w:r w:rsidRPr="003F475E">
        <w:rPr>
          <w:rFonts w:ascii="Century" w:hAnsi="Century" w:cs="FrankRuehl" w:hint="cs"/>
          <w:spacing w:val="10"/>
          <w:szCs w:val="28"/>
          <w:rtl/>
        </w:rPr>
        <w:t xml:space="preserve">, </w:t>
      </w:r>
      <w:r w:rsidRPr="00F01399">
        <w:rPr>
          <w:rFonts w:ascii="Century" w:hAnsi="Century" w:cs="FrankRuehl" w:hint="eastAsia"/>
          <w:spacing w:val="10"/>
          <w:szCs w:val="28"/>
          <w:rtl/>
        </w:rPr>
        <w:t>יש</w:t>
      </w:r>
      <w:r w:rsidRPr="00F01399">
        <w:rPr>
          <w:rFonts w:ascii="Century" w:hAnsi="Century" w:cs="FrankRuehl"/>
          <w:spacing w:val="10"/>
          <w:szCs w:val="28"/>
          <w:rtl/>
        </w:rPr>
        <w:t xml:space="preserve"> לנקוט </w:t>
      </w:r>
      <w:r w:rsidRPr="00F01399">
        <w:rPr>
          <w:rFonts w:ascii="Century" w:hAnsi="Century" w:cs="FrankRuehl" w:hint="cs"/>
          <w:spacing w:val="10"/>
          <w:szCs w:val="28"/>
          <w:rtl/>
        </w:rPr>
        <w:t xml:space="preserve">בענייננו </w:t>
      </w:r>
      <w:r w:rsidRPr="00F01399">
        <w:rPr>
          <w:rFonts w:ascii="Century" w:hAnsi="Century" w:cs="FrankRuehl"/>
          <w:spacing w:val="10"/>
          <w:szCs w:val="28"/>
          <w:rtl/>
        </w:rPr>
        <w:t xml:space="preserve">משנה זהירות </w:t>
      </w:r>
      <w:r w:rsidRPr="00F01399">
        <w:rPr>
          <w:rFonts w:ascii="Century" w:hAnsi="Century" w:cs="FrankRuehl" w:hint="cs"/>
          <w:spacing w:val="10"/>
          <w:szCs w:val="28"/>
          <w:rtl/>
        </w:rPr>
        <w:t>בביצוע</w:t>
      </w:r>
      <w:r w:rsidRPr="00F01399">
        <w:rPr>
          <w:rFonts w:ascii="Century" w:hAnsi="Century" w:cs="FrankRuehl"/>
          <w:spacing w:val="10"/>
          <w:szCs w:val="28"/>
          <w:rtl/>
        </w:rPr>
        <w:t xml:space="preserve"> היקשים מתקנות שוק אחרות, נוכח השוני </w:t>
      </w:r>
      <w:r w:rsidRPr="00F01399">
        <w:rPr>
          <w:rFonts w:ascii="Century" w:hAnsi="Century" w:cs="FrankRuehl" w:hint="cs"/>
          <w:spacing w:val="10"/>
          <w:szCs w:val="28"/>
          <w:rtl/>
        </w:rPr>
        <w:t xml:space="preserve">המהותי </w:t>
      </w:r>
      <w:r w:rsidRPr="00F01399">
        <w:rPr>
          <w:rFonts w:ascii="Century" w:hAnsi="Century" w:cs="FrankRuehl"/>
          <w:spacing w:val="10"/>
          <w:szCs w:val="28"/>
          <w:rtl/>
        </w:rPr>
        <w:t xml:space="preserve">שבין סעיף 5 לצו לבין הסדרים </w:t>
      </w:r>
      <w:r w:rsidRPr="00F01399">
        <w:rPr>
          <w:rFonts w:ascii="Century" w:hAnsi="Century" w:cs="FrankRuehl" w:hint="eastAsia"/>
          <w:spacing w:val="10"/>
          <w:szCs w:val="28"/>
          <w:rtl/>
        </w:rPr>
        <w:t>אחרים</w:t>
      </w:r>
      <w:r w:rsidRPr="00F01399">
        <w:rPr>
          <w:rFonts w:ascii="Century" w:hAnsi="Century" w:cs="FrankRuehl" w:hint="cs"/>
          <w:spacing w:val="10"/>
          <w:szCs w:val="28"/>
          <w:rtl/>
        </w:rPr>
        <w:t xml:space="preserve"> בדין הישראלי</w:t>
      </w:r>
      <w:r w:rsidRPr="00F01399">
        <w:rPr>
          <w:rFonts w:ascii="Century" w:hAnsi="Century" w:cs="FrankRuehl"/>
          <w:spacing w:val="10"/>
          <w:szCs w:val="28"/>
          <w:rtl/>
        </w:rPr>
        <w:t>.</w:t>
      </w:r>
      <w:r w:rsidRPr="00F01399">
        <w:rPr>
          <w:rFonts w:ascii="Century" w:hAnsi="Century" w:cs="FrankRuehl" w:hint="cs"/>
          <w:spacing w:val="10"/>
          <w:szCs w:val="28"/>
          <w:rtl/>
        </w:rPr>
        <w:t xml:space="preserve"> על כך ניתן להוסיף, במישור הפורמאלי, </w:t>
      </w:r>
      <w:r w:rsidRPr="00F01399">
        <w:rPr>
          <w:rFonts w:ascii="Century" w:hAnsi="Century" w:cs="FrankRuehl"/>
          <w:spacing w:val="10"/>
          <w:szCs w:val="28"/>
          <w:rtl/>
        </w:rPr>
        <w:t xml:space="preserve">כי חוק נכסי נפקדים </w:t>
      </w:r>
      <w:r w:rsidRPr="00F01399">
        <w:rPr>
          <w:rFonts w:ascii="Century" w:hAnsi="Century" w:cs="FrankRuehl" w:hint="cs"/>
          <w:spacing w:val="10"/>
          <w:szCs w:val="28"/>
          <w:rtl/>
        </w:rPr>
        <w:t>מ</w:t>
      </w:r>
      <w:r w:rsidRPr="00F01399">
        <w:rPr>
          <w:rFonts w:ascii="Century" w:hAnsi="Century" w:cs="FrankRuehl"/>
          <w:spacing w:val="10"/>
          <w:szCs w:val="28"/>
          <w:rtl/>
        </w:rPr>
        <w:t xml:space="preserve">תייחס </w:t>
      </w:r>
      <w:r w:rsidRPr="00F01399">
        <w:rPr>
          <w:rFonts w:ascii="Century" w:hAnsi="Century" w:cs="FrankRuehl" w:hint="cs"/>
          <w:spacing w:val="10"/>
          <w:szCs w:val="28"/>
          <w:rtl/>
        </w:rPr>
        <w:t>ב</w:t>
      </w:r>
      <w:r w:rsidRPr="00F01399">
        <w:rPr>
          <w:rFonts w:ascii="Century" w:hAnsi="Century" w:cs="FrankRuehl"/>
          <w:spacing w:val="10"/>
          <w:szCs w:val="28"/>
          <w:rtl/>
        </w:rPr>
        <w:t>מפורש למעמדה של רשות הפיתוח</w:t>
      </w:r>
      <w:r w:rsidRPr="00F01399">
        <w:rPr>
          <w:rFonts w:ascii="Century" w:hAnsi="Century" w:cs="FrankRuehl" w:hint="cs"/>
          <w:spacing w:val="10"/>
          <w:szCs w:val="28"/>
          <w:rtl/>
        </w:rPr>
        <w:t xml:space="preserve"> וליכולתה להתקשר עם </w:t>
      </w:r>
      <w:r w:rsidRPr="00F01399">
        <w:rPr>
          <w:rFonts w:ascii="Century" w:hAnsi="Century" w:cs="FrankRuehl" w:hint="cs"/>
          <w:spacing w:val="10"/>
          <w:szCs w:val="28"/>
          <w:rtl/>
        </w:rPr>
        <w:lastRenderedPageBreak/>
        <w:t xml:space="preserve">האפוטרופוס. למעשה, בהתאם לחוק זה, האפוטרופוס כלל אינו מוסמך למכור נכסי מקרקעין מוקנים לגורמים אחרים מלבד לרשות הפיתוח (ראו: סעיף 19 לחוק זה). מצב דברים זה הוכר כשיקול פרשני מרכזי התומך בהכרה ברשות הפיתוח כ"אדם אחר" לעניין חוק </w:t>
      </w:r>
      <w:r w:rsidRPr="00F01399">
        <w:rPr>
          <w:rFonts w:ascii="Century" w:hAnsi="Century" w:cs="FrankRuehl"/>
          <w:spacing w:val="10"/>
          <w:szCs w:val="28"/>
          <w:rtl/>
        </w:rPr>
        <w:t>נכסי נפקדים</w:t>
      </w:r>
      <w:r w:rsidRPr="00F01399">
        <w:rPr>
          <w:rFonts w:ascii="Century" w:hAnsi="Century" w:cs="FrankRuehl" w:hint="cs"/>
          <w:spacing w:val="10"/>
          <w:szCs w:val="28"/>
          <w:rtl/>
        </w:rPr>
        <w:t xml:space="preserve">, וזאת בשל החשש כי פרשנות אחרת תוביל לריקונה מתוכן של תקנת השוק הקבועה בו (ראו: עניין </w:t>
      </w:r>
      <w:r w:rsidRPr="00F01399">
        <w:rPr>
          <w:rFonts w:ascii="Century" w:hAnsi="Century" w:cs="Miriam" w:hint="eastAsia"/>
          <w:b/>
          <w:rtl/>
        </w:rPr>
        <w:t>עקל</w:t>
      </w:r>
      <w:r>
        <w:rPr>
          <w:rFonts w:ascii="Century" w:hAnsi="Century" w:cs="FrankRuehl" w:hint="cs"/>
          <w:spacing w:val="10"/>
          <w:szCs w:val="28"/>
          <w:rtl/>
        </w:rPr>
        <w:t xml:space="preserve">, </w:t>
      </w:r>
      <w:r w:rsidRPr="00F01399">
        <w:rPr>
          <w:rFonts w:ascii="Century" w:hAnsi="Century" w:cs="FrankRuehl" w:hint="cs"/>
          <w:spacing w:val="10"/>
          <w:szCs w:val="28"/>
          <w:rtl/>
        </w:rPr>
        <w:t xml:space="preserve">פסקה 12 לפסק דינו של השופט </w:t>
      </w:r>
      <w:r w:rsidRPr="00F01399">
        <w:rPr>
          <w:rFonts w:ascii="Century" w:hAnsi="Century" w:cs="Miriam" w:hint="eastAsia"/>
          <w:b/>
          <w:rtl/>
        </w:rPr>
        <w:t>גרוסקופף</w:t>
      </w:r>
      <w:r>
        <w:rPr>
          <w:rFonts w:ascii="Century" w:hAnsi="Century" w:cs="FrankRuehl" w:hint="cs"/>
          <w:spacing w:val="10"/>
          <w:szCs w:val="28"/>
          <w:rtl/>
        </w:rPr>
        <w:t xml:space="preserve">). </w:t>
      </w:r>
      <w:r w:rsidRPr="00F01399">
        <w:rPr>
          <w:rFonts w:ascii="Century" w:hAnsi="Century" w:cs="FrankRuehl" w:hint="cs"/>
          <w:spacing w:val="10"/>
          <w:szCs w:val="28"/>
          <w:rtl/>
        </w:rPr>
        <w:t>במובן זה, שונים למדי פני הדברים בהקשרו של סעיף 5 לצו, שבניגוד לחוק נכסי נפקדים, אינו כולל מגבלה או התייחסות מפורשת מן הסוג האמור. בהתאם, איני סבורה כי אי-הכרה בהסתדרות הציונית (כאשר היא עומדת לבדה, ללא צד שלישי אחר נוסף), במתכונת המוצעת על-ידי, תוביל להפיכתו של ההסדר לאות מתה. זאת, בין היתר, בהתחשב בכך שניתן לצפות כי במקרים לא מעטים שבהם ייושם סעיף 5 לצו, תימצא בפועל חוליית הסתמכות נוספת מלבד הגורם המיישב. כל זאת בהצטרף להבדלים המתחייבים מן הייחוד הנובע מכך שסעיף 5 לצו חל בשטח הנת</w:t>
      </w:r>
      <w:r>
        <w:rPr>
          <w:rFonts w:ascii="Century" w:hAnsi="Century" w:cs="FrankRuehl" w:hint="cs"/>
          <w:spacing w:val="10"/>
          <w:szCs w:val="28"/>
          <w:rtl/>
        </w:rPr>
        <w:t xml:space="preserve">ון לתפיסה </w:t>
      </w:r>
      <w:r w:rsidRPr="00F01399">
        <w:rPr>
          <w:rFonts w:ascii="Century" w:hAnsi="Century" w:cs="FrankRuehl" w:hint="cs"/>
          <w:spacing w:val="10"/>
          <w:szCs w:val="28"/>
          <w:rtl/>
        </w:rPr>
        <w:t xml:space="preserve">לוחמתית. משכך, אני סבורה כי אין לאמץ מסקנה דומה בענייננו. </w:t>
      </w:r>
    </w:p>
    <w:p w:rsidR="005B1A77" w:rsidRPr="00F01399" w:rsidRDefault="005B1A77" w:rsidP="005B1A77">
      <w:pPr>
        <w:spacing w:line="360" w:lineRule="auto"/>
        <w:jc w:val="both"/>
        <w:rPr>
          <w:rFonts w:ascii="Century" w:hAnsi="Century" w:cs="FrankRuehl"/>
          <w:spacing w:val="10"/>
          <w:szCs w:val="28"/>
          <w:rtl/>
        </w:rPr>
      </w:pPr>
    </w:p>
    <w:p w:rsidR="005B1A77" w:rsidRPr="00F01399" w:rsidRDefault="005B1A77" w:rsidP="005B1A77">
      <w:pPr>
        <w:spacing w:line="360" w:lineRule="auto"/>
        <w:jc w:val="both"/>
        <w:rPr>
          <w:rFonts w:ascii="Century" w:hAnsi="Century" w:cs="FrankRuehl"/>
          <w:spacing w:val="10"/>
          <w:szCs w:val="28"/>
          <w:rtl/>
        </w:rPr>
      </w:pPr>
      <w:r>
        <w:rPr>
          <w:rFonts w:ascii="Century" w:hAnsi="Century" w:cs="FrankRuehl" w:hint="cs"/>
          <w:spacing w:val="10"/>
          <w:szCs w:val="28"/>
          <w:rtl/>
        </w:rPr>
        <w:t>23.</w:t>
      </w:r>
      <w:r>
        <w:rPr>
          <w:rFonts w:ascii="Century" w:hAnsi="Century" w:cs="FrankRuehl" w:hint="cs"/>
          <w:spacing w:val="10"/>
          <w:szCs w:val="28"/>
          <w:rtl/>
        </w:rPr>
        <w:tab/>
      </w:r>
      <w:r w:rsidRPr="00F01399">
        <w:rPr>
          <w:rFonts w:ascii="Century" w:hAnsi="Century" w:cs="FrankRuehl" w:hint="cs"/>
          <w:spacing w:val="10"/>
          <w:szCs w:val="28"/>
          <w:rtl/>
        </w:rPr>
        <w:t xml:space="preserve">אם כן, לסיכום נקודה זו, אני סבורה כי </w:t>
      </w:r>
      <w:r w:rsidRPr="00F01399">
        <w:rPr>
          <w:rFonts w:ascii="Century" w:hAnsi="Century" w:cs="Miriam" w:hint="eastAsia"/>
          <w:b/>
          <w:rtl/>
        </w:rPr>
        <w:t>אדם</w:t>
      </w:r>
      <w:r w:rsidRPr="00F01399">
        <w:rPr>
          <w:rFonts w:ascii="Century" w:hAnsi="Century" w:cs="Miriam"/>
          <w:b/>
          <w:rtl/>
        </w:rPr>
        <w:t xml:space="preserve"> </w:t>
      </w:r>
      <w:r w:rsidRPr="00F01399">
        <w:rPr>
          <w:rFonts w:ascii="Century" w:hAnsi="Century" w:cs="Miriam" w:hint="eastAsia"/>
          <w:b/>
          <w:rtl/>
        </w:rPr>
        <w:t>אחר</w:t>
      </w:r>
      <w:r w:rsidRPr="00F01399">
        <w:rPr>
          <w:rFonts w:ascii="Century" w:hAnsi="Century" w:cs="FrankRuehl" w:hint="cs"/>
          <w:spacing w:val="10"/>
          <w:szCs w:val="28"/>
          <w:rtl/>
        </w:rPr>
        <w:t xml:space="preserve"> לעניין סעיף 5 לצו יכול להיות רק צד שלישי "חיצוני" לממונה. על כן, לצורך התקיימות תנאיו של סעיף 5 לצו במקרה זה לא יהיה די להשקיף אך על ההתקשרות הראשונית שנעשתה בין הממונה לבין הגורם המיישב, שבו יש לראות "גורם מתווך" ביצועי בלבד. חלף זאת, במקרים מסוג זה, יש מקום להרחיב את נקודת המבט ולהתבונן על העסקה אף בראי החוליות הנוספות שנוצרו בהסתמך על הסכם ההרשאה המקורי וכמימוש שלו, לרבות פעולות או הסכמים קונקרטיי</w:t>
      </w:r>
      <w:r w:rsidRPr="00F01399">
        <w:rPr>
          <w:rFonts w:ascii="Century" w:hAnsi="Century" w:cs="FrankRuehl" w:hint="eastAsia"/>
          <w:spacing w:val="10"/>
          <w:szCs w:val="28"/>
          <w:rtl/>
        </w:rPr>
        <w:t>ם</w:t>
      </w:r>
      <w:r w:rsidRPr="00F01399">
        <w:rPr>
          <w:rFonts w:ascii="Century" w:hAnsi="Century" w:cs="FrankRuehl" w:hint="cs"/>
          <w:spacing w:val="10"/>
          <w:szCs w:val="28"/>
          <w:rtl/>
        </w:rPr>
        <w:t xml:space="preserve"> עם צדדים שלישיים, שהם אנשים פרטיים. דהיינו, לשיטתי, </w:t>
      </w:r>
      <w:r>
        <w:rPr>
          <w:rFonts w:ascii="Century" w:hAnsi="Century" w:cs="FrankRuehl" w:hint="cs"/>
          <w:spacing w:val="10"/>
          <w:szCs w:val="28"/>
          <w:rtl/>
        </w:rPr>
        <w:t>הדרישה לקיומה של</w:t>
      </w:r>
      <w:r w:rsidRPr="00F01399">
        <w:rPr>
          <w:rFonts w:ascii="Century" w:hAnsi="Century" w:cs="FrankRuehl" w:hint="cs"/>
          <w:spacing w:val="10"/>
          <w:szCs w:val="28"/>
          <w:rtl/>
        </w:rPr>
        <w:t xml:space="preserve"> "עסקה" עם "אדם אחר", כמובנה לצורך סעיף 5 לצו, תגיע לכדי שכלול וגיבוש</w:t>
      </w:r>
      <w:r w:rsidRPr="00F01399">
        <w:rPr>
          <w:rFonts w:cs="FrankRuehl" w:hint="cs"/>
          <w:sz w:val="28"/>
          <w:szCs w:val="28"/>
          <w:rtl/>
        </w:rPr>
        <w:t xml:space="preserve"> </w:t>
      </w:r>
      <w:r w:rsidRPr="00F01399">
        <w:rPr>
          <w:rFonts w:ascii="Century" w:hAnsi="Century" w:cs="Miriam" w:hint="eastAsia"/>
          <w:b/>
          <w:rtl/>
        </w:rPr>
        <w:t>רק</w:t>
      </w:r>
      <w:r w:rsidRPr="00F01399">
        <w:rPr>
          <w:rFonts w:cs="FrankRuehl" w:hint="cs"/>
          <w:sz w:val="28"/>
          <w:szCs w:val="28"/>
          <w:rtl/>
        </w:rPr>
        <w:t xml:space="preserve"> </w:t>
      </w:r>
      <w:r w:rsidRPr="00F01399">
        <w:rPr>
          <w:rFonts w:ascii="Century" w:hAnsi="Century" w:cs="FrankRuehl" w:hint="cs"/>
          <w:spacing w:val="10"/>
          <w:szCs w:val="28"/>
          <w:rtl/>
        </w:rPr>
        <w:t xml:space="preserve">בנקודה שבה ניתן להצביע על פעולות ממשיות של גורמים אחרים שהסתמכו על ההתקשרות הראשונית </w:t>
      </w:r>
      <w:r w:rsidRPr="00F01399">
        <w:rPr>
          <w:rFonts w:ascii="Century" w:hAnsi="Century" w:cs="FrankRuehl"/>
          <w:spacing w:val="10"/>
          <w:szCs w:val="28"/>
          <w:rtl/>
        </w:rPr>
        <w:t>–</w:t>
      </w:r>
      <w:r w:rsidRPr="00F01399">
        <w:rPr>
          <w:rFonts w:ascii="Century" w:hAnsi="Century" w:cs="FrankRuehl" w:hint="cs"/>
          <w:spacing w:val="10"/>
          <w:szCs w:val="28"/>
          <w:rtl/>
        </w:rPr>
        <w:t xml:space="preserve"> קרי הצטרפותם של אותם גורמים לעסקה. במובן זה, מ</w:t>
      </w:r>
      <w:r>
        <w:rPr>
          <w:rFonts w:ascii="Century" w:hAnsi="Century" w:cs="FrankRuehl" w:hint="cs"/>
          <w:spacing w:val="10"/>
          <w:szCs w:val="28"/>
          <w:rtl/>
        </w:rPr>
        <w:t>עורבותם והסתמכותם של אותם צדדים</w:t>
      </w:r>
      <w:r w:rsidRPr="00F01399">
        <w:rPr>
          <w:rFonts w:ascii="Century" w:hAnsi="Century" w:cs="FrankRuehl" w:hint="cs"/>
          <w:spacing w:val="10"/>
          <w:szCs w:val="28"/>
          <w:rtl/>
        </w:rPr>
        <w:t xml:space="preserve"> שלישיים "ממשיים" היא שתוחמת את גבולות הדרישה לקיומה של עסקה עם </w:t>
      </w:r>
      <w:r>
        <w:rPr>
          <w:rFonts w:ascii="Century" w:hAnsi="Century" w:cs="FrankRuehl" w:hint="cs"/>
          <w:spacing w:val="10"/>
          <w:szCs w:val="28"/>
          <w:rtl/>
        </w:rPr>
        <w:t>"</w:t>
      </w:r>
      <w:r w:rsidRPr="00F01399">
        <w:rPr>
          <w:rFonts w:ascii="Century" w:hAnsi="Century" w:cs="FrankRuehl" w:hint="cs"/>
          <w:spacing w:val="10"/>
          <w:szCs w:val="28"/>
          <w:rtl/>
        </w:rPr>
        <w:t>אדם אחר</w:t>
      </w:r>
      <w:r>
        <w:rPr>
          <w:rFonts w:ascii="Century" w:hAnsi="Century" w:cs="FrankRuehl" w:hint="cs"/>
          <w:spacing w:val="10"/>
          <w:szCs w:val="28"/>
          <w:rtl/>
        </w:rPr>
        <w:t>"</w:t>
      </w:r>
      <w:r w:rsidRPr="00F01399">
        <w:rPr>
          <w:rFonts w:ascii="Century" w:hAnsi="Century" w:cs="FrankRuehl" w:hint="cs"/>
          <w:spacing w:val="10"/>
          <w:szCs w:val="28"/>
          <w:rtl/>
        </w:rPr>
        <w:t xml:space="preserve"> ובהתאמה גם את היקף תחולתו של סעיף 5 לצו.  </w:t>
      </w:r>
    </w:p>
    <w:p w:rsidR="005B1A77" w:rsidRPr="00F01399" w:rsidRDefault="005B1A77" w:rsidP="005B1A77">
      <w:pPr>
        <w:spacing w:line="360" w:lineRule="auto"/>
        <w:jc w:val="both"/>
        <w:rPr>
          <w:rFonts w:ascii="Century" w:hAnsi="Century" w:cs="FrankRuehl"/>
          <w:spacing w:val="10"/>
          <w:szCs w:val="28"/>
          <w:rtl/>
        </w:rPr>
      </w:pPr>
    </w:p>
    <w:p w:rsidR="005B1A77" w:rsidRPr="00F01399" w:rsidRDefault="005B1A77" w:rsidP="005B1A77">
      <w:pPr>
        <w:spacing w:line="360" w:lineRule="auto"/>
        <w:jc w:val="both"/>
        <w:rPr>
          <w:rFonts w:ascii="Century" w:hAnsi="Century" w:cs="FrankRuehl"/>
          <w:spacing w:val="10"/>
          <w:szCs w:val="28"/>
          <w:rtl/>
        </w:rPr>
      </w:pPr>
      <w:r w:rsidRPr="00F01399">
        <w:rPr>
          <w:rFonts w:ascii="Century" w:hAnsi="Century" w:cs="FrankRuehl" w:hint="cs"/>
          <w:spacing w:val="10"/>
          <w:szCs w:val="28"/>
          <w:rtl/>
        </w:rPr>
        <w:t>24.</w:t>
      </w:r>
      <w:r w:rsidRPr="00F01399">
        <w:rPr>
          <w:rFonts w:ascii="Century" w:hAnsi="Century" w:cs="FrankRuehl" w:hint="cs"/>
          <w:spacing w:val="10"/>
          <w:szCs w:val="28"/>
          <w:rtl/>
        </w:rPr>
        <w:tab/>
        <w:t>בהתאם לכך, וככל שהדברים אמורים בנסיבות העניין שבפנינו, איני סבורה כי העסקה שבפנינו נוגעת אך למישור שבין הממונה לבין ההסתדרות הציונית. למעשה, ככל שמישור זה היה עומד לבדו, עמדתי הייתה כי כלל לא היה ניתן לראות בכך "עסקה עם אדם אחר" לצורך סעיף 5 לצו. אולם, ב</w:t>
      </w:r>
      <w:r>
        <w:rPr>
          <w:rFonts w:ascii="Century" w:hAnsi="Century" w:cs="FrankRuehl" w:hint="cs"/>
          <w:spacing w:val="10"/>
          <w:szCs w:val="28"/>
          <w:rtl/>
        </w:rPr>
        <w:t xml:space="preserve">נסיבות </w:t>
      </w:r>
      <w:r w:rsidRPr="00F01399">
        <w:rPr>
          <w:rFonts w:ascii="Century" w:hAnsi="Century" w:cs="FrankRuehl" w:hint="cs"/>
          <w:spacing w:val="10"/>
          <w:szCs w:val="28"/>
          <w:rtl/>
        </w:rPr>
        <w:t xml:space="preserve">ענייננו </w:t>
      </w:r>
      <w:r w:rsidRPr="00F01399">
        <w:rPr>
          <w:rFonts w:ascii="Century" w:hAnsi="Century" w:cs="FrankRuehl"/>
          <w:spacing w:val="10"/>
          <w:szCs w:val="28"/>
          <w:rtl/>
        </w:rPr>
        <w:t>–</w:t>
      </w:r>
      <w:r w:rsidRPr="00F01399">
        <w:rPr>
          <w:rFonts w:ascii="Century" w:hAnsi="Century" w:cs="FrankRuehl" w:hint="cs"/>
          <w:spacing w:val="10"/>
          <w:szCs w:val="28"/>
          <w:rtl/>
        </w:rPr>
        <w:t xml:space="preserve"> שמשק</w:t>
      </w:r>
      <w:r>
        <w:rPr>
          <w:rFonts w:ascii="Century" w:hAnsi="Century" w:cs="FrankRuehl" w:hint="cs"/>
          <w:spacing w:val="10"/>
          <w:szCs w:val="28"/>
          <w:rtl/>
        </w:rPr>
        <w:t>פות</w:t>
      </w:r>
      <w:r w:rsidRPr="00F01399">
        <w:rPr>
          <w:rFonts w:ascii="Century" w:hAnsi="Century" w:cs="FrankRuehl" w:hint="cs"/>
          <w:spacing w:val="10"/>
          <w:szCs w:val="28"/>
          <w:rtl/>
        </w:rPr>
        <w:t xml:space="preserve"> תאונה משפטית רבת שלבים </w:t>
      </w:r>
      <w:r w:rsidRPr="00F01399">
        <w:rPr>
          <w:rFonts w:ascii="Century" w:hAnsi="Century" w:cs="FrankRuehl"/>
          <w:spacing w:val="10"/>
          <w:szCs w:val="28"/>
          <w:rtl/>
        </w:rPr>
        <w:t>–</w:t>
      </w:r>
      <w:r w:rsidRPr="00F01399">
        <w:rPr>
          <w:rFonts w:ascii="Century" w:hAnsi="Century" w:cs="FrankRuehl" w:hint="cs"/>
          <w:spacing w:val="10"/>
          <w:szCs w:val="28"/>
          <w:rtl/>
        </w:rPr>
        <w:t xml:space="preserve"> הדברים אינם מתמצים כאמור בכך. בהתאם, אני סבורה כי יש לבחון את הדרישה לקיומה של עסקה שבמרכזה המקרקעין מושא דיוננו באופן רחב יותר, הכולל גם חוליה נוספת ומשמעותית יותר: מערכת היחסים שבין הממונה (וההסתדרות הציונית </w:t>
      </w:r>
      <w:r w:rsidRPr="00F01399">
        <w:rPr>
          <w:rFonts w:ascii="Century" w:hAnsi="Century" w:cs="FrankRuehl" w:hint="cs"/>
          <w:spacing w:val="10"/>
          <w:szCs w:val="28"/>
          <w:rtl/>
        </w:rPr>
        <w:lastRenderedPageBreak/>
        <w:t xml:space="preserve">כגורם מתווך) מצד אחד לבין המחזיקים מצד אחר. במישור זה, יש משמעות לקביעות העובדתיות הנוגעות לליווי שהעניקו נציגי המפקד הצבאי באזור וכן ההסתדרות הציונית </w:t>
      </w:r>
      <w:r>
        <w:rPr>
          <w:rFonts w:ascii="Century" w:hAnsi="Century" w:cs="FrankRuehl" w:hint="cs"/>
          <w:spacing w:val="10"/>
          <w:szCs w:val="28"/>
          <w:rtl/>
        </w:rPr>
        <w:t>סמוך ל</w:t>
      </w:r>
      <w:r w:rsidRPr="00F01399">
        <w:rPr>
          <w:rFonts w:ascii="Century" w:hAnsi="Century" w:cs="FrankRuehl" w:hint="cs"/>
          <w:spacing w:val="10"/>
          <w:szCs w:val="28"/>
          <w:rtl/>
        </w:rPr>
        <w:t>הקמת מצפה כרמים במיקומו הנוכחי ולמצג שעל בסיסו החלה התיישבות במקום בתחילת שנת 2000. כל זאת, בהסתמך על הבנתם של הצדדים את</w:t>
      </w:r>
      <w:r w:rsidRPr="00F01399">
        <w:rPr>
          <w:rFonts w:cs="FrankRuehl" w:hint="cs"/>
          <w:sz w:val="28"/>
          <w:szCs w:val="28"/>
          <w:rtl/>
        </w:rPr>
        <w:t xml:space="preserve"> </w:t>
      </w:r>
      <w:r w:rsidRPr="00F01399">
        <w:rPr>
          <w:rFonts w:ascii="Century" w:hAnsi="Century" w:cs="FrankRuehl" w:hint="cs"/>
          <w:spacing w:val="10"/>
          <w:szCs w:val="28"/>
          <w:rtl/>
        </w:rPr>
        <w:t xml:space="preserve">הסכם ההרשאה בין הממונה להסתדרות, ובמידה רבה כיישום שלו. בהקשר זה אציין כי לטעמי, וכפי שציינו יתר חבריי התומכים בקבלת העתירה לדיון נוסף </w:t>
      </w:r>
      <w:r w:rsidRPr="00F01399">
        <w:rPr>
          <w:rFonts w:ascii="Century" w:hAnsi="Century" w:cs="FrankRuehl"/>
          <w:spacing w:val="10"/>
          <w:szCs w:val="28"/>
          <w:rtl/>
        </w:rPr>
        <w:t>–</w:t>
      </w:r>
      <w:r w:rsidRPr="00F01399">
        <w:rPr>
          <w:rFonts w:ascii="Century" w:hAnsi="Century" w:cs="FrankRuehl" w:hint="cs"/>
          <w:spacing w:val="10"/>
          <w:szCs w:val="28"/>
          <w:rtl/>
        </w:rPr>
        <w:t xml:space="preserve"> הסכם ההרשאה הרלוונטי הוא הסכם ההרשאה האחרון שנחתם בשנת 1997 ועודנו בתוקף (וזאת הגם שקיימים סימני שאלה מסוימים ביחס אליו, כמפורט בפסקה 19 לפסק דינו של חברי השופט</w:t>
      </w:r>
      <w:r w:rsidRPr="00F01399">
        <w:rPr>
          <w:rFonts w:cs="FrankRuehl" w:hint="cs"/>
          <w:sz w:val="28"/>
          <w:szCs w:val="28"/>
          <w:rtl/>
        </w:rPr>
        <w:t xml:space="preserve"> </w:t>
      </w:r>
      <w:r w:rsidRPr="00F01399">
        <w:rPr>
          <w:rFonts w:ascii="Century" w:hAnsi="Century" w:cs="Miriam" w:hint="eastAsia"/>
          <w:b/>
          <w:rtl/>
        </w:rPr>
        <w:t>עמית</w:t>
      </w:r>
      <w:r w:rsidRPr="00F01399">
        <w:rPr>
          <w:rFonts w:ascii="Century" w:hAnsi="Century" w:cs="FrankRuehl" w:hint="cs"/>
          <w:spacing w:val="10"/>
          <w:szCs w:val="28"/>
          <w:rtl/>
        </w:rPr>
        <w:t>). במובן זה, אני סבורה כי בעניי</w:t>
      </w:r>
      <w:r>
        <w:rPr>
          <w:rFonts w:ascii="Century" w:hAnsi="Century" w:cs="FrankRuehl" w:hint="cs"/>
          <w:spacing w:val="10"/>
          <w:szCs w:val="28"/>
          <w:rtl/>
        </w:rPr>
        <w:t xml:space="preserve">ננו הרכיב של עסקה עם "אדם אחר" </w:t>
      </w:r>
      <w:r w:rsidRPr="00F01399">
        <w:rPr>
          <w:rFonts w:ascii="Century" w:hAnsi="Century" w:cs="FrankRuehl" w:hint="cs"/>
          <w:spacing w:val="10"/>
          <w:szCs w:val="28"/>
          <w:rtl/>
        </w:rPr>
        <w:t xml:space="preserve">קרם עור וגידים באופן ממשי רק עם נקיטת פעולות קונקרטיות להקמת הישוב מצפה כרמים באופן שכלל פעילות של הגורמים המוסמכים מול מחזיקים קונקרטיים שאינם ההסתדרות הציונית, ובשלב מאוחר יותר גם כריתתם של הסכמי בר-רשות כפי שנקבע על-ידי בית המשפט המחוזי. בנקודה אחרונה זו </w:t>
      </w:r>
      <w:r w:rsidRPr="00F01399">
        <w:rPr>
          <w:rFonts w:ascii="Century" w:hAnsi="Century" w:cs="FrankRuehl"/>
          <w:spacing w:val="10"/>
          <w:szCs w:val="28"/>
          <w:rtl/>
        </w:rPr>
        <w:t>–</w:t>
      </w:r>
      <w:r w:rsidRPr="00F01399">
        <w:rPr>
          <w:rFonts w:ascii="Century" w:hAnsi="Century" w:cs="FrankRuehl" w:hint="cs"/>
          <w:spacing w:val="10"/>
          <w:szCs w:val="28"/>
          <w:rtl/>
        </w:rPr>
        <w:t xml:space="preserve"> אציין כי איני נדרשת בשלב דיוני זה לשאלת מועד כריתתם של הסכמי בר-הרשות עם המחזיקים השונים בהליך שבפנינו. כפי שציין חברי השופט</w:t>
      </w:r>
      <w:r>
        <w:rPr>
          <w:rFonts w:cs="FrankRuehl" w:hint="cs"/>
          <w:sz w:val="28"/>
          <w:szCs w:val="28"/>
          <w:rtl/>
        </w:rPr>
        <w:t xml:space="preserve"> </w:t>
      </w:r>
      <w:r w:rsidRPr="00F01399">
        <w:rPr>
          <w:rFonts w:ascii="Century" w:hAnsi="Century" w:cs="Miriam" w:hint="eastAsia"/>
          <w:b/>
          <w:rtl/>
        </w:rPr>
        <w:t>עמית</w:t>
      </w:r>
      <w:r w:rsidRPr="00F01399">
        <w:rPr>
          <w:rFonts w:ascii="Century" w:hAnsi="Century" w:cs="FrankRuehl" w:hint="cs"/>
          <w:spacing w:val="10"/>
          <w:szCs w:val="28"/>
          <w:rtl/>
        </w:rPr>
        <w:t xml:space="preserve">, סוגיה זו אינה מתאימה לבירור במגבלות החלות על הליך של דיון נוסף. די לי אפוא בהסתמכותם של תושביו הראשונים של מצפה כרמים, שיתר המחזיקים שבפנינו באו ככל הנראה בנעליהם, ובבנייה שנעשתה במקום. </w:t>
      </w:r>
      <w:r>
        <w:rPr>
          <w:rFonts w:ascii="Century" w:hAnsi="Century" w:cs="FrankRuehl" w:hint="cs"/>
          <w:spacing w:val="10"/>
          <w:szCs w:val="28"/>
          <w:rtl/>
        </w:rPr>
        <w:t>בהדגישי</w:t>
      </w:r>
      <w:r w:rsidRPr="00F01399">
        <w:rPr>
          <w:rFonts w:ascii="Century" w:hAnsi="Century" w:cs="FrankRuehl" w:hint="cs"/>
          <w:spacing w:val="10"/>
          <w:szCs w:val="28"/>
          <w:rtl/>
        </w:rPr>
        <w:t xml:space="preserve"> </w:t>
      </w:r>
      <w:r>
        <w:rPr>
          <w:rFonts w:ascii="Century" w:hAnsi="Century" w:cs="FrankRuehl" w:hint="cs"/>
          <w:spacing w:val="10"/>
          <w:szCs w:val="28"/>
          <w:rtl/>
        </w:rPr>
        <w:t xml:space="preserve">את </w:t>
      </w:r>
      <w:r w:rsidRPr="00F01399">
        <w:rPr>
          <w:rFonts w:ascii="Century" w:hAnsi="Century" w:cs="FrankRuehl" w:hint="cs"/>
          <w:spacing w:val="10"/>
          <w:szCs w:val="28"/>
          <w:rtl/>
        </w:rPr>
        <w:t xml:space="preserve">יסוד ההסתמכות של התושבים במצפה כרמים אני מוצאת תימוכין גם בהערותיו של חברי המשנה לנשיאה (בדימ') </w:t>
      </w:r>
      <w:r w:rsidRPr="00F01399">
        <w:rPr>
          <w:rFonts w:ascii="Century" w:hAnsi="Century" w:cs="Miriam" w:hint="eastAsia"/>
          <w:b/>
          <w:rtl/>
        </w:rPr>
        <w:t>הנדל</w:t>
      </w:r>
      <w:r w:rsidRPr="00F01399">
        <w:rPr>
          <w:rFonts w:cs="FrankRuehl" w:hint="cs"/>
          <w:sz w:val="28"/>
          <w:szCs w:val="28"/>
          <w:rtl/>
        </w:rPr>
        <w:t xml:space="preserve"> </w:t>
      </w:r>
      <w:r w:rsidRPr="00F01399">
        <w:rPr>
          <w:rFonts w:ascii="Century" w:hAnsi="Century" w:cs="FrankRuehl" w:hint="cs"/>
          <w:spacing w:val="10"/>
          <w:szCs w:val="28"/>
          <w:rtl/>
        </w:rPr>
        <w:t xml:space="preserve">(פסקה 11 לפסק דינו בדיון הנוסף). עם זאת, כפי שהסברתי, אני סבורה שהיבט זה אינו רלוונטי רק לדיון ביסוד התמורה (שאליו אדרש בהמשך דבריי), כי אם גם להגדרתו של יסוד העסקה שבפנינו.   </w:t>
      </w:r>
    </w:p>
    <w:p w:rsidR="005B1A77" w:rsidRPr="00F01399" w:rsidRDefault="005B1A77" w:rsidP="005B1A77">
      <w:pPr>
        <w:spacing w:line="360" w:lineRule="auto"/>
        <w:jc w:val="both"/>
        <w:rPr>
          <w:rFonts w:ascii="Century" w:hAnsi="Century" w:cs="FrankRuehl"/>
          <w:spacing w:val="10"/>
          <w:szCs w:val="28"/>
          <w:rtl/>
        </w:rPr>
      </w:pPr>
    </w:p>
    <w:p w:rsidR="005B1A77" w:rsidRPr="00372962" w:rsidRDefault="005B1A77" w:rsidP="005B1A77">
      <w:pPr>
        <w:spacing w:line="360" w:lineRule="auto"/>
        <w:jc w:val="both"/>
        <w:rPr>
          <w:rFonts w:ascii="Century" w:hAnsi="Century" w:cs="FrankRuehl"/>
          <w:spacing w:val="10"/>
          <w:szCs w:val="28"/>
          <w:rtl/>
        </w:rPr>
      </w:pPr>
      <w:r w:rsidRPr="00372962">
        <w:rPr>
          <w:rFonts w:ascii="Century" w:hAnsi="Century" w:cs="FrankRuehl" w:hint="cs"/>
          <w:spacing w:val="10"/>
          <w:szCs w:val="28"/>
          <w:rtl/>
        </w:rPr>
        <w:t xml:space="preserve">25. </w:t>
      </w:r>
      <w:r w:rsidRPr="00372962">
        <w:rPr>
          <w:rFonts w:ascii="Century" w:hAnsi="Century" w:cs="FrankRuehl" w:hint="cs"/>
          <w:spacing w:val="10"/>
          <w:szCs w:val="28"/>
          <w:rtl/>
        </w:rPr>
        <w:tab/>
        <w:t>איני רואה מקום להידרש בהרחבה למספר היבטים נוספים הנוגעים ליסוד העסקה</w:t>
      </w:r>
      <w:r>
        <w:rPr>
          <w:rFonts w:ascii="Century" w:hAnsi="Century" w:cs="FrankRuehl" w:hint="cs"/>
          <w:spacing w:val="10"/>
          <w:szCs w:val="28"/>
          <w:rtl/>
        </w:rPr>
        <w:t>,</w:t>
      </w:r>
      <w:r w:rsidRPr="00372962">
        <w:rPr>
          <w:rFonts w:ascii="Century" w:hAnsi="Century" w:cs="FrankRuehl" w:hint="cs"/>
          <w:spacing w:val="10"/>
          <w:szCs w:val="28"/>
          <w:rtl/>
        </w:rPr>
        <w:t xml:space="preserve"> שביחס אליהם יש בידי להצטרף לעמדותיהם של חבריי ה</w:t>
      </w:r>
      <w:r>
        <w:rPr>
          <w:rFonts w:ascii="Century" w:hAnsi="Century" w:cs="FrankRuehl" w:hint="cs"/>
          <w:spacing w:val="10"/>
          <w:szCs w:val="28"/>
          <w:rtl/>
        </w:rPr>
        <w:t>תומכים בקבלת העתירה לדיון נוסף.</w:t>
      </w:r>
      <w:r w:rsidRPr="00372962">
        <w:rPr>
          <w:rFonts w:ascii="Century" w:hAnsi="Century" w:cs="FrankRuehl" w:hint="cs"/>
          <w:spacing w:val="10"/>
          <w:szCs w:val="28"/>
          <w:rtl/>
        </w:rPr>
        <w:t xml:space="preserve"> בתמצית</w:t>
      </w:r>
      <w:r>
        <w:rPr>
          <w:rFonts w:ascii="Century" w:hAnsi="Century" w:cs="FrankRuehl" w:hint="cs"/>
          <w:spacing w:val="10"/>
          <w:szCs w:val="28"/>
          <w:rtl/>
        </w:rPr>
        <w:t>, אסתפק בקביעה</w:t>
      </w:r>
      <w:r w:rsidRPr="00372962">
        <w:rPr>
          <w:rFonts w:ascii="Century" w:hAnsi="Century" w:cs="FrankRuehl" w:hint="cs"/>
          <w:spacing w:val="10"/>
          <w:szCs w:val="28"/>
          <w:rtl/>
        </w:rPr>
        <w:t xml:space="preserve"> כי מקובלת עלי העמדה לפיה סעיף 5 לצו חל גם ביחס לעסקה שלא הסתיימה ברישום. כמו כן, מקובלת עלי אף הקביעה העובדתית כי הסכמי ההרשאה בענייננו חלים ביחס למקרקעין שעליהם הוקם הישוב מצפה כרמים. קביעה זו אף משתלבת עם עמדתי לעיל לפיה העסקה שבפנינו הפכה לכזו הנעשית עם "אדם אחר" אך עם נקיטתן של פעולות ממשיות ליישובו של מצפה </w:t>
      </w:r>
      <w:r>
        <w:rPr>
          <w:rFonts w:ascii="Century" w:hAnsi="Century" w:cs="FrankRuehl" w:hint="cs"/>
          <w:spacing w:val="10"/>
          <w:szCs w:val="28"/>
          <w:rtl/>
        </w:rPr>
        <w:t>כ</w:t>
      </w:r>
      <w:r w:rsidRPr="00372962">
        <w:rPr>
          <w:rFonts w:ascii="Century" w:hAnsi="Century" w:cs="FrankRuehl" w:hint="cs"/>
          <w:spacing w:val="10"/>
          <w:szCs w:val="28"/>
          <w:rtl/>
        </w:rPr>
        <w:t xml:space="preserve">רמים במיקומו הנוכחי. ההכרעה באשר לכך נטועה בנסיבותיו הקונקרטיות של המקרה שבפנינו ואיני סבורה כי קמה הצדקה לחרוג מהכלל הרגיל של אי-התערבות בממצאי הערכאה הדיונית, בפרט בהתחשב במסגרת הדיונית הנוכחית שבה אנו </w:t>
      </w:r>
      <w:r>
        <w:rPr>
          <w:rFonts w:ascii="Century" w:hAnsi="Century" w:cs="FrankRuehl" w:hint="cs"/>
          <w:spacing w:val="10"/>
          <w:szCs w:val="28"/>
          <w:rtl/>
        </w:rPr>
        <w:t>עומדים.</w:t>
      </w:r>
      <w:r w:rsidRPr="00372962">
        <w:rPr>
          <w:rFonts w:ascii="Century" w:hAnsi="Century" w:cs="FrankRuehl" w:hint="cs"/>
          <w:spacing w:val="10"/>
          <w:szCs w:val="28"/>
          <w:rtl/>
        </w:rPr>
        <w:t xml:space="preserve"> </w:t>
      </w:r>
    </w:p>
    <w:p w:rsidR="005B1A77" w:rsidRPr="00372962" w:rsidRDefault="005B1A77" w:rsidP="005B1A77">
      <w:pPr>
        <w:spacing w:line="360" w:lineRule="auto"/>
        <w:jc w:val="both"/>
        <w:rPr>
          <w:rFonts w:ascii="Century" w:hAnsi="Century" w:cs="FrankRuehl"/>
          <w:spacing w:val="10"/>
          <w:szCs w:val="28"/>
          <w:rtl/>
        </w:rPr>
      </w:pPr>
    </w:p>
    <w:p w:rsidR="005B1A77" w:rsidRPr="00372962" w:rsidRDefault="005B1A77" w:rsidP="005B1A77">
      <w:pPr>
        <w:spacing w:line="360" w:lineRule="auto"/>
        <w:jc w:val="both"/>
        <w:rPr>
          <w:rFonts w:ascii="Century" w:hAnsi="Century" w:cs="FrankRuehl"/>
          <w:spacing w:val="10"/>
          <w:szCs w:val="28"/>
          <w:rtl/>
        </w:rPr>
      </w:pPr>
      <w:r w:rsidRPr="00372962">
        <w:rPr>
          <w:rFonts w:ascii="Century" w:hAnsi="Century" w:cs="FrankRuehl"/>
          <w:spacing w:val="10"/>
          <w:szCs w:val="28"/>
          <w:rtl/>
        </w:rPr>
        <w:lastRenderedPageBreak/>
        <w:t>26.</w:t>
      </w:r>
      <w:r w:rsidRPr="00372962">
        <w:rPr>
          <w:rFonts w:ascii="Century" w:hAnsi="Century" w:cs="FrankRuehl" w:hint="cs"/>
          <w:spacing w:val="10"/>
          <w:szCs w:val="28"/>
          <w:rtl/>
        </w:rPr>
        <w:t xml:space="preserve"> </w:t>
      </w:r>
      <w:r w:rsidRPr="00372962">
        <w:rPr>
          <w:rFonts w:ascii="Century" w:hAnsi="Century" w:cs="FrankRuehl"/>
          <w:spacing w:val="10"/>
          <w:szCs w:val="28"/>
          <w:rtl/>
        </w:rPr>
        <w:tab/>
      </w:r>
      <w:r w:rsidRPr="00372962">
        <w:rPr>
          <w:rFonts w:ascii="Century" w:hAnsi="Century" w:cs="FrankRuehl" w:hint="cs"/>
          <w:spacing w:val="10"/>
          <w:szCs w:val="28"/>
          <w:rtl/>
        </w:rPr>
        <w:t xml:space="preserve">בשלב זה, אבקש להבהיר כיצד פרשנותי ביחס לדרישה לקיומה של עסקה עם "אדם אחר", המעמידה במוקד של ההסדר המשפטי את הסתמכותם של צדדים שלישיים "בשר ודם", משליכה אף על פרשנות התנאים הנוגעים ל"תום הלב" ול"תמורה". לכך אפנה כעת. </w:t>
      </w:r>
    </w:p>
    <w:p w:rsidR="005B1A77" w:rsidRDefault="005B1A77" w:rsidP="005B1A77">
      <w:pPr>
        <w:spacing w:line="360" w:lineRule="auto"/>
        <w:jc w:val="both"/>
        <w:rPr>
          <w:rFonts w:ascii="FrankRuehl" w:hAnsi="FrankRuehl" w:cs="FrankRuehl"/>
          <w:sz w:val="28"/>
          <w:szCs w:val="28"/>
          <w:rtl/>
        </w:rPr>
      </w:pPr>
    </w:p>
    <w:p w:rsidR="005B1A77" w:rsidRPr="00372962" w:rsidRDefault="005B1A77" w:rsidP="005B1A77">
      <w:pPr>
        <w:spacing w:line="360" w:lineRule="auto"/>
        <w:jc w:val="both"/>
        <w:rPr>
          <w:rFonts w:ascii="Century" w:hAnsi="Century" w:cs="Miriam"/>
          <w:b/>
          <w:rtl/>
        </w:rPr>
      </w:pPr>
      <w:r w:rsidRPr="00372962">
        <w:rPr>
          <w:rFonts w:ascii="Century" w:hAnsi="Century" w:cs="Miriam" w:hint="cs"/>
          <w:b/>
          <w:rtl/>
        </w:rPr>
        <w:t xml:space="preserve">סוגיה שנייה: דרישת תום הלב ויישומה במקרה שבפנינו </w:t>
      </w:r>
    </w:p>
    <w:p w:rsidR="005B1A77" w:rsidRDefault="005B1A77" w:rsidP="005B1A77">
      <w:pPr>
        <w:spacing w:line="360" w:lineRule="auto"/>
        <w:jc w:val="both"/>
        <w:rPr>
          <w:rFonts w:ascii="Century" w:hAnsi="Century" w:cs="Miriam"/>
          <w:b/>
          <w:rtl/>
        </w:rPr>
      </w:pPr>
    </w:p>
    <w:p w:rsidR="005B1A77" w:rsidRPr="00372962" w:rsidRDefault="005B1A77" w:rsidP="005B1A77">
      <w:pPr>
        <w:spacing w:line="360" w:lineRule="auto"/>
        <w:jc w:val="both"/>
        <w:rPr>
          <w:rFonts w:ascii="Century" w:hAnsi="Century" w:cs="FrankRuehl"/>
          <w:spacing w:val="10"/>
          <w:szCs w:val="28"/>
          <w:rtl/>
        </w:rPr>
      </w:pPr>
      <w:r w:rsidRPr="00372962">
        <w:rPr>
          <w:rFonts w:ascii="Century" w:hAnsi="Century" w:cs="FrankRuehl" w:hint="cs"/>
          <w:spacing w:val="10"/>
          <w:szCs w:val="28"/>
          <w:rtl/>
        </w:rPr>
        <w:t>27</w:t>
      </w:r>
      <w:r w:rsidRPr="00372962">
        <w:rPr>
          <w:rFonts w:ascii="Century" w:hAnsi="Century" w:cs="FrankRuehl"/>
          <w:spacing w:val="10"/>
          <w:szCs w:val="28"/>
          <w:rtl/>
        </w:rPr>
        <w:t>.</w:t>
      </w:r>
      <w:r w:rsidRPr="00372962">
        <w:rPr>
          <w:rFonts w:ascii="Century" w:hAnsi="Century" w:cs="FrankRuehl"/>
          <w:spacing w:val="10"/>
          <w:szCs w:val="28"/>
          <w:rtl/>
        </w:rPr>
        <w:tab/>
      </w:r>
      <w:r w:rsidRPr="00372962">
        <w:rPr>
          <w:rFonts w:ascii="Century" w:hAnsi="Century" w:cs="FrankRuehl" w:hint="cs"/>
          <w:spacing w:val="10"/>
          <w:szCs w:val="28"/>
          <w:rtl/>
        </w:rPr>
        <w:t xml:space="preserve">בשלב זה אבקש לחזור לנקודה שעמדה בלב הדיון הנוסף </w:t>
      </w:r>
      <w:r w:rsidRPr="00372962">
        <w:rPr>
          <w:rFonts w:ascii="Century" w:hAnsi="Century" w:cs="FrankRuehl"/>
          <w:spacing w:val="10"/>
          <w:szCs w:val="28"/>
          <w:rtl/>
        </w:rPr>
        <w:t>–</w:t>
      </w:r>
      <w:r w:rsidRPr="00372962">
        <w:rPr>
          <w:rFonts w:ascii="Century" w:hAnsi="Century" w:cs="FrankRuehl" w:hint="cs"/>
          <w:spacing w:val="10"/>
          <w:szCs w:val="28"/>
          <w:rtl/>
        </w:rPr>
        <w:t xml:space="preserve"> שאלת תום ליבם של הצדדים והשלכותיה בנסיבות העניין. נקודת המוצא, שדומה כי אין לגביה מחלוקת בשלב זה, היא כי את חובת תום הלב הקבועה בסעיף 5 לצו יש להבין ככזו המתייחסת להתנהלותם של כלל מרכיבי העסקה גם יחד </w:t>
      </w:r>
      <w:r w:rsidRPr="00372962">
        <w:rPr>
          <w:rFonts w:ascii="Century" w:hAnsi="Century" w:cs="FrankRuehl"/>
          <w:spacing w:val="10"/>
          <w:szCs w:val="28"/>
          <w:rtl/>
        </w:rPr>
        <w:t>–</w:t>
      </w:r>
      <w:r w:rsidRPr="00372962">
        <w:rPr>
          <w:rFonts w:ascii="Century" w:hAnsi="Century" w:cs="FrankRuehl" w:hint="cs"/>
          <w:spacing w:val="10"/>
          <w:szCs w:val="28"/>
          <w:rtl/>
        </w:rPr>
        <w:t xml:space="preserve"> קרי הממונה מצד אחד והמתקשר עמו מצד אחר. על רקע זה, עשויה להתעורר השאלה </w:t>
      </w:r>
      <w:r w:rsidRPr="00372962">
        <w:rPr>
          <w:rFonts w:ascii="Century" w:hAnsi="Century" w:cs="Miriam" w:hint="cs"/>
          <w:b/>
          <w:rtl/>
        </w:rPr>
        <w:t>מיהו המתקשר</w:t>
      </w:r>
      <w:r w:rsidRPr="00372962">
        <w:rPr>
          <w:rFonts w:ascii="Century" w:hAnsi="Century" w:cs="FrankRuehl" w:hint="cs"/>
          <w:spacing w:val="10"/>
          <w:szCs w:val="28"/>
          <w:rtl/>
        </w:rPr>
        <w:t xml:space="preserve"> בעסקה שביחס אליו צריכה להיבחן שאלת תום הלב. כמו כן, קיימת חשיבות בהיבט זה אף </w:t>
      </w:r>
      <w:r w:rsidRPr="00372962">
        <w:rPr>
          <w:rFonts w:ascii="Century" w:hAnsi="Century" w:cs="Miriam" w:hint="cs"/>
          <w:b/>
          <w:rtl/>
        </w:rPr>
        <w:t xml:space="preserve">לעיתוי </w:t>
      </w:r>
      <w:r w:rsidRPr="00372962">
        <w:rPr>
          <w:rFonts w:ascii="Century" w:hAnsi="Century" w:cs="FrankRuehl" w:hint="cs"/>
          <w:spacing w:val="10"/>
          <w:szCs w:val="28"/>
          <w:rtl/>
        </w:rPr>
        <w:t xml:space="preserve">שביחס אליו תיבחן שאלת תום הלב. </w:t>
      </w:r>
      <w:r>
        <w:rPr>
          <w:rFonts w:ascii="Century" w:hAnsi="Century" w:cs="FrankRuehl" w:hint="cs"/>
          <w:spacing w:val="10"/>
          <w:szCs w:val="28"/>
          <w:rtl/>
        </w:rPr>
        <w:t>בקשר לכך</w:t>
      </w:r>
      <w:r w:rsidRPr="00372962">
        <w:rPr>
          <w:rFonts w:ascii="Century" w:hAnsi="Century" w:cs="FrankRuehl" w:hint="cs"/>
          <w:spacing w:val="10"/>
          <w:szCs w:val="28"/>
          <w:rtl/>
        </w:rPr>
        <w:t xml:space="preserve">, אני מוצאת לחדד כי </w:t>
      </w:r>
      <w:r>
        <w:rPr>
          <w:rFonts w:ascii="Century" w:hAnsi="Century" w:cs="FrankRuehl" w:hint="cs"/>
          <w:spacing w:val="10"/>
          <w:szCs w:val="28"/>
          <w:rtl/>
        </w:rPr>
        <w:t>ישנה</w:t>
      </w:r>
      <w:r w:rsidRPr="00372962">
        <w:rPr>
          <w:rFonts w:ascii="Century" w:hAnsi="Century" w:cs="FrankRuehl" w:hint="cs"/>
          <w:spacing w:val="10"/>
          <w:szCs w:val="28"/>
          <w:rtl/>
        </w:rPr>
        <w:t xml:space="preserve"> </w:t>
      </w:r>
      <w:r>
        <w:rPr>
          <w:rFonts w:ascii="Century" w:hAnsi="Century" w:cs="FrankRuehl" w:hint="cs"/>
          <w:spacing w:val="10"/>
          <w:szCs w:val="28"/>
          <w:rtl/>
        </w:rPr>
        <w:t xml:space="preserve">זיקה ישירה בין קביעותיי באשר לדרישה לקיומו של "אדם אחר" לבין פרשנותי לסוגיית תום הלב. </w:t>
      </w:r>
    </w:p>
    <w:p w:rsidR="005B1A77" w:rsidRPr="00372962" w:rsidRDefault="005B1A77" w:rsidP="005B1A77">
      <w:pPr>
        <w:spacing w:line="360" w:lineRule="auto"/>
        <w:jc w:val="both"/>
        <w:rPr>
          <w:rFonts w:ascii="Century" w:hAnsi="Century" w:cs="FrankRuehl"/>
          <w:spacing w:val="10"/>
          <w:szCs w:val="28"/>
          <w:rtl/>
        </w:rPr>
      </w:pPr>
    </w:p>
    <w:p w:rsidR="005B1A77" w:rsidRPr="00372962" w:rsidRDefault="005B1A77" w:rsidP="005B1A77">
      <w:pPr>
        <w:spacing w:line="360" w:lineRule="auto"/>
        <w:jc w:val="both"/>
        <w:rPr>
          <w:rFonts w:ascii="Century" w:hAnsi="Century" w:cs="FrankRuehl"/>
          <w:spacing w:val="10"/>
          <w:szCs w:val="28"/>
          <w:rtl/>
        </w:rPr>
      </w:pPr>
      <w:r w:rsidRPr="00372962">
        <w:rPr>
          <w:rFonts w:ascii="Century" w:hAnsi="Century" w:cs="FrankRuehl" w:hint="cs"/>
          <w:spacing w:val="10"/>
          <w:szCs w:val="28"/>
          <w:rtl/>
        </w:rPr>
        <w:t>28</w:t>
      </w:r>
      <w:r w:rsidRPr="00372962">
        <w:rPr>
          <w:rFonts w:ascii="Century" w:hAnsi="Century" w:cs="FrankRuehl"/>
          <w:spacing w:val="10"/>
          <w:szCs w:val="28"/>
          <w:rtl/>
        </w:rPr>
        <w:t>.</w:t>
      </w:r>
      <w:r w:rsidRPr="00372962">
        <w:rPr>
          <w:rFonts w:ascii="Century" w:hAnsi="Century" w:cs="FrankRuehl"/>
          <w:spacing w:val="10"/>
          <w:szCs w:val="28"/>
          <w:rtl/>
        </w:rPr>
        <w:tab/>
      </w:r>
      <w:r w:rsidRPr="00372962">
        <w:rPr>
          <w:rFonts w:ascii="Century" w:hAnsi="Century" w:cs="FrankRuehl" w:hint="cs"/>
          <w:spacing w:val="10"/>
          <w:szCs w:val="28"/>
          <w:rtl/>
        </w:rPr>
        <w:t>אפתח בכך ש</w:t>
      </w:r>
      <w:r w:rsidRPr="00372962">
        <w:rPr>
          <w:rFonts w:ascii="Century" w:hAnsi="Century" w:cs="FrankRuehl" w:hint="eastAsia"/>
          <w:spacing w:val="10"/>
          <w:szCs w:val="28"/>
          <w:rtl/>
        </w:rPr>
        <w:t>אבהיר</w:t>
      </w:r>
      <w:r w:rsidRPr="00372962">
        <w:rPr>
          <w:rFonts w:ascii="Century" w:hAnsi="Century" w:cs="FrankRuehl"/>
          <w:spacing w:val="10"/>
          <w:szCs w:val="28"/>
          <w:rtl/>
        </w:rPr>
        <w:t xml:space="preserve"> כי </w:t>
      </w:r>
      <w:r w:rsidRPr="00372962">
        <w:rPr>
          <w:rFonts w:ascii="Century" w:hAnsi="Century" w:cs="FrankRuehl" w:hint="eastAsia"/>
          <w:spacing w:val="10"/>
          <w:szCs w:val="28"/>
          <w:rtl/>
        </w:rPr>
        <w:t>לאופן</w:t>
      </w:r>
      <w:r w:rsidRPr="00372962">
        <w:rPr>
          <w:rFonts w:ascii="Century" w:hAnsi="Century" w:cs="FrankRuehl"/>
          <w:spacing w:val="10"/>
          <w:szCs w:val="28"/>
          <w:rtl/>
        </w:rPr>
        <w:t xml:space="preserve"> שבו אני מפרשת את יסוד העסקה </w:t>
      </w:r>
      <w:r w:rsidRPr="00372962">
        <w:rPr>
          <w:rFonts w:ascii="Century" w:hAnsi="Century" w:cs="FrankRuehl" w:hint="eastAsia"/>
          <w:spacing w:val="10"/>
          <w:szCs w:val="28"/>
          <w:rtl/>
        </w:rPr>
        <w:t>קיימת</w:t>
      </w:r>
      <w:r w:rsidRPr="00372962">
        <w:rPr>
          <w:rFonts w:ascii="Century" w:hAnsi="Century" w:cs="FrankRuehl"/>
          <w:spacing w:val="10"/>
          <w:szCs w:val="28"/>
          <w:rtl/>
        </w:rPr>
        <w:t xml:space="preserve"> </w:t>
      </w:r>
      <w:r w:rsidRPr="00372962">
        <w:rPr>
          <w:rFonts w:ascii="Century" w:hAnsi="Century" w:cs="FrankRuehl" w:hint="eastAsia"/>
          <w:spacing w:val="10"/>
          <w:szCs w:val="28"/>
          <w:rtl/>
        </w:rPr>
        <w:t>השלכה</w:t>
      </w:r>
      <w:r w:rsidRPr="00372962">
        <w:rPr>
          <w:rFonts w:ascii="Century" w:hAnsi="Century" w:cs="FrankRuehl"/>
          <w:spacing w:val="10"/>
          <w:szCs w:val="28"/>
          <w:rtl/>
        </w:rPr>
        <w:t xml:space="preserve"> ביחס ל</w:t>
      </w:r>
      <w:r w:rsidRPr="00372962">
        <w:rPr>
          <w:rFonts w:ascii="Century" w:hAnsi="Century" w:cs="FrankRuehl" w:hint="eastAsia"/>
          <w:spacing w:val="10"/>
          <w:szCs w:val="28"/>
          <w:rtl/>
        </w:rPr>
        <w:t>עיתוי</w:t>
      </w:r>
      <w:r w:rsidRPr="00372962">
        <w:rPr>
          <w:rFonts w:ascii="Century" w:hAnsi="Century" w:cs="FrankRuehl"/>
          <w:spacing w:val="10"/>
          <w:szCs w:val="28"/>
          <w:rtl/>
        </w:rPr>
        <w:t xml:space="preserve"> שבו יש לבחון את התקיימותו של </w:t>
      </w:r>
      <w:r w:rsidRPr="00372962">
        <w:rPr>
          <w:rFonts w:ascii="Century" w:hAnsi="Century" w:cs="FrankRuehl" w:hint="eastAsia"/>
          <w:spacing w:val="10"/>
          <w:szCs w:val="28"/>
          <w:rtl/>
        </w:rPr>
        <w:t>יסוד</w:t>
      </w:r>
      <w:r w:rsidRPr="00372962">
        <w:rPr>
          <w:rFonts w:ascii="Century" w:hAnsi="Century" w:cs="FrankRuehl"/>
          <w:spacing w:val="10"/>
          <w:szCs w:val="28"/>
          <w:rtl/>
        </w:rPr>
        <w:t xml:space="preserve"> תום הלב. </w:t>
      </w:r>
      <w:r w:rsidRPr="00372962">
        <w:rPr>
          <w:rFonts w:ascii="Century" w:hAnsi="Century" w:cs="FrankRuehl" w:hint="cs"/>
          <w:spacing w:val="10"/>
          <w:szCs w:val="28"/>
          <w:rtl/>
        </w:rPr>
        <w:t>כפי שציינתי, אף אני מצאתי כי קיימת רלוונטיות מיוחדת להסכם ההרשאה האחרון משנת 1997. על כך יש להוסיף כי לגישתי</w:t>
      </w:r>
      <w:r>
        <w:rPr>
          <w:rFonts w:ascii="Century" w:hAnsi="Century" w:cs="FrankRuehl" w:hint="cs"/>
          <w:spacing w:val="10"/>
          <w:szCs w:val="28"/>
          <w:rtl/>
        </w:rPr>
        <w:t>, בעת בחינת תום הלב,</w:t>
      </w:r>
      <w:r w:rsidRPr="00372962">
        <w:rPr>
          <w:rFonts w:ascii="Century" w:hAnsi="Century" w:cs="FrankRuehl"/>
          <w:spacing w:val="10"/>
          <w:szCs w:val="28"/>
          <w:rtl/>
        </w:rPr>
        <w:t xml:space="preserve"> יש לתת </w:t>
      </w:r>
      <w:r w:rsidRPr="00372962">
        <w:rPr>
          <w:rFonts w:ascii="Century" w:hAnsi="Century" w:cs="FrankRuehl" w:hint="eastAsia"/>
          <w:spacing w:val="10"/>
          <w:szCs w:val="28"/>
          <w:rtl/>
        </w:rPr>
        <w:t>משקל</w:t>
      </w:r>
      <w:r w:rsidRPr="00372962">
        <w:rPr>
          <w:rFonts w:ascii="Century" w:hAnsi="Century" w:cs="FrankRuehl"/>
          <w:spacing w:val="10"/>
          <w:szCs w:val="28"/>
          <w:rtl/>
        </w:rPr>
        <w:t xml:space="preserve"> </w:t>
      </w:r>
      <w:r w:rsidRPr="00372962">
        <w:rPr>
          <w:rFonts w:ascii="Century" w:hAnsi="Century" w:cs="FrankRuehl" w:hint="eastAsia"/>
          <w:spacing w:val="10"/>
          <w:szCs w:val="28"/>
          <w:rtl/>
        </w:rPr>
        <w:t>מיוחד</w:t>
      </w:r>
      <w:r w:rsidRPr="00372962">
        <w:rPr>
          <w:rFonts w:ascii="Century" w:hAnsi="Century" w:cs="FrankRuehl" w:hint="cs"/>
          <w:spacing w:val="10"/>
          <w:szCs w:val="28"/>
          <w:rtl/>
        </w:rPr>
        <w:t xml:space="preserve">, </w:t>
      </w:r>
      <w:r>
        <w:rPr>
          <w:rFonts w:ascii="Century" w:hAnsi="Century" w:cs="FrankRuehl" w:hint="cs"/>
          <w:spacing w:val="10"/>
          <w:szCs w:val="28"/>
          <w:rtl/>
        </w:rPr>
        <w:t>גם</w:t>
      </w:r>
      <w:r w:rsidRPr="00372962">
        <w:rPr>
          <w:rFonts w:ascii="Century" w:hAnsi="Century" w:cs="FrankRuehl" w:hint="cs"/>
          <w:spacing w:val="10"/>
          <w:szCs w:val="28"/>
          <w:rtl/>
        </w:rPr>
        <w:t xml:space="preserve"> אם לא בלעדי,</w:t>
      </w:r>
      <w:r w:rsidRPr="00372962">
        <w:rPr>
          <w:rFonts w:ascii="Century" w:hAnsi="Century" w:cs="FrankRuehl"/>
          <w:spacing w:val="10"/>
          <w:szCs w:val="28"/>
          <w:rtl/>
        </w:rPr>
        <w:t xml:space="preserve"> </w:t>
      </w:r>
      <w:r w:rsidRPr="00372962">
        <w:rPr>
          <w:rFonts w:ascii="Century" w:hAnsi="Century" w:cs="FrankRuehl" w:hint="eastAsia"/>
          <w:spacing w:val="10"/>
          <w:szCs w:val="28"/>
          <w:rtl/>
        </w:rPr>
        <w:t>דווקא</w:t>
      </w:r>
      <w:r w:rsidRPr="00372962">
        <w:rPr>
          <w:rFonts w:ascii="Century" w:hAnsi="Century" w:cs="FrankRuehl"/>
          <w:spacing w:val="10"/>
          <w:szCs w:val="28"/>
          <w:rtl/>
        </w:rPr>
        <w:t xml:space="preserve"> </w:t>
      </w:r>
      <w:r w:rsidRPr="00372962">
        <w:rPr>
          <w:rFonts w:ascii="Century" w:hAnsi="Century" w:cs="FrankRuehl" w:hint="eastAsia"/>
          <w:spacing w:val="10"/>
          <w:szCs w:val="28"/>
          <w:rtl/>
        </w:rPr>
        <w:t>לפעולות</w:t>
      </w:r>
      <w:r w:rsidRPr="00372962">
        <w:rPr>
          <w:rFonts w:ascii="Century" w:hAnsi="Century" w:cs="FrankRuehl"/>
          <w:spacing w:val="10"/>
          <w:szCs w:val="28"/>
          <w:rtl/>
        </w:rPr>
        <w:t xml:space="preserve"> </w:t>
      </w:r>
      <w:r w:rsidRPr="00372962">
        <w:rPr>
          <w:rFonts w:ascii="Century" w:hAnsi="Century" w:cs="FrankRuehl" w:hint="eastAsia"/>
          <w:spacing w:val="10"/>
          <w:szCs w:val="28"/>
          <w:rtl/>
        </w:rPr>
        <w:t>שנלוו</w:t>
      </w:r>
      <w:r w:rsidRPr="00372962">
        <w:rPr>
          <w:rFonts w:ascii="Century" w:hAnsi="Century" w:cs="FrankRuehl"/>
          <w:spacing w:val="10"/>
          <w:szCs w:val="28"/>
          <w:rtl/>
        </w:rPr>
        <w:t xml:space="preserve"> </w:t>
      </w:r>
      <w:r w:rsidRPr="00372962">
        <w:rPr>
          <w:rFonts w:ascii="Century" w:hAnsi="Century" w:cs="FrankRuehl" w:hint="eastAsia"/>
          <w:spacing w:val="10"/>
          <w:szCs w:val="28"/>
          <w:rtl/>
        </w:rPr>
        <w:t>לחוליית</w:t>
      </w:r>
      <w:r w:rsidRPr="00372962">
        <w:rPr>
          <w:rFonts w:ascii="Century" w:hAnsi="Century" w:cs="FrankRuehl"/>
          <w:spacing w:val="10"/>
          <w:szCs w:val="28"/>
          <w:rtl/>
        </w:rPr>
        <w:t xml:space="preserve"> ההתקשרות </w:t>
      </w:r>
      <w:r>
        <w:rPr>
          <w:rFonts w:ascii="Century" w:hAnsi="Century" w:cs="FrankRuehl" w:hint="cs"/>
          <w:spacing w:val="10"/>
          <w:szCs w:val="28"/>
          <w:rtl/>
        </w:rPr>
        <w:t>הנוספת</w:t>
      </w:r>
      <w:r w:rsidRPr="00372962">
        <w:rPr>
          <w:rFonts w:ascii="Century" w:hAnsi="Century" w:cs="FrankRuehl"/>
          <w:spacing w:val="10"/>
          <w:szCs w:val="28"/>
          <w:rtl/>
        </w:rPr>
        <w:t xml:space="preserve"> – </w:t>
      </w:r>
      <w:r w:rsidRPr="00372962">
        <w:rPr>
          <w:rFonts w:ascii="Century" w:hAnsi="Century" w:cs="FrankRuehl" w:hint="eastAsia"/>
          <w:spacing w:val="10"/>
          <w:szCs w:val="28"/>
          <w:rtl/>
        </w:rPr>
        <w:t>קרי</w:t>
      </w:r>
      <w:r w:rsidRPr="00372962">
        <w:rPr>
          <w:rFonts w:ascii="Century" w:hAnsi="Century" w:cs="FrankRuehl"/>
          <w:spacing w:val="10"/>
          <w:szCs w:val="28"/>
          <w:rtl/>
        </w:rPr>
        <w:t xml:space="preserve"> </w:t>
      </w:r>
      <w:r w:rsidRPr="00372962">
        <w:rPr>
          <w:rFonts w:ascii="Century" w:hAnsi="Century" w:cs="FrankRuehl" w:hint="eastAsia"/>
          <w:spacing w:val="10"/>
          <w:szCs w:val="28"/>
          <w:rtl/>
        </w:rPr>
        <w:t>מועד</w:t>
      </w:r>
      <w:r w:rsidRPr="00372962">
        <w:rPr>
          <w:rFonts w:ascii="Century" w:hAnsi="Century" w:cs="FrankRuehl" w:hint="cs"/>
          <w:spacing w:val="10"/>
          <w:szCs w:val="28"/>
          <w:rtl/>
        </w:rPr>
        <w:t xml:space="preserve"> </w:t>
      </w:r>
      <w:r w:rsidRPr="00372962">
        <w:rPr>
          <w:rFonts w:ascii="Century" w:hAnsi="Century" w:cs="FrankRuehl"/>
          <w:spacing w:val="10"/>
          <w:szCs w:val="28"/>
          <w:rtl/>
        </w:rPr>
        <w:t>התווספות</w:t>
      </w:r>
      <w:r w:rsidRPr="00372962">
        <w:rPr>
          <w:rFonts w:ascii="Century" w:hAnsi="Century" w:cs="FrankRuehl" w:hint="cs"/>
          <w:spacing w:val="10"/>
          <w:szCs w:val="28"/>
          <w:rtl/>
        </w:rPr>
        <w:t>ם</w:t>
      </w:r>
      <w:r w:rsidRPr="00372962">
        <w:rPr>
          <w:rFonts w:ascii="Century" w:hAnsi="Century" w:cs="FrankRuehl"/>
          <w:spacing w:val="10"/>
          <w:szCs w:val="28"/>
          <w:rtl/>
        </w:rPr>
        <w:t xml:space="preserve"> של </w:t>
      </w:r>
      <w:r w:rsidRPr="00372962">
        <w:rPr>
          <w:rFonts w:ascii="Century" w:hAnsi="Century" w:cs="FrankRuehl" w:hint="eastAsia"/>
          <w:spacing w:val="10"/>
          <w:szCs w:val="28"/>
          <w:rtl/>
        </w:rPr>
        <w:t>גורמים</w:t>
      </w:r>
      <w:r w:rsidRPr="00372962">
        <w:rPr>
          <w:rFonts w:ascii="Century" w:hAnsi="Century" w:cs="FrankRuehl"/>
          <w:spacing w:val="10"/>
          <w:szCs w:val="28"/>
          <w:rtl/>
        </w:rPr>
        <w:t xml:space="preserve"> </w:t>
      </w:r>
      <w:r w:rsidRPr="00372962">
        <w:rPr>
          <w:rFonts w:ascii="Century" w:hAnsi="Century" w:cs="FrankRuehl" w:hint="eastAsia"/>
          <w:spacing w:val="10"/>
          <w:szCs w:val="28"/>
          <w:rtl/>
        </w:rPr>
        <w:t>שלישיים</w:t>
      </w:r>
      <w:r w:rsidRPr="00372962">
        <w:rPr>
          <w:rFonts w:ascii="Century" w:hAnsi="Century" w:cs="FrankRuehl"/>
          <w:spacing w:val="10"/>
          <w:szCs w:val="28"/>
          <w:rtl/>
        </w:rPr>
        <w:t xml:space="preserve"> </w:t>
      </w:r>
      <w:r w:rsidRPr="00372962">
        <w:rPr>
          <w:rFonts w:ascii="Century" w:hAnsi="Century" w:cs="FrankRuehl" w:hint="eastAsia"/>
          <w:spacing w:val="10"/>
          <w:szCs w:val="28"/>
          <w:rtl/>
        </w:rPr>
        <w:t>ממשיים</w:t>
      </w:r>
      <w:r w:rsidRPr="00372962">
        <w:rPr>
          <w:rFonts w:ascii="Century" w:hAnsi="Century" w:cs="FrankRuehl"/>
          <w:spacing w:val="10"/>
          <w:szCs w:val="28"/>
          <w:rtl/>
        </w:rPr>
        <w:t xml:space="preserve"> </w:t>
      </w:r>
      <w:r w:rsidRPr="00372962">
        <w:rPr>
          <w:rFonts w:ascii="Century" w:hAnsi="Century" w:cs="FrankRuehl" w:hint="eastAsia"/>
          <w:spacing w:val="10"/>
          <w:szCs w:val="28"/>
          <w:rtl/>
        </w:rPr>
        <w:t>שפעלו</w:t>
      </w:r>
      <w:r w:rsidRPr="00372962">
        <w:rPr>
          <w:rFonts w:ascii="Century" w:hAnsi="Century" w:cs="FrankRuehl"/>
          <w:spacing w:val="10"/>
          <w:szCs w:val="28"/>
          <w:rtl/>
        </w:rPr>
        <w:t xml:space="preserve"> בהסתמך </w:t>
      </w:r>
      <w:r w:rsidRPr="00372962">
        <w:rPr>
          <w:rFonts w:ascii="Century" w:hAnsi="Century" w:cs="FrankRuehl" w:hint="eastAsia"/>
          <w:spacing w:val="10"/>
          <w:szCs w:val="28"/>
          <w:rtl/>
        </w:rPr>
        <w:t>על</w:t>
      </w:r>
      <w:r w:rsidRPr="00372962">
        <w:rPr>
          <w:rFonts w:ascii="Century" w:hAnsi="Century" w:cs="FrankRuehl"/>
          <w:spacing w:val="10"/>
          <w:szCs w:val="28"/>
          <w:rtl/>
        </w:rPr>
        <w:t xml:space="preserve"> הסכם </w:t>
      </w:r>
      <w:r w:rsidRPr="00372962">
        <w:rPr>
          <w:rFonts w:ascii="Century" w:hAnsi="Century" w:cs="FrankRuehl" w:hint="eastAsia"/>
          <w:spacing w:val="10"/>
          <w:szCs w:val="28"/>
          <w:rtl/>
        </w:rPr>
        <w:t>ההרשאה</w:t>
      </w:r>
      <w:r w:rsidRPr="00372962">
        <w:rPr>
          <w:rFonts w:ascii="Century" w:hAnsi="Century" w:cs="FrankRuehl"/>
          <w:spacing w:val="10"/>
          <w:szCs w:val="28"/>
          <w:rtl/>
        </w:rPr>
        <w:t xml:space="preserve">. </w:t>
      </w:r>
      <w:r w:rsidRPr="00372962">
        <w:rPr>
          <w:rFonts w:ascii="Century" w:hAnsi="Century" w:cs="FrankRuehl" w:hint="eastAsia"/>
          <w:spacing w:val="10"/>
          <w:szCs w:val="28"/>
          <w:rtl/>
        </w:rPr>
        <w:t>בהתאם</w:t>
      </w:r>
      <w:r w:rsidRPr="00372962">
        <w:rPr>
          <w:rFonts w:ascii="Century" w:hAnsi="Century" w:cs="FrankRuehl"/>
          <w:spacing w:val="10"/>
          <w:szCs w:val="28"/>
          <w:rtl/>
        </w:rPr>
        <w:t xml:space="preserve"> לכך, במקרה ש</w:t>
      </w:r>
      <w:r>
        <w:rPr>
          <w:rFonts w:ascii="Century" w:hAnsi="Century" w:cs="FrankRuehl" w:hint="cs"/>
          <w:spacing w:val="10"/>
          <w:szCs w:val="28"/>
          <w:rtl/>
        </w:rPr>
        <w:t>ב</w:t>
      </w:r>
      <w:r w:rsidRPr="00372962">
        <w:rPr>
          <w:rFonts w:ascii="Century" w:hAnsi="Century" w:cs="FrankRuehl"/>
          <w:spacing w:val="10"/>
          <w:szCs w:val="28"/>
          <w:rtl/>
        </w:rPr>
        <w:t>פנינו, אני סבורה כי יש ל</w:t>
      </w:r>
      <w:r>
        <w:rPr>
          <w:rFonts w:ascii="Century" w:hAnsi="Century" w:cs="FrankRuehl" w:hint="cs"/>
          <w:spacing w:val="10"/>
          <w:szCs w:val="28"/>
          <w:rtl/>
        </w:rPr>
        <w:t xml:space="preserve">שים </w:t>
      </w:r>
      <w:r w:rsidRPr="00372962">
        <w:rPr>
          <w:rFonts w:ascii="Century" w:hAnsi="Century" w:cs="FrankRuehl" w:hint="cs"/>
          <w:spacing w:val="10"/>
          <w:szCs w:val="28"/>
          <w:rtl/>
        </w:rPr>
        <w:t>דגש</w:t>
      </w:r>
      <w:r w:rsidRPr="00372962">
        <w:rPr>
          <w:rFonts w:ascii="Century" w:hAnsi="Century" w:cs="FrankRuehl"/>
          <w:spacing w:val="10"/>
          <w:szCs w:val="28"/>
          <w:rtl/>
        </w:rPr>
        <w:t xml:space="preserve"> </w:t>
      </w:r>
      <w:r w:rsidRPr="00372962">
        <w:rPr>
          <w:rFonts w:ascii="Century" w:hAnsi="Century" w:cs="FrankRuehl" w:hint="eastAsia"/>
          <w:spacing w:val="10"/>
          <w:szCs w:val="28"/>
          <w:rtl/>
        </w:rPr>
        <w:t>בבחינת</w:t>
      </w:r>
      <w:r w:rsidRPr="00372962">
        <w:rPr>
          <w:rFonts w:ascii="Century" w:hAnsi="Century" w:cs="FrankRuehl"/>
          <w:spacing w:val="10"/>
          <w:szCs w:val="28"/>
          <w:rtl/>
        </w:rPr>
        <w:t xml:space="preserve"> </w:t>
      </w:r>
      <w:r w:rsidRPr="00372962">
        <w:rPr>
          <w:rFonts w:ascii="Century" w:hAnsi="Century" w:cs="FrankRuehl" w:hint="eastAsia"/>
          <w:spacing w:val="10"/>
          <w:szCs w:val="28"/>
          <w:rtl/>
        </w:rPr>
        <w:t>תום</w:t>
      </w:r>
      <w:r w:rsidRPr="00372962">
        <w:rPr>
          <w:rFonts w:ascii="Century" w:hAnsi="Century" w:cs="FrankRuehl"/>
          <w:spacing w:val="10"/>
          <w:szCs w:val="28"/>
          <w:rtl/>
        </w:rPr>
        <w:t xml:space="preserve"> </w:t>
      </w:r>
      <w:r w:rsidRPr="00372962">
        <w:rPr>
          <w:rFonts w:ascii="Century" w:hAnsi="Century" w:cs="FrankRuehl" w:hint="eastAsia"/>
          <w:spacing w:val="10"/>
          <w:szCs w:val="28"/>
          <w:rtl/>
        </w:rPr>
        <w:t>ליבם</w:t>
      </w:r>
      <w:r w:rsidRPr="00372962">
        <w:rPr>
          <w:rFonts w:ascii="Century" w:hAnsi="Century" w:cs="FrankRuehl"/>
          <w:spacing w:val="10"/>
          <w:szCs w:val="28"/>
          <w:rtl/>
        </w:rPr>
        <w:t xml:space="preserve"> </w:t>
      </w:r>
      <w:r w:rsidRPr="00372962">
        <w:rPr>
          <w:rFonts w:ascii="Century" w:hAnsi="Century" w:cs="FrankRuehl" w:hint="eastAsia"/>
          <w:spacing w:val="10"/>
          <w:szCs w:val="28"/>
          <w:rtl/>
        </w:rPr>
        <w:t>של</w:t>
      </w:r>
      <w:r w:rsidRPr="00372962">
        <w:rPr>
          <w:rFonts w:ascii="Century" w:hAnsi="Century" w:cs="FrankRuehl"/>
          <w:spacing w:val="10"/>
          <w:szCs w:val="28"/>
          <w:rtl/>
        </w:rPr>
        <w:t xml:space="preserve"> </w:t>
      </w:r>
      <w:r w:rsidRPr="00372962">
        <w:rPr>
          <w:rFonts w:ascii="Century" w:hAnsi="Century" w:cs="FrankRuehl" w:hint="eastAsia"/>
          <w:spacing w:val="10"/>
          <w:szCs w:val="28"/>
          <w:rtl/>
        </w:rPr>
        <w:t>הצדדים</w:t>
      </w:r>
      <w:r w:rsidRPr="00372962">
        <w:rPr>
          <w:rFonts w:ascii="Century" w:hAnsi="Century" w:cs="FrankRuehl"/>
          <w:spacing w:val="10"/>
          <w:szCs w:val="28"/>
          <w:rtl/>
        </w:rPr>
        <w:t xml:space="preserve"> </w:t>
      </w:r>
      <w:r w:rsidRPr="00372962">
        <w:rPr>
          <w:rFonts w:ascii="Century" w:hAnsi="Century" w:cs="FrankRuehl" w:hint="cs"/>
          <w:spacing w:val="10"/>
          <w:szCs w:val="28"/>
          <w:rtl/>
        </w:rPr>
        <w:t>ב</w:t>
      </w:r>
      <w:r w:rsidRPr="00372962">
        <w:rPr>
          <w:rFonts w:ascii="Century" w:hAnsi="Century" w:cs="FrankRuehl"/>
          <w:spacing w:val="10"/>
          <w:szCs w:val="28"/>
          <w:rtl/>
        </w:rPr>
        <w:t xml:space="preserve">שלב שבו עלה </w:t>
      </w:r>
      <w:r w:rsidRPr="00372962">
        <w:rPr>
          <w:rFonts w:ascii="Century" w:hAnsi="Century" w:cs="FrankRuehl" w:hint="cs"/>
          <w:spacing w:val="10"/>
          <w:szCs w:val="28"/>
          <w:rtl/>
        </w:rPr>
        <w:t xml:space="preserve">היישוב </w:t>
      </w:r>
      <w:r w:rsidRPr="00372962">
        <w:rPr>
          <w:rFonts w:ascii="Century" w:hAnsi="Century" w:cs="FrankRuehl"/>
          <w:spacing w:val="10"/>
          <w:szCs w:val="28"/>
          <w:rtl/>
        </w:rPr>
        <w:t>מצפה כרמים על הקרקע במיקומ</w:t>
      </w:r>
      <w:r w:rsidRPr="00372962">
        <w:rPr>
          <w:rFonts w:ascii="Century" w:hAnsi="Century" w:cs="FrankRuehl" w:hint="cs"/>
          <w:spacing w:val="10"/>
          <w:szCs w:val="28"/>
          <w:rtl/>
        </w:rPr>
        <w:t>ו</w:t>
      </w:r>
      <w:r w:rsidRPr="00372962">
        <w:rPr>
          <w:rFonts w:ascii="Century" w:hAnsi="Century" w:cs="FrankRuehl"/>
          <w:spacing w:val="10"/>
          <w:szCs w:val="28"/>
          <w:rtl/>
        </w:rPr>
        <w:t xml:space="preserve"> הנוכחי, </w:t>
      </w:r>
      <w:r w:rsidRPr="00372962">
        <w:rPr>
          <w:rFonts w:ascii="Century" w:hAnsi="Century" w:cs="FrankRuehl" w:hint="eastAsia"/>
          <w:spacing w:val="10"/>
          <w:szCs w:val="28"/>
          <w:rtl/>
        </w:rPr>
        <w:t>קרי</w:t>
      </w:r>
      <w:r w:rsidRPr="00372962">
        <w:rPr>
          <w:rFonts w:ascii="Century" w:hAnsi="Century" w:cs="FrankRuehl"/>
          <w:spacing w:val="10"/>
          <w:szCs w:val="28"/>
          <w:rtl/>
        </w:rPr>
        <w:t xml:space="preserve"> לפעולות ולבדיקות </w:t>
      </w:r>
      <w:r w:rsidRPr="00372962">
        <w:rPr>
          <w:rFonts w:ascii="Century" w:hAnsi="Century" w:cs="FrankRuehl" w:hint="eastAsia"/>
          <w:spacing w:val="10"/>
          <w:szCs w:val="28"/>
          <w:rtl/>
        </w:rPr>
        <w:t>שנעשו</w:t>
      </w:r>
      <w:r w:rsidRPr="00372962">
        <w:rPr>
          <w:rFonts w:ascii="Century" w:hAnsi="Century" w:cs="FrankRuehl"/>
          <w:spacing w:val="10"/>
          <w:szCs w:val="28"/>
          <w:rtl/>
        </w:rPr>
        <w:t xml:space="preserve"> </w:t>
      </w:r>
      <w:r w:rsidRPr="00372962">
        <w:rPr>
          <w:rFonts w:ascii="Century" w:hAnsi="Century" w:cs="FrankRuehl" w:hint="eastAsia"/>
          <w:spacing w:val="10"/>
          <w:szCs w:val="28"/>
          <w:rtl/>
        </w:rPr>
        <w:t>בשנים</w:t>
      </w:r>
      <w:r>
        <w:rPr>
          <w:rFonts w:ascii="Century" w:hAnsi="Century" w:cs="FrankRuehl" w:hint="cs"/>
          <w:spacing w:val="10"/>
          <w:szCs w:val="28"/>
          <w:rtl/>
        </w:rPr>
        <w:t xml:space="preserve">   </w:t>
      </w:r>
      <w:r w:rsidRPr="00372962">
        <w:rPr>
          <w:rFonts w:ascii="Century" w:hAnsi="Century" w:cs="FrankRuehl"/>
          <w:spacing w:val="10"/>
          <w:szCs w:val="28"/>
          <w:rtl/>
        </w:rPr>
        <w:t xml:space="preserve"> 2000-1999, ולהלך הרוח העולה מהן. </w:t>
      </w:r>
      <w:r w:rsidRPr="00372962">
        <w:rPr>
          <w:rFonts w:ascii="Century" w:hAnsi="Century" w:cs="FrankRuehl" w:hint="cs"/>
          <w:spacing w:val="10"/>
          <w:szCs w:val="28"/>
          <w:rtl/>
        </w:rPr>
        <w:t xml:space="preserve">נקודת זמן זו היא הראשונה שבה הפכה העסקה שבפנינו לכזו הכוללת "אדם אחר". </w:t>
      </w:r>
    </w:p>
    <w:p w:rsidR="005B1A77" w:rsidRPr="00D35FB5" w:rsidRDefault="005B1A77" w:rsidP="005B1A77">
      <w:pPr>
        <w:spacing w:line="360" w:lineRule="auto"/>
        <w:jc w:val="both"/>
        <w:rPr>
          <w:rFonts w:ascii="Century" w:hAnsi="Century" w:cs="FrankRuehl"/>
          <w:spacing w:val="10"/>
          <w:szCs w:val="28"/>
          <w:rtl/>
        </w:rPr>
      </w:pPr>
    </w:p>
    <w:p w:rsidR="005B1A77" w:rsidRPr="00372962" w:rsidRDefault="005B1A77" w:rsidP="005B1A77">
      <w:pPr>
        <w:spacing w:line="360" w:lineRule="auto"/>
        <w:jc w:val="both"/>
        <w:rPr>
          <w:rFonts w:ascii="Century" w:hAnsi="Century" w:cs="FrankRuehl"/>
          <w:spacing w:val="10"/>
          <w:szCs w:val="28"/>
          <w:rtl/>
        </w:rPr>
      </w:pPr>
      <w:r w:rsidRPr="00372962">
        <w:rPr>
          <w:rFonts w:ascii="Century" w:hAnsi="Century" w:cs="FrankRuehl" w:hint="cs"/>
          <w:spacing w:val="10"/>
          <w:szCs w:val="28"/>
          <w:rtl/>
        </w:rPr>
        <w:t>29.</w:t>
      </w:r>
      <w:r w:rsidRPr="00372962">
        <w:rPr>
          <w:rFonts w:ascii="Century" w:hAnsi="Century" w:cs="FrankRuehl"/>
          <w:spacing w:val="10"/>
          <w:szCs w:val="28"/>
          <w:rtl/>
        </w:rPr>
        <w:tab/>
      </w:r>
      <w:r w:rsidRPr="00372962">
        <w:rPr>
          <w:rFonts w:ascii="Century" w:hAnsi="Century" w:cs="FrankRuehl" w:hint="cs"/>
          <w:spacing w:val="10"/>
          <w:szCs w:val="28"/>
          <w:rtl/>
        </w:rPr>
        <w:t>אדרש תחילה לבחינת תום לבו של הממונה, הסוגיה שבה התמקדה כאמור המחלוקת גם בפסק הדין הקודם. בהקשר זה, ו</w:t>
      </w:r>
      <w:r w:rsidRPr="00372962">
        <w:rPr>
          <w:rFonts w:ascii="Century" w:hAnsi="Century" w:cs="FrankRuehl" w:hint="eastAsia"/>
          <w:spacing w:val="10"/>
          <w:szCs w:val="28"/>
          <w:rtl/>
        </w:rPr>
        <w:t>הגם</w:t>
      </w:r>
      <w:r w:rsidRPr="00372962">
        <w:rPr>
          <w:rFonts w:ascii="Century" w:hAnsi="Century" w:cs="FrankRuehl"/>
          <w:spacing w:val="10"/>
          <w:szCs w:val="28"/>
          <w:rtl/>
        </w:rPr>
        <w:t xml:space="preserve"> שאני שותפה </w:t>
      </w:r>
      <w:r w:rsidRPr="00372962">
        <w:rPr>
          <w:rFonts w:ascii="Century" w:hAnsi="Century" w:cs="FrankRuehl" w:hint="cs"/>
          <w:spacing w:val="10"/>
          <w:szCs w:val="28"/>
          <w:rtl/>
        </w:rPr>
        <w:t xml:space="preserve">כאמור </w:t>
      </w:r>
      <w:r w:rsidRPr="00372962">
        <w:rPr>
          <w:rFonts w:ascii="Century" w:hAnsi="Century" w:cs="FrankRuehl"/>
          <w:spacing w:val="10"/>
          <w:szCs w:val="28"/>
          <w:rtl/>
        </w:rPr>
        <w:t xml:space="preserve">לעמדה </w:t>
      </w:r>
      <w:r w:rsidRPr="00372962">
        <w:rPr>
          <w:rFonts w:ascii="Century" w:hAnsi="Century" w:cs="FrankRuehl" w:hint="eastAsia"/>
          <w:spacing w:val="10"/>
          <w:szCs w:val="28"/>
          <w:rtl/>
        </w:rPr>
        <w:t>העקרונית</w:t>
      </w:r>
      <w:r w:rsidRPr="00372962">
        <w:rPr>
          <w:rFonts w:ascii="Century" w:hAnsi="Century" w:cs="FrankRuehl"/>
          <w:spacing w:val="10"/>
          <w:szCs w:val="28"/>
          <w:rtl/>
        </w:rPr>
        <w:t xml:space="preserve"> </w:t>
      </w:r>
      <w:r w:rsidRPr="00372962">
        <w:rPr>
          <w:rFonts w:ascii="Century" w:hAnsi="Century" w:cs="FrankRuehl" w:hint="eastAsia"/>
          <w:spacing w:val="10"/>
          <w:szCs w:val="28"/>
          <w:rtl/>
        </w:rPr>
        <w:t>הנוטה</w:t>
      </w:r>
      <w:r w:rsidRPr="00372962">
        <w:rPr>
          <w:rFonts w:ascii="Century" w:hAnsi="Century" w:cs="FrankRuehl"/>
          <w:spacing w:val="10"/>
          <w:szCs w:val="28"/>
          <w:rtl/>
        </w:rPr>
        <w:t xml:space="preserve"> להחיל אמת מידה סוביי</w:t>
      </w:r>
      <w:r w:rsidRPr="00372962">
        <w:rPr>
          <w:rFonts w:ascii="Century" w:hAnsi="Century" w:cs="FrankRuehl" w:hint="cs"/>
          <w:spacing w:val="10"/>
          <w:szCs w:val="28"/>
          <w:rtl/>
        </w:rPr>
        <w:t>ק</w:t>
      </w:r>
      <w:r w:rsidRPr="00372962">
        <w:rPr>
          <w:rFonts w:ascii="Century" w:hAnsi="Century" w:cs="FrankRuehl"/>
          <w:spacing w:val="10"/>
          <w:szCs w:val="28"/>
          <w:rtl/>
        </w:rPr>
        <w:t>טי</w:t>
      </w:r>
      <w:r w:rsidRPr="00372962">
        <w:rPr>
          <w:rFonts w:ascii="Century" w:hAnsi="Century" w:cs="FrankRuehl" w:hint="cs"/>
          <w:spacing w:val="10"/>
          <w:szCs w:val="28"/>
          <w:rtl/>
        </w:rPr>
        <w:t>בי</w:t>
      </w:r>
      <w:r w:rsidRPr="00372962">
        <w:rPr>
          <w:rFonts w:ascii="Century" w:hAnsi="Century" w:cs="FrankRuehl"/>
          <w:spacing w:val="10"/>
          <w:szCs w:val="28"/>
          <w:rtl/>
        </w:rPr>
        <w:t xml:space="preserve">ת מחמירה ביחס להתנהלות הממונה, </w:t>
      </w:r>
      <w:r w:rsidRPr="00372962">
        <w:rPr>
          <w:rFonts w:ascii="Century" w:hAnsi="Century" w:cs="FrankRuehl" w:hint="eastAsia"/>
          <w:spacing w:val="10"/>
          <w:szCs w:val="28"/>
          <w:rtl/>
        </w:rPr>
        <w:t>הגעתי</w:t>
      </w:r>
      <w:r>
        <w:rPr>
          <w:rFonts w:ascii="Century" w:hAnsi="Century" w:cs="FrankRuehl"/>
          <w:spacing w:val="10"/>
          <w:szCs w:val="28"/>
          <w:rtl/>
        </w:rPr>
        <w:t>, ולא בל</w:t>
      </w:r>
      <w:r w:rsidRPr="00372962">
        <w:rPr>
          <w:rFonts w:ascii="Century" w:hAnsi="Century" w:cs="FrankRuehl"/>
          <w:spacing w:val="10"/>
          <w:szCs w:val="28"/>
          <w:rtl/>
        </w:rPr>
        <w:t xml:space="preserve">י התלבטות, </w:t>
      </w:r>
      <w:r w:rsidRPr="00372962">
        <w:rPr>
          <w:rFonts w:ascii="Century" w:hAnsi="Century" w:cs="FrankRuehl" w:hint="eastAsia"/>
          <w:spacing w:val="10"/>
          <w:szCs w:val="28"/>
          <w:rtl/>
        </w:rPr>
        <w:t>למסקנה</w:t>
      </w:r>
      <w:r w:rsidRPr="00372962">
        <w:rPr>
          <w:rFonts w:ascii="Century" w:hAnsi="Century" w:cs="FrankRuehl"/>
          <w:spacing w:val="10"/>
          <w:szCs w:val="28"/>
          <w:rtl/>
        </w:rPr>
        <w:t xml:space="preserve"> כי סטנדרט </w:t>
      </w:r>
      <w:r w:rsidRPr="00372962">
        <w:rPr>
          <w:rFonts w:ascii="Century" w:hAnsi="Century" w:cs="FrankRuehl" w:hint="eastAsia"/>
          <w:spacing w:val="10"/>
          <w:szCs w:val="28"/>
          <w:rtl/>
        </w:rPr>
        <w:t>בחינה</w:t>
      </w:r>
      <w:r w:rsidRPr="00372962">
        <w:rPr>
          <w:rFonts w:ascii="Century" w:hAnsi="Century" w:cs="FrankRuehl"/>
          <w:spacing w:val="10"/>
          <w:szCs w:val="28"/>
          <w:rtl/>
        </w:rPr>
        <w:t xml:space="preserve"> </w:t>
      </w:r>
      <w:r w:rsidRPr="00372962">
        <w:rPr>
          <w:rFonts w:ascii="Century" w:hAnsi="Century" w:cs="FrankRuehl" w:hint="eastAsia"/>
          <w:spacing w:val="10"/>
          <w:szCs w:val="28"/>
          <w:rtl/>
        </w:rPr>
        <w:t>זה</w:t>
      </w:r>
      <w:r w:rsidRPr="00372962">
        <w:rPr>
          <w:rFonts w:ascii="Century" w:hAnsi="Century" w:cs="FrankRuehl"/>
          <w:spacing w:val="10"/>
          <w:szCs w:val="28"/>
          <w:rtl/>
        </w:rPr>
        <w:t xml:space="preserve"> </w:t>
      </w:r>
      <w:r w:rsidRPr="00372962">
        <w:rPr>
          <w:rFonts w:ascii="Century" w:hAnsi="Century" w:cs="FrankRuehl" w:hint="eastAsia"/>
          <w:spacing w:val="10"/>
          <w:szCs w:val="28"/>
          <w:rtl/>
        </w:rPr>
        <w:t>התקיים</w:t>
      </w:r>
      <w:r w:rsidRPr="00372962">
        <w:rPr>
          <w:rFonts w:ascii="Century" w:hAnsi="Century" w:cs="FrankRuehl"/>
          <w:spacing w:val="10"/>
          <w:szCs w:val="28"/>
          <w:rtl/>
        </w:rPr>
        <w:t xml:space="preserve"> </w:t>
      </w:r>
      <w:r w:rsidRPr="00372962">
        <w:rPr>
          <w:rFonts w:ascii="Century" w:hAnsi="Century" w:cs="FrankRuehl" w:hint="eastAsia"/>
          <w:spacing w:val="10"/>
          <w:szCs w:val="28"/>
          <w:rtl/>
        </w:rPr>
        <w:t>בנסיבות</w:t>
      </w:r>
      <w:r w:rsidRPr="00372962">
        <w:rPr>
          <w:rFonts w:ascii="Century" w:hAnsi="Century" w:cs="FrankRuehl" w:hint="cs"/>
          <w:spacing w:val="10"/>
          <w:szCs w:val="28"/>
          <w:rtl/>
        </w:rPr>
        <w:t xml:space="preserve">יו המורכבות של </w:t>
      </w:r>
      <w:r w:rsidRPr="00372962">
        <w:rPr>
          <w:rFonts w:ascii="Century" w:hAnsi="Century" w:cs="FrankRuehl" w:hint="eastAsia"/>
          <w:spacing w:val="10"/>
          <w:szCs w:val="28"/>
          <w:rtl/>
        </w:rPr>
        <w:t>המקרה</w:t>
      </w:r>
      <w:r w:rsidRPr="00372962">
        <w:rPr>
          <w:rFonts w:ascii="Century" w:hAnsi="Century" w:cs="FrankRuehl"/>
          <w:spacing w:val="10"/>
          <w:szCs w:val="28"/>
          <w:rtl/>
        </w:rPr>
        <w:t xml:space="preserve"> </w:t>
      </w:r>
      <w:r w:rsidRPr="00372962">
        <w:rPr>
          <w:rFonts w:ascii="Century" w:hAnsi="Century" w:cs="FrankRuehl" w:hint="eastAsia"/>
          <w:spacing w:val="10"/>
          <w:szCs w:val="28"/>
          <w:rtl/>
        </w:rPr>
        <w:t>שבפנינו</w:t>
      </w:r>
      <w:r w:rsidRPr="00372962">
        <w:rPr>
          <w:rFonts w:ascii="Century" w:hAnsi="Century" w:cs="FrankRuehl"/>
          <w:spacing w:val="10"/>
          <w:szCs w:val="28"/>
          <w:rtl/>
        </w:rPr>
        <w:t xml:space="preserve">. </w:t>
      </w:r>
    </w:p>
    <w:p w:rsidR="005B1A77" w:rsidRPr="00D35FB5" w:rsidRDefault="005B1A77" w:rsidP="005B1A77">
      <w:pPr>
        <w:spacing w:line="360" w:lineRule="auto"/>
        <w:jc w:val="both"/>
        <w:rPr>
          <w:rFonts w:ascii="Century" w:hAnsi="Century" w:cs="FrankRuehl"/>
          <w:spacing w:val="10"/>
          <w:szCs w:val="28"/>
          <w:rtl/>
        </w:rPr>
      </w:pPr>
    </w:p>
    <w:p w:rsidR="005B1A77" w:rsidRPr="00372962" w:rsidRDefault="005B1A77" w:rsidP="005B1A77">
      <w:pPr>
        <w:spacing w:line="360" w:lineRule="auto"/>
        <w:jc w:val="both"/>
        <w:rPr>
          <w:rFonts w:ascii="Century" w:hAnsi="Century" w:cs="FrankRuehl"/>
          <w:spacing w:val="10"/>
          <w:szCs w:val="28"/>
          <w:rtl/>
        </w:rPr>
      </w:pPr>
      <w:r>
        <w:rPr>
          <w:rFonts w:ascii="Century" w:hAnsi="Century" w:cs="FrankRuehl" w:hint="cs"/>
          <w:spacing w:val="10"/>
          <w:szCs w:val="28"/>
          <w:rtl/>
        </w:rPr>
        <w:lastRenderedPageBreak/>
        <w:t>30</w:t>
      </w:r>
      <w:r w:rsidRPr="00372962">
        <w:rPr>
          <w:rFonts w:ascii="Century" w:hAnsi="Century" w:cs="FrankRuehl"/>
          <w:spacing w:val="10"/>
          <w:szCs w:val="28"/>
          <w:rtl/>
        </w:rPr>
        <w:t>.</w:t>
      </w:r>
      <w:r w:rsidRPr="00372962">
        <w:rPr>
          <w:rFonts w:ascii="Century" w:hAnsi="Century" w:cs="FrankRuehl"/>
          <w:spacing w:val="10"/>
          <w:szCs w:val="28"/>
          <w:rtl/>
        </w:rPr>
        <w:tab/>
      </w:r>
      <w:r w:rsidRPr="00372962">
        <w:rPr>
          <w:rFonts w:ascii="Century" w:hAnsi="Century" w:cs="FrankRuehl" w:hint="eastAsia"/>
          <w:spacing w:val="10"/>
          <w:szCs w:val="28"/>
          <w:rtl/>
        </w:rPr>
        <w:t>אכן</w:t>
      </w:r>
      <w:r w:rsidRPr="00372962">
        <w:rPr>
          <w:rFonts w:ascii="Century" w:hAnsi="Century" w:cs="FrankRuehl"/>
          <w:spacing w:val="10"/>
          <w:szCs w:val="28"/>
          <w:rtl/>
        </w:rPr>
        <w:t xml:space="preserve">, </w:t>
      </w:r>
      <w:r w:rsidRPr="00372962">
        <w:rPr>
          <w:rFonts w:ascii="Century" w:hAnsi="Century" w:cs="FrankRuehl" w:hint="eastAsia"/>
          <w:spacing w:val="10"/>
          <w:szCs w:val="28"/>
          <w:rtl/>
        </w:rPr>
        <w:t>אין</w:t>
      </w:r>
      <w:r w:rsidRPr="00372962">
        <w:rPr>
          <w:rFonts w:ascii="Century" w:hAnsi="Century" w:cs="FrankRuehl"/>
          <w:spacing w:val="10"/>
          <w:szCs w:val="28"/>
          <w:rtl/>
        </w:rPr>
        <w:t xml:space="preserve"> </w:t>
      </w:r>
      <w:r w:rsidRPr="00372962">
        <w:rPr>
          <w:rFonts w:ascii="Century" w:hAnsi="Century" w:cs="FrankRuehl" w:hint="eastAsia"/>
          <w:spacing w:val="10"/>
          <w:szCs w:val="28"/>
          <w:rtl/>
        </w:rPr>
        <w:t>לכחד</w:t>
      </w:r>
      <w:r w:rsidRPr="00372962">
        <w:rPr>
          <w:rFonts w:ascii="Century" w:hAnsi="Century" w:cs="FrankRuehl"/>
          <w:spacing w:val="10"/>
          <w:szCs w:val="28"/>
          <w:rtl/>
        </w:rPr>
        <w:t xml:space="preserve"> </w:t>
      </w:r>
      <w:r w:rsidRPr="00372962">
        <w:rPr>
          <w:rFonts w:ascii="Century" w:hAnsi="Century" w:cs="FrankRuehl" w:hint="eastAsia"/>
          <w:spacing w:val="10"/>
          <w:szCs w:val="28"/>
          <w:rtl/>
        </w:rPr>
        <w:t>כי</w:t>
      </w:r>
      <w:r w:rsidRPr="00372962">
        <w:rPr>
          <w:rFonts w:ascii="Century" w:hAnsi="Century" w:cs="FrankRuehl"/>
          <w:spacing w:val="10"/>
          <w:szCs w:val="28"/>
          <w:rtl/>
        </w:rPr>
        <w:t xml:space="preserve"> </w:t>
      </w:r>
      <w:r w:rsidRPr="00372962">
        <w:rPr>
          <w:rFonts w:ascii="Century" w:hAnsi="Century" w:cs="FrankRuehl" w:hint="eastAsia"/>
          <w:spacing w:val="10"/>
          <w:szCs w:val="28"/>
          <w:rtl/>
        </w:rPr>
        <w:t>מהיבטה</w:t>
      </w:r>
      <w:r w:rsidRPr="00372962">
        <w:rPr>
          <w:rFonts w:ascii="Century" w:hAnsi="Century" w:cs="FrankRuehl"/>
          <w:spacing w:val="10"/>
          <w:szCs w:val="28"/>
          <w:rtl/>
        </w:rPr>
        <w:t xml:space="preserve"> </w:t>
      </w:r>
      <w:r w:rsidRPr="00372962">
        <w:rPr>
          <w:rFonts w:ascii="Century" w:hAnsi="Century" w:cs="FrankRuehl" w:hint="eastAsia"/>
          <w:spacing w:val="10"/>
          <w:szCs w:val="28"/>
          <w:rtl/>
        </w:rPr>
        <w:t>של</w:t>
      </w:r>
      <w:r w:rsidRPr="00372962">
        <w:rPr>
          <w:rFonts w:ascii="Century" w:hAnsi="Century" w:cs="FrankRuehl"/>
          <w:spacing w:val="10"/>
          <w:szCs w:val="28"/>
          <w:rtl/>
        </w:rPr>
        <w:t xml:space="preserve"> </w:t>
      </w:r>
      <w:r w:rsidRPr="00372962">
        <w:rPr>
          <w:rFonts w:ascii="Century" w:hAnsi="Century" w:cs="FrankRuehl" w:hint="eastAsia"/>
          <w:spacing w:val="10"/>
          <w:szCs w:val="28"/>
          <w:rtl/>
        </w:rPr>
        <w:t>דרישת</w:t>
      </w:r>
      <w:r w:rsidRPr="00372962">
        <w:rPr>
          <w:rFonts w:ascii="Century" w:hAnsi="Century" w:cs="FrankRuehl"/>
          <w:spacing w:val="10"/>
          <w:szCs w:val="28"/>
          <w:rtl/>
        </w:rPr>
        <w:t xml:space="preserve"> </w:t>
      </w:r>
      <w:r w:rsidRPr="00372962">
        <w:rPr>
          <w:rFonts w:ascii="Century" w:hAnsi="Century" w:cs="FrankRuehl" w:hint="eastAsia"/>
          <w:spacing w:val="10"/>
          <w:szCs w:val="28"/>
          <w:rtl/>
        </w:rPr>
        <w:t>תום</w:t>
      </w:r>
      <w:r w:rsidRPr="00372962">
        <w:rPr>
          <w:rFonts w:ascii="Century" w:hAnsi="Century" w:cs="FrankRuehl"/>
          <w:spacing w:val="10"/>
          <w:szCs w:val="28"/>
          <w:rtl/>
        </w:rPr>
        <w:t xml:space="preserve"> </w:t>
      </w:r>
      <w:r w:rsidRPr="00372962">
        <w:rPr>
          <w:rFonts w:ascii="Century" w:hAnsi="Century" w:cs="FrankRuehl" w:hint="eastAsia"/>
          <w:spacing w:val="10"/>
          <w:szCs w:val="28"/>
          <w:rtl/>
        </w:rPr>
        <w:t>הלב</w:t>
      </w:r>
      <w:r w:rsidRPr="00372962">
        <w:rPr>
          <w:rFonts w:ascii="Century" w:hAnsi="Century" w:cs="FrankRuehl"/>
          <w:spacing w:val="10"/>
          <w:szCs w:val="28"/>
          <w:rtl/>
        </w:rPr>
        <w:t xml:space="preserve">, </w:t>
      </w:r>
      <w:r w:rsidRPr="00372962">
        <w:rPr>
          <w:rFonts w:ascii="Century" w:hAnsi="Century" w:cs="FrankRuehl" w:hint="eastAsia"/>
          <w:spacing w:val="10"/>
          <w:szCs w:val="28"/>
          <w:rtl/>
        </w:rPr>
        <w:t>השתלשלות</w:t>
      </w:r>
      <w:r w:rsidRPr="00372962">
        <w:rPr>
          <w:rFonts w:ascii="Century" w:hAnsi="Century" w:cs="FrankRuehl"/>
          <w:spacing w:val="10"/>
          <w:szCs w:val="28"/>
          <w:rtl/>
        </w:rPr>
        <w:t xml:space="preserve"> </w:t>
      </w:r>
      <w:r w:rsidRPr="00372962">
        <w:rPr>
          <w:rFonts w:ascii="Century" w:hAnsi="Century" w:cs="FrankRuehl" w:hint="eastAsia"/>
          <w:spacing w:val="10"/>
          <w:szCs w:val="28"/>
          <w:rtl/>
        </w:rPr>
        <w:t>האירועים</w:t>
      </w:r>
      <w:r w:rsidRPr="00372962">
        <w:rPr>
          <w:rFonts w:ascii="Century" w:hAnsi="Century" w:cs="FrankRuehl"/>
          <w:spacing w:val="10"/>
          <w:szCs w:val="28"/>
          <w:rtl/>
        </w:rPr>
        <w:t xml:space="preserve"> </w:t>
      </w:r>
      <w:r w:rsidRPr="00372962">
        <w:rPr>
          <w:rFonts w:ascii="Century" w:hAnsi="Century" w:cs="FrankRuehl" w:hint="eastAsia"/>
          <w:spacing w:val="10"/>
          <w:szCs w:val="28"/>
          <w:rtl/>
        </w:rPr>
        <w:t>במקרה</w:t>
      </w:r>
      <w:r w:rsidRPr="00372962">
        <w:rPr>
          <w:rFonts w:ascii="Century" w:hAnsi="Century" w:cs="FrankRuehl"/>
          <w:spacing w:val="10"/>
          <w:szCs w:val="28"/>
          <w:rtl/>
        </w:rPr>
        <w:t xml:space="preserve"> </w:t>
      </w:r>
      <w:r w:rsidRPr="00372962">
        <w:rPr>
          <w:rFonts w:ascii="Century" w:hAnsi="Century" w:cs="FrankRuehl" w:hint="eastAsia"/>
          <w:spacing w:val="10"/>
          <w:szCs w:val="28"/>
          <w:rtl/>
        </w:rPr>
        <w:t>דנן</w:t>
      </w:r>
      <w:r w:rsidRPr="00372962">
        <w:rPr>
          <w:rFonts w:ascii="Century" w:hAnsi="Century" w:cs="FrankRuehl"/>
          <w:spacing w:val="10"/>
          <w:szCs w:val="28"/>
          <w:rtl/>
        </w:rPr>
        <w:t xml:space="preserve"> </w:t>
      </w:r>
      <w:r w:rsidRPr="00372962">
        <w:rPr>
          <w:rFonts w:ascii="Century" w:hAnsi="Century" w:cs="FrankRuehl" w:hint="eastAsia"/>
          <w:spacing w:val="10"/>
          <w:szCs w:val="28"/>
          <w:rtl/>
        </w:rPr>
        <w:t>מעלה</w:t>
      </w:r>
      <w:r w:rsidRPr="00372962">
        <w:rPr>
          <w:rFonts w:ascii="Century" w:hAnsi="Century" w:cs="FrankRuehl"/>
          <w:spacing w:val="10"/>
          <w:szCs w:val="28"/>
          <w:rtl/>
        </w:rPr>
        <w:t xml:space="preserve"> </w:t>
      </w:r>
      <w:r w:rsidRPr="00372962">
        <w:rPr>
          <w:rFonts w:ascii="Century" w:hAnsi="Century" w:cs="FrankRuehl" w:hint="eastAsia"/>
          <w:spacing w:val="10"/>
          <w:szCs w:val="28"/>
          <w:rtl/>
        </w:rPr>
        <w:t>תהיות</w:t>
      </w:r>
      <w:r w:rsidRPr="00372962">
        <w:rPr>
          <w:rFonts w:ascii="Century" w:hAnsi="Century" w:cs="FrankRuehl"/>
          <w:spacing w:val="10"/>
          <w:szCs w:val="28"/>
          <w:rtl/>
        </w:rPr>
        <w:t xml:space="preserve"> </w:t>
      </w:r>
      <w:r w:rsidRPr="00372962">
        <w:rPr>
          <w:rFonts w:ascii="Century" w:hAnsi="Century" w:cs="FrankRuehl" w:hint="eastAsia"/>
          <w:spacing w:val="10"/>
          <w:szCs w:val="28"/>
          <w:rtl/>
        </w:rPr>
        <w:t>לא</w:t>
      </w:r>
      <w:r w:rsidRPr="00372962">
        <w:rPr>
          <w:rFonts w:ascii="Century" w:hAnsi="Century" w:cs="FrankRuehl"/>
          <w:spacing w:val="10"/>
          <w:szCs w:val="28"/>
          <w:rtl/>
        </w:rPr>
        <w:t xml:space="preserve"> </w:t>
      </w:r>
      <w:r w:rsidRPr="00372962">
        <w:rPr>
          <w:rFonts w:ascii="Century" w:hAnsi="Century" w:cs="FrankRuehl" w:hint="eastAsia"/>
          <w:spacing w:val="10"/>
          <w:szCs w:val="28"/>
          <w:rtl/>
        </w:rPr>
        <w:t>פשוטות</w:t>
      </w:r>
      <w:r w:rsidRPr="00372962">
        <w:rPr>
          <w:rFonts w:ascii="Century" w:hAnsi="Century" w:cs="FrankRuehl"/>
          <w:spacing w:val="10"/>
          <w:szCs w:val="28"/>
          <w:rtl/>
        </w:rPr>
        <w:t xml:space="preserve"> </w:t>
      </w:r>
      <w:r w:rsidRPr="00372962">
        <w:rPr>
          <w:rFonts w:ascii="Century" w:hAnsi="Century" w:cs="FrankRuehl" w:hint="eastAsia"/>
          <w:spacing w:val="10"/>
          <w:szCs w:val="28"/>
          <w:rtl/>
        </w:rPr>
        <w:t>ביחס</w:t>
      </w:r>
      <w:r w:rsidRPr="00372962">
        <w:rPr>
          <w:rFonts w:ascii="Century" w:hAnsi="Century" w:cs="FrankRuehl" w:hint="cs"/>
          <w:spacing w:val="10"/>
          <w:szCs w:val="28"/>
          <w:rtl/>
        </w:rPr>
        <w:t xml:space="preserve"> </w:t>
      </w:r>
      <w:r w:rsidRPr="00372962">
        <w:rPr>
          <w:rFonts w:ascii="Century" w:hAnsi="Century" w:cs="FrankRuehl" w:hint="eastAsia"/>
          <w:spacing w:val="10"/>
          <w:szCs w:val="28"/>
          <w:rtl/>
        </w:rPr>
        <w:t>להתנהלותו</w:t>
      </w:r>
      <w:r w:rsidRPr="00372962">
        <w:rPr>
          <w:rFonts w:ascii="Century" w:hAnsi="Century" w:cs="FrankRuehl"/>
          <w:spacing w:val="10"/>
          <w:szCs w:val="28"/>
          <w:rtl/>
        </w:rPr>
        <w:t xml:space="preserve"> </w:t>
      </w:r>
      <w:r w:rsidRPr="00372962">
        <w:rPr>
          <w:rFonts w:ascii="Century" w:hAnsi="Century" w:cs="FrankRuehl" w:hint="eastAsia"/>
          <w:spacing w:val="10"/>
          <w:szCs w:val="28"/>
          <w:rtl/>
        </w:rPr>
        <w:t>של</w:t>
      </w:r>
      <w:r w:rsidRPr="00372962">
        <w:rPr>
          <w:rFonts w:ascii="Century" w:hAnsi="Century" w:cs="FrankRuehl"/>
          <w:spacing w:val="10"/>
          <w:szCs w:val="28"/>
          <w:rtl/>
        </w:rPr>
        <w:t xml:space="preserve"> </w:t>
      </w:r>
      <w:r w:rsidRPr="00372962">
        <w:rPr>
          <w:rFonts w:ascii="Century" w:hAnsi="Century" w:cs="FrankRuehl" w:hint="eastAsia"/>
          <w:spacing w:val="10"/>
          <w:szCs w:val="28"/>
          <w:rtl/>
        </w:rPr>
        <w:t>הממונה</w:t>
      </w:r>
      <w:r w:rsidRPr="00372962">
        <w:rPr>
          <w:rFonts w:ascii="Century" w:hAnsi="Century" w:cs="FrankRuehl"/>
          <w:spacing w:val="10"/>
          <w:szCs w:val="28"/>
          <w:rtl/>
        </w:rPr>
        <w:t xml:space="preserve"> </w:t>
      </w:r>
      <w:r w:rsidRPr="00372962">
        <w:rPr>
          <w:rFonts w:ascii="Century" w:hAnsi="Century" w:cs="FrankRuehl" w:hint="eastAsia"/>
          <w:spacing w:val="10"/>
          <w:szCs w:val="28"/>
          <w:rtl/>
        </w:rPr>
        <w:t>על</w:t>
      </w:r>
      <w:r w:rsidRPr="00372962">
        <w:rPr>
          <w:rFonts w:ascii="Century" w:hAnsi="Century" w:cs="FrankRuehl"/>
          <w:spacing w:val="10"/>
          <w:szCs w:val="28"/>
          <w:rtl/>
        </w:rPr>
        <w:t xml:space="preserve"> </w:t>
      </w:r>
      <w:r w:rsidRPr="00372962">
        <w:rPr>
          <w:rFonts w:ascii="Century" w:hAnsi="Century" w:cs="FrankRuehl" w:hint="eastAsia"/>
          <w:spacing w:val="10"/>
          <w:szCs w:val="28"/>
          <w:rtl/>
        </w:rPr>
        <w:t>הרכוש</w:t>
      </w:r>
      <w:r w:rsidRPr="00372962">
        <w:rPr>
          <w:rFonts w:ascii="Century" w:hAnsi="Century" w:cs="FrankRuehl"/>
          <w:spacing w:val="10"/>
          <w:szCs w:val="28"/>
          <w:rtl/>
        </w:rPr>
        <w:t xml:space="preserve"> </w:t>
      </w:r>
      <w:r w:rsidRPr="00372962">
        <w:rPr>
          <w:rFonts w:ascii="Century" w:hAnsi="Century" w:cs="FrankRuehl" w:hint="eastAsia"/>
          <w:spacing w:val="10"/>
          <w:szCs w:val="28"/>
          <w:rtl/>
        </w:rPr>
        <w:t>הממשלתי</w:t>
      </w:r>
      <w:r w:rsidRPr="00372962">
        <w:rPr>
          <w:rFonts w:ascii="Century" w:hAnsi="Century" w:cs="FrankRuehl"/>
          <w:spacing w:val="10"/>
          <w:szCs w:val="28"/>
          <w:rtl/>
        </w:rPr>
        <w:t xml:space="preserve">, </w:t>
      </w:r>
      <w:r w:rsidRPr="00372962">
        <w:rPr>
          <w:rFonts w:ascii="Century" w:hAnsi="Century" w:cs="FrankRuehl" w:hint="cs"/>
          <w:spacing w:val="10"/>
          <w:szCs w:val="28"/>
          <w:rtl/>
        </w:rPr>
        <w:t xml:space="preserve">ואולי עוד יותר מכך </w:t>
      </w:r>
      <w:r w:rsidRPr="00372962">
        <w:rPr>
          <w:rFonts w:ascii="Century" w:hAnsi="Century" w:cs="FrankRuehl" w:hint="eastAsia"/>
          <w:spacing w:val="10"/>
          <w:szCs w:val="28"/>
          <w:rtl/>
        </w:rPr>
        <w:t>ביחס</w:t>
      </w:r>
      <w:r w:rsidRPr="00372962">
        <w:rPr>
          <w:rFonts w:ascii="Century" w:hAnsi="Century" w:cs="FrankRuehl"/>
          <w:spacing w:val="10"/>
          <w:szCs w:val="28"/>
          <w:rtl/>
        </w:rPr>
        <w:t xml:space="preserve"> </w:t>
      </w:r>
      <w:r w:rsidRPr="00372962">
        <w:rPr>
          <w:rFonts w:ascii="Century" w:hAnsi="Century" w:cs="FrankRuehl" w:hint="eastAsia"/>
          <w:spacing w:val="10"/>
          <w:szCs w:val="28"/>
          <w:rtl/>
        </w:rPr>
        <w:t>להתנהלותה</w:t>
      </w:r>
      <w:r w:rsidRPr="00372962">
        <w:rPr>
          <w:rFonts w:ascii="Century" w:hAnsi="Century" w:cs="FrankRuehl"/>
          <w:spacing w:val="10"/>
          <w:szCs w:val="28"/>
          <w:rtl/>
        </w:rPr>
        <w:t xml:space="preserve"> </w:t>
      </w:r>
      <w:r w:rsidRPr="00372962">
        <w:rPr>
          <w:rFonts w:ascii="Century" w:hAnsi="Century" w:cs="FrankRuehl" w:hint="eastAsia"/>
          <w:spacing w:val="10"/>
          <w:szCs w:val="28"/>
          <w:rtl/>
        </w:rPr>
        <w:t>של</w:t>
      </w:r>
      <w:r w:rsidRPr="00372962">
        <w:rPr>
          <w:rFonts w:ascii="Century" w:hAnsi="Century" w:cs="FrankRuehl"/>
          <w:spacing w:val="10"/>
          <w:szCs w:val="28"/>
          <w:rtl/>
        </w:rPr>
        <w:t xml:space="preserve"> </w:t>
      </w:r>
      <w:r w:rsidRPr="00372962">
        <w:rPr>
          <w:rFonts w:ascii="Century" w:hAnsi="Century" w:cs="FrankRuehl" w:hint="eastAsia"/>
          <w:spacing w:val="10"/>
          <w:szCs w:val="28"/>
          <w:rtl/>
        </w:rPr>
        <w:t>ההסתדרות</w:t>
      </w:r>
      <w:r w:rsidRPr="00372962">
        <w:rPr>
          <w:rFonts w:ascii="Century" w:hAnsi="Century" w:cs="FrankRuehl"/>
          <w:spacing w:val="10"/>
          <w:szCs w:val="28"/>
          <w:rtl/>
        </w:rPr>
        <w:t xml:space="preserve"> </w:t>
      </w:r>
      <w:r w:rsidRPr="00372962">
        <w:rPr>
          <w:rFonts w:ascii="Century" w:hAnsi="Century" w:cs="FrankRuehl" w:hint="eastAsia"/>
          <w:spacing w:val="10"/>
          <w:szCs w:val="28"/>
          <w:rtl/>
        </w:rPr>
        <w:t>הציונית</w:t>
      </w:r>
      <w:r w:rsidRPr="00372962">
        <w:rPr>
          <w:rFonts w:ascii="Century" w:hAnsi="Century" w:cs="FrankRuehl" w:hint="cs"/>
          <w:spacing w:val="10"/>
          <w:szCs w:val="28"/>
          <w:rtl/>
        </w:rPr>
        <w:t xml:space="preserve">. לצד זאת, ואף שקיים חוסר בהירות ביחס לחלק מהאירועים שליוו את בחירת מיקומו הנוכחי של היישוב, </w:t>
      </w:r>
      <w:r w:rsidRPr="00372962">
        <w:rPr>
          <w:rFonts w:ascii="Century" w:hAnsi="Century" w:cs="FrankRuehl" w:hint="eastAsia"/>
          <w:spacing w:val="10"/>
          <w:szCs w:val="28"/>
          <w:rtl/>
        </w:rPr>
        <w:t>אני</w:t>
      </w:r>
      <w:r w:rsidRPr="00372962">
        <w:rPr>
          <w:rFonts w:ascii="Century" w:hAnsi="Century" w:cs="FrankRuehl"/>
          <w:spacing w:val="10"/>
          <w:szCs w:val="28"/>
          <w:rtl/>
        </w:rPr>
        <w:t xml:space="preserve"> </w:t>
      </w:r>
      <w:r w:rsidRPr="00372962">
        <w:rPr>
          <w:rFonts w:ascii="Century" w:hAnsi="Century" w:cs="FrankRuehl" w:hint="eastAsia"/>
          <w:spacing w:val="10"/>
          <w:szCs w:val="28"/>
          <w:rtl/>
        </w:rPr>
        <w:t>סבורה</w:t>
      </w:r>
      <w:r w:rsidRPr="00372962">
        <w:rPr>
          <w:rFonts w:ascii="Century" w:hAnsi="Century" w:cs="FrankRuehl"/>
          <w:spacing w:val="10"/>
          <w:szCs w:val="28"/>
          <w:rtl/>
        </w:rPr>
        <w:t xml:space="preserve"> </w:t>
      </w:r>
      <w:r w:rsidRPr="00372962">
        <w:rPr>
          <w:rFonts w:ascii="Century" w:hAnsi="Century" w:cs="FrankRuehl" w:hint="eastAsia"/>
          <w:spacing w:val="10"/>
          <w:szCs w:val="28"/>
          <w:rtl/>
        </w:rPr>
        <w:t>כי</w:t>
      </w:r>
      <w:r w:rsidRPr="00372962">
        <w:rPr>
          <w:rFonts w:ascii="Century" w:hAnsi="Century" w:cs="FrankRuehl"/>
          <w:spacing w:val="10"/>
          <w:szCs w:val="28"/>
          <w:rtl/>
        </w:rPr>
        <w:t xml:space="preserve"> </w:t>
      </w:r>
      <w:r w:rsidRPr="00372962">
        <w:rPr>
          <w:rFonts w:ascii="Century" w:hAnsi="Century" w:cs="FrankRuehl" w:hint="eastAsia"/>
          <w:spacing w:val="10"/>
          <w:szCs w:val="28"/>
          <w:rtl/>
        </w:rPr>
        <w:t>מכלל</w:t>
      </w:r>
      <w:r w:rsidRPr="00372962">
        <w:rPr>
          <w:rFonts w:ascii="Century" w:hAnsi="Century" w:cs="FrankRuehl"/>
          <w:spacing w:val="10"/>
          <w:szCs w:val="28"/>
          <w:rtl/>
        </w:rPr>
        <w:t xml:space="preserve"> </w:t>
      </w:r>
      <w:r w:rsidRPr="00372962">
        <w:rPr>
          <w:rFonts w:ascii="Century" w:hAnsi="Century" w:cs="FrankRuehl" w:hint="eastAsia"/>
          <w:spacing w:val="10"/>
          <w:szCs w:val="28"/>
          <w:rtl/>
        </w:rPr>
        <w:t>החומר</w:t>
      </w:r>
      <w:r w:rsidRPr="00372962">
        <w:rPr>
          <w:rFonts w:ascii="Century" w:hAnsi="Century" w:cs="FrankRuehl"/>
          <w:spacing w:val="10"/>
          <w:szCs w:val="28"/>
          <w:rtl/>
        </w:rPr>
        <w:t xml:space="preserve"> </w:t>
      </w:r>
      <w:r w:rsidRPr="00372962">
        <w:rPr>
          <w:rFonts w:ascii="Century" w:hAnsi="Century" w:cs="FrankRuehl" w:hint="eastAsia"/>
          <w:spacing w:val="10"/>
          <w:szCs w:val="28"/>
          <w:rtl/>
        </w:rPr>
        <w:t>שהוצג</w:t>
      </w:r>
      <w:r w:rsidRPr="00372962">
        <w:rPr>
          <w:rFonts w:ascii="Century" w:hAnsi="Century" w:cs="FrankRuehl"/>
          <w:spacing w:val="10"/>
          <w:szCs w:val="28"/>
          <w:rtl/>
        </w:rPr>
        <w:t xml:space="preserve"> </w:t>
      </w:r>
      <w:r w:rsidRPr="00372962">
        <w:rPr>
          <w:rFonts w:ascii="Century" w:hAnsi="Century" w:cs="FrankRuehl" w:hint="eastAsia"/>
          <w:spacing w:val="10"/>
          <w:szCs w:val="28"/>
          <w:rtl/>
        </w:rPr>
        <w:t>לאורך</w:t>
      </w:r>
      <w:r w:rsidRPr="00372962">
        <w:rPr>
          <w:rFonts w:ascii="Century" w:hAnsi="Century" w:cs="FrankRuehl"/>
          <w:spacing w:val="10"/>
          <w:szCs w:val="28"/>
          <w:rtl/>
        </w:rPr>
        <w:t xml:space="preserve"> </w:t>
      </w:r>
      <w:r w:rsidRPr="00372962">
        <w:rPr>
          <w:rFonts w:ascii="Century" w:hAnsi="Century" w:cs="FrankRuehl" w:hint="eastAsia"/>
          <w:spacing w:val="10"/>
          <w:szCs w:val="28"/>
          <w:rtl/>
        </w:rPr>
        <w:t>ההליך</w:t>
      </w:r>
      <w:r w:rsidRPr="00372962">
        <w:rPr>
          <w:rFonts w:ascii="Century" w:hAnsi="Century" w:cs="FrankRuehl"/>
          <w:spacing w:val="10"/>
          <w:szCs w:val="28"/>
          <w:rtl/>
        </w:rPr>
        <w:t xml:space="preserve">, </w:t>
      </w:r>
      <w:r w:rsidRPr="00372962">
        <w:rPr>
          <w:rFonts w:ascii="Century" w:hAnsi="Century" w:cs="FrankRuehl" w:hint="eastAsia"/>
          <w:spacing w:val="10"/>
          <w:szCs w:val="28"/>
          <w:rtl/>
        </w:rPr>
        <w:t>ובכלל</w:t>
      </w:r>
      <w:r w:rsidRPr="00372962">
        <w:rPr>
          <w:rFonts w:ascii="Century" w:hAnsi="Century" w:cs="FrankRuehl"/>
          <w:spacing w:val="10"/>
          <w:szCs w:val="28"/>
          <w:rtl/>
        </w:rPr>
        <w:t xml:space="preserve"> </w:t>
      </w:r>
      <w:r w:rsidRPr="00372962">
        <w:rPr>
          <w:rFonts w:ascii="Century" w:hAnsi="Century" w:cs="FrankRuehl" w:hint="eastAsia"/>
          <w:spacing w:val="10"/>
          <w:szCs w:val="28"/>
          <w:rtl/>
        </w:rPr>
        <w:t>זה</w:t>
      </w:r>
      <w:r w:rsidRPr="00372962">
        <w:rPr>
          <w:rFonts w:ascii="Century" w:hAnsi="Century" w:cs="FrankRuehl"/>
          <w:spacing w:val="10"/>
          <w:szCs w:val="28"/>
          <w:rtl/>
        </w:rPr>
        <w:t xml:space="preserve"> </w:t>
      </w:r>
      <w:r w:rsidRPr="00372962">
        <w:rPr>
          <w:rFonts w:ascii="Century" w:hAnsi="Century" w:cs="FrankRuehl" w:hint="eastAsia"/>
          <w:spacing w:val="10"/>
          <w:szCs w:val="28"/>
          <w:rtl/>
        </w:rPr>
        <w:t>העדויות</w:t>
      </w:r>
      <w:r w:rsidRPr="00372962">
        <w:rPr>
          <w:rFonts w:ascii="Century" w:hAnsi="Century" w:cs="FrankRuehl"/>
          <w:spacing w:val="10"/>
          <w:szCs w:val="28"/>
          <w:rtl/>
        </w:rPr>
        <w:t xml:space="preserve"> </w:t>
      </w:r>
      <w:r w:rsidRPr="00372962">
        <w:rPr>
          <w:rFonts w:ascii="Century" w:hAnsi="Century" w:cs="FrankRuehl" w:hint="eastAsia"/>
          <w:spacing w:val="10"/>
          <w:szCs w:val="28"/>
          <w:rtl/>
        </w:rPr>
        <w:t>השונות</w:t>
      </w:r>
      <w:r w:rsidRPr="00372962">
        <w:rPr>
          <w:rFonts w:ascii="Century" w:hAnsi="Century" w:cs="FrankRuehl"/>
          <w:spacing w:val="10"/>
          <w:szCs w:val="28"/>
          <w:rtl/>
        </w:rPr>
        <w:t xml:space="preserve"> </w:t>
      </w:r>
      <w:r w:rsidRPr="00372962">
        <w:rPr>
          <w:rFonts w:ascii="Century" w:hAnsi="Century" w:cs="FrankRuehl" w:hint="eastAsia"/>
          <w:spacing w:val="10"/>
          <w:szCs w:val="28"/>
          <w:rtl/>
        </w:rPr>
        <w:t>שנשמעו</w:t>
      </w:r>
      <w:r w:rsidRPr="00372962">
        <w:rPr>
          <w:rFonts w:ascii="Century" w:hAnsi="Century" w:cs="FrankRuehl"/>
          <w:spacing w:val="10"/>
          <w:szCs w:val="28"/>
          <w:rtl/>
        </w:rPr>
        <w:t xml:space="preserve"> </w:t>
      </w:r>
      <w:r w:rsidRPr="00372962">
        <w:rPr>
          <w:rFonts w:ascii="Century" w:hAnsi="Century" w:cs="FrankRuehl" w:hint="eastAsia"/>
          <w:spacing w:val="10"/>
          <w:szCs w:val="28"/>
          <w:rtl/>
        </w:rPr>
        <w:t>בבית</w:t>
      </w:r>
      <w:r w:rsidRPr="00372962">
        <w:rPr>
          <w:rFonts w:ascii="Century" w:hAnsi="Century" w:cs="FrankRuehl"/>
          <w:spacing w:val="10"/>
          <w:szCs w:val="28"/>
          <w:rtl/>
        </w:rPr>
        <w:t xml:space="preserve"> </w:t>
      </w:r>
      <w:r w:rsidRPr="00372962">
        <w:rPr>
          <w:rFonts w:ascii="Century" w:hAnsi="Century" w:cs="FrankRuehl" w:hint="eastAsia"/>
          <w:spacing w:val="10"/>
          <w:szCs w:val="28"/>
          <w:rtl/>
        </w:rPr>
        <w:t>המשפט</w:t>
      </w:r>
      <w:r w:rsidRPr="00372962">
        <w:rPr>
          <w:rFonts w:ascii="Century" w:hAnsi="Century" w:cs="FrankRuehl"/>
          <w:spacing w:val="10"/>
          <w:szCs w:val="28"/>
          <w:rtl/>
        </w:rPr>
        <w:t xml:space="preserve"> </w:t>
      </w:r>
      <w:r w:rsidRPr="00372962">
        <w:rPr>
          <w:rFonts w:ascii="Century" w:hAnsi="Century" w:cs="FrankRuehl" w:hint="eastAsia"/>
          <w:spacing w:val="10"/>
          <w:szCs w:val="28"/>
          <w:rtl/>
        </w:rPr>
        <w:t>המחוזי</w:t>
      </w:r>
      <w:r w:rsidRPr="00372962">
        <w:rPr>
          <w:rFonts w:ascii="Century" w:hAnsi="Century" w:cs="FrankRuehl"/>
          <w:spacing w:val="10"/>
          <w:szCs w:val="28"/>
          <w:rtl/>
        </w:rPr>
        <w:t xml:space="preserve">, </w:t>
      </w:r>
      <w:r w:rsidRPr="00372962">
        <w:rPr>
          <w:rFonts w:ascii="Century" w:hAnsi="Century" w:cs="FrankRuehl" w:hint="eastAsia"/>
          <w:spacing w:val="10"/>
          <w:szCs w:val="28"/>
          <w:rtl/>
        </w:rPr>
        <w:t>עולה</w:t>
      </w:r>
      <w:r w:rsidRPr="00372962">
        <w:rPr>
          <w:rFonts w:ascii="Century" w:hAnsi="Century" w:cs="FrankRuehl"/>
          <w:spacing w:val="10"/>
          <w:szCs w:val="28"/>
          <w:rtl/>
        </w:rPr>
        <w:t xml:space="preserve"> </w:t>
      </w:r>
      <w:r w:rsidRPr="00372962">
        <w:rPr>
          <w:rFonts w:ascii="Century" w:hAnsi="Century" w:cs="FrankRuehl" w:hint="eastAsia"/>
          <w:spacing w:val="10"/>
          <w:szCs w:val="28"/>
          <w:rtl/>
        </w:rPr>
        <w:t>כי</w:t>
      </w:r>
      <w:r w:rsidRPr="00372962">
        <w:rPr>
          <w:rFonts w:ascii="Century" w:hAnsi="Century" w:cs="FrankRuehl"/>
          <w:spacing w:val="10"/>
          <w:szCs w:val="28"/>
          <w:rtl/>
        </w:rPr>
        <w:t xml:space="preserve"> </w:t>
      </w:r>
      <w:r w:rsidRPr="00372962">
        <w:rPr>
          <w:rFonts w:ascii="Century" w:hAnsi="Century" w:cs="FrankRuehl" w:hint="eastAsia"/>
          <w:spacing w:val="10"/>
          <w:szCs w:val="28"/>
          <w:rtl/>
        </w:rPr>
        <w:t>אין</w:t>
      </w:r>
      <w:r w:rsidRPr="00372962">
        <w:rPr>
          <w:rFonts w:ascii="Century" w:hAnsi="Century" w:cs="FrankRuehl"/>
          <w:spacing w:val="10"/>
          <w:szCs w:val="28"/>
          <w:rtl/>
        </w:rPr>
        <w:t xml:space="preserve"> </w:t>
      </w:r>
      <w:r w:rsidRPr="00372962">
        <w:rPr>
          <w:rFonts w:ascii="Century" w:hAnsi="Century" w:cs="FrankRuehl" w:hint="eastAsia"/>
          <w:spacing w:val="10"/>
          <w:szCs w:val="28"/>
          <w:rtl/>
        </w:rPr>
        <w:t>מדובר</w:t>
      </w:r>
      <w:r w:rsidRPr="00372962">
        <w:rPr>
          <w:rFonts w:ascii="Century" w:hAnsi="Century" w:cs="FrankRuehl"/>
          <w:spacing w:val="10"/>
          <w:szCs w:val="28"/>
          <w:rtl/>
        </w:rPr>
        <w:t xml:space="preserve"> </w:t>
      </w:r>
      <w:r w:rsidRPr="00372962">
        <w:rPr>
          <w:rFonts w:ascii="Century" w:hAnsi="Century" w:cs="FrankRuehl" w:hint="eastAsia"/>
          <w:spacing w:val="10"/>
          <w:szCs w:val="28"/>
          <w:rtl/>
        </w:rPr>
        <w:t>במקרה</w:t>
      </w:r>
      <w:r w:rsidRPr="00372962">
        <w:rPr>
          <w:rFonts w:ascii="Century" w:hAnsi="Century" w:cs="FrankRuehl"/>
          <w:spacing w:val="10"/>
          <w:szCs w:val="28"/>
          <w:rtl/>
        </w:rPr>
        <w:t xml:space="preserve"> </w:t>
      </w:r>
      <w:r w:rsidRPr="00372962">
        <w:rPr>
          <w:rFonts w:ascii="Century" w:hAnsi="Century" w:cs="FrankRuehl" w:hint="eastAsia"/>
          <w:spacing w:val="10"/>
          <w:szCs w:val="28"/>
          <w:rtl/>
        </w:rPr>
        <w:t>שבו</w:t>
      </w:r>
      <w:r w:rsidRPr="00372962">
        <w:rPr>
          <w:rFonts w:ascii="Century" w:hAnsi="Century" w:cs="FrankRuehl"/>
          <w:spacing w:val="10"/>
          <w:szCs w:val="28"/>
          <w:rtl/>
        </w:rPr>
        <w:t xml:space="preserve"> </w:t>
      </w:r>
      <w:r w:rsidRPr="00372962">
        <w:rPr>
          <w:rFonts w:ascii="Century" w:hAnsi="Century" w:cs="FrankRuehl" w:hint="eastAsia"/>
          <w:spacing w:val="10"/>
          <w:szCs w:val="28"/>
          <w:rtl/>
        </w:rPr>
        <w:t>נמנעו</w:t>
      </w:r>
      <w:r w:rsidRPr="00372962">
        <w:rPr>
          <w:rFonts w:ascii="Century" w:hAnsi="Century" w:cs="FrankRuehl"/>
          <w:spacing w:val="10"/>
          <w:szCs w:val="28"/>
          <w:rtl/>
        </w:rPr>
        <w:t xml:space="preserve"> </w:t>
      </w:r>
      <w:r w:rsidRPr="00372962">
        <w:rPr>
          <w:rFonts w:ascii="Century" w:hAnsi="Century" w:cs="FrankRuehl" w:hint="eastAsia"/>
          <w:spacing w:val="10"/>
          <w:szCs w:val="28"/>
          <w:rtl/>
        </w:rPr>
        <w:t>הגורמים</w:t>
      </w:r>
      <w:r w:rsidRPr="00372962">
        <w:rPr>
          <w:rFonts w:ascii="Century" w:hAnsi="Century" w:cs="FrankRuehl"/>
          <w:spacing w:val="10"/>
          <w:szCs w:val="28"/>
          <w:rtl/>
        </w:rPr>
        <w:t xml:space="preserve"> </w:t>
      </w:r>
      <w:r w:rsidRPr="00372962">
        <w:rPr>
          <w:rFonts w:ascii="Century" w:hAnsi="Century" w:cs="FrankRuehl" w:hint="eastAsia"/>
          <w:spacing w:val="10"/>
          <w:szCs w:val="28"/>
          <w:rtl/>
        </w:rPr>
        <w:t>הנוגעים</w:t>
      </w:r>
      <w:r w:rsidRPr="00372962">
        <w:rPr>
          <w:rFonts w:ascii="Century" w:hAnsi="Century" w:cs="FrankRuehl"/>
          <w:spacing w:val="10"/>
          <w:szCs w:val="28"/>
          <w:rtl/>
        </w:rPr>
        <w:t xml:space="preserve"> </w:t>
      </w:r>
      <w:r w:rsidRPr="00372962">
        <w:rPr>
          <w:rFonts w:ascii="Century" w:hAnsi="Century" w:cs="FrankRuehl" w:hint="eastAsia"/>
          <w:spacing w:val="10"/>
          <w:szCs w:val="28"/>
          <w:rtl/>
        </w:rPr>
        <w:t>בדבר</w:t>
      </w:r>
      <w:r w:rsidRPr="00372962">
        <w:rPr>
          <w:rFonts w:ascii="Century" w:hAnsi="Century" w:cs="FrankRuehl"/>
          <w:spacing w:val="10"/>
          <w:szCs w:val="28"/>
          <w:rtl/>
        </w:rPr>
        <w:t xml:space="preserve"> </w:t>
      </w:r>
      <w:r w:rsidRPr="00372962">
        <w:rPr>
          <w:rFonts w:ascii="Century" w:hAnsi="Century" w:cs="FrankRuehl" w:hint="eastAsia"/>
          <w:spacing w:val="10"/>
          <w:szCs w:val="28"/>
          <w:rtl/>
        </w:rPr>
        <w:t>מלנקוט</w:t>
      </w:r>
      <w:r w:rsidRPr="00372962">
        <w:rPr>
          <w:rFonts w:ascii="Century" w:hAnsi="Century" w:cs="FrankRuehl"/>
          <w:spacing w:val="10"/>
          <w:szCs w:val="28"/>
          <w:rtl/>
        </w:rPr>
        <w:t xml:space="preserve"> </w:t>
      </w:r>
      <w:r w:rsidRPr="00372962">
        <w:rPr>
          <w:rFonts w:ascii="Century" w:hAnsi="Century" w:cs="FrankRuehl" w:hint="eastAsia"/>
          <w:spacing w:val="10"/>
          <w:szCs w:val="28"/>
          <w:rtl/>
        </w:rPr>
        <w:t>כל</w:t>
      </w:r>
      <w:r w:rsidRPr="00372962">
        <w:rPr>
          <w:rFonts w:ascii="Century" w:hAnsi="Century" w:cs="FrankRuehl"/>
          <w:spacing w:val="10"/>
          <w:szCs w:val="28"/>
          <w:rtl/>
        </w:rPr>
        <w:t xml:space="preserve"> </w:t>
      </w:r>
      <w:r w:rsidRPr="00372962">
        <w:rPr>
          <w:rFonts w:ascii="Century" w:hAnsi="Century" w:cs="FrankRuehl" w:hint="eastAsia"/>
          <w:spacing w:val="10"/>
          <w:szCs w:val="28"/>
          <w:rtl/>
        </w:rPr>
        <w:t>פעולות</w:t>
      </w:r>
      <w:r w:rsidRPr="00372962">
        <w:rPr>
          <w:rFonts w:ascii="Century" w:hAnsi="Century" w:cs="FrankRuehl"/>
          <w:spacing w:val="10"/>
          <w:szCs w:val="28"/>
          <w:rtl/>
        </w:rPr>
        <w:t xml:space="preserve"> </w:t>
      </w:r>
      <w:r w:rsidRPr="00372962">
        <w:rPr>
          <w:rFonts w:ascii="Century" w:hAnsi="Century" w:cs="FrankRuehl" w:hint="eastAsia"/>
          <w:spacing w:val="10"/>
          <w:szCs w:val="28"/>
          <w:rtl/>
        </w:rPr>
        <w:t>בירור</w:t>
      </w:r>
      <w:r w:rsidRPr="00372962">
        <w:rPr>
          <w:rFonts w:ascii="Century" w:hAnsi="Century" w:cs="FrankRuehl"/>
          <w:spacing w:val="10"/>
          <w:szCs w:val="28"/>
          <w:rtl/>
        </w:rPr>
        <w:t xml:space="preserve"> </w:t>
      </w:r>
      <w:r w:rsidRPr="00372962">
        <w:rPr>
          <w:rFonts w:ascii="Century" w:hAnsi="Century" w:cs="FrankRuehl" w:hint="eastAsia"/>
          <w:spacing w:val="10"/>
          <w:szCs w:val="28"/>
          <w:rtl/>
        </w:rPr>
        <w:t>ובדיקה</w:t>
      </w:r>
      <w:r w:rsidRPr="00372962">
        <w:rPr>
          <w:rFonts w:ascii="Century" w:hAnsi="Century" w:cs="FrankRuehl"/>
          <w:spacing w:val="10"/>
          <w:szCs w:val="28"/>
          <w:rtl/>
        </w:rPr>
        <w:t xml:space="preserve"> </w:t>
      </w:r>
      <w:r w:rsidRPr="00372962">
        <w:rPr>
          <w:rFonts w:ascii="Century" w:hAnsi="Century" w:cs="FrankRuehl" w:hint="eastAsia"/>
          <w:spacing w:val="10"/>
          <w:szCs w:val="28"/>
          <w:rtl/>
        </w:rPr>
        <w:t>ביחס</w:t>
      </w:r>
      <w:r w:rsidRPr="00372962">
        <w:rPr>
          <w:rFonts w:ascii="Century" w:hAnsi="Century" w:cs="FrankRuehl"/>
          <w:spacing w:val="10"/>
          <w:szCs w:val="28"/>
          <w:rtl/>
        </w:rPr>
        <w:t xml:space="preserve"> </w:t>
      </w:r>
      <w:r w:rsidRPr="00372962">
        <w:rPr>
          <w:rFonts w:ascii="Century" w:hAnsi="Century" w:cs="FrankRuehl" w:hint="eastAsia"/>
          <w:spacing w:val="10"/>
          <w:szCs w:val="28"/>
          <w:rtl/>
        </w:rPr>
        <w:t>לסימני</w:t>
      </w:r>
      <w:r w:rsidRPr="00372962">
        <w:rPr>
          <w:rFonts w:ascii="Century" w:hAnsi="Century" w:cs="FrankRuehl"/>
          <w:spacing w:val="10"/>
          <w:szCs w:val="28"/>
          <w:rtl/>
        </w:rPr>
        <w:t xml:space="preserve"> </w:t>
      </w:r>
      <w:r w:rsidRPr="00372962">
        <w:rPr>
          <w:rFonts w:ascii="Century" w:hAnsi="Century" w:cs="FrankRuehl" w:hint="eastAsia"/>
          <w:spacing w:val="10"/>
          <w:szCs w:val="28"/>
          <w:rtl/>
        </w:rPr>
        <w:t>האזהרה</w:t>
      </w:r>
      <w:r w:rsidRPr="00372962">
        <w:rPr>
          <w:rFonts w:ascii="Century" w:hAnsi="Century" w:cs="FrankRuehl"/>
          <w:spacing w:val="10"/>
          <w:szCs w:val="28"/>
          <w:rtl/>
        </w:rPr>
        <w:t xml:space="preserve"> </w:t>
      </w:r>
      <w:r w:rsidRPr="00372962">
        <w:rPr>
          <w:rFonts w:ascii="Century" w:hAnsi="Century" w:cs="FrankRuehl" w:hint="eastAsia"/>
          <w:spacing w:val="10"/>
          <w:szCs w:val="28"/>
          <w:rtl/>
        </w:rPr>
        <w:t>שהתעוררו</w:t>
      </w:r>
      <w:r w:rsidRPr="00372962">
        <w:rPr>
          <w:rFonts w:ascii="Century" w:hAnsi="Century" w:cs="FrankRuehl"/>
          <w:spacing w:val="10"/>
          <w:szCs w:val="28"/>
          <w:rtl/>
        </w:rPr>
        <w:t xml:space="preserve"> </w:t>
      </w:r>
      <w:r w:rsidRPr="00372962">
        <w:rPr>
          <w:rFonts w:ascii="Century" w:hAnsi="Century" w:cs="FrankRuehl" w:hint="eastAsia"/>
          <w:spacing w:val="10"/>
          <w:szCs w:val="28"/>
          <w:rtl/>
        </w:rPr>
        <w:t>לאורך</w:t>
      </w:r>
      <w:r w:rsidRPr="00372962">
        <w:rPr>
          <w:rFonts w:ascii="Century" w:hAnsi="Century" w:cs="FrankRuehl"/>
          <w:spacing w:val="10"/>
          <w:szCs w:val="28"/>
          <w:rtl/>
        </w:rPr>
        <w:t xml:space="preserve"> </w:t>
      </w:r>
      <w:r w:rsidRPr="00372962">
        <w:rPr>
          <w:rFonts w:ascii="Century" w:hAnsi="Century" w:cs="FrankRuehl" w:hint="eastAsia"/>
          <w:spacing w:val="10"/>
          <w:szCs w:val="28"/>
          <w:rtl/>
        </w:rPr>
        <w:t>הדרך</w:t>
      </w:r>
      <w:r w:rsidRPr="00372962">
        <w:rPr>
          <w:rFonts w:ascii="Century" w:hAnsi="Century" w:cs="FrankRuehl" w:hint="cs"/>
          <w:spacing w:val="10"/>
          <w:szCs w:val="28"/>
          <w:rtl/>
        </w:rPr>
        <w:t xml:space="preserve">. </w:t>
      </w:r>
      <w:r w:rsidRPr="00372962">
        <w:rPr>
          <w:rFonts w:ascii="Century" w:hAnsi="Century" w:cs="FrankRuehl"/>
          <w:spacing w:val="10"/>
          <w:szCs w:val="28"/>
          <w:rtl/>
        </w:rPr>
        <w:t>הדברים אמורים</w:t>
      </w:r>
      <w:r w:rsidRPr="00372962">
        <w:rPr>
          <w:rFonts w:ascii="Century" w:hAnsi="Century" w:cs="FrankRuehl" w:hint="cs"/>
          <w:spacing w:val="10"/>
          <w:szCs w:val="28"/>
          <w:rtl/>
        </w:rPr>
        <w:t>, בין היתר,</w:t>
      </w:r>
      <w:r w:rsidRPr="00372962">
        <w:rPr>
          <w:rFonts w:ascii="Century" w:hAnsi="Century" w:cs="FrankRuehl"/>
          <w:spacing w:val="10"/>
          <w:szCs w:val="28"/>
          <w:rtl/>
        </w:rPr>
        <w:t xml:space="preserve"> בשים לב לסברה </w:t>
      </w:r>
      <w:r w:rsidRPr="00372962">
        <w:rPr>
          <w:rFonts w:ascii="Century" w:hAnsi="Century" w:cs="FrankRuehl" w:hint="eastAsia"/>
          <w:spacing w:val="10"/>
          <w:szCs w:val="28"/>
          <w:rtl/>
        </w:rPr>
        <w:t>שליוותה</w:t>
      </w:r>
      <w:r w:rsidRPr="00372962">
        <w:rPr>
          <w:rFonts w:ascii="Century" w:hAnsi="Century" w:cs="FrankRuehl"/>
          <w:spacing w:val="10"/>
          <w:szCs w:val="28"/>
          <w:rtl/>
        </w:rPr>
        <w:t xml:space="preserve"> את </w:t>
      </w:r>
      <w:r w:rsidRPr="00372962">
        <w:rPr>
          <w:rFonts w:ascii="Century" w:hAnsi="Century" w:cs="FrankRuehl" w:hint="eastAsia"/>
          <w:spacing w:val="10"/>
          <w:szCs w:val="28"/>
          <w:rtl/>
        </w:rPr>
        <w:t>עליית</w:t>
      </w:r>
      <w:r w:rsidRPr="00372962">
        <w:rPr>
          <w:rFonts w:ascii="Century" w:hAnsi="Century" w:cs="FrankRuehl"/>
          <w:spacing w:val="10"/>
          <w:szCs w:val="28"/>
          <w:rtl/>
        </w:rPr>
        <w:t xml:space="preserve"> מצפה כרמים על הקרקע (אף אם כזו שהתבררה כשגויה בדיעבד) בדבר האפשרות שהמקרקעין מושא המחלוקת נתפסו בפועל, ובהינתן הצעדים והבדיקות </w:t>
      </w:r>
      <w:r w:rsidRPr="00372962">
        <w:rPr>
          <w:rFonts w:ascii="Century" w:hAnsi="Century" w:cs="FrankRuehl" w:hint="eastAsia"/>
          <w:spacing w:val="10"/>
          <w:szCs w:val="28"/>
          <w:rtl/>
        </w:rPr>
        <w:t>שנערכו</w:t>
      </w:r>
      <w:r w:rsidRPr="00372962">
        <w:rPr>
          <w:rFonts w:ascii="Century" w:hAnsi="Century" w:cs="FrankRuehl"/>
          <w:spacing w:val="10"/>
          <w:szCs w:val="28"/>
          <w:rtl/>
        </w:rPr>
        <w:t xml:space="preserve"> </w:t>
      </w:r>
      <w:r w:rsidRPr="00372962">
        <w:rPr>
          <w:rFonts w:ascii="Century" w:hAnsi="Century" w:cs="FrankRuehl" w:hint="cs"/>
          <w:spacing w:val="10"/>
          <w:szCs w:val="28"/>
          <w:rtl/>
        </w:rPr>
        <w:t xml:space="preserve">באותה עת </w:t>
      </w:r>
      <w:r w:rsidRPr="00372962">
        <w:rPr>
          <w:rFonts w:ascii="Century" w:hAnsi="Century" w:cs="FrankRuehl" w:hint="eastAsia"/>
          <w:spacing w:val="10"/>
          <w:szCs w:val="28"/>
          <w:rtl/>
        </w:rPr>
        <w:t>בשטח</w:t>
      </w:r>
      <w:r w:rsidRPr="00372962">
        <w:rPr>
          <w:rFonts w:ascii="Century" w:hAnsi="Century" w:cs="FrankRuehl"/>
          <w:spacing w:val="10"/>
          <w:szCs w:val="28"/>
          <w:rtl/>
        </w:rPr>
        <w:t xml:space="preserve"> </w:t>
      </w:r>
      <w:r w:rsidRPr="00372962">
        <w:rPr>
          <w:rFonts w:ascii="Century" w:hAnsi="Century" w:cs="FrankRuehl" w:hint="eastAsia"/>
          <w:spacing w:val="10"/>
          <w:szCs w:val="28"/>
          <w:rtl/>
        </w:rPr>
        <w:t>ושעליהם</w:t>
      </w:r>
      <w:r w:rsidRPr="00372962">
        <w:rPr>
          <w:rFonts w:ascii="Century" w:hAnsi="Century" w:cs="FrankRuehl"/>
          <w:spacing w:val="10"/>
          <w:szCs w:val="28"/>
          <w:rtl/>
        </w:rPr>
        <w:t xml:space="preserve"> </w:t>
      </w:r>
      <w:r w:rsidRPr="00372962">
        <w:rPr>
          <w:rFonts w:ascii="Century" w:hAnsi="Century" w:cs="FrankRuehl" w:hint="eastAsia"/>
          <w:spacing w:val="10"/>
          <w:szCs w:val="28"/>
          <w:rtl/>
        </w:rPr>
        <w:t>עמדו</w:t>
      </w:r>
      <w:r w:rsidRPr="00372962">
        <w:rPr>
          <w:rFonts w:ascii="Century" w:hAnsi="Century" w:cs="FrankRuehl"/>
          <w:spacing w:val="10"/>
          <w:szCs w:val="28"/>
          <w:rtl/>
        </w:rPr>
        <w:t xml:space="preserve"> </w:t>
      </w:r>
      <w:r w:rsidRPr="00372962">
        <w:rPr>
          <w:rFonts w:ascii="Century" w:hAnsi="Century" w:cs="FrankRuehl" w:hint="cs"/>
          <w:spacing w:val="10"/>
          <w:szCs w:val="28"/>
          <w:rtl/>
        </w:rPr>
        <w:t xml:space="preserve">בהרחבה </w:t>
      </w:r>
      <w:r w:rsidRPr="00372962">
        <w:rPr>
          <w:rFonts w:ascii="Century" w:hAnsi="Century" w:cs="FrankRuehl" w:hint="eastAsia"/>
          <w:spacing w:val="10"/>
          <w:szCs w:val="28"/>
          <w:rtl/>
        </w:rPr>
        <w:t>חבריי</w:t>
      </w:r>
      <w:r w:rsidRPr="00372962">
        <w:rPr>
          <w:rFonts w:ascii="Century" w:hAnsi="Century" w:cs="FrankRuehl" w:hint="cs"/>
          <w:spacing w:val="10"/>
          <w:szCs w:val="28"/>
          <w:rtl/>
        </w:rPr>
        <w:t xml:space="preserve"> המשנה לנשיאה (בדימ')</w:t>
      </w:r>
      <w:r w:rsidRPr="00372962">
        <w:rPr>
          <w:rFonts w:ascii="Century" w:hAnsi="Century" w:cs="Miriam"/>
          <w:b/>
          <w:rtl/>
        </w:rPr>
        <w:t xml:space="preserve"> </w:t>
      </w:r>
      <w:r w:rsidRPr="00372962">
        <w:rPr>
          <w:rFonts w:ascii="Century" w:hAnsi="Century" w:cs="Miriam" w:hint="eastAsia"/>
          <w:b/>
          <w:rtl/>
        </w:rPr>
        <w:t>הנדל</w:t>
      </w:r>
      <w:r w:rsidRPr="00372962">
        <w:rPr>
          <w:rFonts w:ascii="Century" w:hAnsi="Century" w:cs="FrankRuehl" w:hint="cs"/>
          <w:spacing w:val="10"/>
          <w:szCs w:val="28"/>
          <w:rtl/>
        </w:rPr>
        <w:t xml:space="preserve">, והשופטים </w:t>
      </w:r>
      <w:r w:rsidRPr="00372962">
        <w:rPr>
          <w:rFonts w:ascii="Century" w:hAnsi="Century" w:cs="Miriam" w:hint="eastAsia"/>
          <w:b/>
          <w:rtl/>
        </w:rPr>
        <w:t>סולברג</w:t>
      </w:r>
      <w:r w:rsidRPr="00372962">
        <w:rPr>
          <w:rFonts w:ascii="Century" w:hAnsi="Century" w:cs="FrankRuehl" w:hint="cs"/>
          <w:spacing w:val="10"/>
          <w:szCs w:val="28"/>
          <w:rtl/>
        </w:rPr>
        <w:t xml:space="preserve"> </w:t>
      </w:r>
      <w:r>
        <w:rPr>
          <w:rFonts w:ascii="Century" w:hAnsi="Century" w:cs="FrankRuehl" w:hint="cs"/>
          <w:spacing w:val="10"/>
          <w:szCs w:val="28"/>
          <w:rtl/>
        </w:rPr>
        <w:t>ו-</w:t>
      </w:r>
      <w:r w:rsidRPr="00372962">
        <w:rPr>
          <w:rFonts w:ascii="Century" w:hAnsi="Century" w:cs="Miriam" w:hint="eastAsia"/>
          <w:b/>
          <w:rtl/>
        </w:rPr>
        <w:t>עמית</w:t>
      </w:r>
      <w:r w:rsidRPr="00D35FB5">
        <w:rPr>
          <w:rFonts w:ascii="Century" w:hAnsi="Century" w:cs="FrankRuehl"/>
          <w:spacing w:val="10"/>
          <w:szCs w:val="28"/>
          <w:rtl/>
        </w:rPr>
        <w:t xml:space="preserve">. </w:t>
      </w:r>
      <w:r>
        <w:rPr>
          <w:rFonts w:ascii="Century" w:hAnsi="Century" w:cs="FrankRuehl" w:hint="cs"/>
          <w:spacing w:val="10"/>
          <w:szCs w:val="28"/>
          <w:rtl/>
        </w:rPr>
        <w:t>זאת בשים לב לנקודת המוצא ש</w:t>
      </w:r>
      <w:r w:rsidRPr="00372962">
        <w:rPr>
          <w:rFonts w:ascii="Century" w:hAnsi="Century" w:cs="FrankRuehl" w:hint="cs"/>
          <w:spacing w:val="10"/>
          <w:szCs w:val="28"/>
          <w:rtl/>
        </w:rPr>
        <w:t xml:space="preserve">לפיה מלכתחילה העברת מצפה כרמים למיקומו הנוכחי נעשתה מתוך כוונה ברורה להכשיר את הישוב. התמונה המצטיירת ממכלול העובדות שהוצגו בבית המשפט המחוזי ושנפרשו גם בפנינו, אינה של חוסר תום לב מובהק מצד הממונה, אלא </w:t>
      </w:r>
      <w:r w:rsidRPr="00372962">
        <w:rPr>
          <w:rFonts w:ascii="Century" w:hAnsi="Century" w:cs="FrankRuehl" w:hint="eastAsia"/>
          <w:spacing w:val="10"/>
          <w:szCs w:val="28"/>
          <w:rtl/>
        </w:rPr>
        <w:t>של</w:t>
      </w:r>
      <w:r w:rsidRPr="00372962">
        <w:rPr>
          <w:rFonts w:ascii="Century" w:hAnsi="Century" w:cs="FrankRuehl"/>
          <w:spacing w:val="10"/>
          <w:szCs w:val="28"/>
          <w:rtl/>
        </w:rPr>
        <w:t xml:space="preserve"> </w:t>
      </w:r>
      <w:r w:rsidRPr="00372962">
        <w:rPr>
          <w:rFonts w:ascii="Century" w:hAnsi="Century" w:cs="FrankRuehl" w:hint="eastAsia"/>
          <w:spacing w:val="10"/>
          <w:szCs w:val="28"/>
          <w:rtl/>
        </w:rPr>
        <w:t>תאונה</w:t>
      </w:r>
      <w:r w:rsidRPr="00372962">
        <w:rPr>
          <w:rFonts w:ascii="Century" w:hAnsi="Century" w:cs="FrankRuehl"/>
          <w:spacing w:val="10"/>
          <w:szCs w:val="28"/>
          <w:rtl/>
        </w:rPr>
        <w:t xml:space="preserve"> </w:t>
      </w:r>
      <w:r w:rsidRPr="00372962">
        <w:rPr>
          <w:rFonts w:ascii="Century" w:hAnsi="Century" w:cs="FrankRuehl" w:hint="eastAsia"/>
          <w:spacing w:val="10"/>
          <w:szCs w:val="28"/>
          <w:rtl/>
        </w:rPr>
        <w:t>משפטית</w:t>
      </w:r>
      <w:r w:rsidRPr="00372962">
        <w:rPr>
          <w:rFonts w:ascii="Century" w:hAnsi="Century" w:cs="FrankRuehl"/>
          <w:spacing w:val="10"/>
          <w:szCs w:val="28"/>
          <w:rtl/>
        </w:rPr>
        <w:t xml:space="preserve"> "מתגלגלת" </w:t>
      </w:r>
      <w:r w:rsidRPr="00372962">
        <w:rPr>
          <w:rFonts w:ascii="Century" w:hAnsi="Century" w:cs="FrankRuehl" w:hint="eastAsia"/>
          <w:spacing w:val="10"/>
          <w:szCs w:val="28"/>
          <w:rtl/>
        </w:rPr>
        <w:t>וארוכת</w:t>
      </w:r>
      <w:r w:rsidRPr="00372962">
        <w:rPr>
          <w:rFonts w:ascii="Century" w:hAnsi="Century" w:cs="FrankRuehl"/>
          <w:spacing w:val="10"/>
          <w:szCs w:val="28"/>
          <w:rtl/>
        </w:rPr>
        <w:t xml:space="preserve"> </w:t>
      </w:r>
      <w:r w:rsidRPr="00372962">
        <w:rPr>
          <w:rFonts w:ascii="Century" w:hAnsi="Century" w:cs="FrankRuehl" w:hint="eastAsia"/>
          <w:spacing w:val="10"/>
          <w:szCs w:val="28"/>
          <w:rtl/>
        </w:rPr>
        <w:t>שלבים</w:t>
      </w:r>
      <w:r w:rsidRPr="00372962">
        <w:rPr>
          <w:rFonts w:ascii="Century" w:hAnsi="Century" w:cs="FrankRuehl" w:hint="cs"/>
          <w:spacing w:val="10"/>
          <w:szCs w:val="28"/>
          <w:rtl/>
        </w:rPr>
        <w:t>. אחד הביטויים המרכזיים לכך הוא</w:t>
      </w:r>
      <w:r w:rsidRPr="00372962">
        <w:rPr>
          <w:rFonts w:ascii="Century" w:hAnsi="Century" w:cs="FrankRuehl"/>
          <w:spacing w:val="10"/>
          <w:szCs w:val="28"/>
          <w:rtl/>
        </w:rPr>
        <w:t xml:space="preserve"> </w:t>
      </w:r>
      <w:r w:rsidRPr="00372962">
        <w:rPr>
          <w:rFonts w:ascii="Century" w:hAnsi="Century" w:cs="FrankRuehl" w:hint="cs"/>
          <w:spacing w:val="10"/>
          <w:szCs w:val="28"/>
          <w:rtl/>
        </w:rPr>
        <w:t>ה</w:t>
      </w:r>
      <w:r w:rsidRPr="00372962">
        <w:rPr>
          <w:rFonts w:ascii="Century" w:hAnsi="Century" w:cs="FrankRuehl" w:hint="eastAsia"/>
          <w:spacing w:val="10"/>
          <w:szCs w:val="28"/>
          <w:rtl/>
        </w:rPr>
        <w:t>השלכות</w:t>
      </w:r>
      <w:r w:rsidRPr="00372962">
        <w:rPr>
          <w:rFonts w:ascii="Century" w:hAnsi="Century" w:cs="FrankRuehl"/>
          <w:spacing w:val="10"/>
          <w:szCs w:val="28"/>
          <w:rtl/>
        </w:rPr>
        <w:t xml:space="preserve"> </w:t>
      </w:r>
      <w:r w:rsidRPr="00372962">
        <w:rPr>
          <w:rFonts w:ascii="Century" w:hAnsi="Century" w:cs="FrankRuehl" w:hint="eastAsia"/>
          <w:spacing w:val="10"/>
          <w:szCs w:val="28"/>
          <w:rtl/>
        </w:rPr>
        <w:t>של</w:t>
      </w:r>
      <w:r w:rsidRPr="00372962">
        <w:rPr>
          <w:rFonts w:ascii="Century" w:hAnsi="Century" w:cs="FrankRuehl"/>
          <w:spacing w:val="10"/>
          <w:szCs w:val="28"/>
          <w:rtl/>
        </w:rPr>
        <w:t xml:space="preserve"> </w:t>
      </w:r>
      <w:r w:rsidRPr="00372962">
        <w:rPr>
          <w:rFonts w:ascii="Century" w:hAnsi="Century" w:cs="FrankRuehl" w:hint="eastAsia"/>
          <w:spacing w:val="10"/>
          <w:szCs w:val="28"/>
          <w:rtl/>
        </w:rPr>
        <w:t>חלוף</w:t>
      </w:r>
      <w:r w:rsidRPr="00372962">
        <w:rPr>
          <w:rFonts w:ascii="Century" w:hAnsi="Century" w:cs="FrankRuehl"/>
          <w:spacing w:val="10"/>
          <w:szCs w:val="28"/>
          <w:rtl/>
        </w:rPr>
        <w:t xml:space="preserve"> </w:t>
      </w:r>
      <w:r w:rsidRPr="00372962">
        <w:rPr>
          <w:rFonts w:ascii="Century" w:hAnsi="Century" w:cs="FrankRuehl" w:hint="eastAsia"/>
          <w:spacing w:val="10"/>
          <w:szCs w:val="28"/>
          <w:rtl/>
        </w:rPr>
        <w:t>הזמן</w:t>
      </w:r>
      <w:r w:rsidRPr="00372962">
        <w:rPr>
          <w:rFonts w:ascii="Century" w:hAnsi="Century" w:cs="FrankRuehl"/>
          <w:spacing w:val="10"/>
          <w:szCs w:val="28"/>
          <w:rtl/>
        </w:rPr>
        <w:t xml:space="preserve"> </w:t>
      </w:r>
      <w:r w:rsidRPr="00372962">
        <w:rPr>
          <w:rFonts w:ascii="Century" w:hAnsi="Century" w:cs="FrankRuehl" w:hint="eastAsia"/>
          <w:spacing w:val="10"/>
          <w:szCs w:val="28"/>
          <w:rtl/>
        </w:rPr>
        <w:t>על</w:t>
      </w:r>
      <w:r w:rsidRPr="00372962">
        <w:rPr>
          <w:rFonts w:ascii="Century" w:hAnsi="Century" w:cs="FrankRuehl"/>
          <w:spacing w:val="10"/>
          <w:szCs w:val="28"/>
          <w:rtl/>
        </w:rPr>
        <w:t xml:space="preserve"> </w:t>
      </w:r>
      <w:r w:rsidRPr="00372962">
        <w:rPr>
          <w:rFonts w:ascii="Century" w:hAnsi="Century" w:cs="FrankRuehl" w:hint="eastAsia"/>
          <w:spacing w:val="10"/>
          <w:szCs w:val="28"/>
          <w:rtl/>
        </w:rPr>
        <w:t>הלך</w:t>
      </w:r>
      <w:r w:rsidRPr="00372962">
        <w:rPr>
          <w:rFonts w:ascii="Century" w:hAnsi="Century" w:cs="FrankRuehl"/>
          <w:spacing w:val="10"/>
          <w:szCs w:val="28"/>
          <w:rtl/>
        </w:rPr>
        <w:t xml:space="preserve"> </w:t>
      </w:r>
      <w:r w:rsidRPr="00372962">
        <w:rPr>
          <w:rFonts w:ascii="Century" w:hAnsi="Century" w:cs="FrankRuehl" w:hint="eastAsia"/>
          <w:spacing w:val="10"/>
          <w:szCs w:val="28"/>
          <w:rtl/>
        </w:rPr>
        <w:t>מחשבתם</w:t>
      </w:r>
      <w:r w:rsidRPr="00372962">
        <w:rPr>
          <w:rFonts w:ascii="Century" w:hAnsi="Century" w:cs="FrankRuehl"/>
          <w:spacing w:val="10"/>
          <w:szCs w:val="28"/>
          <w:rtl/>
        </w:rPr>
        <w:t xml:space="preserve"> </w:t>
      </w:r>
      <w:r w:rsidRPr="00372962">
        <w:rPr>
          <w:rFonts w:ascii="Century" w:hAnsi="Century" w:cs="FrankRuehl" w:hint="eastAsia"/>
          <w:spacing w:val="10"/>
          <w:szCs w:val="28"/>
          <w:rtl/>
        </w:rPr>
        <w:t>של</w:t>
      </w:r>
      <w:r w:rsidRPr="00372962">
        <w:rPr>
          <w:rFonts w:ascii="Century" w:hAnsi="Century" w:cs="FrankRuehl"/>
          <w:spacing w:val="10"/>
          <w:szCs w:val="28"/>
          <w:rtl/>
        </w:rPr>
        <w:t xml:space="preserve"> </w:t>
      </w:r>
      <w:r w:rsidRPr="00372962">
        <w:rPr>
          <w:rFonts w:ascii="Century" w:hAnsi="Century" w:cs="FrankRuehl" w:hint="eastAsia"/>
          <w:spacing w:val="10"/>
          <w:szCs w:val="28"/>
          <w:rtl/>
        </w:rPr>
        <w:t>בעלי</w:t>
      </w:r>
      <w:r w:rsidRPr="00372962">
        <w:rPr>
          <w:rFonts w:ascii="Century" w:hAnsi="Century" w:cs="FrankRuehl"/>
          <w:spacing w:val="10"/>
          <w:szCs w:val="28"/>
          <w:rtl/>
        </w:rPr>
        <w:t xml:space="preserve"> </w:t>
      </w:r>
      <w:r w:rsidRPr="00372962">
        <w:rPr>
          <w:rFonts w:ascii="Century" w:hAnsi="Century" w:cs="FrankRuehl" w:hint="eastAsia"/>
          <w:spacing w:val="10"/>
          <w:szCs w:val="28"/>
          <w:rtl/>
        </w:rPr>
        <w:t>התפקידים</w:t>
      </w:r>
      <w:r w:rsidRPr="00372962">
        <w:rPr>
          <w:rFonts w:ascii="Century" w:hAnsi="Century" w:cs="FrankRuehl"/>
          <w:spacing w:val="10"/>
          <w:szCs w:val="28"/>
          <w:rtl/>
        </w:rPr>
        <w:t xml:space="preserve"> </w:t>
      </w:r>
      <w:r w:rsidRPr="00372962">
        <w:rPr>
          <w:rFonts w:ascii="Century" w:hAnsi="Century" w:cs="FrankRuehl" w:hint="eastAsia"/>
          <w:spacing w:val="10"/>
          <w:szCs w:val="28"/>
          <w:rtl/>
        </w:rPr>
        <w:t>בתקופות</w:t>
      </w:r>
      <w:r w:rsidRPr="00372962">
        <w:rPr>
          <w:rFonts w:ascii="Century" w:hAnsi="Century" w:cs="FrankRuehl"/>
          <w:spacing w:val="10"/>
          <w:szCs w:val="28"/>
          <w:rtl/>
        </w:rPr>
        <w:t xml:space="preserve"> </w:t>
      </w:r>
      <w:r w:rsidRPr="00372962">
        <w:rPr>
          <w:rFonts w:ascii="Century" w:hAnsi="Century" w:cs="FrankRuehl" w:hint="eastAsia"/>
          <w:spacing w:val="10"/>
          <w:szCs w:val="28"/>
          <w:rtl/>
        </w:rPr>
        <w:t>הרלוונטי</w:t>
      </w:r>
      <w:r w:rsidRPr="00372962">
        <w:rPr>
          <w:rFonts w:ascii="Century" w:hAnsi="Century" w:cs="FrankRuehl" w:hint="cs"/>
          <w:spacing w:val="10"/>
          <w:szCs w:val="28"/>
          <w:rtl/>
        </w:rPr>
        <w:t>ות</w:t>
      </w:r>
      <w:r w:rsidRPr="00372962">
        <w:rPr>
          <w:rFonts w:ascii="Century" w:hAnsi="Century" w:cs="FrankRuehl"/>
          <w:spacing w:val="10"/>
          <w:szCs w:val="28"/>
          <w:rtl/>
        </w:rPr>
        <w:t xml:space="preserve"> ונטייתם לסמוך על צעדים שננקטו בעבר. בנסיבות אלו ניתן לומר, כי הגם שיש יסוד של ממש לקביעה כי התנהלותו של הממונה הייתה רשלנית (ומהיבט זה אף בלתי תקינה), אין מדובר במקרה טיפוסי של עצימת עיניים. במובן זה, המקרה שבפנינו צולח, ולו בדוחק, את הרף </w:t>
      </w:r>
      <w:r w:rsidRPr="00372962">
        <w:rPr>
          <w:rFonts w:ascii="Century" w:hAnsi="Century" w:cs="FrankRuehl" w:hint="eastAsia"/>
          <w:spacing w:val="10"/>
          <w:szCs w:val="28"/>
          <w:rtl/>
        </w:rPr>
        <w:t>הסובייקטיבי</w:t>
      </w:r>
      <w:r w:rsidRPr="00372962">
        <w:rPr>
          <w:rFonts w:ascii="Century" w:hAnsi="Century" w:cs="FrankRuehl"/>
          <w:spacing w:val="10"/>
          <w:szCs w:val="28"/>
          <w:rtl/>
        </w:rPr>
        <w:t xml:space="preserve"> </w:t>
      </w:r>
      <w:r w:rsidRPr="00372962">
        <w:rPr>
          <w:rFonts w:ascii="Century" w:hAnsi="Century" w:cs="FrankRuehl" w:hint="eastAsia"/>
          <w:spacing w:val="10"/>
          <w:szCs w:val="28"/>
          <w:rtl/>
        </w:rPr>
        <w:t>הנדרש</w:t>
      </w:r>
      <w:r w:rsidRPr="00372962">
        <w:rPr>
          <w:rFonts w:ascii="Century" w:hAnsi="Century" w:cs="FrankRuehl"/>
          <w:spacing w:val="10"/>
          <w:szCs w:val="28"/>
          <w:rtl/>
        </w:rPr>
        <w:t xml:space="preserve">.  </w:t>
      </w:r>
    </w:p>
    <w:p w:rsidR="005B1A77" w:rsidRPr="00222FF7" w:rsidRDefault="005B1A77" w:rsidP="005B1A77">
      <w:pPr>
        <w:spacing w:line="360" w:lineRule="auto"/>
        <w:jc w:val="both"/>
        <w:rPr>
          <w:rFonts w:ascii="Century" w:hAnsi="Century" w:cs="FrankRuehl"/>
          <w:spacing w:val="10"/>
          <w:szCs w:val="28"/>
          <w:rtl/>
        </w:rPr>
      </w:pPr>
    </w:p>
    <w:p w:rsidR="005B1A77" w:rsidRPr="00222FF7" w:rsidRDefault="005B1A77" w:rsidP="005B1A77">
      <w:pPr>
        <w:spacing w:line="360" w:lineRule="auto"/>
        <w:jc w:val="both"/>
        <w:rPr>
          <w:rFonts w:ascii="Century" w:hAnsi="Century" w:cs="FrankRuehl"/>
          <w:spacing w:val="10"/>
          <w:szCs w:val="28"/>
          <w:rtl/>
        </w:rPr>
      </w:pPr>
      <w:r w:rsidRPr="00222FF7">
        <w:rPr>
          <w:rFonts w:ascii="Century" w:hAnsi="Century" w:cs="FrankRuehl" w:hint="cs"/>
          <w:spacing w:val="10"/>
          <w:szCs w:val="28"/>
          <w:rtl/>
        </w:rPr>
        <w:t xml:space="preserve">31. </w:t>
      </w:r>
      <w:r w:rsidRPr="00222FF7">
        <w:rPr>
          <w:rFonts w:ascii="Century" w:hAnsi="Century" w:cs="FrankRuehl" w:hint="cs"/>
          <w:spacing w:val="10"/>
          <w:szCs w:val="28"/>
          <w:rtl/>
        </w:rPr>
        <w:tab/>
        <w:t xml:space="preserve">אפנה כעת לצדו השני של המטבע </w:t>
      </w:r>
      <w:r w:rsidRPr="00222FF7">
        <w:rPr>
          <w:rFonts w:ascii="Century" w:hAnsi="Century" w:cs="FrankRuehl"/>
          <w:spacing w:val="10"/>
          <w:szCs w:val="28"/>
          <w:rtl/>
        </w:rPr>
        <w:t>–</w:t>
      </w:r>
      <w:r w:rsidRPr="00222FF7">
        <w:rPr>
          <w:rFonts w:ascii="Century" w:hAnsi="Century" w:cs="FrankRuehl" w:hint="cs"/>
          <w:spacing w:val="10"/>
          <w:szCs w:val="28"/>
          <w:rtl/>
        </w:rPr>
        <w:t xml:space="preserve"> המתקשרים עם הממונה. </w:t>
      </w:r>
      <w:r w:rsidRPr="00222FF7">
        <w:rPr>
          <w:rFonts w:ascii="Century" w:hAnsi="Century" w:cs="FrankRuehl"/>
          <w:spacing w:val="10"/>
          <w:szCs w:val="28"/>
          <w:rtl/>
        </w:rPr>
        <w:t>בהתאם לגישתי העקרונית לעיל</w:t>
      </w:r>
      <w:r w:rsidRPr="00222FF7">
        <w:rPr>
          <w:rFonts w:ascii="Century" w:hAnsi="Century" w:cs="FrankRuehl" w:hint="cs"/>
          <w:spacing w:val="10"/>
          <w:szCs w:val="28"/>
          <w:rtl/>
        </w:rPr>
        <w:t xml:space="preserve"> ביחס להסתכלות על ה"עסקה" על כלל מרכיביה</w:t>
      </w:r>
      <w:r w:rsidRPr="00222FF7">
        <w:rPr>
          <w:rFonts w:ascii="Century" w:hAnsi="Century" w:cs="FrankRuehl"/>
          <w:spacing w:val="10"/>
          <w:szCs w:val="28"/>
          <w:rtl/>
        </w:rPr>
        <w:t xml:space="preserve">, </w:t>
      </w:r>
      <w:r w:rsidRPr="00222FF7">
        <w:rPr>
          <w:rFonts w:ascii="Century" w:hAnsi="Century" w:cs="FrankRuehl" w:hint="eastAsia"/>
          <w:spacing w:val="10"/>
          <w:szCs w:val="28"/>
          <w:rtl/>
        </w:rPr>
        <w:t>אני</w:t>
      </w:r>
      <w:r w:rsidRPr="00222FF7">
        <w:rPr>
          <w:rFonts w:ascii="Century" w:hAnsi="Century" w:cs="FrankRuehl"/>
          <w:spacing w:val="10"/>
          <w:szCs w:val="28"/>
          <w:rtl/>
        </w:rPr>
        <w:t xml:space="preserve"> </w:t>
      </w:r>
      <w:r w:rsidRPr="00222FF7">
        <w:rPr>
          <w:rFonts w:ascii="Century" w:hAnsi="Century" w:cs="FrankRuehl" w:hint="eastAsia"/>
          <w:spacing w:val="10"/>
          <w:szCs w:val="28"/>
          <w:rtl/>
        </w:rPr>
        <w:t>מבקש</w:t>
      </w:r>
      <w:r w:rsidRPr="00222FF7">
        <w:rPr>
          <w:rFonts w:ascii="Century" w:hAnsi="Century" w:cs="FrankRuehl" w:hint="cs"/>
          <w:spacing w:val="10"/>
          <w:szCs w:val="28"/>
          <w:rtl/>
        </w:rPr>
        <w:t>ת</w:t>
      </w:r>
      <w:r w:rsidRPr="00222FF7">
        <w:rPr>
          <w:rFonts w:ascii="Century" w:hAnsi="Century" w:cs="FrankRuehl"/>
          <w:spacing w:val="10"/>
          <w:szCs w:val="28"/>
          <w:rtl/>
        </w:rPr>
        <w:t xml:space="preserve"> </w:t>
      </w:r>
      <w:r w:rsidRPr="00222FF7">
        <w:rPr>
          <w:rFonts w:ascii="Century" w:hAnsi="Century" w:cs="FrankRuehl" w:hint="eastAsia"/>
          <w:spacing w:val="10"/>
          <w:szCs w:val="28"/>
          <w:rtl/>
        </w:rPr>
        <w:t>להדגיש</w:t>
      </w:r>
      <w:r w:rsidRPr="00222FF7">
        <w:rPr>
          <w:rFonts w:ascii="Century" w:hAnsi="Century" w:cs="FrankRuehl"/>
          <w:spacing w:val="10"/>
          <w:szCs w:val="28"/>
          <w:rtl/>
        </w:rPr>
        <w:t xml:space="preserve"> </w:t>
      </w:r>
      <w:r w:rsidRPr="00222FF7">
        <w:rPr>
          <w:rFonts w:ascii="Century" w:hAnsi="Century" w:cs="FrankRuehl" w:hint="eastAsia"/>
          <w:spacing w:val="10"/>
          <w:szCs w:val="28"/>
          <w:rtl/>
        </w:rPr>
        <w:t>כי</w:t>
      </w:r>
      <w:r w:rsidRPr="00222FF7">
        <w:rPr>
          <w:rFonts w:ascii="Century" w:hAnsi="Century" w:cs="FrankRuehl"/>
          <w:spacing w:val="10"/>
          <w:szCs w:val="28"/>
          <w:rtl/>
        </w:rPr>
        <w:t xml:space="preserve"> </w:t>
      </w:r>
      <w:r w:rsidRPr="00222FF7">
        <w:rPr>
          <w:rFonts w:ascii="Century" w:hAnsi="Century" w:cs="FrankRuehl" w:hint="eastAsia"/>
          <w:spacing w:val="10"/>
          <w:szCs w:val="28"/>
          <w:rtl/>
        </w:rPr>
        <w:t>אף</w:t>
      </w:r>
      <w:r w:rsidRPr="00222FF7">
        <w:rPr>
          <w:rFonts w:ascii="Century" w:hAnsi="Century" w:cs="FrankRuehl"/>
          <w:spacing w:val="10"/>
          <w:szCs w:val="28"/>
          <w:rtl/>
        </w:rPr>
        <w:t xml:space="preserve"> בהקשרה של דרישת תום הלב </w:t>
      </w:r>
      <w:r w:rsidRPr="00222FF7">
        <w:rPr>
          <w:rFonts w:ascii="Century" w:hAnsi="Century" w:cs="FrankRuehl" w:hint="eastAsia"/>
          <w:spacing w:val="10"/>
          <w:szCs w:val="28"/>
          <w:rtl/>
        </w:rPr>
        <w:t>אין</w:t>
      </w:r>
      <w:r w:rsidRPr="00222FF7">
        <w:rPr>
          <w:rFonts w:ascii="Century" w:hAnsi="Century" w:cs="FrankRuehl"/>
          <w:spacing w:val="10"/>
          <w:szCs w:val="28"/>
          <w:rtl/>
        </w:rPr>
        <w:t xml:space="preserve"> </w:t>
      </w:r>
      <w:r w:rsidRPr="00222FF7">
        <w:rPr>
          <w:rFonts w:ascii="Century" w:hAnsi="Century" w:cs="FrankRuehl" w:hint="eastAsia"/>
          <w:spacing w:val="10"/>
          <w:szCs w:val="28"/>
          <w:rtl/>
        </w:rPr>
        <w:t>מקום</w:t>
      </w:r>
      <w:r w:rsidRPr="00222FF7">
        <w:rPr>
          <w:rFonts w:ascii="Century" w:hAnsi="Century" w:cs="FrankRuehl"/>
          <w:spacing w:val="10"/>
          <w:szCs w:val="28"/>
          <w:rtl/>
        </w:rPr>
        <w:t xml:space="preserve"> </w:t>
      </w:r>
      <w:r w:rsidRPr="00222FF7">
        <w:rPr>
          <w:rFonts w:ascii="Century" w:hAnsi="Century" w:cs="FrankRuehl" w:hint="eastAsia"/>
          <w:spacing w:val="10"/>
          <w:szCs w:val="28"/>
          <w:rtl/>
        </w:rPr>
        <w:t>להתעלם</w:t>
      </w:r>
      <w:r w:rsidRPr="00222FF7">
        <w:rPr>
          <w:rFonts w:ascii="Century" w:hAnsi="Century" w:cs="FrankRuehl"/>
          <w:spacing w:val="10"/>
          <w:szCs w:val="28"/>
          <w:rtl/>
        </w:rPr>
        <w:t xml:space="preserve"> </w:t>
      </w:r>
      <w:r w:rsidRPr="00222FF7">
        <w:rPr>
          <w:rFonts w:ascii="Century" w:hAnsi="Century" w:cs="FrankRuehl" w:hint="eastAsia"/>
          <w:spacing w:val="10"/>
          <w:szCs w:val="28"/>
          <w:rtl/>
        </w:rPr>
        <w:t>ממכלול</w:t>
      </w:r>
      <w:r w:rsidRPr="00222FF7">
        <w:rPr>
          <w:rFonts w:ascii="Century" w:hAnsi="Century" w:cs="FrankRuehl"/>
          <w:spacing w:val="10"/>
          <w:szCs w:val="28"/>
          <w:rtl/>
        </w:rPr>
        <w:t xml:space="preserve"> </w:t>
      </w:r>
      <w:r w:rsidRPr="00222FF7">
        <w:rPr>
          <w:rFonts w:ascii="Century" w:hAnsi="Century" w:cs="FrankRuehl" w:hint="eastAsia"/>
          <w:spacing w:val="10"/>
          <w:szCs w:val="28"/>
          <w:rtl/>
        </w:rPr>
        <w:t>הצדדים</w:t>
      </w:r>
      <w:r w:rsidRPr="00222FF7">
        <w:rPr>
          <w:rFonts w:ascii="Century" w:hAnsi="Century" w:cs="FrankRuehl"/>
          <w:spacing w:val="10"/>
          <w:szCs w:val="28"/>
          <w:rtl/>
        </w:rPr>
        <w:t xml:space="preserve"> </w:t>
      </w:r>
      <w:r w:rsidRPr="00222FF7">
        <w:rPr>
          <w:rFonts w:ascii="Century" w:hAnsi="Century" w:cs="FrankRuehl" w:hint="cs"/>
          <w:spacing w:val="10"/>
          <w:szCs w:val="28"/>
          <w:rtl/>
        </w:rPr>
        <w:t>המעורבים בה (ולמעשה יש אף צורך לעשות כן)</w:t>
      </w:r>
      <w:r w:rsidRPr="00222FF7">
        <w:rPr>
          <w:rFonts w:ascii="Century" w:hAnsi="Century" w:cs="FrankRuehl"/>
          <w:spacing w:val="10"/>
          <w:szCs w:val="28"/>
          <w:rtl/>
        </w:rPr>
        <w:t xml:space="preserve">. מאחר </w:t>
      </w:r>
      <w:r w:rsidRPr="00222FF7">
        <w:rPr>
          <w:rFonts w:ascii="Century" w:hAnsi="Century" w:cs="FrankRuehl" w:hint="cs"/>
          <w:spacing w:val="10"/>
          <w:szCs w:val="28"/>
          <w:rtl/>
        </w:rPr>
        <w:t>ש</w:t>
      </w:r>
      <w:r w:rsidRPr="00222FF7">
        <w:rPr>
          <w:rFonts w:ascii="Century" w:hAnsi="Century" w:cs="FrankRuehl" w:hint="eastAsia"/>
          <w:spacing w:val="10"/>
          <w:szCs w:val="28"/>
          <w:rtl/>
        </w:rPr>
        <w:t>לטעמי</w:t>
      </w:r>
      <w:r w:rsidRPr="00222FF7">
        <w:rPr>
          <w:rFonts w:ascii="Century" w:hAnsi="Century" w:cs="FrankRuehl"/>
          <w:spacing w:val="10"/>
          <w:szCs w:val="28"/>
          <w:rtl/>
        </w:rPr>
        <w:t xml:space="preserve"> לא ניתן לראות במערכת היחסים שבי</w:t>
      </w:r>
      <w:r w:rsidRPr="00222FF7">
        <w:rPr>
          <w:rFonts w:ascii="Century" w:hAnsi="Century" w:cs="FrankRuehl" w:hint="eastAsia"/>
          <w:spacing w:val="10"/>
          <w:szCs w:val="28"/>
          <w:rtl/>
        </w:rPr>
        <w:t>ן</w:t>
      </w:r>
      <w:r w:rsidRPr="00222FF7">
        <w:rPr>
          <w:rFonts w:ascii="Century" w:hAnsi="Century" w:cs="FrankRuehl"/>
          <w:spacing w:val="10"/>
          <w:szCs w:val="28"/>
          <w:rtl/>
        </w:rPr>
        <w:t xml:space="preserve"> </w:t>
      </w:r>
      <w:r w:rsidRPr="00222FF7">
        <w:rPr>
          <w:rFonts w:ascii="Century" w:hAnsi="Century" w:cs="FrankRuehl" w:hint="eastAsia"/>
          <w:spacing w:val="10"/>
          <w:szCs w:val="28"/>
          <w:rtl/>
        </w:rPr>
        <w:t>הממונה</w:t>
      </w:r>
      <w:r w:rsidRPr="00222FF7">
        <w:rPr>
          <w:rFonts w:ascii="Century" w:hAnsi="Century" w:cs="FrankRuehl"/>
          <w:spacing w:val="10"/>
          <w:szCs w:val="28"/>
          <w:rtl/>
        </w:rPr>
        <w:t xml:space="preserve"> </w:t>
      </w:r>
      <w:r w:rsidRPr="00222FF7">
        <w:rPr>
          <w:rFonts w:ascii="Century" w:hAnsi="Century" w:cs="FrankRuehl" w:hint="eastAsia"/>
          <w:spacing w:val="10"/>
          <w:szCs w:val="28"/>
          <w:rtl/>
        </w:rPr>
        <w:t>לבין</w:t>
      </w:r>
      <w:r w:rsidRPr="00222FF7">
        <w:rPr>
          <w:rFonts w:ascii="Century" w:hAnsi="Century" w:cs="FrankRuehl"/>
          <w:spacing w:val="10"/>
          <w:szCs w:val="28"/>
          <w:rtl/>
        </w:rPr>
        <w:t xml:space="preserve"> </w:t>
      </w:r>
      <w:r w:rsidRPr="00222FF7">
        <w:rPr>
          <w:rFonts w:ascii="Century" w:hAnsi="Century" w:cs="FrankRuehl" w:hint="eastAsia"/>
          <w:spacing w:val="10"/>
          <w:szCs w:val="28"/>
          <w:rtl/>
        </w:rPr>
        <w:t>ההסתדרות</w:t>
      </w:r>
      <w:r w:rsidRPr="00222FF7">
        <w:rPr>
          <w:rFonts w:ascii="Century" w:hAnsi="Century" w:cs="FrankRuehl"/>
          <w:spacing w:val="10"/>
          <w:szCs w:val="28"/>
          <w:rtl/>
        </w:rPr>
        <w:t xml:space="preserve"> </w:t>
      </w:r>
      <w:r w:rsidRPr="00222FF7">
        <w:rPr>
          <w:rFonts w:ascii="Century" w:hAnsi="Century" w:cs="FrankRuehl" w:hint="eastAsia"/>
          <w:spacing w:val="10"/>
          <w:szCs w:val="28"/>
          <w:rtl/>
        </w:rPr>
        <w:t>לבדה</w:t>
      </w:r>
      <w:r w:rsidRPr="00222FF7">
        <w:rPr>
          <w:rFonts w:ascii="Century" w:hAnsi="Century" w:cs="FrankRuehl"/>
          <w:spacing w:val="10"/>
          <w:szCs w:val="28"/>
          <w:rtl/>
        </w:rPr>
        <w:t xml:space="preserve"> </w:t>
      </w:r>
      <w:r w:rsidRPr="00222FF7">
        <w:rPr>
          <w:rFonts w:ascii="Century" w:hAnsi="Century" w:cs="FrankRuehl" w:hint="eastAsia"/>
          <w:spacing w:val="10"/>
          <w:szCs w:val="28"/>
          <w:rtl/>
        </w:rPr>
        <w:t>כממלאת</w:t>
      </w:r>
      <w:r w:rsidRPr="00222FF7">
        <w:rPr>
          <w:rFonts w:ascii="Century" w:hAnsi="Century" w:cs="FrankRuehl"/>
          <w:spacing w:val="10"/>
          <w:szCs w:val="28"/>
          <w:rtl/>
        </w:rPr>
        <w:t xml:space="preserve"> את תנאי סעיף 5 לצו, אין אף מקום להגביל את ניתוחה של דרישת תום הלב לצדדים אלו בלבד.</w:t>
      </w:r>
      <w:r w:rsidRPr="00222FF7">
        <w:rPr>
          <w:rFonts w:ascii="Century" w:hAnsi="Century" w:cs="FrankRuehl" w:hint="cs"/>
          <w:spacing w:val="10"/>
          <w:szCs w:val="28"/>
          <w:rtl/>
        </w:rPr>
        <w:t xml:space="preserve"> במילים אחרות, דעתי היא כי</w:t>
      </w:r>
      <w:r w:rsidRPr="00222FF7">
        <w:rPr>
          <w:rFonts w:ascii="Century" w:hAnsi="Century" w:cs="FrankRuehl"/>
          <w:spacing w:val="10"/>
          <w:szCs w:val="28"/>
          <w:rtl/>
        </w:rPr>
        <w:t xml:space="preserve"> ברגיל כאשר מדובר במקרה הנסב על התקשרות ראשונית בין הממונה לגורם מיישב, </w:t>
      </w:r>
      <w:r>
        <w:rPr>
          <w:rFonts w:ascii="Century" w:hAnsi="Century" w:cs="FrankRuehl" w:hint="cs"/>
          <w:spacing w:val="10"/>
          <w:szCs w:val="28"/>
          <w:rtl/>
        </w:rPr>
        <w:t>בחינת</w:t>
      </w:r>
      <w:r w:rsidRPr="00222FF7">
        <w:rPr>
          <w:rFonts w:ascii="Century" w:hAnsi="Century" w:cs="FrankRuehl"/>
          <w:spacing w:val="10"/>
          <w:szCs w:val="28"/>
          <w:rtl/>
        </w:rPr>
        <w:t xml:space="preserve"> תום הלב צריכה לתת את הדעת </w:t>
      </w:r>
      <w:r w:rsidRPr="00222FF7">
        <w:rPr>
          <w:rFonts w:ascii="Century" w:hAnsi="Century" w:cs="FrankRuehl" w:hint="eastAsia"/>
          <w:spacing w:val="10"/>
          <w:szCs w:val="28"/>
          <w:rtl/>
        </w:rPr>
        <w:t>גם</w:t>
      </w:r>
      <w:r w:rsidRPr="00222FF7">
        <w:rPr>
          <w:rFonts w:ascii="Century" w:hAnsi="Century" w:cs="FrankRuehl"/>
          <w:spacing w:val="10"/>
          <w:szCs w:val="28"/>
          <w:rtl/>
        </w:rPr>
        <w:t xml:space="preserve"> </w:t>
      </w:r>
      <w:r w:rsidRPr="00222FF7">
        <w:rPr>
          <w:rFonts w:ascii="Century" w:hAnsi="Century" w:cs="FrankRuehl" w:hint="eastAsia"/>
          <w:spacing w:val="10"/>
          <w:szCs w:val="28"/>
          <w:rtl/>
        </w:rPr>
        <w:t>לדרך</w:t>
      </w:r>
      <w:r w:rsidRPr="00222FF7">
        <w:rPr>
          <w:rFonts w:ascii="Century" w:hAnsi="Century" w:cs="FrankRuehl"/>
          <w:spacing w:val="10"/>
          <w:szCs w:val="28"/>
          <w:rtl/>
        </w:rPr>
        <w:t xml:space="preserve"> התנהלותם של "מתקשרי הקצה", ובענייננו</w:t>
      </w:r>
      <w:r w:rsidRPr="00222FF7">
        <w:rPr>
          <w:rFonts w:ascii="Century" w:hAnsi="Century" w:cs="FrankRuehl" w:hint="cs"/>
          <w:spacing w:val="10"/>
          <w:szCs w:val="28"/>
          <w:rtl/>
        </w:rPr>
        <w:t xml:space="preserve"> </w:t>
      </w:r>
      <w:r w:rsidRPr="00222FF7">
        <w:rPr>
          <w:rFonts w:ascii="Century" w:hAnsi="Century" w:cs="FrankRuehl"/>
          <w:spacing w:val="10"/>
          <w:szCs w:val="28"/>
          <w:rtl/>
        </w:rPr>
        <w:t>–</w:t>
      </w:r>
      <w:r w:rsidRPr="00222FF7">
        <w:rPr>
          <w:rFonts w:ascii="Century" w:hAnsi="Century" w:cs="FrankRuehl" w:hint="cs"/>
          <w:spacing w:val="10"/>
          <w:szCs w:val="28"/>
          <w:rtl/>
        </w:rPr>
        <w:t xml:space="preserve"> </w:t>
      </w:r>
      <w:r w:rsidRPr="00222FF7">
        <w:rPr>
          <w:rFonts w:ascii="Century" w:hAnsi="Century" w:cs="FrankRuehl"/>
          <w:spacing w:val="10"/>
          <w:szCs w:val="28"/>
          <w:rtl/>
        </w:rPr>
        <w:t xml:space="preserve">מי שבנו את ביתם במצפה כרמים בהסתמך על ההתקשרות </w:t>
      </w:r>
      <w:r w:rsidRPr="00222FF7">
        <w:rPr>
          <w:rFonts w:ascii="Century" w:hAnsi="Century" w:cs="FrankRuehl" w:hint="eastAsia"/>
          <w:spacing w:val="10"/>
          <w:szCs w:val="28"/>
          <w:rtl/>
        </w:rPr>
        <w:t>בין</w:t>
      </w:r>
      <w:r w:rsidRPr="00222FF7">
        <w:rPr>
          <w:rFonts w:ascii="Century" w:hAnsi="Century" w:cs="FrankRuehl"/>
          <w:spacing w:val="10"/>
          <w:szCs w:val="28"/>
          <w:rtl/>
        </w:rPr>
        <w:t xml:space="preserve"> </w:t>
      </w:r>
      <w:r w:rsidRPr="00222FF7">
        <w:rPr>
          <w:rFonts w:ascii="Century" w:hAnsi="Century" w:cs="FrankRuehl" w:hint="eastAsia"/>
          <w:spacing w:val="10"/>
          <w:szCs w:val="28"/>
          <w:rtl/>
        </w:rPr>
        <w:t>הממונה</w:t>
      </w:r>
      <w:r w:rsidRPr="00222FF7">
        <w:rPr>
          <w:rFonts w:ascii="Century" w:hAnsi="Century" w:cs="FrankRuehl"/>
          <w:spacing w:val="10"/>
          <w:szCs w:val="28"/>
          <w:rtl/>
        </w:rPr>
        <w:t xml:space="preserve"> </w:t>
      </w:r>
      <w:r w:rsidRPr="00222FF7">
        <w:rPr>
          <w:rFonts w:ascii="Century" w:hAnsi="Century" w:cs="FrankRuehl" w:hint="eastAsia"/>
          <w:spacing w:val="10"/>
          <w:szCs w:val="28"/>
          <w:rtl/>
        </w:rPr>
        <w:t>לבין</w:t>
      </w:r>
      <w:r w:rsidRPr="00222FF7">
        <w:rPr>
          <w:rFonts w:ascii="Century" w:hAnsi="Century" w:cs="FrankRuehl"/>
          <w:spacing w:val="10"/>
          <w:szCs w:val="28"/>
          <w:rtl/>
        </w:rPr>
        <w:t xml:space="preserve"> </w:t>
      </w:r>
      <w:r w:rsidRPr="00222FF7">
        <w:rPr>
          <w:rFonts w:ascii="Century" w:hAnsi="Century" w:cs="FrankRuehl" w:hint="eastAsia"/>
          <w:spacing w:val="10"/>
          <w:szCs w:val="28"/>
          <w:rtl/>
        </w:rPr>
        <w:t>ההסתדרות</w:t>
      </w:r>
      <w:r w:rsidRPr="00222FF7">
        <w:rPr>
          <w:rFonts w:ascii="Century" w:hAnsi="Century" w:cs="FrankRuehl"/>
          <w:spacing w:val="10"/>
          <w:szCs w:val="28"/>
          <w:rtl/>
        </w:rPr>
        <w:t xml:space="preserve">. </w:t>
      </w:r>
      <w:r w:rsidRPr="00222FF7">
        <w:rPr>
          <w:rFonts w:ascii="Century" w:hAnsi="Century" w:cs="FrankRuehl" w:hint="eastAsia"/>
          <w:spacing w:val="10"/>
          <w:szCs w:val="28"/>
          <w:rtl/>
        </w:rPr>
        <w:t>על</w:t>
      </w:r>
      <w:r w:rsidRPr="00222FF7">
        <w:rPr>
          <w:rFonts w:ascii="Century" w:hAnsi="Century" w:cs="FrankRuehl"/>
          <w:spacing w:val="10"/>
          <w:szCs w:val="28"/>
          <w:rtl/>
        </w:rPr>
        <w:t xml:space="preserve"> רקע זה, </w:t>
      </w:r>
      <w:r w:rsidRPr="00222FF7">
        <w:rPr>
          <w:rFonts w:ascii="Century" w:hAnsi="Century" w:cs="FrankRuehl" w:hint="eastAsia"/>
          <w:spacing w:val="10"/>
          <w:szCs w:val="28"/>
          <w:rtl/>
        </w:rPr>
        <w:t>אני</w:t>
      </w:r>
      <w:r w:rsidRPr="00222FF7">
        <w:rPr>
          <w:rFonts w:ascii="Century" w:hAnsi="Century" w:cs="FrankRuehl"/>
          <w:spacing w:val="10"/>
          <w:szCs w:val="28"/>
          <w:rtl/>
        </w:rPr>
        <w:t xml:space="preserve"> </w:t>
      </w:r>
      <w:r w:rsidRPr="00222FF7">
        <w:rPr>
          <w:rFonts w:ascii="Century" w:hAnsi="Century" w:cs="FrankRuehl" w:hint="eastAsia"/>
          <w:spacing w:val="10"/>
          <w:szCs w:val="28"/>
          <w:rtl/>
        </w:rPr>
        <w:t>מוצאת</w:t>
      </w:r>
      <w:r w:rsidRPr="00222FF7">
        <w:rPr>
          <w:rFonts w:ascii="Century" w:hAnsi="Century" w:cs="FrankRuehl"/>
          <w:spacing w:val="10"/>
          <w:szCs w:val="28"/>
          <w:rtl/>
        </w:rPr>
        <w:t xml:space="preserve"> </w:t>
      </w:r>
      <w:r w:rsidRPr="00222FF7">
        <w:rPr>
          <w:rFonts w:ascii="Century" w:hAnsi="Century" w:cs="FrankRuehl" w:hint="eastAsia"/>
          <w:spacing w:val="10"/>
          <w:szCs w:val="28"/>
          <w:rtl/>
        </w:rPr>
        <w:t>קושי</w:t>
      </w:r>
      <w:r w:rsidRPr="00222FF7">
        <w:rPr>
          <w:rFonts w:ascii="Century" w:hAnsi="Century" w:cs="FrankRuehl"/>
          <w:spacing w:val="10"/>
          <w:szCs w:val="28"/>
          <w:rtl/>
        </w:rPr>
        <w:t xml:space="preserve"> </w:t>
      </w:r>
      <w:r w:rsidRPr="00222FF7">
        <w:rPr>
          <w:rFonts w:ascii="Century" w:hAnsi="Century" w:cs="FrankRuehl" w:hint="eastAsia"/>
          <w:spacing w:val="10"/>
          <w:szCs w:val="28"/>
          <w:rtl/>
        </w:rPr>
        <w:t>בכך</w:t>
      </w:r>
      <w:r w:rsidRPr="00222FF7">
        <w:rPr>
          <w:rFonts w:ascii="Century" w:hAnsi="Century" w:cs="FrankRuehl"/>
          <w:spacing w:val="10"/>
          <w:szCs w:val="28"/>
          <w:rtl/>
        </w:rPr>
        <w:t xml:space="preserve"> </w:t>
      </w:r>
      <w:r w:rsidRPr="00222FF7">
        <w:rPr>
          <w:rFonts w:ascii="Century" w:hAnsi="Century" w:cs="FrankRuehl" w:hint="eastAsia"/>
          <w:spacing w:val="10"/>
          <w:szCs w:val="28"/>
          <w:rtl/>
        </w:rPr>
        <w:t>שהניתוח</w:t>
      </w:r>
      <w:r w:rsidRPr="00222FF7">
        <w:rPr>
          <w:rFonts w:ascii="Century" w:hAnsi="Century" w:cs="FrankRuehl"/>
          <w:spacing w:val="10"/>
          <w:szCs w:val="28"/>
          <w:rtl/>
        </w:rPr>
        <w:t xml:space="preserve"> </w:t>
      </w:r>
      <w:r w:rsidRPr="00222FF7">
        <w:rPr>
          <w:rFonts w:ascii="Century" w:hAnsi="Century" w:cs="FrankRuehl" w:hint="eastAsia"/>
          <w:spacing w:val="10"/>
          <w:szCs w:val="28"/>
          <w:rtl/>
        </w:rPr>
        <w:t>המשפטי</w:t>
      </w:r>
      <w:r w:rsidRPr="00222FF7">
        <w:rPr>
          <w:rFonts w:ascii="Century" w:hAnsi="Century" w:cs="FrankRuehl"/>
          <w:spacing w:val="10"/>
          <w:szCs w:val="28"/>
          <w:rtl/>
        </w:rPr>
        <w:t xml:space="preserve"> </w:t>
      </w:r>
      <w:r w:rsidRPr="00222FF7">
        <w:rPr>
          <w:rFonts w:ascii="Century" w:hAnsi="Century" w:cs="FrankRuehl" w:hint="eastAsia"/>
          <w:spacing w:val="10"/>
          <w:szCs w:val="28"/>
          <w:rtl/>
        </w:rPr>
        <w:t>לכל</w:t>
      </w:r>
      <w:r w:rsidRPr="00222FF7">
        <w:rPr>
          <w:rFonts w:ascii="Century" w:hAnsi="Century" w:cs="FrankRuehl"/>
          <w:spacing w:val="10"/>
          <w:szCs w:val="28"/>
          <w:rtl/>
        </w:rPr>
        <w:t xml:space="preserve"> </w:t>
      </w:r>
      <w:r w:rsidRPr="00222FF7">
        <w:rPr>
          <w:rFonts w:ascii="Century" w:hAnsi="Century" w:cs="FrankRuehl" w:hint="eastAsia"/>
          <w:spacing w:val="10"/>
          <w:szCs w:val="28"/>
          <w:rtl/>
        </w:rPr>
        <w:t>אורכה</w:t>
      </w:r>
      <w:r w:rsidRPr="00222FF7">
        <w:rPr>
          <w:rFonts w:ascii="Century" w:hAnsi="Century" w:cs="FrankRuehl"/>
          <w:spacing w:val="10"/>
          <w:szCs w:val="28"/>
          <w:rtl/>
        </w:rPr>
        <w:t xml:space="preserve"> של ההתדיינות המשפטית </w:t>
      </w:r>
      <w:r w:rsidRPr="00222FF7">
        <w:rPr>
          <w:rFonts w:ascii="Century" w:hAnsi="Century" w:cs="FrankRuehl" w:hint="cs"/>
          <w:spacing w:val="10"/>
          <w:szCs w:val="28"/>
          <w:rtl/>
        </w:rPr>
        <w:t>רבת השנים</w:t>
      </w:r>
      <w:r w:rsidRPr="00222FF7">
        <w:rPr>
          <w:rFonts w:ascii="Century" w:hAnsi="Century" w:cs="FrankRuehl"/>
          <w:spacing w:val="10"/>
          <w:szCs w:val="28"/>
          <w:rtl/>
        </w:rPr>
        <w:t xml:space="preserve"> בענייננו לא כלל התייחסות משמעותית להיבטים אלו. כך, הלכה למעשה, הדיון </w:t>
      </w:r>
      <w:r w:rsidRPr="00222FF7">
        <w:rPr>
          <w:rFonts w:ascii="Century" w:hAnsi="Century" w:cs="FrankRuehl" w:hint="cs"/>
          <w:spacing w:val="10"/>
          <w:szCs w:val="28"/>
          <w:rtl/>
        </w:rPr>
        <w:t>התמקד ברובו ב</w:t>
      </w:r>
      <w:r w:rsidRPr="00222FF7">
        <w:rPr>
          <w:rFonts w:ascii="Century" w:hAnsi="Century" w:cs="FrankRuehl"/>
          <w:spacing w:val="10"/>
          <w:szCs w:val="28"/>
          <w:rtl/>
        </w:rPr>
        <w:t xml:space="preserve">שאלת התנהלותם והלך רוחם של גורמי הממונה </w:t>
      </w:r>
      <w:r w:rsidRPr="00222FF7">
        <w:rPr>
          <w:rFonts w:ascii="Century" w:hAnsi="Century" w:cs="FrankRuehl" w:hint="eastAsia"/>
          <w:spacing w:val="10"/>
          <w:szCs w:val="28"/>
          <w:rtl/>
        </w:rPr>
        <w:t>וההסתדרות</w:t>
      </w:r>
      <w:r w:rsidRPr="00222FF7">
        <w:rPr>
          <w:rFonts w:ascii="Century" w:hAnsi="Century" w:cs="FrankRuehl"/>
          <w:spacing w:val="10"/>
          <w:szCs w:val="28"/>
          <w:rtl/>
        </w:rPr>
        <w:t xml:space="preserve"> בתקופות הרלוונטיות. </w:t>
      </w:r>
    </w:p>
    <w:p w:rsidR="005B1A77" w:rsidRPr="00222FF7" w:rsidRDefault="005B1A77" w:rsidP="005B1A77">
      <w:pPr>
        <w:spacing w:line="360" w:lineRule="auto"/>
        <w:jc w:val="both"/>
        <w:rPr>
          <w:rFonts w:ascii="Century" w:hAnsi="Century" w:cs="FrankRuehl"/>
          <w:spacing w:val="10"/>
          <w:szCs w:val="28"/>
          <w:rtl/>
        </w:rPr>
      </w:pPr>
    </w:p>
    <w:p w:rsidR="005B1A77" w:rsidRPr="00222FF7" w:rsidRDefault="005B1A77" w:rsidP="005B1A77">
      <w:pPr>
        <w:spacing w:line="360" w:lineRule="auto"/>
        <w:jc w:val="both"/>
        <w:rPr>
          <w:rFonts w:ascii="Century" w:hAnsi="Century" w:cs="FrankRuehl"/>
          <w:spacing w:val="10"/>
          <w:szCs w:val="28"/>
          <w:rtl/>
        </w:rPr>
      </w:pPr>
      <w:r>
        <w:rPr>
          <w:rFonts w:ascii="Century" w:hAnsi="Century" w:cs="FrankRuehl" w:hint="cs"/>
          <w:spacing w:val="10"/>
          <w:szCs w:val="28"/>
          <w:rtl/>
        </w:rPr>
        <w:t>32</w:t>
      </w:r>
      <w:r w:rsidRPr="00222FF7">
        <w:rPr>
          <w:rFonts w:ascii="Century" w:hAnsi="Century" w:cs="FrankRuehl" w:hint="cs"/>
          <w:spacing w:val="10"/>
          <w:szCs w:val="28"/>
          <w:rtl/>
        </w:rPr>
        <w:t>.</w:t>
      </w:r>
      <w:r w:rsidRPr="00222FF7">
        <w:rPr>
          <w:rFonts w:ascii="Century" w:hAnsi="Century" w:cs="FrankRuehl" w:hint="cs"/>
          <w:spacing w:val="10"/>
          <w:szCs w:val="28"/>
          <w:rtl/>
        </w:rPr>
        <w:tab/>
        <w:t xml:space="preserve">על רקע זה, בהינתן </w:t>
      </w:r>
      <w:r>
        <w:rPr>
          <w:rFonts w:ascii="Century" w:hAnsi="Century" w:cs="FrankRuehl" w:hint="cs"/>
          <w:spacing w:val="10"/>
          <w:szCs w:val="28"/>
          <w:rtl/>
        </w:rPr>
        <w:t>הקשיים</w:t>
      </w:r>
      <w:r w:rsidRPr="00222FF7">
        <w:rPr>
          <w:rFonts w:ascii="Century" w:hAnsi="Century" w:cs="FrankRuehl"/>
          <w:spacing w:val="10"/>
          <w:szCs w:val="28"/>
          <w:rtl/>
        </w:rPr>
        <w:t xml:space="preserve"> </w:t>
      </w:r>
      <w:r>
        <w:rPr>
          <w:rFonts w:ascii="Century" w:hAnsi="Century" w:cs="FrankRuehl" w:hint="cs"/>
          <w:spacing w:val="10"/>
          <w:szCs w:val="28"/>
          <w:rtl/>
        </w:rPr>
        <w:t>הברורים</w:t>
      </w:r>
      <w:r w:rsidRPr="00222FF7">
        <w:rPr>
          <w:rFonts w:ascii="Century" w:hAnsi="Century" w:cs="FrankRuehl"/>
          <w:spacing w:val="10"/>
          <w:szCs w:val="28"/>
          <w:rtl/>
        </w:rPr>
        <w:t xml:space="preserve"> הנובע</w:t>
      </w:r>
      <w:r>
        <w:rPr>
          <w:rFonts w:ascii="Century" w:hAnsi="Century" w:cs="FrankRuehl" w:hint="cs"/>
          <w:spacing w:val="10"/>
          <w:szCs w:val="28"/>
          <w:rtl/>
        </w:rPr>
        <w:t>ים</w:t>
      </w:r>
      <w:r w:rsidRPr="00222FF7">
        <w:rPr>
          <w:rFonts w:ascii="Century" w:hAnsi="Century" w:cs="FrankRuehl"/>
          <w:spacing w:val="10"/>
          <w:szCs w:val="28"/>
          <w:rtl/>
        </w:rPr>
        <w:t xml:space="preserve"> מן השלב הדיוני המתקדם שבו אנו מצויים, ובשים לב לתשתית העובדתית שנפרסה בפנינו</w:t>
      </w:r>
      <w:r w:rsidRPr="00222FF7">
        <w:rPr>
          <w:rFonts w:ascii="Century" w:hAnsi="Century" w:cs="FrankRuehl" w:hint="cs"/>
          <w:spacing w:val="10"/>
          <w:szCs w:val="28"/>
          <w:rtl/>
        </w:rPr>
        <w:t xml:space="preserve"> (חרף מגבלותיה)</w:t>
      </w:r>
      <w:r w:rsidRPr="00222FF7">
        <w:rPr>
          <w:rFonts w:ascii="Century" w:hAnsi="Century" w:cs="FrankRuehl"/>
          <w:spacing w:val="10"/>
          <w:szCs w:val="28"/>
          <w:rtl/>
        </w:rPr>
        <w:t xml:space="preserve">, אני סבורה כי ניתן לומר </w:t>
      </w:r>
      <w:r w:rsidRPr="00222FF7">
        <w:rPr>
          <w:rFonts w:ascii="Century" w:hAnsi="Century" w:cs="FrankRuehl" w:hint="eastAsia"/>
          <w:spacing w:val="10"/>
          <w:szCs w:val="28"/>
          <w:rtl/>
        </w:rPr>
        <w:t>שאף</w:t>
      </w:r>
      <w:r w:rsidRPr="00222FF7">
        <w:rPr>
          <w:rFonts w:ascii="Century" w:hAnsi="Century" w:cs="FrankRuehl"/>
          <w:spacing w:val="10"/>
          <w:szCs w:val="28"/>
          <w:rtl/>
        </w:rPr>
        <w:t xml:space="preserve"> </w:t>
      </w:r>
      <w:r w:rsidRPr="00222FF7">
        <w:rPr>
          <w:rFonts w:ascii="Century" w:hAnsi="Century" w:cs="FrankRuehl" w:hint="eastAsia"/>
          <w:spacing w:val="10"/>
          <w:szCs w:val="28"/>
          <w:rtl/>
        </w:rPr>
        <w:t>המחזיקים</w:t>
      </w:r>
      <w:r w:rsidRPr="00222FF7">
        <w:rPr>
          <w:rFonts w:ascii="Century" w:hAnsi="Century" w:cs="FrankRuehl"/>
          <w:spacing w:val="10"/>
          <w:szCs w:val="28"/>
          <w:rtl/>
        </w:rPr>
        <w:t xml:space="preserve"> </w:t>
      </w:r>
      <w:r w:rsidRPr="00222FF7">
        <w:rPr>
          <w:rFonts w:ascii="Century" w:hAnsi="Century" w:cs="FrankRuehl" w:hint="eastAsia"/>
          <w:spacing w:val="10"/>
          <w:szCs w:val="28"/>
          <w:rtl/>
        </w:rPr>
        <w:t>עמדו</w:t>
      </w:r>
      <w:r w:rsidRPr="00222FF7">
        <w:rPr>
          <w:rFonts w:ascii="Century" w:hAnsi="Century" w:cs="FrankRuehl"/>
          <w:spacing w:val="10"/>
          <w:szCs w:val="28"/>
          <w:rtl/>
        </w:rPr>
        <w:t xml:space="preserve"> </w:t>
      </w:r>
      <w:r w:rsidRPr="00222FF7">
        <w:rPr>
          <w:rFonts w:ascii="Century" w:hAnsi="Century" w:cs="FrankRuehl" w:hint="eastAsia"/>
          <w:spacing w:val="10"/>
          <w:szCs w:val="28"/>
          <w:rtl/>
        </w:rPr>
        <w:t>ברף</w:t>
      </w:r>
      <w:r w:rsidRPr="00222FF7">
        <w:rPr>
          <w:rFonts w:ascii="Century" w:hAnsi="Century" w:cs="FrankRuehl"/>
          <w:spacing w:val="10"/>
          <w:szCs w:val="28"/>
          <w:rtl/>
        </w:rPr>
        <w:t xml:space="preserve"> </w:t>
      </w:r>
      <w:r w:rsidRPr="00222FF7">
        <w:rPr>
          <w:rFonts w:ascii="Century" w:hAnsi="Century" w:cs="FrankRuehl" w:hint="eastAsia"/>
          <w:spacing w:val="10"/>
          <w:szCs w:val="28"/>
          <w:rtl/>
        </w:rPr>
        <w:t>תום</w:t>
      </w:r>
      <w:r w:rsidRPr="00222FF7">
        <w:rPr>
          <w:rFonts w:ascii="Century" w:hAnsi="Century" w:cs="FrankRuehl"/>
          <w:spacing w:val="10"/>
          <w:szCs w:val="28"/>
          <w:rtl/>
        </w:rPr>
        <w:t xml:space="preserve"> </w:t>
      </w:r>
      <w:r w:rsidRPr="00222FF7">
        <w:rPr>
          <w:rFonts w:ascii="Century" w:hAnsi="Century" w:cs="FrankRuehl" w:hint="eastAsia"/>
          <w:spacing w:val="10"/>
          <w:szCs w:val="28"/>
          <w:rtl/>
        </w:rPr>
        <w:t>הלב</w:t>
      </w:r>
      <w:r w:rsidRPr="00222FF7">
        <w:rPr>
          <w:rFonts w:ascii="Century" w:hAnsi="Century" w:cs="FrankRuehl"/>
          <w:spacing w:val="10"/>
          <w:szCs w:val="28"/>
          <w:rtl/>
        </w:rPr>
        <w:t xml:space="preserve"> </w:t>
      </w:r>
      <w:r w:rsidRPr="00222FF7">
        <w:rPr>
          <w:rFonts w:ascii="Century" w:hAnsi="Century" w:cs="FrankRuehl" w:hint="eastAsia"/>
          <w:spacing w:val="10"/>
          <w:szCs w:val="28"/>
          <w:rtl/>
        </w:rPr>
        <w:t>הנדרש</w:t>
      </w:r>
      <w:r w:rsidRPr="00222FF7">
        <w:rPr>
          <w:rFonts w:ascii="Century" w:hAnsi="Century" w:cs="FrankRuehl"/>
          <w:spacing w:val="10"/>
          <w:szCs w:val="28"/>
          <w:rtl/>
        </w:rPr>
        <w:t xml:space="preserve"> </w:t>
      </w:r>
      <w:r w:rsidRPr="00222FF7">
        <w:rPr>
          <w:rFonts w:ascii="Century" w:hAnsi="Century" w:cs="FrankRuehl" w:hint="eastAsia"/>
          <w:spacing w:val="10"/>
          <w:szCs w:val="28"/>
          <w:rtl/>
        </w:rPr>
        <w:t>מהם</w:t>
      </w:r>
      <w:r w:rsidRPr="00222FF7">
        <w:rPr>
          <w:rFonts w:ascii="Century" w:hAnsi="Century" w:cs="FrankRuehl" w:hint="cs"/>
          <w:spacing w:val="10"/>
          <w:szCs w:val="28"/>
          <w:rtl/>
        </w:rPr>
        <w:t xml:space="preserve">. </w:t>
      </w:r>
      <w:r w:rsidRPr="00222FF7">
        <w:rPr>
          <w:rFonts w:ascii="Century" w:hAnsi="Century" w:cs="FrankRuehl" w:hint="eastAsia"/>
          <w:spacing w:val="10"/>
          <w:szCs w:val="28"/>
          <w:rtl/>
        </w:rPr>
        <w:t>למעשה</w:t>
      </w:r>
      <w:r w:rsidRPr="00222FF7">
        <w:rPr>
          <w:rFonts w:ascii="Century" w:hAnsi="Century" w:cs="FrankRuehl"/>
          <w:spacing w:val="10"/>
          <w:szCs w:val="28"/>
          <w:rtl/>
        </w:rPr>
        <w:t xml:space="preserve">, </w:t>
      </w:r>
      <w:r w:rsidRPr="00222FF7">
        <w:rPr>
          <w:rFonts w:ascii="Century" w:hAnsi="Century" w:cs="FrankRuehl" w:hint="eastAsia"/>
          <w:spacing w:val="10"/>
          <w:szCs w:val="28"/>
          <w:rtl/>
        </w:rPr>
        <w:t>וכפי</w:t>
      </w:r>
      <w:r w:rsidRPr="00222FF7">
        <w:rPr>
          <w:rFonts w:ascii="Century" w:hAnsi="Century" w:cs="FrankRuehl"/>
          <w:spacing w:val="10"/>
          <w:szCs w:val="28"/>
          <w:rtl/>
        </w:rPr>
        <w:t xml:space="preserve"> שציין השופט</w:t>
      </w:r>
      <w:r w:rsidRPr="00D35FB5">
        <w:rPr>
          <w:rFonts w:ascii="Century" w:hAnsi="Century" w:cs="FrankRuehl"/>
          <w:spacing w:val="10"/>
          <w:szCs w:val="28"/>
          <w:rtl/>
        </w:rPr>
        <w:t xml:space="preserve"> </w:t>
      </w:r>
      <w:r w:rsidRPr="00222FF7">
        <w:rPr>
          <w:rFonts w:ascii="Century" w:hAnsi="Century" w:cs="Miriam" w:hint="eastAsia"/>
          <w:b/>
          <w:rtl/>
        </w:rPr>
        <w:t>עמית</w:t>
      </w:r>
      <w:r w:rsidRPr="00222FF7">
        <w:rPr>
          <w:rFonts w:ascii="Century" w:hAnsi="Century" w:cs="FrankRuehl"/>
          <w:spacing w:val="10"/>
          <w:szCs w:val="28"/>
          <w:rtl/>
        </w:rPr>
        <w:t xml:space="preserve"> </w:t>
      </w:r>
      <w:r w:rsidRPr="00222FF7">
        <w:rPr>
          <w:rFonts w:ascii="Century" w:hAnsi="Century" w:cs="FrankRuehl" w:hint="cs"/>
          <w:spacing w:val="10"/>
          <w:szCs w:val="28"/>
          <w:rtl/>
        </w:rPr>
        <w:t>(</w:t>
      </w:r>
      <w:r w:rsidRPr="00222FF7">
        <w:rPr>
          <w:rFonts w:ascii="Century" w:hAnsi="Century" w:cs="FrankRuehl"/>
          <w:spacing w:val="10"/>
          <w:szCs w:val="28"/>
          <w:rtl/>
        </w:rPr>
        <w:t xml:space="preserve">כמפורט </w:t>
      </w:r>
      <w:r w:rsidRPr="00222FF7">
        <w:rPr>
          <w:rFonts w:ascii="Century" w:hAnsi="Century" w:cs="FrankRuehl" w:hint="eastAsia"/>
          <w:spacing w:val="10"/>
          <w:szCs w:val="28"/>
          <w:rtl/>
        </w:rPr>
        <w:t>גם</w:t>
      </w:r>
      <w:r w:rsidRPr="00222FF7">
        <w:rPr>
          <w:rFonts w:ascii="Century" w:hAnsi="Century" w:cs="FrankRuehl"/>
          <w:spacing w:val="10"/>
          <w:szCs w:val="28"/>
          <w:rtl/>
        </w:rPr>
        <w:t xml:space="preserve"> </w:t>
      </w:r>
      <w:r w:rsidRPr="00222FF7">
        <w:rPr>
          <w:rFonts w:ascii="Century" w:hAnsi="Century" w:cs="FrankRuehl" w:hint="eastAsia"/>
          <w:spacing w:val="10"/>
          <w:szCs w:val="28"/>
          <w:rtl/>
        </w:rPr>
        <w:t>בפסקאות</w:t>
      </w:r>
      <w:r w:rsidRPr="00222FF7">
        <w:rPr>
          <w:rFonts w:ascii="Century" w:hAnsi="Century" w:cs="FrankRuehl" w:hint="cs"/>
          <w:spacing w:val="10"/>
          <w:szCs w:val="28"/>
          <w:rtl/>
        </w:rPr>
        <w:t xml:space="preserve"> 15-13 </w:t>
      </w:r>
      <w:r w:rsidRPr="00222FF7">
        <w:rPr>
          <w:rFonts w:ascii="Century" w:hAnsi="Century" w:cs="FrankRuehl" w:hint="eastAsia"/>
          <w:spacing w:val="10"/>
          <w:szCs w:val="28"/>
          <w:rtl/>
        </w:rPr>
        <w:t>לפסק</w:t>
      </w:r>
      <w:r w:rsidRPr="00222FF7">
        <w:rPr>
          <w:rFonts w:ascii="Century" w:hAnsi="Century" w:cs="FrankRuehl"/>
          <w:spacing w:val="10"/>
          <w:szCs w:val="28"/>
          <w:rtl/>
        </w:rPr>
        <w:t xml:space="preserve"> </w:t>
      </w:r>
      <w:r w:rsidRPr="00222FF7">
        <w:rPr>
          <w:rFonts w:ascii="Century" w:hAnsi="Century" w:cs="FrankRuehl" w:hint="eastAsia"/>
          <w:spacing w:val="10"/>
          <w:szCs w:val="28"/>
          <w:rtl/>
        </w:rPr>
        <w:t>דינו</w:t>
      </w:r>
      <w:r w:rsidRPr="00222FF7">
        <w:rPr>
          <w:rFonts w:ascii="Century" w:hAnsi="Century" w:cs="FrankRuehl" w:hint="cs"/>
          <w:spacing w:val="10"/>
          <w:szCs w:val="28"/>
          <w:rtl/>
        </w:rPr>
        <w:t>)</w:t>
      </w:r>
      <w:r w:rsidRPr="00222FF7">
        <w:rPr>
          <w:rFonts w:ascii="Century" w:hAnsi="Century" w:cs="FrankRuehl"/>
          <w:spacing w:val="10"/>
          <w:szCs w:val="28"/>
          <w:rtl/>
        </w:rPr>
        <w:t xml:space="preserve"> </w:t>
      </w:r>
      <w:r w:rsidRPr="00222FF7">
        <w:rPr>
          <w:rFonts w:ascii="Century" w:hAnsi="Century" w:cs="FrankRuehl" w:hint="eastAsia"/>
          <w:spacing w:val="10"/>
          <w:szCs w:val="28"/>
          <w:rtl/>
        </w:rPr>
        <w:t>דומה</w:t>
      </w:r>
      <w:r w:rsidRPr="00222FF7">
        <w:rPr>
          <w:rFonts w:ascii="Century" w:hAnsi="Century" w:cs="FrankRuehl"/>
          <w:spacing w:val="10"/>
          <w:szCs w:val="28"/>
          <w:rtl/>
        </w:rPr>
        <w:t xml:space="preserve"> ש</w:t>
      </w:r>
      <w:r w:rsidRPr="00222FF7">
        <w:rPr>
          <w:rFonts w:ascii="Century" w:hAnsi="Century" w:cs="FrankRuehl" w:hint="eastAsia"/>
          <w:spacing w:val="10"/>
          <w:szCs w:val="28"/>
          <w:rtl/>
        </w:rPr>
        <w:t>שאלת</w:t>
      </w:r>
      <w:r w:rsidRPr="00222FF7">
        <w:rPr>
          <w:rFonts w:ascii="Century" w:hAnsi="Century" w:cs="FrankRuehl"/>
          <w:spacing w:val="10"/>
          <w:szCs w:val="28"/>
          <w:rtl/>
        </w:rPr>
        <w:t xml:space="preserve"> </w:t>
      </w:r>
      <w:r w:rsidRPr="00222FF7">
        <w:rPr>
          <w:rFonts w:ascii="Century" w:hAnsi="Century" w:cs="FrankRuehl" w:hint="eastAsia"/>
          <w:spacing w:val="10"/>
          <w:szCs w:val="28"/>
          <w:rtl/>
        </w:rPr>
        <w:t>תום</w:t>
      </w:r>
      <w:r w:rsidRPr="00222FF7">
        <w:rPr>
          <w:rFonts w:ascii="Century" w:hAnsi="Century" w:cs="FrankRuehl"/>
          <w:spacing w:val="10"/>
          <w:szCs w:val="28"/>
          <w:rtl/>
        </w:rPr>
        <w:t xml:space="preserve"> </w:t>
      </w:r>
      <w:r w:rsidRPr="00222FF7">
        <w:rPr>
          <w:rFonts w:ascii="Century" w:hAnsi="Century" w:cs="FrankRuehl" w:hint="eastAsia"/>
          <w:spacing w:val="10"/>
          <w:szCs w:val="28"/>
          <w:rtl/>
        </w:rPr>
        <w:t>ליבם</w:t>
      </w:r>
      <w:r w:rsidRPr="00222FF7">
        <w:rPr>
          <w:rFonts w:ascii="Century" w:hAnsi="Century" w:cs="FrankRuehl"/>
          <w:spacing w:val="10"/>
          <w:szCs w:val="28"/>
          <w:rtl/>
        </w:rPr>
        <w:t xml:space="preserve"> </w:t>
      </w:r>
      <w:r w:rsidRPr="00222FF7">
        <w:rPr>
          <w:rFonts w:ascii="Century" w:hAnsi="Century" w:cs="FrankRuehl" w:hint="eastAsia"/>
          <w:spacing w:val="10"/>
          <w:szCs w:val="28"/>
          <w:rtl/>
        </w:rPr>
        <w:t>של</w:t>
      </w:r>
      <w:r w:rsidRPr="00222FF7">
        <w:rPr>
          <w:rFonts w:ascii="Century" w:hAnsi="Century" w:cs="FrankRuehl"/>
          <w:spacing w:val="10"/>
          <w:szCs w:val="28"/>
          <w:rtl/>
        </w:rPr>
        <w:t xml:space="preserve"> </w:t>
      </w:r>
      <w:r w:rsidRPr="00222FF7">
        <w:rPr>
          <w:rFonts w:ascii="Century" w:hAnsi="Century" w:cs="FrankRuehl" w:hint="eastAsia"/>
          <w:spacing w:val="10"/>
          <w:szCs w:val="28"/>
          <w:rtl/>
        </w:rPr>
        <w:t>המחזיקים</w:t>
      </w:r>
      <w:r w:rsidRPr="00222FF7">
        <w:rPr>
          <w:rFonts w:ascii="Century" w:hAnsi="Century" w:cs="FrankRuehl"/>
          <w:spacing w:val="10"/>
          <w:szCs w:val="28"/>
          <w:rtl/>
        </w:rPr>
        <w:t xml:space="preserve"> </w:t>
      </w:r>
      <w:r w:rsidRPr="00222FF7">
        <w:rPr>
          <w:rFonts w:ascii="Century" w:hAnsi="Century" w:cs="FrankRuehl" w:hint="eastAsia"/>
          <w:spacing w:val="10"/>
          <w:szCs w:val="28"/>
          <w:rtl/>
        </w:rPr>
        <w:t>היוותה</w:t>
      </w:r>
      <w:r w:rsidRPr="00222FF7">
        <w:rPr>
          <w:rFonts w:ascii="Century" w:hAnsi="Century" w:cs="FrankRuehl"/>
          <w:spacing w:val="10"/>
          <w:szCs w:val="28"/>
          <w:rtl/>
        </w:rPr>
        <w:t xml:space="preserve"> </w:t>
      </w:r>
      <w:r w:rsidRPr="00222FF7">
        <w:rPr>
          <w:rFonts w:ascii="Century" w:hAnsi="Century" w:cs="FrankRuehl" w:hint="eastAsia"/>
          <w:spacing w:val="10"/>
          <w:szCs w:val="28"/>
          <w:rtl/>
        </w:rPr>
        <w:t>את</w:t>
      </w:r>
      <w:r w:rsidRPr="00222FF7">
        <w:rPr>
          <w:rFonts w:ascii="Century" w:hAnsi="Century" w:cs="FrankRuehl"/>
          <w:spacing w:val="10"/>
          <w:szCs w:val="28"/>
          <w:rtl/>
        </w:rPr>
        <w:t xml:space="preserve"> </w:t>
      </w:r>
      <w:r w:rsidRPr="00222FF7">
        <w:rPr>
          <w:rFonts w:ascii="Century" w:hAnsi="Century" w:cs="FrankRuehl" w:hint="eastAsia"/>
          <w:spacing w:val="10"/>
          <w:szCs w:val="28"/>
          <w:rtl/>
        </w:rPr>
        <w:t>נקודת</w:t>
      </w:r>
      <w:r w:rsidRPr="00222FF7">
        <w:rPr>
          <w:rFonts w:ascii="Century" w:hAnsi="Century" w:cs="FrankRuehl"/>
          <w:spacing w:val="10"/>
          <w:szCs w:val="28"/>
          <w:rtl/>
        </w:rPr>
        <w:t xml:space="preserve"> </w:t>
      </w:r>
      <w:r w:rsidRPr="00222FF7">
        <w:rPr>
          <w:rFonts w:ascii="Century" w:hAnsi="Century" w:cs="FrankRuehl" w:hint="eastAsia"/>
          <w:spacing w:val="10"/>
          <w:szCs w:val="28"/>
          <w:rtl/>
        </w:rPr>
        <w:t>המוצא</w:t>
      </w:r>
      <w:r w:rsidRPr="00222FF7">
        <w:rPr>
          <w:rFonts w:ascii="Century" w:hAnsi="Century" w:cs="FrankRuehl"/>
          <w:spacing w:val="10"/>
          <w:szCs w:val="28"/>
          <w:rtl/>
        </w:rPr>
        <w:t xml:space="preserve"> </w:t>
      </w:r>
      <w:r w:rsidRPr="00222FF7">
        <w:rPr>
          <w:rFonts w:ascii="Century" w:hAnsi="Century" w:cs="FrankRuehl" w:hint="eastAsia"/>
          <w:spacing w:val="10"/>
          <w:szCs w:val="28"/>
          <w:rtl/>
        </w:rPr>
        <w:t>לדיון</w:t>
      </w:r>
      <w:r w:rsidRPr="00222FF7">
        <w:rPr>
          <w:rFonts w:ascii="Century" w:hAnsi="Century" w:cs="FrankRuehl"/>
          <w:spacing w:val="10"/>
          <w:szCs w:val="28"/>
          <w:rtl/>
        </w:rPr>
        <w:t xml:space="preserve"> </w:t>
      </w:r>
      <w:r w:rsidRPr="00222FF7">
        <w:rPr>
          <w:rFonts w:ascii="Century" w:hAnsi="Century" w:cs="FrankRuehl" w:hint="cs"/>
          <w:spacing w:val="10"/>
          <w:szCs w:val="28"/>
          <w:rtl/>
        </w:rPr>
        <w:t xml:space="preserve">הנוסף המתקיים </w:t>
      </w:r>
      <w:r w:rsidRPr="00222FF7">
        <w:rPr>
          <w:rFonts w:ascii="Century" w:hAnsi="Century" w:cs="FrankRuehl" w:hint="eastAsia"/>
          <w:spacing w:val="10"/>
          <w:szCs w:val="28"/>
          <w:rtl/>
        </w:rPr>
        <w:t>בפנינו</w:t>
      </w:r>
      <w:r w:rsidRPr="00222FF7">
        <w:rPr>
          <w:rFonts w:ascii="Century" w:hAnsi="Century" w:cs="FrankRuehl"/>
          <w:spacing w:val="10"/>
          <w:szCs w:val="28"/>
          <w:rtl/>
        </w:rPr>
        <w:t xml:space="preserve">. הדברים אמורים </w:t>
      </w:r>
      <w:r w:rsidRPr="00222FF7">
        <w:rPr>
          <w:rFonts w:ascii="Century" w:hAnsi="Century" w:cs="FrankRuehl" w:hint="cs"/>
          <w:spacing w:val="10"/>
          <w:szCs w:val="28"/>
          <w:rtl/>
        </w:rPr>
        <w:t xml:space="preserve">גם </w:t>
      </w:r>
      <w:r w:rsidRPr="00222FF7">
        <w:rPr>
          <w:rFonts w:ascii="Century" w:hAnsi="Century" w:cs="FrankRuehl"/>
          <w:spacing w:val="10"/>
          <w:szCs w:val="28"/>
          <w:rtl/>
        </w:rPr>
        <w:t>בהינתן קביעותיה של דעת הרוב בפסק הדין הקודם ב</w:t>
      </w:r>
      <w:r w:rsidRPr="00222FF7">
        <w:rPr>
          <w:rFonts w:ascii="Century" w:hAnsi="Century" w:cs="FrankRuehl" w:hint="eastAsia"/>
          <w:spacing w:val="10"/>
          <w:szCs w:val="28"/>
          <w:rtl/>
        </w:rPr>
        <w:t>אשר</w:t>
      </w:r>
      <w:r w:rsidRPr="00222FF7">
        <w:rPr>
          <w:rFonts w:ascii="Century" w:hAnsi="Century" w:cs="FrankRuehl"/>
          <w:spacing w:val="10"/>
          <w:szCs w:val="28"/>
          <w:rtl/>
        </w:rPr>
        <w:t xml:space="preserve"> לחובה </w:t>
      </w:r>
      <w:r w:rsidRPr="00222FF7">
        <w:rPr>
          <w:rFonts w:ascii="Century" w:hAnsi="Century" w:cs="FrankRuehl" w:hint="eastAsia"/>
          <w:spacing w:val="10"/>
          <w:szCs w:val="28"/>
          <w:rtl/>
        </w:rPr>
        <w:t>המוטלת</w:t>
      </w:r>
      <w:r w:rsidRPr="00222FF7">
        <w:rPr>
          <w:rFonts w:ascii="Century" w:hAnsi="Century" w:cs="FrankRuehl"/>
          <w:spacing w:val="10"/>
          <w:szCs w:val="28"/>
          <w:rtl/>
        </w:rPr>
        <w:t xml:space="preserve"> על </w:t>
      </w:r>
      <w:r w:rsidRPr="00222FF7">
        <w:rPr>
          <w:rFonts w:ascii="Century" w:hAnsi="Century" w:cs="FrankRuehl" w:hint="eastAsia"/>
          <w:spacing w:val="10"/>
          <w:szCs w:val="28"/>
          <w:rtl/>
        </w:rPr>
        <w:t>המדינה</w:t>
      </w:r>
      <w:r w:rsidRPr="00222FF7">
        <w:rPr>
          <w:rFonts w:ascii="Century" w:hAnsi="Century" w:cs="FrankRuehl" w:hint="cs"/>
          <w:spacing w:val="10"/>
          <w:szCs w:val="28"/>
          <w:rtl/>
        </w:rPr>
        <w:t xml:space="preserve"> למצוא לתושבי מצפה כרמים "</w:t>
      </w:r>
      <w:r w:rsidRPr="00222FF7">
        <w:rPr>
          <w:rFonts w:ascii="Century" w:hAnsi="Century" w:cs="FrankRuehl"/>
          <w:spacing w:val="10"/>
          <w:szCs w:val="28"/>
          <w:rtl/>
        </w:rPr>
        <w:t>מענה חלופי ראוי והולם בדרך של הקצאת קרקע חלופית ומבנים חליפיים או העתקת המבנים הקיימים אליה</w:t>
      </w:r>
      <w:r w:rsidRPr="00222FF7">
        <w:rPr>
          <w:rFonts w:ascii="Century" w:hAnsi="Century" w:cs="FrankRuehl" w:hint="cs"/>
          <w:spacing w:val="10"/>
          <w:szCs w:val="28"/>
          <w:rtl/>
        </w:rPr>
        <w:t>"</w:t>
      </w:r>
      <w:r w:rsidRPr="00222FF7">
        <w:rPr>
          <w:rFonts w:ascii="Century" w:hAnsi="Century" w:cs="FrankRuehl"/>
          <w:spacing w:val="10"/>
          <w:szCs w:val="28"/>
          <w:rtl/>
        </w:rPr>
        <w:t xml:space="preserve"> (ראו: פסקה</w:t>
      </w:r>
      <w:r w:rsidRPr="00222FF7">
        <w:rPr>
          <w:rFonts w:ascii="Century" w:hAnsi="Century" w:cs="FrankRuehl" w:hint="cs"/>
          <w:spacing w:val="10"/>
          <w:szCs w:val="28"/>
          <w:rtl/>
        </w:rPr>
        <w:t xml:space="preserve"> 70</w:t>
      </w:r>
      <w:r w:rsidRPr="00222FF7">
        <w:rPr>
          <w:rFonts w:ascii="Century" w:hAnsi="Century" w:cs="FrankRuehl"/>
          <w:spacing w:val="10"/>
          <w:szCs w:val="28"/>
          <w:rtl/>
        </w:rPr>
        <w:t xml:space="preserve"> לפסק דינה של הנשיאה</w:t>
      </w:r>
      <w:r w:rsidRPr="00222FF7">
        <w:rPr>
          <w:rFonts w:ascii="Century" w:hAnsi="Century" w:cs="FrankRuehl" w:hint="cs"/>
          <w:spacing w:val="10"/>
          <w:szCs w:val="28"/>
          <w:rtl/>
        </w:rPr>
        <w:t xml:space="preserve"> </w:t>
      </w:r>
      <w:r w:rsidRPr="00222FF7">
        <w:rPr>
          <w:rFonts w:ascii="Century" w:hAnsi="Century" w:cs="Miriam" w:hint="eastAsia"/>
          <w:b/>
          <w:rtl/>
        </w:rPr>
        <w:t>חיות</w:t>
      </w:r>
      <w:r w:rsidRPr="00222FF7">
        <w:rPr>
          <w:rFonts w:ascii="FrankRuehl" w:hAnsi="FrankRuehl" w:cs="FrankRuehl" w:hint="cs"/>
          <w:color w:val="000000"/>
          <w:spacing w:val="10"/>
          <w:sz w:val="28"/>
          <w:szCs w:val="28"/>
          <w:rtl/>
        </w:rPr>
        <w:t xml:space="preserve"> </w:t>
      </w:r>
      <w:r w:rsidRPr="00222FF7">
        <w:rPr>
          <w:rFonts w:ascii="Century" w:hAnsi="Century" w:cs="FrankRuehl" w:hint="eastAsia"/>
          <w:spacing w:val="10"/>
          <w:szCs w:val="28"/>
          <w:rtl/>
        </w:rPr>
        <w:t>בפסק</w:t>
      </w:r>
      <w:r w:rsidRPr="00222FF7">
        <w:rPr>
          <w:rFonts w:ascii="Century" w:hAnsi="Century" w:cs="FrankRuehl"/>
          <w:spacing w:val="10"/>
          <w:szCs w:val="28"/>
          <w:rtl/>
        </w:rPr>
        <w:t xml:space="preserve"> </w:t>
      </w:r>
      <w:r w:rsidRPr="00222FF7">
        <w:rPr>
          <w:rFonts w:ascii="Century" w:hAnsi="Century" w:cs="FrankRuehl" w:hint="eastAsia"/>
          <w:spacing w:val="10"/>
          <w:szCs w:val="28"/>
          <w:rtl/>
        </w:rPr>
        <w:t>הדין</w:t>
      </w:r>
      <w:r w:rsidRPr="00222FF7">
        <w:rPr>
          <w:rFonts w:ascii="Century" w:hAnsi="Century" w:cs="FrankRuehl"/>
          <w:spacing w:val="10"/>
          <w:szCs w:val="28"/>
          <w:rtl/>
        </w:rPr>
        <w:t xml:space="preserve"> </w:t>
      </w:r>
      <w:r w:rsidRPr="00222FF7">
        <w:rPr>
          <w:rFonts w:ascii="Century" w:hAnsi="Century" w:cs="FrankRuehl" w:hint="eastAsia"/>
          <w:spacing w:val="10"/>
          <w:szCs w:val="28"/>
          <w:rtl/>
        </w:rPr>
        <w:t>הקודם</w:t>
      </w:r>
      <w:r w:rsidRPr="00222FF7">
        <w:rPr>
          <w:rFonts w:ascii="Century" w:hAnsi="Century" w:cs="FrankRuehl" w:hint="cs"/>
          <w:spacing w:val="10"/>
          <w:szCs w:val="28"/>
          <w:rtl/>
        </w:rPr>
        <w:t>). נדמה כי ביסוד ההכרה בזכאותם של המחזיקים לחלופה הולמת עמדה ההנחה כי אלו פעלו בתום לב בהסתמך על התנהלות המדינה</w:t>
      </w:r>
      <w:r>
        <w:rPr>
          <w:rFonts w:ascii="Century" w:hAnsi="Century" w:cs="FrankRuehl" w:hint="cs"/>
          <w:spacing w:val="10"/>
          <w:szCs w:val="28"/>
          <w:rtl/>
        </w:rPr>
        <w:t xml:space="preserve"> (ראו לעניין זה גם את דברי חברתי השופטת </w:t>
      </w:r>
      <w:r w:rsidRPr="00863E02">
        <w:rPr>
          <w:rFonts w:ascii="Century" w:hAnsi="Century" w:cs="Miriam" w:hint="eastAsia"/>
          <w:b/>
          <w:rtl/>
        </w:rPr>
        <w:t>ברון</w:t>
      </w:r>
      <w:r w:rsidRPr="0083069D">
        <w:rPr>
          <w:rFonts w:ascii="Century" w:hAnsi="Century" w:cs="FrankRuehl" w:hint="cs"/>
          <w:spacing w:val="10"/>
          <w:szCs w:val="28"/>
          <w:rtl/>
        </w:rPr>
        <w:t xml:space="preserve"> </w:t>
      </w:r>
      <w:r>
        <w:rPr>
          <w:rFonts w:ascii="Century" w:hAnsi="Century" w:cs="FrankRuehl" w:hint="cs"/>
          <w:spacing w:val="10"/>
          <w:szCs w:val="28"/>
          <w:rtl/>
        </w:rPr>
        <w:t>בפסקה 4 לפסק דינה)</w:t>
      </w:r>
      <w:r w:rsidRPr="00222FF7">
        <w:rPr>
          <w:rFonts w:ascii="Century" w:hAnsi="Century" w:cs="FrankRuehl" w:hint="cs"/>
          <w:spacing w:val="10"/>
          <w:szCs w:val="28"/>
          <w:rtl/>
        </w:rPr>
        <w:t xml:space="preserve">. ואדגיש </w:t>
      </w:r>
      <w:r w:rsidRPr="00222FF7">
        <w:rPr>
          <w:rFonts w:ascii="Century" w:hAnsi="Century" w:cs="FrankRuehl"/>
          <w:spacing w:val="10"/>
          <w:szCs w:val="28"/>
          <w:rtl/>
        </w:rPr>
        <w:t>–</w:t>
      </w:r>
      <w:r w:rsidRPr="00222FF7">
        <w:rPr>
          <w:rFonts w:ascii="Century" w:hAnsi="Century" w:cs="FrankRuehl" w:hint="cs"/>
          <w:spacing w:val="10"/>
          <w:szCs w:val="28"/>
          <w:rtl/>
        </w:rPr>
        <w:t xml:space="preserve"> הדברים אמורים מבלי למעט כהוא זה מהקשיים הנוגעים להתנהלותם של המחזיקים במישור התכנוני, בשונה מהמישור הקנייני של תחרות הזכויות. </w:t>
      </w:r>
    </w:p>
    <w:p w:rsidR="005B1A77" w:rsidRPr="00222FF7" w:rsidRDefault="005B1A77" w:rsidP="005B1A77">
      <w:pPr>
        <w:spacing w:line="360" w:lineRule="auto"/>
        <w:jc w:val="both"/>
        <w:rPr>
          <w:rFonts w:ascii="Century" w:hAnsi="Century" w:cs="FrankRuehl"/>
          <w:spacing w:val="10"/>
          <w:szCs w:val="28"/>
          <w:rtl/>
        </w:rPr>
      </w:pPr>
    </w:p>
    <w:p w:rsidR="005B1A77" w:rsidRPr="00222FF7" w:rsidRDefault="005B1A77" w:rsidP="005B1A77">
      <w:pPr>
        <w:spacing w:line="360" w:lineRule="auto"/>
        <w:jc w:val="both"/>
        <w:rPr>
          <w:rFonts w:ascii="Century" w:hAnsi="Century" w:cs="FrankRuehl"/>
          <w:spacing w:val="10"/>
          <w:szCs w:val="28"/>
          <w:rtl/>
        </w:rPr>
      </w:pPr>
      <w:r>
        <w:rPr>
          <w:rFonts w:ascii="Century" w:hAnsi="Century" w:cs="FrankRuehl" w:hint="cs"/>
          <w:spacing w:val="10"/>
          <w:szCs w:val="28"/>
          <w:rtl/>
        </w:rPr>
        <w:t>33.</w:t>
      </w:r>
      <w:r>
        <w:rPr>
          <w:rFonts w:ascii="Century" w:hAnsi="Century" w:cs="FrankRuehl" w:hint="cs"/>
          <w:spacing w:val="10"/>
          <w:szCs w:val="28"/>
          <w:rtl/>
        </w:rPr>
        <w:tab/>
      </w:r>
      <w:r w:rsidRPr="00222FF7">
        <w:rPr>
          <w:rFonts w:ascii="Century" w:hAnsi="Century" w:cs="FrankRuehl" w:hint="cs"/>
          <w:spacing w:val="10"/>
          <w:szCs w:val="28"/>
          <w:rtl/>
        </w:rPr>
        <w:t xml:space="preserve">כאן </w:t>
      </w:r>
      <w:r w:rsidRPr="00222FF7">
        <w:rPr>
          <w:rFonts w:ascii="Century" w:hAnsi="Century" w:cs="FrankRuehl" w:hint="eastAsia"/>
          <w:spacing w:val="10"/>
          <w:szCs w:val="28"/>
          <w:rtl/>
        </w:rPr>
        <w:t>המקום</w:t>
      </w:r>
      <w:r w:rsidRPr="00222FF7">
        <w:rPr>
          <w:rFonts w:ascii="Century" w:hAnsi="Century" w:cs="FrankRuehl"/>
          <w:spacing w:val="10"/>
          <w:szCs w:val="28"/>
          <w:rtl/>
        </w:rPr>
        <w:t xml:space="preserve"> </w:t>
      </w:r>
      <w:r w:rsidRPr="00222FF7">
        <w:rPr>
          <w:rFonts w:ascii="Century" w:hAnsi="Century" w:cs="FrankRuehl" w:hint="eastAsia"/>
          <w:spacing w:val="10"/>
          <w:szCs w:val="28"/>
          <w:rtl/>
        </w:rPr>
        <w:t>לשוב</w:t>
      </w:r>
      <w:r w:rsidRPr="00222FF7">
        <w:rPr>
          <w:rFonts w:ascii="Century" w:hAnsi="Century" w:cs="FrankRuehl"/>
          <w:spacing w:val="10"/>
          <w:szCs w:val="28"/>
          <w:rtl/>
        </w:rPr>
        <w:t xml:space="preserve"> </w:t>
      </w:r>
      <w:r w:rsidRPr="00222FF7">
        <w:rPr>
          <w:rFonts w:ascii="Century" w:hAnsi="Century" w:cs="FrankRuehl" w:hint="eastAsia"/>
          <w:spacing w:val="10"/>
          <w:szCs w:val="28"/>
          <w:rtl/>
        </w:rPr>
        <w:t>ולהדגיש</w:t>
      </w:r>
      <w:r w:rsidRPr="00222FF7">
        <w:rPr>
          <w:rFonts w:ascii="Century" w:hAnsi="Century" w:cs="FrankRuehl"/>
          <w:spacing w:val="10"/>
          <w:szCs w:val="28"/>
          <w:rtl/>
        </w:rPr>
        <w:t xml:space="preserve">, </w:t>
      </w:r>
      <w:r w:rsidRPr="00222FF7">
        <w:rPr>
          <w:rFonts w:ascii="Century" w:hAnsi="Century" w:cs="FrankRuehl" w:hint="eastAsia"/>
          <w:spacing w:val="10"/>
          <w:szCs w:val="28"/>
          <w:rtl/>
        </w:rPr>
        <w:t>כפי</w:t>
      </w:r>
      <w:r w:rsidRPr="00222FF7">
        <w:rPr>
          <w:rFonts w:ascii="Century" w:hAnsi="Century" w:cs="FrankRuehl"/>
          <w:spacing w:val="10"/>
          <w:szCs w:val="28"/>
          <w:rtl/>
        </w:rPr>
        <w:t xml:space="preserve"> </w:t>
      </w:r>
      <w:r w:rsidRPr="00222FF7">
        <w:rPr>
          <w:rFonts w:ascii="Century" w:hAnsi="Century" w:cs="FrankRuehl" w:hint="eastAsia"/>
          <w:spacing w:val="10"/>
          <w:szCs w:val="28"/>
          <w:rtl/>
        </w:rPr>
        <w:t>שהובהר</w:t>
      </w:r>
      <w:r w:rsidRPr="00222FF7">
        <w:rPr>
          <w:rFonts w:ascii="Century" w:hAnsi="Century" w:cs="FrankRuehl"/>
          <w:spacing w:val="10"/>
          <w:szCs w:val="28"/>
          <w:rtl/>
        </w:rPr>
        <w:t xml:space="preserve"> </w:t>
      </w:r>
      <w:r w:rsidRPr="00222FF7">
        <w:rPr>
          <w:rFonts w:ascii="Century" w:hAnsi="Century" w:cs="FrankRuehl" w:hint="eastAsia"/>
          <w:spacing w:val="10"/>
          <w:szCs w:val="28"/>
          <w:rtl/>
        </w:rPr>
        <w:t>אף</w:t>
      </w:r>
      <w:r w:rsidRPr="00222FF7">
        <w:rPr>
          <w:rFonts w:ascii="Century" w:hAnsi="Century" w:cs="FrankRuehl"/>
          <w:spacing w:val="10"/>
          <w:szCs w:val="28"/>
          <w:rtl/>
        </w:rPr>
        <w:t xml:space="preserve"> </w:t>
      </w:r>
      <w:r w:rsidRPr="00222FF7">
        <w:rPr>
          <w:rFonts w:ascii="Century" w:hAnsi="Century" w:cs="FrankRuehl" w:hint="eastAsia"/>
          <w:spacing w:val="10"/>
          <w:szCs w:val="28"/>
          <w:rtl/>
        </w:rPr>
        <w:t>בפסק</w:t>
      </w:r>
      <w:r w:rsidRPr="00222FF7">
        <w:rPr>
          <w:rFonts w:ascii="Century" w:hAnsi="Century" w:cs="FrankRuehl"/>
          <w:spacing w:val="10"/>
          <w:szCs w:val="28"/>
          <w:rtl/>
        </w:rPr>
        <w:t xml:space="preserve"> </w:t>
      </w:r>
      <w:r w:rsidRPr="00222FF7">
        <w:rPr>
          <w:rFonts w:ascii="Century" w:hAnsi="Century" w:cs="FrankRuehl" w:hint="eastAsia"/>
          <w:spacing w:val="10"/>
          <w:szCs w:val="28"/>
          <w:rtl/>
        </w:rPr>
        <w:t>הדין</w:t>
      </w:r>
      <w:r w:rsidRPr="00222FF7">
        <w:rPr>
          <w:rFonts w:ascii="Century" w:hAnsi="Century" w:cs="FrankRuehl"/>
          <w:spacing w:val="10"/>
          <w:szCs w:val="28"/>
          <w:rtl/>
        </w:rPr>
        <w:t xml:space="preserve"> </w:t>
      </w:r>
      <w:r w:rsidRPr="00222FF7">
        <w:rPr>
          <w:rFonts w:ascii="Century" w:hAnsi="Century" w:cs="FrankRuehl" w:hint="eastAsia"/>
          <w:spacing w:val="10"/>
          <w:szCs w:val="28"/>
          <w:rtl/>
        </w:rPr>
        <w:t>הקודם</w:t>
      </w:r>
      <w:r w:rsidRPr="00222FF7">
        <w:rPr>
          <w:rFonts w:ascii="Century" w:hAnsi="Century" w:cs="FrankRuehl"/>
          <w:spacing w:val="10"/>
          <w:szCs w:val="28"/>
          <w:rtl/>
        </w:rPr>
        <w:t xml:space="preserve">, </w:t>
      </w:r>
      <w:r w:rsidRPr="00222FF7">
        <w:rPr>
          <w:rFonts w:ascii="Century" w:hAnsi="Century" w:cs="FrankRuehl" w:hint="eastAsia"/>
          <w:spacing w:val="10"/>
          <w:szCs w:val="28"/>
          <w:rtl/>
        </w:rPr>
        <w:t>כי</w:t>
      </w:r>
      <w:r w:rsidRPr="00222FF7">
        <w:rPr>
          <w:rFonts w:ascii="Century" w:hAnsi="Century" w:cs="FrankRuehl"/>
          <w:spacing w:val="10"/>
          <w:szCs w:val="28"/>
          <w:rtl/>
        </w:rPr>
        <w:t xml:space="preserve"> </w:t>
      </w:r>
      <w:r w:rsidRPr="00222FF7">
        <w:rPr>
          <w:rFonts w:ascii="Century" w:hAnsi="Century" w:cs="FrankRuehl" w:hint="eastAsia"/>
          <w:spacing w:val="10"/>
          <w:szCs w:val="28"/>
          <w:rtl/>
        </w:rPr>
        <w:t>יש</w:t>
      </w:r>
      <w:r w:rsidRPr="00222FF7">
        <w:rPr>
          <w:rFonts w:ascii="Century" w:hAnsi="Century" w:cs="FrankRuehl"/>
          <w:spacing w:val="10"/>
          <w:szCs w:val="28"/>
          <w:rtl/>
        </w:rPr>
        <w:t xml:space="preserve"> </w:t>
      </w:r>
      <w:r w:rsidRPr="00222FF7">
        <w:rPr>
          <w:rFonts w:ascii="Century" w:hAnsi="Century" w:cs="FrankRuehl" w:hint="eastAsia"/>
          <w:spacing w:val="10"/>
          <w:szCs w:val="28"/>
          <w:rtl/>
        </w:rPr>
        <w:t>להבחין</w:t>
      </w:r>
      <w:r w:rsidRPr="00222FF7">
        <w:rPr>
          <w:rFonts w:ascii="Century" w:hAnsi="Century" w:cs="FrankRuehl"/>
          <w:spacing w:val="10"/>
          <w:szCs w:val="28"/>
          <w:rtl/>
        </w:rPr>
        <w:t xml:space="preserve"> </w:t>
      </w:r>
      <w:r w:rsidRPr="00222FF7">
        <w:rPr>
          <w:rFonts w:ascii="Century" w:hAnsi="Century" w:cs="FrankRuehl" w:hint="eastAsia"/>
          <w:spacing w:val="10"/>
          <w:szCs w:val="28"/>
          <w:rtl/>
        </w:rPr>
        <w:t>בענייננו</w:t>
      </w:r>
      <w:r w:rsidRPr="00222FF7">
        <w:rPr>
          <w:rFonts w:ascii="Century" w:hAnsi="Century" w:cs="FrankRuehl"/>
          <w:spacing w:val="10"/>
          <w:szCs w:val="28"/>
          <w:rtl/>
        </w:rPr>
        <w:t xml:space="preserve"> </w:t>
      </w:r>
      <w:r w:rsidRPr="00222FF7">
        <w:rPr>
          <w:rFonts w:ascii="Century" w:hAnsi="Century" w:cs="FrankRuehl" w:hint="eastAsia"/>
          <w:spacing w:val="10"/>
          <w:szCs w:val="28"/>
          <w:rtl/>
        </w:rPr>
        <w:t>בין</w:t>
      </w:r>
      <w:r w:rsidRPr="00222FF7">
        <w:rPr>
          <w:rFonts w:ascii="Century" w:hAnsi="Century" w:cs="FrankRuehl"/>
          <w:spacing w:val="10"/>
          <w:szCs w:val="28"/>
          <w:rtl/>
        </w:rPr>
        <w:t xml:space="preserve"> </w:t>
      </w:r>
      <w:r w:rsidRPr="00222FF7">
        <w:rPr>
          <w:rFonts w:ascii="Century" w:hAnsi="Century" w:cs="FrankRuehl" w:hint="eastAsia"/>
          <w:spacing w:val="10"/>
          <w:szCs w:val="28"/>
          <w:rtl/>
        </w:rPr>
        <w:t>החובות</w:t>
      </w:r>
      <w:r w:rsidRPr="00222FF7">
        <w:rPr>
          <w:rFonts w:ascii="Century" w:hAnsi="Century" w:cs="FrankRuehl"/>
          <w:spacing w:val="10"/>
          <w:szCs w:val="28"/>
          <w:rtl/>
        </w:rPr>
        <w:t xml:space="preserve"> </w:t>
      </w:r>
      <w:r w:rsidRPr="00222FF7">
        <w:rPr>
          <w:rFonts w:ascii="Century" w:hAnsi="Century" w:cs="FrankRuehl" w:hint="eastAsia"/>
          <w:spacing w:val="10"/>
          <w:szCs w:val="28"/>
          <w:rtl/>
        </w:rPr>
        <w:t>המוטלות</w:t>
      </w:r>
      <w:r w:rsidRPr="00222FF7">
        <w:rPr>
          <w:rFonts w:ascii="Century" w:hAnsi="Century" w:cs="FrankRuehl"/>
          <w:spacing w:val="10"/>
          <w:szCs w:val="28"/>
          <w:rtl/>
        </w:rPr>
        <w:t xml:space="preserve"> </w:t>
      </w:r>
      <w:r w:rsidRPr="00222FF7">
        <w:rPr>
          <w:rFonts w:ascii="Century" w:hAnsi="Century" w:cs="FrankRuehl" w:hint="eastAsia"/>
          <w:spacing w:val="10"/>
          <w:szCs w:val="28"/>
          <w:rtl/>
        </w:rPr>
        <w:t>על</w:t>
      </w:r>
      <w:r w:rsidRPr="00222FF7">
        <w:rPr>
          <w:rFonts w:ascii="Century" w:hAnsi="Century" w:cs="FrankRuehl"/>
          <w:spacing w:val="10"/>
          <w:szCs w:val="28"/>
          <w:rtl/>
        </w:rPr>
        <w:t xml:space="preserve"> </w:t>
      </w:r>
      <w:r w:rsidRPr="00222FF7">
        <w:rPr>
          <w:rFonts w:ascii="Century" w:hAnsi="Century" w:cs="FrankRuehl" w:hint="eastAsia"/>
          <w:spacing w:val="10"/>
          <w:szCs w:val="28"/>
          <w:rtl/>
        </w:rPr>
        <w:t>הממונה</w:t>
      </w:r>
      <w:r w:rsidRPr="00222FF7">
        <w:rPr>
          <w:rFonts w:ascii="Century" w:hAnsi="Century" w:cs="FrankRuehl"/>
          <w:spacing w:val="10"/>
          <w:szCs w:val="28"/>
          <w:rtl/>
        </w:rPr>
        <w:t xml:space="preserve">, </w:t>
      </w:r>
      <w:r w:rsidRPr="00222FF7">
        <w:rPr>
          <w:rFonts w:ascii="Century" w:hAnsi="Century" w:cs="FrankRuehl" w:hint="eastAsia"/>
          <w:spacing w:val="10"/>
          <w:szCs w:val="28"/>
          <w:rtl/>
        </w:rPr>
        <w:t>לבין</w:t>
      </w:r>
      <w:r w:rsidRPr="00222FF7">
        <w:rPr>
          <w:rFonts w:ascii="Century" w:hAnsi="Century" w:cs="FrankRuehl"/>
          <w:spacing w:val="10"/>
          <w:szCs w:val="28"/>
          <w:rtl/>
        </w:rPr>
        <w:t xml:space="preserve"> </w:t>
      </w:r>
      <w:r w:rsidRPr="00222FF7">
        <w:rPr>
          <w:rFonts w:ascii="Century" w:hAnsi="Century" w:cs="FrankRuehl" w:hint="eastAsia"/>
          <w:spacing w:val="10"/>
          <w:szCs w:val="28"/>
          <w:rtl/>
        </w:rPr>
        <w:t>אלו</w:t>
      </w:r>
      <w:r w:rsidRPr="00222FF7">
        <w:rPr>
          <w:rFonts w:ascii="Century" w:hAnsi="Century" w:cs="FrankRuehl"/>
          <w:spacing w:val="10"/>
          <w:szCs w:val="28"/>
          <w:rtl/>
        </w:rPr>
        <w:t xml:space="preserve"> </w:t>
      </w:r>
      <w:r w:rsidRPr="00222FF7">
        <w:rPr>
          <w:rFonts w:ascii="Century" w:hAnsi="Century" w:cs="FrankRuehl" w:hint="eastAsia"/>
          <w:spacing w:val="10"/>
          <w:szCs w:val="28"/>
          <w:rtl/>
        </w:rPr>
        <w:t>החלות</w:t>
      </w:r>
      <w:r w:rsidRPr="00222FF7">
        <w:rPr>
          <w:rFonts w:ascii="Century" w:hAnsi="Century" w:cs="FrankRuehl"/>
          <w:spacing w:val="10"/>
          <w:szCs w:val="28"/>
          <w:rtl/>
        </w:rPr>
        <w:t xml:space="preserve"> </w:t>
      </w:r>
      <w:r w:rsidRPr="00222FF7">
        <w:rPr>
          <w:rFonts w:ascii="Century" w:hAnsi="Century" w:cs="FrankRuehl" w:hint="eastAsia"/>
          <w:spacing w:val="10"/>
          <w:szCs w:val="28"/>
          <w:rtl/>
        </w:rPr>
        <w:t>על</w:t>
      </w:r>
      <w:r w:rsidRPr="00222FF7">
        <w:rPr>
          <w:rFonts w:ascii="Century" w:hAnsi="Century" w:cs="FrankRuehl"/>
          <w:spacing w:val="10"/>
          <w:szCs w:val="28"/>
          <w:rtl/>
        </w:rPr>
        <w:t xml:space="preserve"> </w:t>
      </w:r>
      <w:r w:rsidRPr="00222FF7">
        <w:rPr>
          <w:rFonts w:ascii="Century" w:hAnsi="Century" w:cs="FrankRuehl" w:hint="eastAsia"/>
          <w:spacing w:val="10"/>
          <w:szCs w:val="28"/>
          <w:rtl/>
        </w:rPr>
        <w:t>המתקשרים</w:t>
      </w:r>
      <w:r w:rsidRPr="00222FF7">
        <w:rPr>
          <w:rFonts w:ascii="Century" w:hAnsi="Century" w:cs="FrankRuehl"/>
          <w:spacing w:val="10"/>
          <w:szCs w:val="28"/>
          <w:rtl/>
        </w:rPr>
        <w:t xml:space="preserve"> </w:t>
      </w:r>
      <w:r w:rsidRPr="00222FF7">
        <w:rPr>
          <w:rFonts w:ascii="Century" w:hAnsi="Century" w:cs="FrankRuehl" w:hint="eastAsia"/>
          <w:spacing w:val="10"/>
          <w:szCs w:val="28"/>
          <w:rtl/>
        </w:rPr>
        <w:t>עמו</w:t>
      </w:r>
      <w:r w:rsidRPr="00222FF7">
        <w:rPr>
          <w:rFonts w:ascii="Century" w:hAnsi="Century" w:cs="FrankRuehl"/>
          <w:spacing w:val="10"/>
          <w:szCs w:val="28"/>
          <w:rtl/>
        </w:rPr>
        <w:t xml:space="preserve">. </w:t>
      </w:r>
      <w:r w:rsidRPr="00222FF7">
        <w:rPr>
          <w:rFonts w:ascii="Century" w:hAnsi="Century" w:cs="FrankRuehl" w:hint="eastAsia"/>
          <w:spacing w:val="10"/>
          <w:szCs w:val="28"/>
          <w:rtl/>
        </w:rPr>
        <w:t>כפי</w:t>
      </w:r>
      <w:r w:rsidRPr="00222FF7">
        <w:rPr>
          <w:rFonts w:ascii="Century" w:hAnsi="Century" w:cs="FrankRuehl"/>
          <w:spacing w:val="10"/>
          <w:szCs w:val="28"/>
          <w:rtl/>
        </w:rPr>
        <w:t xml:space="preserve"> </w:t>
      </w:r>
      <w:r w:rsidRPr="00222FF7">
        <w:rPr>
          <w:rFonts w:ascii="Century" w:hAnsi="Century" w:cs="FrankRuehl" w:hint="eastAsia"/>
          <w:spacing w:val="10"/>
          <w:szCs w:val="28"/>
          <w:rtl/>
        </w:rPr>
        <w:t>שציין</w:t>
      </w:r>
      <w:r w:rsidRPr="00222FF7">
        <w:rPr>
          <w:rFonts w:ascii="Century" w:hAnsi="Century" w:cs="FrankRuehl"/>
          <w:spacing w:val="10"/>
          <w:szCs w:val="28"/>
          <w:rtl/>
        </w:rPr>
        <w:t xml:space="preserve"> </w:t>
      </w:r>
      <w:r w:rsidRPr="00222FF7">
        <w:rPr>
          <w:rFonts w:ascii="Century" w:hAnsi="Century" w:cs="FrankRuehl" w:hint="eastAsia"/>
          <w:spacing w:val="10"/>
          <w:szCs w:val="28"/>
          <w:rtl/>
        </w:rPr>
        <w:t>חברי</w:t>
      </w:r>
      <w:r w:rsidRPr="00222FF7">
        <w:rPr>
          <w:rFonts w:ascii="Century" w:hAnsi="Century" w:cs="FrankRuehl"/>
          <w:spacing w:val="10"/>
          <w:szCs w:val="28"/>
          <w:rtl/>
        </w:rPr>
        <w:t xml:space="preserve"> </w:t>
      </w:r>
      <w:r w:rsidRPr="00222FF7">
        <w:rPr>
          <w:rFonts w:ascii="Century" w:hAnsi="Century" w:cs="FrankRuehl" w:hint="eastAsia"/>
          <w:spacing w:val="10"/>
          <w:szCs w:val="28"/>
          <w:rtl/>
        </w:rPr>
        <w:t>המשנה</w:t>
      </w:r>
      <w:r w:rsidRPr="00222FF7">
        <w:rPr>
          <w:rFonts w:ascii="Century" w:hAnsi="Century" w:cs="FrankRuehl"/>
          <w:spacing w:val="10"/>
          <w:szCs w:val="28"/>
          <w:rtl/>
        </w:rPr>
        <w:t xml:space="preserve"> </w:t>
      </w:r>
      <w:r w:rsidRPr="00222FF7">
        <w:rPr>
          <w:rFonts w:ascii="Century" w:hAnsi="Century" w:cs="FrankRuehl" w:hint="eastAsia"/>
          <w:spacing w:val="10"/>
          <w:szCs w:val="28"/>
          <w:rtl/>
        </w:rPr>
        <w:t>לנשיאה</w:t>
      </w:r>
      <w:r w:rsidRPr="00222FF7">
        <w:rPr>
          <w:rFonts w:cs="FrankRuehl" w:hint="cs"/>
          <w:sz w:val="28"/>
          <w:szCs w:val="28"/>
          <w:rtl/>
        </w:rPr>
        <w:t xml:space="preserve"> </w:t>
      </w:r>
      <w:r w:rsidRPr="00670AEC">
        <w:rPr>
          <w:rFonts w:ascii="Century" w:hAnsi="Century" w:cs="Miriam" w:hint="eastAsia"/>
          <w:b/>
          <w:rtl/>
        </w:rPr>
        <w:t>פוגלמן</w:t>
      </w:r>
      <w:r w:rsidRPr="00222FF7">
        <w:rPr>
          <w:rFonts w:ascii="Century" w:hAnsi="Century" w:cs="FrankRuehl" w:hint="cs"/>
          <w:spacing w:val="10"/>
          <w:szCs w:val="28"/>
          <w:rtl/>
        </w:rPr>
        <w:t xml:space="preserve">, </w:t>
      </w:r>
      <w:r w:rsidRPr="00222FF7">
        <w:rPr>
          <w:rFonts w:ascii="Century" w:hAnsi="Century" w:cs="FrankRuehl" w:hint="eastAsia"/>
          <w:spacing w:val="10"/>
          <w:szCs w:val="28"/>
          <w:rtl/>
        </w:rPr>
        <w:t>אף</w:t>
      </w:r>
      <w:r w:rsidRPr="00222FF7">
        <w:rPr>
          <w:rFonts w:ascii="Century" w:hAnsi="Century" w:cs="FrankRuehl"/>
          <w:spacing w:val="10"/>
          <w:szCs w:val="28"/>
          <w:rtl/>
        </w:rPr>
        <w:t xml:space="preserve"> </w:t>
      </w:r>
      <w:r w:rsidRPr="00222FF7">
        <w:rPr>
          <w:rFonts w:ascii="Century" w:hAnsi="Century" w:cs="FrankRuehl" w:hint="eastAsia"/>
          <w:spacing w:val="10"/>
          <w:szCs w:val="28"/>
          <w:rtl/>
        </w:rPr>
        <w:t>אני</w:t>
      </w:r>
      <w:r w:rsidRPr="00222FF7">
        <w:rPr>
          <w:rFonts w:ascii="Century" w:hAnsi="Century" w:cs="FrankRuehl"/>
          <w:spacing w:val="10"/>
          <w:szCs w:val="28"/>
          <w:rtl/>
        </w:rPr>
        <w:t xml:space="preserve"> </w:t>
      </w:r>
      <w:r w:rsidRPr="00222FF7">
        <w:rPr>
          <w:rFonts w:ascii="Century" w:hAnsi="Century" w:cs="FrankRuehl" w:hint="eastAsia"/>
          <w:spacing w:val="10"/>
          <w:szCs w:val="28"/>
          <w:rtl/>
        </w:rPr>
        <w:t>סבורה</w:t>
      </w:r>
      <w:r w:rsidRPr="00222FF7">
        <w:rPr>
          <w:rFonts w:ascii="Century" w:hAnsi="Century" w:cs="FrankRuehl"/>
          <w:spacing w:val="10"/>
          <w:szCs w:val="28"/>
          <w:rtl/>
        </w:rPr>
        <w:t xml:space="preserve"> </w:t>
      </w:r>
      <w:r w:rsidRPr="00222FF7">
        <w:rPr>
          <w:rFonts w:ascii="Century" w:hAnsi="Century" w:cs="FrankRuehl" w:hint="eastAsia"/>
          <w:spacing w:val="10"/>
          <w:szCs w:val="28"/>
          <w:rtl/>
        </w:rPr>
        <w:t>כי</w:t>
      </w:r>
      <w:r w:rsidRPr="00222FF7">
        <w:rPr>
          <w:rFonts w:ascii="Century" w:hAnsi="Century" w:cs="FrankRuehl"/>
          <w:spacing w:val="10"/>
          <w:szCs w:val="28"/>
          <w:rtl/>
        </w:rPr>
        <w:t xml:space="preserve"> </w:t>
      </w:r>
      <w:r w:rsidRPr="00222FF7">
        <w:rPr>
          <w:rFonts w:ascii="Century" w:hAnsi="Century" w:cs="FrankRuehl" w:hint="eastAsia"/>
          <w:spacing w:val="10"/>
          <w:szCs w:val="28"/>
          <w:rtl/>
        </w:rPr>
        <w:t>אין</w:t>
      </w:r>
      <w:r w:rsidRPr="00222FF7">
        <w:rPr>
          <w:rFonts w:ascii="Century" w:hAnsi="Century" w:cs="FrankRuehl"/>
          <w:spacing w:val="10"/>
          <w:szCs w:val="28"/>
          <w:rtl/>
        </w:rPr>
        <w:t xml:space="preserve"> </w:t>
      </w:r>
      <w:r w:rsidRPr="00222FF7">
        <w:rPr>
          <w:rFonts w:ascii="Century" w:hAnsi="Century" w:cs="FrankRuehl" w:hint="eastAsia"/>
          <w:spacing w:val="10"/>
          <w:szCs w:val="28"/>
          <w:rtl/>
        </w:rPr>
        <w:t>מקום</w:t>
      </w:r>
      <w:r w:rsidRPr="00222FF7">
        <w:rPr>
          <w:rFonts w:ascii="Century" w:hAnsi="Century" w:cs="FrankRuehl"/>
          <w:spacing w:val="10"/>
          <w:szCs w:val="28"/>
          <w:rtl/>
        </w:rPr>
        <w:t xml:space="preserve"> </w:t>
      </w:r>
      <w:r w:rsidRPr="00222FF7">
        <w:rPr>
          <w:rFonts w:ascii="Century" w:hAnsi="Century" w:cs="FrankRuehl" w:hint="eastAsia"/>
          <w:spacing w:val="10"/>
          <w:szCs w:val="28"/>
          <w:rtl/>
        </w:rPr>
        <w:t>להחיל</w:t>
      </w:r>
      <w:r w:rsidRPr="00222FF7">
        <w:rPr>
          <w:rFonts w:ascii="Century" w:hAnsi="Century" w:cs="FrankRuehl"/>
          <w:spacing w:val="10"/>
          <w:szCs w:val="28"/>
          <w:rtl/>
        </w:rPr>
        <w:t xml:space="preserve"> </w:t>
      </w:r>
      <w:r w:rsidRPr="00222FF7">
        <w:rPr>
          <w:rFonts w:ascii="Century" w:hAnsi="Century" w:cs="FrankRuehl" w:hint="cs"/>
          <w:spacing w:val="10"/>
          <w:szCs w:val="28"/>
          <w:rtl/>
        </w:rPr>
        <w:t xml:space="preserve">אותה </w:t>
      </w:r>
      <w:r w:rsidRPr="00222FF7">
        <w:rPr>
          <w:rFonts w:ascii="Century" w:hAnsi="Century" w:cs="FrankRuehl" w:hint="eastAsia"/>
          <w:spacing w:val="10"/>
          <w:szCs w:val="28"/>
          <w:rtl/>
        </w:rPr>
        <w:t>אמת</w:t>
      </w:r>
      <w:r w:rsidRPr="00222FF7">
        <w:rPr>
          <w:rFonts w:ascii="Century" w:hAnsi="Century" w:cs="FrankRuehl"/>
          <w:spacing w:val="10"/>
          <w:szCs w:val="28"/>
          <w:rtl/>
        </w:rPr>
        <w:t xml:space="preserve"> </w:t>
      </w:r>
      <w:r w:rsidRPr="00222FF7">
        <w:rPr>
          <w:rFonts w:ascii="Century" w:hAnsi="Century" w:cs="FrankRuehl" w:hint="eastAsia"/>
          <w:spacing w:val="10"/>
          <w:szCs w:val="28"/>
          <w:rtl/>
        </w:rPr>
        <w:t>מידה</w:t>
      </w:r>
      <w:r w:rsidRPr="00222FF7">
        <w:rPr>
          <w:rFonts w:ascii="Century" w:hAnsi="Century" w:cs="FrankRuehl"/>
          <w:spacing w:val="10"/>
          <w:szCs w:val="28"/>
          <w:rtl/>
        </w:rPr>
        <w:t xml:space="preserve"> </w:t>
      </w:r>
      <w:r w:rsidRPr="00222FF7">
        <w:rPr>
          <w:rFonts w:ascii="Century" w:hAnsi="Century" w:cs="FrankRuehl" w:hint="eastAsia"/>
          <w:spacing w:val="10"/>
          <w:szCs w:val="28"/>
          <w:rtl/>
        </w:rPr>
        <w:t>מחמירה</w:t>
      </w:r>
      <w:r w:rsidRPr="00222FF7">
        <w:rPr>
          <w:rFonts w:ascii="Century" w:hAnsi="Century" w:cs="FrankRuehl" w:hint="cs"/>
          <w:spacing w:val="10"/>
          <w:szCs w:val="28"/>
          <w:rtl/>
        </w:rPr>
        <w:t xml:space="preserve"> גם</w:t>
      </w:r>
      <w:r w:rsidRPr="00222FF7">
        <w:rPr>
          <w:rFonts w:ascii="Century" w:hAnsi="Century" w:cs="FrankRuehl"/>
          <w:spacing w:val="10"/>
          <w:szCs w:val="28"/>
          <w:rtl/>
        </w:rPr>
        <w:t xml:space="preserve"> </w:t>
      </w:r>
      <w:r w:rsidRPr="00222FF7">
        <w:rPr>
          <w:rFonts w:ascii="Century" w:hAnsi="Century" w:cs="FrankRuehl" w:hint="eastAsia"/>
          <w:spacing w:val="10"/>
          <w:szCs w:val="28"/>
          <w:rtl/>
        </w:rPr>
        <w:t>ביחס</w:t>
      </w:r>
      <w:r w:rsidRPr="00222FF7">
        <w:rPr>
          <w:rFonts w:ascii="Century" w:hAnsi="Century" w:cs="FrankRuehl"/>
          <w:spacing w:val="10"/>
          <w:szCs w:val="28"/>
          <w:rtl/>
        </w:rPr>
        <w:t xml:space="preserve"> </w:t>
      </w:r>
      <w:r w:rsidRPr="00222FF7">
        <w:rPr>
          <w:rFonts w:ascii="Century" w:hAnsi="Century" w:cs="FrankRuehl" w:hint="eastAsia"/>
          <w:spacing w:val="10"/>
          <w:szCs w:val="28"/>
          <w:rtl/>
        </w:rPr>
        <w:t>למתקשר</w:t>
      </w:r>
      <w:r w:rsidRPr="00222FF7">
        <w:rPr>
          <w:rFonts w:ascii="Century" w:hAnsi="Century" w:cs="FrankRuehl"/>
          <w:spacing w:val="10"/>
          <w:szCs w:val="28"/>
          <w:rtl/>
        </w:rPr>
        <w:t xml:space="preserve"> </w:t>
      </w:r>
      <w:r w:rsidRPr="00222FF7">
        <w:rPr>
          <w:rFonts w:ascii="Century" w:hAnsi="Century" w:cs="FrankRuehl" w:hint="eastAsia"/>
          <w:spacing w:val="10"/>
          <w:szCs w:val="28"/>
          <w:rtl/>
        </w:rPr>
        <w:t>עם</w:t>
      </w:r>
      <w:r w:rsidRPr="00222FF7">
        <w:rPr>
          <w:rFonts w:ascii="Century" w:hAnsi="Century" w:cs="FrankRuehl"/>
          <w:spacing w:val="10"/>
          <w:szCs w:val="28"/>
          <w:rtl/>
        </w:rPr>
        <w:t xml:space="preserve"> </w:t>
      </w:r>
      <w:r w:rsidRPr="00222FF7">
        <w:rPr>
          <w:rFonts w:ascii="Century" w:hAnsi="Century" w:cs="FrankRuehl" w:hint="eastAsia"/>
          <w:spacing w:val="10"/>
          <w:szCs w:val="28"/>
          <w:rtl/>
        </w:rPr>
        <w:t>הממונה</w:t>
      </w:r>
      <w:r w:rsidRPr="00222FF7">
        <w:rPr>
          <w:rFonts w:ascii="Century" w:hAnsi="Century" w:cs="FrankRuehl"/>
          <w:spacing w:val="10"/>
          <w:szCs w:val="28"/>
          <w:rtl/>
        </w:rPr>
        <w:t xml:space="preserve"> (כאמור </w:t>
      </w:r>
      <w:r w:rsidRPr="00222FF7">
        <w:rPr>
          <w:rFonts w:ascii="Century" w:hAnsi="Century" w:cs="FrankRuehl" w:hint="eastAsia"/>
          <w:spacing w:val="10"/>
          <w:szCs w:val="28"/>
          <w:rtl/>
        </w:rPr>
        <w:t>בפסקה</w:t>
      </w:r>
      <w:r w:rsidRPr="00222FF7">
        <w:rPr>
          <w:rFonts w:ascii="Century" w:hAnsi="Century" w:cs="FrankRuehl"/>
          <w:spacing w:val="10"/>
          <w:szCs w:val="28"/>
          <w:rtl/>
        </w:rPr>
        <w:t xml:space="preserve"> 62 </w:t>
      </w:r>
      <w:r w:rsidRPr="00222FF7">
        <w:rPr>
          <w:rFonts w:ascii="Century" w:hAnsi="Century" w:cs="FrankRuehl" w:hint="eastAsia"/>
          <w:spacing w:val="10"/>
          <w:szCs w:val="28"/>
          <w:rtl/>
        </w:rPr>
        <w:t>לפסק</w:t>
      </w:r>
      <w:r w:rsidRPr="00222FF7">
        <w:rPr>
          <w:rFonts w:ascii="Century" w:hAnsi="Century" w:cs="FrankRuehl"/>
          <w:spacing w:val="10"/>
          <w:szCs w:val="28"/>
          <w:rtl/>
        </w:rPr>
        <w:t xml:space="preserve"> </w:t>
      </w:r>
      <w:r w:rsidRPr="00222FF7">
        <w:rPr>
          <w:rFonts w:ascii="Century" w:hAnsi="Century" w:cs="FrankRuehl" w:hint="eastAsia"/>
          <w:spacing w:val="10"/>
          <w:szCs w:val="28"/>
          <w:rtl/>
        </w:rPr>
        <w:t>דינו</w:t>
      </w:r>
      <w:r w:rsidRPr="00222FF7">
        <w:rPr>
          <w:rFonts w:ascii="Century" w:hAnsi="Century" w:cs="FrankRuehl" w:hint="cs"/>
          <w:spacing w:val="10"/>
          <w:szCs w:val="28"/>
          <w:rtl/>
        </w:rPr>
        <w:t xml:space="preserve">). </w:t>
      </w:r>
      <w:r w:rsidRPr="00222FF7">
        <w:rPr>
          <w:rFonts w:ascii="Century" w:hAnsi="Century" w:cs="FrankRuehl" w:hint="eastAsia"/>
          <w:spacing w:val="10"/>
          <w:szCs w:val="28"/>
          <w:rtl/>
        </w:rPr>
        <w:t>גישה</w:t>
      </w:r>
      <w:r w:rsidRPr="00222FF7">
        <w:rPr>
          <w:rFonts w:ascii="Century" w:hAnsi="Century" w:cs="FrankRuehl"/>
          <w:spacing w:val="10"/>
          <w:szCs w:val="28"/>
          <w:rtl/>
        </w:rPr>
        <w:t xml:space="preserve"> זו מתחייבת נוכח התפיסה כי יש לאפשר למי שהתקשר עם הממונה להסתמך על הממונה כגורם השלטוני אשר ביצע את הבדיקות הנדרשות, וכל זאת בשים לב לנגישותו המוגבלת של המתקשר עם הממונה לכלל המידע הרלוונטי. בהתאם לכך, תום ליבו של המתקשר עם הממונה יישלל אך במצב של</w:t>
      </w:r>
      <w:r w:rsidRPr="00222FF7">
        <w:rPr>
          <w:rFonts w:ascii="Century" w:hAnsi="Century" w:cs="FrankRuehl" w:hint="cs"/>
          <w:spacing w:val="10"/>
          <w:szCs w:val="28"/>
          <w:rtl/>
        </w:rPr>
        <w:t xml:space="preserve"> כניסה ביודעין לתוך תאונה משפטית, לרבות </w:t>
      </w:r>
      <w:r w:rsidRPr="00222FF7">
        <w:rPr>
          <w:rFonts w:ascii="Century" w:hAnsi="Century" w:cs="FrankRuehl"/>
          <w:spacing w:val="10"/>
          <w:szCs w:val="28"/>
          <w:rtl/>
        </w:rPr>
        <w:t>במקרה של חשד המלווה בעצימת עיניים.</w:t>
      </w:r>
    </w:p>
    <w:p w:rsidR="005B1A77" w:rsidRPr="00222FF7" w:rsidRDefault="005B1A77" w:rsidP="005B1A77">
      <w:pPr>
        <w:spacing w:line="360" w:lineRule="auto"/>
        <w:jc w:val="both"/>
        <w:rPr>
          <w:rFonts w:ascii="Century" w:hAnsi="Century" w:cs="FrankRuehl"/>
          <w:spacing w:val="10"/>
          <w:szCs w:val="28"/>
          <w:rtl/>
        </w:rPr>
      </w:pPr>
    </w:p>
    <w:p w:rsidR="005B1A77" w:rsidRPr="00D35FB5" w:rsidRDefault="005B1A77" w:rsidP="005B1A77">
      <w:pPr>
        <w:spacing w:line="360" w:lineRule="auto"/>
        <w:jc w:val="both"/>
        <w:rPr>
          <w:rFonts w:ascii="Century" w:hAnsi="Century" w:cs="FrankRuehl"/>
          <w:spacing w:val="10"/>
          <w:szCs w:val="28"/>
          <w:rtl/>
        </w:rPr>
      </w:pPr>
      <w:r w:rsidRPr="00222FF7">
        <w:rPr>
          <w:rFonts w:ascii="Century" w:hAnsi="Century" w:cs="FrankRuehl" w:hint="cs"/>
          <w:spacing w:val="10"/>
          <w:szCs w:val="28"/>
          <w:rtl/>
        </w:rPr>
        <w:t>34.</w:t>
      </w:r>
      <w:r w:rsidRPr="00222FF7">
        <w:rPr>
          <w:rFonts w:ascii="Century" w:hAnsi="Century" w:cs="FrankRuehl"/>
          <w:spacing w:val="10"/>
          <w:szCs w:val="28"/>
          <w:rtl/>
        </w:rPr>
        <w:tab/>
      </w:r>
      <w:r w:rsidRPr="00222FF7">
        <w:rPr>
          <w:rFonts w:ascii="Century" w:hAnsi="Century" w:cs="FrankRuehl" w:hint="cs"/>
          <w:spacing w:val="10"/>
          <w:szCs w:val="28"/>
          <w:rtl/>
        </w:rPr>
        <w:t xml:space="preserve">לקראת סיום הדיון בסוגית תום הלב בענייננו </w:t>
      </w:r>
      <w:r w:rsidRPr="00222FF7">
        <w:rPr>
          <w:rFonts w:ascii="Century" w:hAnsi="Century" w:cs="FrankRuehl" w:hint="eastAsia"/>
          <w:spacing w:val="10"/>
          <w:szCs w:val="28"/>
          <w:rtl/>
        </w:rPr>
        <w:t>אני</w:t>
      </w:r>
      <w:r w:rsidRPr="00222FF7">
        <w:rPr>
          <w:rFonts w:ascii="Century" w:hAnsi="Century" w:cs="FrankRuehl"/>
          <w:spacing w:val="10"/>
          <w:szCs w:val="28"/>
          <w:rtl/>
        </w:rPr>
        <w:t xml:space="preserve"> מבקשת להדגיש: אין ללמוד מהדברים כי התנהלותם של הצדדים, ובפרט </w:t>
      </w:r>
      <w:r>
        <w:rPr>
          <w:rFonts w:ascii="Century" w:hAnsi="Century" w:cs="FrankRuehl" w:hint="cs"/>
          <w:spacing w:val="10"/>
          <w:szCs w:val="28"/>
          <w:rtl/>
        </w:rPr>
        <w:t xml:space="preserve">של </w:t>
      </w:r>
      <w:r w:rsidRPr="00222FF7">
        <w:rPr>
          <w:rFonts w:ascii="Century" w:hAnsi="Century" w:cs="FrankRuehl"/>
          <w:spacing w:val="10"/>
          <w:szCs w:val="28"/>
          <w:rtl/>
        </w:rPr>
        <w:t xml:space="preserve">הממונה, הייתה חפה מקשיים. להפך. דומה כי </w:t>
      </w:r>
      <w:r>
        <w:rPr>
          <w:rFonts w:ascii="Century" w:hAnsi="Century" w:cs="FrankRuehl" w:hint="cs"/>
          <w:spacing w:val="10"/>
          <w:szCs w:val="28"/>
          <w:rtl/>
        </w:rPr>
        <w:t xml:space="preserve">לאורך השנים </w:t>
      </w:r>
      <w:r w:rsidRPr="00222FF7">
        <w:rPr>
          <w:rFonts w:ascii="Century" w:hAnsi="Century" w:cs="FrankRuehl"/>
          <w:spacing w:val="10"/>
          <w:szCs w:val="28"/>
          <w:rtl/>
        </w:rPr>
        <w:t xml:space="preserve">התנהלותם של הגורמים המוסמכים </w:t>
      </w:r>
      <w:r w:rsidRPr="00222FF7">
        <w:rPr>
          <w:rFonts w:ascii="Century" w:hAnsi="Century" w:cs="FrankRuehl" w:hint="eastAsia"/>
          <w:spacing w:val="10"/>
          <w:szCs w:val="28"/>
          <w:rtl/>
        </w:rPr>
        <w:t>הייתה</w:t>
      </w:r>
      <w:r w:rsidRPr="00222FF7">
        <w:rPr>
          <w:rFonts w:ascii="Century" w:hAnsi="Century" w:cs="FrankRuehl"/>
          <w:spacing w:val="10"/>
          <w:szCs w:val="28"/>
          <w:rtl/>
        </w:rPr>
        <w:t xml:space="preserve"> </w:t>
      </w:r>
      <w:r w:rsidRPr="00222FF7">
        <w:rPr>
          <w:rFonts w:ascii="Century" w:hAnsi="Century" w:cs="FrankRuehl" w:hint="eastAsia"/>
          <w:spacing w:val="10"/>
          <w:szCs w:val="28"/>
          <w:rtl/>
        </w:rPr>
        <w:t>נגועה</w:t>
      </w:r>
      <w:r w:rsidRPr="00222FF7">
        <w:rPr>
          <w:rFonts w:ascii="Century" w:hAnsi="Century" w:cs="FrankRuehl"/>
          <w:spacing w:val="10"/>
          <w:szCs w:val="28"/>
          <w:rtl/>
        </w:rPr>
        <w:t xml:space="preserve"> </w:t>
      </w:r>
      <w:r w:rsidRPr="00222FF7">
        <w:rPr>
          <w:rFonts w:ascii="Century" w:hAnsi="Century" w:cs="FrankRuehl" w:hint="eastAsia"/>
          <w:spacing w:val="10"/>
          <w:szCs w:val="28"/>
          <w:rtl/>
        </w:rPr>
        <w:t>באי</w:t>
      </w:r>
      <w:r w:rsidRPr="00222FF7">
        <w:rPr>
          <w:rFonts w:ascii="Century" w:hAnsi="Century" w:cs="FrankRuehl"/>
          <w:spacing w:val="10"/>
          <w:szCs w:val="28"/>
          <w:rtl/>
        </w:rPr>
        <w:t>-סדרים</w:t>
      </w:r>
      <w:r w:rsidRPr="00222FF7">
        <w:rPr>
          <w:rFonts w:ascii="Century" w:hAnsi="Century" w:cs="FrankRuehl" w:hint="cs"/>
          <w:spacing w:val="10"/>
          <w:szCs w:val="28"/>
          <w:rtl/>
        </w:rPr>
        <w:t xml:space="preserve"> לא מבוטלים וכי מרחפים מעליה סימני שאלה שונים</w:t>
      </w:r>
      <w:r w:rsidRPr="00222FF7">
        <w:rPr>
          <w:rFonts w:ascii="Century" w:hAnsi="Century" w:cs="FrankRuehl"/>
          <w:spacing w:val="10"/>
          <w:szCs w:val="28"/>
          <w:rtl/>
        </w:rPr>
        <w:t xml:space="preserve">. </w:t>
      </w:r>
      <w:r w:rsidRPr="00222FF7">
        <w:rPr>
          <w:rFonts w:ascii="Century" w:hAnsi="Century" w:cs="FrankRuehl" w:hint="eastAsia"/>
          <w:spacing w:val="10"/>
          <w:szCs w:val="28"/>
          <w:rtl/>
        </w:rPr>
        <w:t>עם</w:t>
      </w:r>
      <w:r w:rsidRPr="00222FF7">
        <w:rPr>
          <w:rFonts w:ascii="Century" w:hAnsi="Century" w:cs="FrankRuehl"/>
          <w:spacing w:val="10"/>
          <w:szCs w:val="28"/>
          <w:rtl/>
        </w:rPr>
        <w:t xml:space="preserve"> </w:t>
      </w:r>
      <w:r w:rsidRPr="00222FF7">
        <w:rPr>
          <w:rFonts w:ascii="Century" w:hAnsi="Century" w:cs="FrankRuehl" w:hint="eastAsia"/>
          <w:spacing w:val="10"/>
          <w:szCs w:val="28"/>
          <w:rtl/>
        </w:rPr>
        <w:t>זאת</w:t>
      </w:r>
      <w:r w:rsidRPr="00222FF7">
        <w:rPr>
          <w:rFonts w:ascii="Century" w:hAnsi="Century" w:cs="FrankRuehl"/>
          <w:spacing w:val="10"/>
          <w:szCs w:val="28"/>
          <w:rtl/>
        </w:rPr>
        <w:t xml:space="preserve">, </w:t>
      </w:r>
      <w:r w:rsidRPr="00222FF7">
        <w:rPr>
          <w:rFonts w:ascii="Century" w:hAnsi="Century" w:cs="FrankRuehl" w:hint="eastAsia"/>
          <w:spacing w:val="10"/>
          <w:szCs w:val="28"/>
          <w:rtl/>
        </w:rPr>
        <w:t>יש</w:t>
      </w:r>
      <w:r w:rsidRPr="00222FF7">
        <w:rPr>
          <w:rFonts w:ascii="Century" w:hAnsi="Century" w:cs="FrankRuehl"/>
          <w:spacing w:val="10"/>
          <w:szCs w:val="28"/>
          <w:rtl/>
        </w:rPr>
        <w:t xml:space="preserve"> </w:t>
      </w:r>
      <w:r w:rsidRPr="00222FF7">
        <w:rPr>
          <w:rFonts w:ascii="Century" w:hAnsi="Century" w:cs="FrankRuehl" w:hint="eastAsia"/>
          <w:spacing w:val="10"/>
          <w:szCs w:val="28"/>
          <w:rtl/>
        </w:rPr>
        <w:t>להבהיר</w:t>
      </w:r>
      <w:r w:rsidRPr="00222FF7">
        <w:rPr>
          <w:rFonts w:ascii="Century" w:hAnsi="Century" w:cs="FrankRuehl"/>
          <w:spacing w:val="10"/>
          <w:szCs w:val="28"/>
          <w:rtl/>
        </w:rPr>
        <w:t xml:space="preserve"> </w:t>
      </w:r>
      <w:r w:rsidRPr="00222FF7">
        <w:rPr>
          <w:rFonts w:ascii="Century" w:hAnsi="Century" w:cs="FrankRuehl" w:hint="eastAsia"/>
          <w:spacing w:val="10"/>
          <w:szCs w:val="28"/>
          <w:rtl/>
        </w:rPr>
        <w:t>כי</w:t>
      </w:r>
      <w:r w:rsidRPr="00222FF7">
        <w:rPr>
          <w:rFonts w:ascii="Century" w:hAnsi="Century" w:cs="FrankRuehl"/>
          <w:spacing w:val="10"/>
          <w:szCs w:val="28"/>
          <w:rtl/>
        </w:rPr>
        <w:t xml:space="preserve"> </w:t>
      </w:r>
      <w:r w:rsidRPr="00222FF7">
        <w:rPr>
          <w:rFonts w:ascii="Century" w:hAnsi="Century" w:cs="FrankRuehl" w:hint="eastAsia"/>
          <w:spacing w:val="10"/>
          <w:szCs w:val="28"/>
          <w:rtl/>
        </w:rPr>
        <w:t>לצורך</w:t>
      </w:r>
      <w:r w:rsidRPr="00222FF7">
        <w:rPr>
          <w:rFonts w:ascii="Century" w:hAnsi="Century" w:cs="FrankRuehl"/>
          <w:spacing w:val="10"/>
          <w:szCs w:val="28"/>
          <w:rtl/>
        </w:rPr>
        <w:t xml:space="preserve"> </w:t>
      </w:r>
      <w:r w:rsidRPr="00222FF7">
        <w:rPr>
          <w:rFonts w:ascii="Century" w:hAnsi="Century" w:cs="FrankRuehl" w:hint="eastAsia"/>
          <w:spacing w:val="10"/>
          <w:szCs w:val="28"/>
          <w:rtl/>
        </w:rPr>
        <w:t>הכרעה</w:t>
      </w:r>
      <w:r w:rsidRPr="00222FF7">
        <w:rPr>
          <w:rFonts w:ascii="Century" w:hAnsi="Century" w:cs="FrankRuehl"/>
          <w:spacing w:val="10"/>
          <w:szCs w:val="28"/>
          <w:rtl/>
        </w:rPr>
        <w:t xml:space="preserve"> </w:t>
      </w:r>
      <w:r w:rsidRPr="00222FF7">
        <w:rPr>
          <w:rFonts w:ascii="Century" w:hAnsi="Century" w:cs="FrankRuehl" w:hint="eastAsia"/>
          <w:spacing w:val="10"/>
          <w:szCs w:val="28"/>
          <w:rtl/>
        </w:rPr>
        <w:t>בשאלות</w:t>
      </w:r>
      <w:r w:rsidRPr="00222FF7">
        <w:rPr>
          <w:rFonts w:ascii="Century" w:hAnsi="Century" w:cs="FrankRuehl"/>
          <w:spacing w:val="10"/>
          <w:szCs w:val="28"/>
          <w:rtl/>
        </w:rPr>
        <w:t xml:space="preserve"> </w:t>
      </w:r>
      <w:r w:rsidRPr="00222FF7">
        <w:rPr>
          <w:rFonts w:ascii="Century" w:hAnsi="Century" w:cs="FrankRuehl" w:hint="eastAsia"/>
          <w:spacing w:val="10"/>
          <w:szCs w:val="28"/>
          <w:rtl/>
        </w:rPr>
        <w:t>שבפנינו</w:t>
      </w:r>
      <w:r w:rsidRPr="00222FF7">
        <w:rPr>
          <w:rFonts w:ascii="Century" w:hAnsi="Century" w:cs="FrankRuehl"/>
          <w:spacing w:val="10"/>
          <w:szCs w:val="28"/>
          <w:rtl/>
        </w:rPr>
        <w:t xml:space="preserve"> </w:t>
      </w:r>
      <w:r w:rsidRPr="00222FF7">
        <w:rPr>
          <w:rFonts w:ascii="Century" w:hAnsi="Century" w:cs="FrankRuehl" w:hint="eastAsia"/>
          <w:spacing w:val="10"/>
          <w:szCs w:val="28"/>
          <w:rtl/>
        </w:rPr>
        <w:t>יש</w:t>
      </w:r>
      <w:r w:rsidRPr="00222FF7">
        <w:rPr>
          <w:rFonts w:ascii="Century" w:hAnsi="Century" w:cs="FrankRuehl"/>
          <w:spacing w:val="10"/>
          <w:szCs w:val="28"/>
          <w:rtl/>
        </w:rPr>
        <w:t xml:space="preserve"> </w:t>
      </w:r>
      <w:r w:rsidRPr="00222FF7">
        <w:rPr>
          <w:rFonts w:ascii="Century" w:hAnsi="Century" w:cs="FrankRuehl" w:hint="eastAsia"/>
          <w:spacing w:val="10"/>
          <w:szCs w:val="28"/>
          <w:rtl/>
        </w:rPr>
        <w:t>לבחון</w:t>
      </w:r>
      <w:r w:rsidRPr="00222FF7">
        <w:rPr>
          <w:rFonts w:ascii="Century" w:hAnsi="Century" w:cs="FrankRuehl"/>
          <w:spacing w:val="10"/>
          <w:szCs w:val="28"/>
          <w:rtl/>
        </w:rPr>
        <w:t xml:space="preserve"> </w:t>
      </w:r>
      <w:r w:rsidRPr="00222FF7">
        <w:rPr>
          <w:rFonts w:ascii="Century" w:hAnsi="Century" w:cs="FrankRuehl" w:hint="eastAsia"/>
          <w:spacing w:val="10"/>
          <w:szCs w:val="28"/>
          <w:rtl/>
        </w:rPr>
        <w:t>את</w:t>
      </w:r>
      <w:r w:rsidRPr="00222FF7">
        <w:rPr>
          <w:rFonts w:ascii="Century" w:hAnsi="Century" w:cs="FrankRuehl"/>
          <w:spacing w:val="10"/>
          <w:szCs w:val="28"/>
          <w:rtl/>
        </w:rPr>
        <w:t xml:space="preserve"> </w:t>
      </w:r>
      <w:r w:rsidRPr="00222FF7">
        <w:rPr>
          <w:rFonts w:ascii="Century" w:hAnsi="Century" w:cs="FrankRuehl" w:hint="eastAsia"/>
          <w:spacing w:val="10"/>
          <w:szCs w:val="28"/>
          <w:rtl/>
        </w:rPr>
        <w:t>תום</w:t>
      </w:r>
      <w:r w:rsidRPr="00222FF7">
        <w:rPr>
          <w:rFonts w:ascii="Century" w:hAnsi="Century" w:cs="FrankRuehl"/>
          <w:spacing w:val="10"/>
          <w:szCs w:val="28"/>
          <w:rtl/>
        </w:rPr>
        <w:t xml:space="preserve"> </w:t>
      </w:r>
      <w:r w:rsidRPr="00222FF7">
        <w:rPr>
          <w:rFonts w:ascii="Century" w:hAnsi="Century" w:cs="FrankRuehl" w:hint="eastAsia"/>
          <w:spacing w:val="10"/>
          <w:szCs w:val="28"/>
          <w:rtl/>
        </w:rPr>
        <w:t>הלב</w:t>
      </w:r>
      <w:r w:rsidRPr="00222FF7">
        <w:rPr>
          <w:rFonts w:ascii="Century" w:hAnsi="Century" w:cs="FrankRuehl"/>
          <w:spacing w:val="10"/>
          <w:szCs w:val="28"/>
          <w:rtl/>
        </w:rPr>
        <w:t xml:space="preserve"> הסובייקטיבי של </w:t>
      </w:r>
      <w:r w:rsidRPr="00222FF7">
        <w:rPr>
          <w:rFonts w:ascii="Century" w:hAnsi="Century" w:cs="FrankRuehl" w:hint="eastAsia"/>
          <w:spacing w:val="10"/>
          <w:szCs w:val="28"/>
          <w:rtl/>
        </w:rPr>
        <w:t>הממונה</w:t>
      </w:r>
      <w:r w:rsidRPr="00222FF7">
        <w:rPr>
          <w:rFonts w:ascii="Century" w:hAnsi="Century" w:cs="FrankRuehl" w:hint="cs"/>
          <w:spacing w:val="10"/>
          <w:szCs w:val="28"/>
          <w:rtl/>
        </w:rPr>
        <w:t xml:space="preserve"> וזאת גם</w:t>
      </w:r>
      <w:r w:rsidRPr="00222FF7">
        <w:rPr>
          <w:rFonts w:ascii="Century" w:hAnsi="Century" w:cs="FrankRuehl"/>
          <w:spacing w:val="10"/>
          <w:szCs w:val="28"/>
          <w:rtl/>
        </w:rPr>
        <w:t xml:space="preserve"> בשים לב </w:t>
      </w:r>
      <w:r>
        <w:rPr>
          <w:rFonts w:ascii="Century" w:hAnsi="Century" w:cs="FrankRuehl" w:hint="cs"/>
          <w:spacing w:val="10"/>
          <w:szCs w:val="28"/>
          <w:rtl/>
        </w:rPr>
        <w:t>למועדים</w:t>
      </w:r>
      <w:r w:rsidRPr="00222FF7">
        <w:rPr>
          <w:rFonts w:ascii="Century" w:hAnsi="Century" w:cs="FrankRuehl"/>
          <w:spacing w:val="10"/>
          <w:szCs w:val="28"/>
          <w:rtl/>
        </w:rPr>
        <w:t xml:space="preserve"> שב</w:t>
      </w:r>
      <w:r>
        <w:rPr>
          <w:rFonts w:ascii="Century" w:hAnsi="Century" w:cs="FrankRuehl" w:hint="cs"/>
          <w:spacing w:val="10"/>
          <w:szCs w:val="28"/>
          <w:rtl/>
        </w:rPr>
        <w:t>הם</w:t>
      </w:r>
      <w:r w:rsidRPr="00222FF7">
        <w:rPr>
          <w:rFonts w:ascii="Century" w:hAnsi="Century" w:cs="FrankRuehl"/>
          <w:spacing w:val="10"/>
          <w:szCs w:val="28"/>
          <w:rtl/>
        </w:rPr>
        <w:t xml:space="preserve"> ננקטו הפעולות הרלוונטיות. מובן כי במבט הצופה פני עתיד ובהקשרים אחרים, </w:t>
      </w:r>
      <w:r w:rsidRPr="00222FF7">
        <w:rPr>
          <w:rFonts w:ascii="Century" w:hAnsi="Century" w:cs="FrankRuehl" w:hint="eastAsia"/>
          <w:spacing w:val="10"/>
          <w:szCs w:val="28"/>
          <w:rtl/>
        </w:rPr>
        <w:t>אין</w:t>
      </w:r>
      <w:r w:rsidRPr="00222FF7">
        <w:rPr>
          <w:rFonts w:ascii="Century" w:hAnsi="Century" w:cs="FrankRuehl"/>
          <w:spacing w:val="10"/>
          <w:szCs w:val="28"/>
          <w:rtl/>
        </w:rPr>
        <w:t xml:space="preserve"> </w:t>
      </w:r>
      <w:r w:rsidRPr="00222FF7">
        <w:rPr>
          <w:rFonts w:ascii="Century" w:hAnsi="Century" w:cs="FrankRuehl" w:hint="eastAsia"/>
          <w:spacing w:val="10"/>
          <w:szCs w:val="28"/>
          <w:rtl/>
        </w:rPr>
        <w:t>בקביעה</w:t>
      </w:r>
      <w:r w:rsidRPr="00222FF7">
        <w:rPr>
          <w:rFonts w:ascii="Century" w:hAnsi="Century" w:cs="FrankRuehl"/>
          <w:spacing w:val="10"/>
          <w:szCs w:val="28"/>
          <w:rtl/>
        </w:rPr>
        <w:t xml:space="preserve"> זו כדי לחייב מסקנה דומה.  </w:t>
      </w:r>
    </w:p>
    <w:p w:rsidR="005B1A77" w:rsidRDefault="005B1A77" w:rsidP="005B1A77">
      <w:pPr>
        <w:spacing w:line="360" w:lineRule="auto"/>
        <w:jc w:val="both"/>
        <w:rPr>
          <w:rFonts w:ascii="Century" w:hAnsi="Century" w:cs="Miriam"/>
          <w:b/>
          <w:shd w:val="clear" w:color="auto" w:fill="FFFFFF"/>
          <w:rtl/>
        </w:rPr>
      </w:pPr>
    </w:p>
    <w:p w:rsidR="005B1A77" w:rsidRDefault="005B1A77" w:rsidP="005B1A77">
      <w:pPr>
        <w:spacing w:line="360" w:lineRule="auto"/>
        <w:jc w:val="both"/>
        <w:rPr>
          <w:rFonts w:ascii="Century" w:hAnsi="Century" w:cs="Miriam"/>
          <w:b/>
          <w:shd w:val="clear" w:color="auto" w:fill="FFFFFF"/>
          <w:rtl/>
        </w:rPr>
      </w:pPr>
    </w:p>
    <w:p w:rsidR="005B1A77" w:rsidRPr="00222FF7" w:rsidRDefault="005B1A77" w:rsidP="005B1A77">
      <w:pPr>
        <w:spacing w:line="360" w:lineRule="auto"/>
        <w:jc w:val="both"/>
        <w:rPr>
          <w:rFonts w:ascii="Century" w:hAnsi="Century" w:cs="Miriam"/>
          <w:b/>
          <w:shd w:val="clear" w:color="auto" w:fill="FFFFFF"/>
          <w:rtl/>
        </w:rPr>
      </w:pPr>
      <w:r w:rsidRPr="00222FF7">
        <w:rPr>
          <w:rFonts w:ascii="Century" w:hAnsi="Century" w:cs="Miriam" w:hint="cs"/>
          <w:b/>
          <w:shd w:val="clear" w:color="auto" w:fill="FFFFFF"/>
          <w:rtl/>
        </w:rPr>
        <w:lastRenderedPageBreak/>
        <w:t xml:space="preserve">סוגיה שלישית: דרישת התמורה ויישומה במקרה שבפנינו </w:t>
      </w:r>
    </w:p>
    <w:p w:rsidR="005B1A77" w:rsidRDefault="005B1A77" w:rsidP="005B1A77">
      <w:pPr>
        <w:spacing w:line="360" w:lineRule="auto"/>
        <w:jc w:val="both"/>
        <w:rPr>
          <w:rFonts w:ascii="Century" w:hAnsi="Century" w:cs="Miriam"/>
          <w:b/>
          <w:shd w:val="clear" w:color="auto" w:fill="FFFFFF"/>
          <w:rtl/>
        </w:rPr>
      </w:pPr>
    </w:p>
    <w:p w:rsidR="005B1A77" w:rsidRPr="00222FF7" w:rsidRDefault="005B1A77" w:rsidP="005B1A77">
      <w:pPr>
        <w:spacing w:line="360" w:lineRule="auto"/>
        <w:jc w:val="both"/>
        <w:rPr>
          <w:rFonts w:ascii="Century" w:hAnsi="Century" w:cs="FrankRuehl"/>
          <w:spacing w:val="10"/>
          <w:szCs w:val="28"/>
          <w:shd w:val="clear" w:color="auto" w:fill="FFFFFF"/>
          <w:rtl/>
        </w:rPr>
      </w:pPr>
      <w:r w:rsidRPr="00222FF7">
        <w:rPr>
          <w:rFonts w:ascii="Century" w:hAnsi="Century" w:cs="FrankRuehl" w:hint="cs"/>
          <w:spacing w:val="10"/>
          <w:szCs w:val="28"/>
          <w:shd w:val="clear" w:color="auto" w:fill="FFFFFF"/>
          <w:rtl/>
        </w:rPr>
        <w:t>35.</w:t>
      </w:r>
      <w:r w:rsidRPr="00222FF7">
        <w:rPr>
          <w:rFonts w:ascii="Century" w:hAnsi="Century" w:cs="FrankRuehl" w:hint="cs"/>
          <w:spacing w:val="10"/>
          <w:szCs w:val="28"/>
          <w:shd w:val="clear" w:color="auto" w:fill="FFFFFF"/>
          <w:rtl/>
        </w:rPr>
        <w:tab/>
        <w:t xml:space="preserve">בנקודה זו אני מבקשת לעמוד על מסקנה פרשנית נוספת המתחייבת מגישתי, וזאת בכל הנוגע לדרישה לתמורה כחלק מתנאי סעיף 5 לצו. </w:t>
      </w:r>
    </w:p>
    <w:p w:rsidR="005B1A77" w:rsidRPr="00222FF7" w:rsidRDefault="005B1A77" w:rsidP="005B1A77">
      <w:pPr>
        <w:spacing w:line="360" w:lineRule="auto"/>
        <w:jc w:val="both"/>
        <w:rPr>
          <w:rFonts w:ascii="Century" w:hAnsi="Century" w:cs="FrankRuehl"/>
          <w:spacing w:val="10"/>
          <w:szCs w:val="28"/>
          <w:shd w:val="clear" w:color="auto" w:fill="FFFFFF"/>
          <w:rtl/>
        </w:rPr>
      </w:pPr>
    </w:p>
    <w:p w:rsidR="005B1A77" w:rsidRPr="00222FF7" w:rsidRDefault="005B1A77" w:rsidP="005B1A77">
      <w:pPr>
        <w:spacing w:line="360" w:lineRule="auto"/>
        <w:jc w:val="both"/>
        <w:rPr>
          <w:rFonts w:ascii="Century" w:hAnsi="Century" w:cs="FrankRuehl"/>
          <w:spacing w:val="10"/>
          <w:szCs w:val="28"/>
          <w:shd w:val="clear" w:color="auto" w:fill="FFFFFF"/>
          <w:rtl/>
        </w:rPr>
      </w:pPr>
      <w:r w:rsidRPr="00222FF7">
        <w:rPr>
          <w:rFonts w:ascii="Century" w:hAnsi="Century" w:cs="FrankRuehl" w:hint="cs"/>
          <w:spacing w:val="10"/>
          <w:szCs w:val="28"/>
          <w:shd w:val="clear" w:color="auto" w:fill="FFFFFF"/>
          <w:rtl/>
        </w:rPr>
        <w:t>36.</w:t>
      </w:r>
      <w:r w:rsidRPr="00222FF7">
        <w:rPr>
          <w:rFonts w:ascii="Century" w:hAnsi="Century" w:cs="FrankRuehl"/>
          <w:spacing w:val="10"/>
          <w:szCs w:val="28"/>
          <w:shd w:val="clear" w:color="auto" w:fill="FFFFFF"/>
          <w:rtl/>
        </w:rPr>
        <w:tab/>
      </w:r>
      <w:r w:rsidRPr="00222FF7">
        <w:rPr>
          <w:rFonts w:ascii="Century" w:hAnsi="Century" w:cs="FrankRuehl" w:hint="cs"/>
          <w:spacing w:val="10"/>
          <w:szCs w:val="28"/>
          <w:shd w:val="clear" w:color="auto" w:fill="FFFFFF"/>
          <w:rtl/>
        </w:rPr>
        <w:t xml:space="preserve">אכן, לשונו של סעיף 5 לצו אינה כוללת דרישה מפורשת לתמורה מצדו של המתקשר עם הממונה. זאת, בשונה מאופן ניסוחן של תקנות שוק אחרות בדין הישראלי (ראו למשל: סעיף 83 לחוק הספנות (כלי שיט), התש"ך-1960; סעיף 73 לחוק הירושה, התשכ"ה-1965; סעיף 10 לחוק המקרקעין, התשכ"ט-1969). לצד זאת, עמדת היועץ המשפטי לממשלה לאורך ההליך הייתה כי יש מקום לקרוא לתוך הסעיף דרישה מעין זו. עמדתו האמורה התבססה, בעיקרו של דבר, על פרשנות תכליתית של תקנת השוק הקבועה בסעיף 5 לצו ועל היקש מהסדרי תקנות שוק אחרים. יחד עם זאת, עמדתו של היועץ המשפטי לממשלה הדגישה כי יש לפרש את דרישת התמורה בשים לב לפרקטיקה המקובלת בעסקאות בין הממונה לגורמים מיישבים באזור. בהתאם לכך, נטען כי </w:t>
      </w:r>
      <w:r w:rsidRPr="00222FF7">
        <w:rPr>
          <w:rFonts w:ascii="Century" w:hAnsi="Century" w:cs="FrankRuehl" w:hint="cs"/>
          <w:spacing w:val="10"/>
          <w:szCs w:val="28"/>
          <w:rtl/>
        </w:rPr>
        <w:t xml:space="preserve">בהתקשרויות בין הממונה לבין גורם מיישב יש לראות כתמורה את "קידום תכנית מתאר לשטח המוקצה, פיתוחו ושיווקו" </w:t>
      </w:r>
      <w:r w:rsidRPr="00222FF7">
        <w:rPr>
          <w:rFonts w:ascii="Century" w:hAnsi="Century" w:cs="FrankRuehl"/>
          <w:spacing w:val="10"/>
          <w:szCs w:val="28"/>
          <w:rtl/>
        </w:rPr>
        <w:t>(</w:t>
      </w:r>
      <w:r w:rsidRPr="00222FF7">
        <w:rPr>
          <w:rFonts w:ascii="Century" w:hAnsi="Century" w:cs="FrankRuehl" w:hint="cs"/>
          <w:spacing w:val="10"/>
          <w:szCs w:val="28"/>
          <w:rtl/>
        </w:rPr>
        <w:t xml:space="preserve">ראו </w:t>
      </w:r>
      <w:r w:rsidRPr="00222FF7">
        <w:rPr>
          <w:rFonts w:ascii="Century" w:hAnsi="Century" w:cs="FrankRuehl" w:hint="eastAsia"/>
          <w:spacing w:val="10"/>
          <w:szCs w:val="28"/>
          <w:rtl/>
        </w:rPr>
        <w:t>סעיף</w:t>
      </w:r>
      <w:r w:rsidRPr="00222FF7">
        <w:rPr>
          <w:rFonts w:ascii="Century" w:hAnsi="Century" w:cs="FrankRuehl"/>
          <w:spacing w:val="10"/>
          <w:szCs w:val="28"/>
          <w:rtl/>
        </w:rPr>
        <w:t xml:space="preserve"> 5</w:t>
      </w:r>
      <w:r w:rsidRPr="00222FF7">
        <w:rPr>
          <w:rFonts w:ascii="Century" w:hAnsi="Century" w:cs="FrankRuehl" w:hint="eastAsia"/>
          <w:spacing w:val="10"/>
          <w:szCs w:val="28"/>
          <w:rtl/>
        </w:rPr>
        <w:t>ד</w:t>
      </w:r>
      <w:r w:rsidRPr="00222FF7">
        <w:rPr>
          <w:rFonts w:ascii="Century" w:hAnsi="Century" w:cs="FrankRuehl"/>
          <w:spacing w:val="10"/>
          <w:szCs w:val="28"/>
          <w:rtl/>
        </w:rPr>
        <w:t xml:space="preserve"> </w:t>
      </w:r>
      <w:r w:rsidRPr="00222FF7">
        <w:rPr>
          <w:rFonts w:ascii="Century" w:hAnsi="Century" w:cs="FrankRuehl" w:hint="cs"/>
          <w:spacing w:val="10"/>
          <w:szCs w:val="28"/>
          <w:rtl/>
        </w:rPr>
        <w:t>לסי</w:t>
      </w:r>
      <w:r w:rsidRPr="00222FF7">
        <w:rPr>
          <w:rFonts w:ascii="Century" w:hAnsi="Century" w:cs="FrankRuehl"/>
          <w:spacing w:val="10"/>
          <w:szCs w:val="28"/>
          <w:rtl/>
        </w:rPr>
        <w:t>כום דיון</w:t>
      </w:r>
      <w:r w:rsidRPr="00222FF7">
        <w:rPr>
          <w:rFonts w:ascii="Century" w:hAnsi="Century" w:cs="FrankRuehl" w:hint="cs"/>
          <w:spacing w:val="10"/>
          <w:szCs w:val="28"/>
          <w:rtl/>
        </w:rPr>
        <w:t xml:space="preserve"> שערך היועץ המשפטי לממשלה</w:t>
      </w:r>
      <w:r w:rsidRPr="00222FF7">
        <w:rPr>
          <w:rFonts w:ascii="Century" w:hAnsi="Century" w:cs="FrankRuehl"/>
          <w:spacing w:val="10"/>
          <w:szCs w:val="28"/>
          <w:rtl/>
        </w:rPr>
        <w:t xml:space="preserve"> בנושא "סעיף 5 לצו בדבר רכוש ממשלתי (יהודה והשומרון)</w:t>
      </w:r>
      <w:r>
        <w:rPr>
          <w:rFonts w:ascii="Century" w:hAnsi="Century" w:cs="FrankRuehl" w:hint="cs"/>
          <w:spacing w:val="10"/>
          <w:szCs w:val="28"/>
          <w:rtl/>
        </w:rPr>
        <w:t>"</w:t>
      </w:r>
      <w:r w:rsidRPr="00222FF7">
        <w:rPr>
          <w:rFonts w:ascii="Century" w:hAnsi="Century" w:cs="FrankRuehl"/>
          <w:spacing w:val="10"/>
          <w:szCs w:val="28"/>
          <w:rtl/>
        </w:rPr>
        <w:t xml:space="preserve"> מיום 7.12.2016</w:t>
      </w:r>
      <w:r w:rsidRPr="00222FF7">
        <w:rPr>
          <w:rFonts w:ascii="Century" w:hAnsi="Century" w:cs="FrankRuehl" w:hint="cs"/>
          <w:spacing w:val="10"/>
          <w:szCs w:val="28"/>
          <w:rtl/>
        </w:rPr>
        <w:t xml:space="preserve"> (להלן: </w:t>
      </w:r>
      <w:r w:rsidRPr="00222FF7">
        <w:rPr>
          <w:rFonts w:ascii="Century" w:hAnsi="Century" w:cs="Miriam" w:hint="eastAsia"/>
          <w:b/>
          <w:rtl/>
        </w:rPr>
        <w:t>חוות</w:t>
      </w:r>
      <w:r w:rsidRPr="00222FF7">
        <w:rPr>
          <w:rFonts w:ascii="Century" w:hAnsi="Century" w:cs="Miriam"/>
          <w:b/>
          <w:rtl/>
        </w:rPr>
        <w:t xml:space="preserve"> </w:t>
      </w:r>
      <w:r w:rsidRPr="00222FF7">
        <w:rPr>
          <w:rFonts w:ascii="Century" w:hAnsi="Century" w:cs="Miriam" w:hint="eastAsia"/>
          <w:b/>
          <w:rtl/>
        </w:rPr>
        <w:t>דעת</w:t>
      </w:r>
      <w:r w:rsidRPr="00222FF7">
        <w:rPr>
          <w:rFonts w:ascii="Century" w:hAnsi="Century" w:cs="Miriam"/>
          <w:b/>
          <w:rtl/>
        </w:rPr>
        <w:t xml:space="preserve"> </w:t>
      </w:r>
      <w:r w:rsidRPr="00222FF7">
        <w:rPr>
          <w:rFonts w:ascii="Century" w:hAnsi="Century" w:cs="Miriam" w:hint="eastAsia"/>
          <w:b/>
          <w:rtl/>
        </w:rPr>
        <w:t>היועמ</w:t>
      </w:r>
      <w:r w:rsidRPr="00222FF7">
        <w:rPr>
          <w:rFonts w:ascii="Century" w:hAnsi="Century" w:cs="Miriam"/>
          <w:b/>
          <w:rtl/>
        </w:rPr>
        <w:t xml:space="preserve">"ש </w:t>
      </w:r>
      <w:r w:rsidRPr="00222FF7">
        <w:rPr>
          <w:rFonts w:ascii="Century" w:hAnsi="Century" w:cs="Miriam" w:hint="cs"/>
          <w:b/>
          <w:rtl/>
        </w:rPr>
        <w:t>2016</w:t>
      </w:r>
      <w:r w:rsidRPr="00222FF7">
        <w:rPr>
          <w:rFonts w:ascii="Century" w:hAnsi="Century" w:cs="FrankRuehl" w:hint="cs"/>
          <w:spacing w:val="10"/>
          <w:szCs w:val="28"/>
          <w:rtl/>
        </w:rPr>
        <w:t>). כן ראו:</w:t>
      </w:r>
      <w:r w:rsidRPr="00222FF7">
        <w:rPr>
          <w:rFonts w:cs="FrankRuehl" w:hint="cs"/>
          <w:color w:val="000000"/>
          <w:spacing w:val="10"/>
          <w:sz w:val="28"/>
          <w:szCs w:val="28"/>
          <w:rtl/>
        </w:rPr>
        <w:t xml:space="preserve"> </w:t>
      </w:r>
      <w:r w:rsidRPr="00222FF7">
        <w:rPr>
          <w:rFonts w:ascii="Century" w:hAnsi="Century" w:cs="Miriam" w:hint="eastAsia"/>
          <w:b/>
          <w:rtl/>
        </w:rPr>
        <w:t>ויניצקי</w:t>
      </w:r>
      <w:r w:rsidRPr="00222FF7">
        <w:rPr>
          <w:rFonts w:ascii="Century" w:hAnsi="Century" w:cs="FrankRuehl" w:hint="cs"/>
          <w:spacing w:val="10"/>
          <w:szCs w:val="28"/>
          <w:rtl/>
        </w:rPr>
        <w:t>, בעמ' 3</w:t>
      </w:r>
      <w:r>
        <w:rPr>
          <w:rFonts w:ascii="Century" w:hAnsi="Century" w:cs="FrankRuehl" w:hint="cs"/>
          <w:spacing w:val="10"/>
          <w:szCs w:val="28"/>
          <w:rtl/>
        </w:rPr>
        <w:t>98</w:t>
      </w:r>
      <w:r w:rsidRPr="00222FF7">
        <w:rPr>
          <w:rFonts w:ascii="Century" w:hAnsi="Century" w:cs="FrankRuehl"/>
          <w:spacing w:val="10"/>
          <w:szCs w:val="28"/>
          <w:rtl/>
        </w:rPr>
        <w:t>).</w:t>
      </w:r>
    </w:p>
    <w:p w:rsidR="005B1A77" w:rsidRDefault="005B1A77" w:rsidP="005B1A77">
      <w:pPr>
        <w:spacing w:line="360" w:lineRule="auto"/>
        <w:jc w:val="both"/>
        <w:rPr>
          <w:rFonts w:cs="FrankRuehl"/>
          <w:color w:val="000000"/>
          <w:spacing w:val="10"/>
          <w:sz w:val="28"/>
          <w:szCs w:val="28"/>
          <w:shd w:val="clear" w:color="auto" w:fill="FFFFFF"/>
          <w:rtl/>
        </w:rPr>
      </w:pPr>
    </w:p>
    <w:p w:rsidR="005B1A77" w:rsidRDefault="005B1A77" w:rsidP="005B1A77">
      <w:pPr>
        <w:spacing w:line="360" w:lineRule="auto"/>
        <w:jc w:val="both"/>
        <w:rPr>
          <w:rFonts w:cs="FrankRuehl"/>
          <w:color w:val="000000"/>
          <w:spacing w:val="10"/>
          <w:sz w:val="28"/>
          <w:szCs w:val="28"/>
          <w:shd w:val="clear" w:color="auto" w:fill="FFFFFF"/>
          <w:rtl/>
        </w:rPr>
      </w:pPr>
      <w:r>
        <w:rPr>
          <w:rFonts w:cs="FrankRuehl" w:hint="cs"/>
          <w:color w:val="000000"/>
          <w:spacing w:val="10"/>
          <w:sz w:val="28"/>
          <w:szCs w:val="28"/>
          <w:shd w:val="clear" w:color="auto" w:fill="FFFFFF"/>
          <w:rtl/>
        </w:rPr>
        <w:t>37.</w:t>
      </w:r>
      <w:r>
        <w:rPr>
          <w:rFonts w:cs="FrankRuehl" w:hint="cs"/>
          <w:color w:val="000000"/>
          <w:spacing w:val="10"/>
          <w:sz w:val="28"/>
          <w:szCs w:val="28"/>
          <w:shd w:val="clear" w:color="auto" w:fill="FFFFFF"/>
          <w:rtl/>
        </w:rPr>
        <w:tab/>
      </w:r>
      <w:r w:rsidRPr="00222FF7">
        <w:rPr>
          <w:rFonts w:ascii="Century" w:hAnsi="Century" w:cs="FrankRuehl" w:hint="cs"/>
          <w:spacing w:val="10"/>
          <w:szCs w:val="28"/>
          <w:shd w:val="clear" w:color="auto" w:fill="FFFFFF"/>
          <w:rtl/>
        </w:rPr>
        <w:t xml:space="preserve">במקרה דנן, דעת הרוב בפסק הדין הקודם לא נדרשה לסוגיה זו בהתחשב בתוצאה </w:t>
      </w:r>
      <w:r>
        <w:rPr>
          <w:rFonts w:ascii="Century" w:hAnsi="Century" w:cs="FrankRuehl" w:hint="cs"/>
          <w:spacing w:val="10"/>
          <w:szCs w:val="28"/>
          <w:shd w:val="clear" w:color="auto" w:fill="FFFFFF"/>
          <w:rtl/>
        </w:rPr>
        <w:t>ש</w:t>
      </w:r>
      <w:r w:rsidRPr="00222FF7">
        <w:rPr>
          <w:rFonts w:ascii="Century" w:hAnsi="Century" w:cs="FrankRuehl" w:hint="cs"/>
          <w:spacing w:val="10"/>
          <w:szCs w:val="28"/>
          <w:shd w:val="clear" w:color="auto" w:fill="FFFFFF"/>
          <w:rtl/>
        </w:rPr>
        <w:t xml:space="preserve">אליה הגיעה, וכך נהג גם חברי המשנה לנשיאה </w:t>
      </w:r>
      <w:r w:rsidRPr="002C5300">
        <w:rPr>
          <w:rFonts w:ascii="Century" w:hAnsi="Century" w:cs="Miriam" w:hint="eastAsia"/>
          <w:b/>
          <w:shd w:val="clear" w:color="auto" w:fill="FFFFFF"/>
          <w:rtl/>
        </w:rPr>
        <w:t>פוגלמן</w:t>
      </w:r>
      <w:r w:rsidRPr="00222FF7">
        <w:rPr>
          <w:rFonts w:ascii="Century" w:hAnsi="Century" w:cs="FrankRuehl" w:hint="cs"/>
          <w:spacing w:val="10"/>
          <w:szCs w:val="28"/>
          <w:shd w:val="clear" w:color="auto" w:fill="FFFFFF"/>
          <w:rtl/>
        </w:rPr>
        <w:t xml:space="preserve">. לעומת זאת, </w:t>
      </w:r>
      <w:r>
        <w:rPr>
          <w:rFonts w:ascii="Century" w:hAnsi="Century" w:cs="FrankRuehl" w:hint="cs"/>
          <w:spacing w:val="10"/>
          <w:szCs w:val="28"/>
          <w:shd w:val="clear" w:color="auto" w:fill="FFFFFF"/>
          <w:rtl/>
        </w:rPr>
        <w:t xml:space="preserve">בפסק הדין הקודם </w:t>
      </w:r>
      <w:r w:rsidRPr="00222FF7">
        <w:rPr>
          <w:rFonts w:ascii="Century" w:hAnsi="Century" w:cs="FrankRuehl" w:hint="cs"/>
          <w:spacing w:val="10"/>
          <w:szCs w:val="28"/>
          <w:shd w:val="clear" w:color="auto" w:fill="FFFFFF"/>
          <w:rtl/>
        </w:rPr>
        <w:t xml:space="preserve">חברי המשנה לנשיאה (בדימ') </w:t>
      </w:r>
      <w:r w:rsidRPr="00222FF7">
        <w:rPr>
          <w:rFonts w:ascii="Century" w:hAnsi="Century" w:cs="Miriam" w:hint="eastAsia"/>
          <w:b/>
          <w:shd w:val="clear" w:color="auto" w:fill="FFFFFF"/>
          <w:rtl/>
        </w:rPr>
        <w:t>הנדל</w:t>
      </w:r>
      <w:r w:rsidRPr="00222FF7">
        <w:rPr>
          <w:rFonts w:cs="FrankRuehl" w:hint="cs"/>
          <w:color w:val="000000"/>
          <w:spacing w:val="10"/>
          <w:sz w:val="28"/>
          <w:szCs w:val="28"/>
          <w:shd w:val="clear" w:color="auto" w:fill="FFFFFF"/>
          <w:rtl/>
        </w:rPr>
        <w:t xml:space="preserve"> </w:t>
      </w:r>
      <w:r w:rsidRPr="00222FF7">
        <w:rPr>
          <w:rFonts w:ascii="Century" w:hAnsi="Century" w:cs="FrankRuehl" w:hint="cs"/>
          <w:spacing w:val="10"/>
          <w:szCs w:val="28"/>
          <w:shd w:val="clear" w:color="auto" w:fill="FFFFFF"/>
          <w:rtl/>
        </w:rPr>
        <w:t xml:space="preserve">(באותה עת </w:t>
      </w:r>
      <w:r>
        <w:rPr>
          <w:rFonts w:ascii="Century" w:hAnsi="Century" w:cs="FrankRuehl" w:hint="cs"/>
          <w:spacing w:val="10"/>
          <w:szCs w:val="28"/>
          <w:shd w:val="clear" w:color="auto" w:fill="FFFFFF"/>
          <w:rtl/>
        </w:rPr>
        <w:t>כ</w:t>
      </w:r>
      <w:r w:rsidRPr="00222FF7">
        <w:rPr>
          <w:rFonts w:ascii="Century" w:hAnsi="Century" w:cs="FrankRuehl" w:hint="cs"/>
          <w:spacing w:val="10"/>
          <w:szCs w:val="28"/>
          <w:shd w:val="clear" w:color="auto" w:fill="FFFFFF"/>
          <w:rtl/>
        </w:rPr>
        <w:t>שופט)</w:t>
      </w:r>
      <w:r w:rsidRPr="00222FF7">
        <w:rPr>
          <w:rFonts w:cs="FrankRuehl" w:hint="cs"/>
          <w:color w:val="000000"/>
          <w:spacing w:val="10"/>
          <w:sz w:val="28"/>
          <w:szCs w:val="28"/>
          <w:shd w:val="clear" w:color="auto" w:fill="FFFFFF"/>
          <w:rtl/>
        </w:rPr>
        <w:t xml:space="preserve"> </w:t>
      </w:r>
      <w:r>
        <w:rPr>
          <w:rFonts w:ascii="Century" w:hAnsi="Century" w:cs="FrankRuehl" w:hint="cs"/>
          <w:spacing w:val="10"/>
          <w:szCs w:val="28"/>
          <w:shd w:val="clear" w:color="auto" w:fill="FFFFFF"/>
          <w:rtl/>
        </w:rPr>
        <w:t>מצא להתייחס לדברים בקצרה (</w:t>
      </w:r>
      <w:r w:rsidRPr="00222FF7">
        <w:rPr>
          <w:rFonts w:ascii="Century" w:hAnsi="Century" w:cs="FrankRuehl" w:hint="cs"/>
          <w:spacing w:val="10"/>
          <w:szCs w:val="28"/>
          <w:shd w:val="clear" w:color="auto" w:fill="FFFFFF"/>
          <w:rtl/>
        </w:rPr>
        <w:t xml:space="preserve">פסקה </w:t>
      </w:r>
      <w:r>
        <w:rPr>
          <w:rFonts w:ascii="Century" w:hAnsi="Century" w:cs="FrankRuehl" w:hint="cs"/>
          <w:spacing w:val="10"/>
          <w:szCs w:val="28"/>
          <w:shd w:val="clear" w:color="auto" w:fill="FFFFFF"/>
          <w:rtl/>
        </w:rPr>
        <w:t>26</w:t>
      </w:r>
      <w:r w:rsidRPr="00222FF7">
        <w:rPr>
          <w:rFonts w:ascii="Century" w:hAnsi="Century" w:cs="FrankRuehl" w:hint="cs"/>
          <w:spacing w:val="10"/>
          <w:szCs w:val="28"/>
          <w:shd w:val="clear" w:color="auto" w:fill="FFFFFF"/>
          <w:rtl/>
        </w:rPr>
        <w:t xml:space="preserve"> לפסק דינו), בקבעו כי בנסיבות העניין שלפנינו די בעובדה כי נבנו בפועל מבנים בהתבסס על ההסכם בין הממונה לבין ההסתדרות הציונית כדי לקיים דרישה זו. על רקע זה, אף הוא סבר כי אין הכרח להכריע בעניין. בהקשר זה, עמדתו של חברי השופט</w:t>
      </w:r>
      <w:r>
        <w:rPr>
          <w:rFonts w:cs="FrankRuehl" w:hint="cs"/>
          <w:color w:val="000000"/>
          <w:spacing w:val="10"/>
          <w:sz w:val="28"/>
          <w:szCs w:val="28"/>
          <w:shd w:val="clear" w:color="auto" w:fill="FFFFFF"/>
          <w:rtl/>
        </w:rPr>
        <w:t xml:space="preserve"> </w:t>
      </w:r>
      <w:r w:rsidRPr="00222FF7">
        <w:rPr>
          <w:rFonts w:ascii="Century" w:hAnsi="Century" w:cs="Miriam" w:hint="cs"/>
          <w:b/>
          <w:shd w:val="clear" w:color="auto" w:fill="FFFFFF"/>
          <w:rtl/>
        </w:rPr>
        <w:t>סולברג</w:t>
      </w:r>
      <w:r w:rsidRPr="00222FF7">
        <w:rPr>
          <w:rFonts w:cs="FrankRuehl" w:hint="cs"/>
          <w:color w:val="000000"/>
          <w:spacing w:val="10"/>
          <w:sz w:val="28"/>
          <w:szCs w:val="28"/>
          <w:shd w:val="clear" w:color="auto" w:fill="FFFFFF"/>
          <w:rtl/>
        </w:rPr>
        <w:t xml:space="preserve"> </w:t>
      </w:r>
      <w:r w:rsidRPr="00222FF7">
        <w:rPr>
          <w:rFonts w:ascii="Century" w:hAnsi="Century" w:cs="FrankRuehl" w:hint="cs"/>
          <w:spacing w:val="10"/>
          <w:szCs w:val="28"/>
          <w:shd w:val="clear" w:color="auto" w:fill="FFFFFF"/>
          <w:rtl/>
        </w:rPr>
        <w:t>במסגרת דיון נוסף זה צועדת צעד נוסף קדימה. הגם שמבחינה פורמלית מציין חברי כי הוא נכון "להותיר שאלה זו לעת מצוא"</w:t>
      </w:r>
      <w:r>
        <w:rPr>
          <w:rFonts w:ascii="Century" w:hAnsi="Century" w:cs="FrankRuehl" w:hint="cs"/>
          <w:spacing w:val="10"/>
          <w:szCs w:val="28"/>
          <w:shd w:val="clear" w:color="auto" w:fill="FFFFFF"/>
          <w:rtl/>
        </w:rPr>
        <w:t xml:space="preserve"> (פסקה 50 לפסק דינו)</w:t>
      </w:r>
      <w:r w:rsidRPr="00222FF7">
        <w:rPr>
          <w:rFonts w:ascii="Century" w:hAnsi="Century" w:cs="FrankRuehl" w:hint="cs"/>
          <w:spacing w:val="10"/>
          <w:szCs w:val="28"/>
          <w:shd w:val="clear" w:color="auto" w:fill="FFFFFF"/>
          <w:rtl/>
        </w:rPr>
        <w:t xml:space="preserve">, הלכה למעשה, הוא מבהיר כי לגישתו </w:t>
      </w:r>
      <w:r w:rsidRPr="00222FF7">
        <w:rPr>
          <w:rFonts w:ascii="Century" w:hAnsi="Century" w:cs="FrankRuehl"/>
          <w:spacing w:val="10"/>
          <w:szCs w:val="28"/>
          <w:shd w:val="clear" w:color="auto" w:fill="FFFFFF"/>
          <w:rtl/>
        </w:rPr>
        <w:t>–</w:t>
      </w:r>
      <w:r w:rsidRPr="00222FF7">
        <w:rPr>
          <w:rFonts w:ascii="Century" w:hAnsi="Century" w:cs="FrankRuehl" w:hint="cs"/>
          <w:spacing w:val="10"/>
          <w:szCs w:val="28"/>
          <w:shd w:val="clear" w:color="auto" w:fill="FFFFFF"/>
          <w:rtl/>
        </w:rPr>
        <w:t xml:space="preserve"> בדומה לעמדת היועץ המשפטי לממשלה </w:t>
      </w:r>
      <w:r w:rsidRPr="00222FF7">
        <w:rPr>
          <w:rFonts w:ascii="Century" w:hAnsi="Century" w:cs="FrankRuehl"/>
          <w:spacing w:val="10"/>
          <w:szCs w:val="28"/>
          <w:shd w:val="clear" w:color="auto" w:fill="FFFFFF"/>
          <w:rtl/>
        </w:rPr>
        <w:t>–</w:t>
      </w:r>
      <w:r w:rsidRPr="00222FF7">
        <w:rPr>
          <w:rFonts w:ascii="Century" w:hAnsi="Century" w:cs="FrankRuehl" w:hint="cs"/>
          <w:spacing w:val="10"/>
          <w:szCs w:val="28"/>
          <w:shd w:val="clear" w:color="auto" w:fill="FFFFFF"/>
          <w:rtl/>
        </w:rPr>
        <w:t xml:space="preserve"> די ברמה העקרונית בפעולות שעניינן קידום תכניות סטטוטוריות, שיווק המקרקעין ועבודות תשתית ופיתוח כדי לקיים את דרישת התמורה (ככל שזו קיימת). בהתאם לכך, לעמדתו, דרישת התמורה התקיימה בנסיבות העניין עם ביצוע הפעולות השונות שבהן נקטה ההסתדרות הציונית בהסתמך על הסכם ההרשאה</w:t>
      </w:r>
      <w:r w:rsidRPr="00222FF7">
        <w:rPr>
          <w:rFonts w:ascii="Century" w:hAnsi="Century" w:cs="FrankRuehl" w:hint="cs"/>
          <w:spacing w:val="10"/>
          <w:szCs w:val="28"/>
          <w:shd w:val="clear" w:color="auto" w:fill="FFFFFF"/>
        </w:rPr>
        <w:t xml:space="preserve"> </w:t>
      </w:r>
      <w:r w:rsidRPr="00222FF7">
        <w:rPr>
          <w:rFonts w:ascii="Century" w:hAnsi="Century" w:cs="FrankRuehl" w:hint="cs"/>
          <w:spacing w:val="10"/>
          <w:szCs w:val="28"/>
          <w:shd w:val="clear" w:color="auto" w:fill="FFFFFF"/>
          <w:rtl/>
        </w:rPr>
        <w:t>(פסקה 53 לפסק דינו).</w:t>
      </w:r>
      <w:r w:rsidRPr="00222FF7">
        <w:rPr>
          <w:rFonts w:cs="FrankRuehl" w:hint="cs"/>
          <w:color w:val="000000"/>
          <w:spacing w:val="10"/>
          <w:sz w:val="28"/>
          <w:szCs w:val="28"/>
          <w:shd w:val="clear" w:color="auto" w:fill="FFFFFF"/>
          <w:rtl/>
        </w:rPr>
        <w:t xml:space="preserve"> </w:t>
      </w:r>
    </w:p>
    <w:p w:rsidR="005B1A77" w:rsidRPr="00222FF7" w:rsidRDefault="005B1A77" w:rsidP="005B1A77">
      <w:pPr>
        <w:spacing w:line="360" w:lineRule="auto"/>
        <w:jc w:val="both"/>
        <w:rPr>
          <w:rFonts w:ascii="Century" w:hAnsi="Century" w:cs="FrankRuehl"/>
          <w:spacing w:val="10"/>
          <w:szCs w:val="28"/>
          <w:shd w:val="clear" w:color="auto" w:fill="FFFFFF"/>
          <w:rtl/>
        </w:rPr>
      </w:pPr>
    </w:p>
    <w:p w:rsidR="005B1A77" w:rsidRPr="00222FF7" w:rsidRDefault="005B1A77" w:rsidP="005B1A77">
      <w:pPr>
        <w:spacing w:line="360" w:lineRule="auto"/>
        <w:jc w:val="both"/>
        <w:rPr>
          <w:rFonts w:ascii="Century" w:hAnsi="Century" w:cs="FrankRuehl"/>
          <w:spacing w:val="10"/>
          <w:szCs w:val="28"/>
          <w:shd w:val="clear" w:color="auto" w:fill="FFFFFF"/>
          <w:rtl/>
        </w:rPr>
      </w:pPr>
      <w:r w:rsidRPr="00222FF7">
        <w:rPr>
          <w:rFonts w:ascii="Century" w:hAnsi="Century" w:cs="FrankRuehl" w:hint="cs"/>
          <w:spacing w:val="10"/>
          <w:szCs w:val="28"/>
          <w:shd w:val="clear" w:color="auto" w:fill="FFFFFF"/>
          <w:rtl/>
        </w:rPr>
        <w:lastRenderedPageBreak/>
        <w:t>38.</w:t>
      </w:r>
      <w:r w:rsidRPr="00222FF7">
        <w:rPr>
          <w:rFonts w:ascii="Century" w:hAnsi="Century" w:cs="FrankRuehl" w:hint="cs"/>
          <w:spacing w:val="10"/>
          <w:szCs w:val="28"/>
          <w:shd w:val="clear" w:color="auto" w:fill="FFFFFF"/>
          <w:rtl/>
        </w:rPr>
        <w:tab/>
        <w:t>עמדתי שונה. מנקודת מבטי, הדרישה לתמורה היא</w:t>
      </w:r>
      <w:r w:rsidRPr="00222FF7">
        <w:rPr>
          <w:rFonts w:cs="FrankRuehl" w:hint="cs"/>
          <w:color w:val="000000"/>
          <w:spacing w:val="10"/>
          <w:sz w:val="28"/>
          <w:szCs w:val="28"/>
          <w:shd w:val="clear" w:color="auto" w:fill="FFFFFF"/>
          <w:rtl/>
        </w:rPr>
        <w:t xml:space="preserve"> </w:t>
      </w:r>
      <w:r w:rsidRPr="00222FF7">
        <w:rPr>
          <w:rFonts w:ascii="Century" w:hAnsi="Century" w:cs="Miriam" w:hint="eastAsia"/>
          <w:b/>
          <w:shd w:val="clear" w:color="auto" w:fill="FFFFFF"/>
          <w:rtl/>
        </w:rPr>
        <w:t>תנאי</w:t>
      </w:r>
      <w:r w:rsidRPr="00222FF7">
        <w:rPr>
          <w:rFonts w:ascii="Century" w:hAnsi="Century" w:cs="Miriam"/>
          <w:b/>
          <w:shd w:val="clear" w:color="auto" w:fill="FFFFFF"/>
          <w:rtl/>
        </w:rPr>
        <w:t xml:space="preserve"> </w:t>
      </w:r>
      <w:r w:rsidRPr="00222FF7">
        <w:rPr>
          <w:rFonts w:ascii="Century" w:hAnsi="Century" w:cs="Miriam" w:hint="eastAsia"/>
          <w:b/>
          <w:shd w:val="clear" w:color="auto" w:fill="FFFFFF"/>
          <w:rtl/>
        </w:rPr>
        <w:t>הכרחי</w:t>
      </w:r>
      <w:r w:rsidRPr="00222FF7">
        <w:rPr>
          <w:rFonts w:cs="FrankRuehl" w:hint="cs"/>
          <w:color w:val="000000"/>
          <w:spacing w:val="10"/>
          <w:sz w:val="28"/>
          <w:szCs w:val="28"/>
          <w:shd w:val="clear" w:color="auto" w:fill="FFFFFF"/>
          <w:rtl/>
        </w:rPr>
        <w:t xml:space="preserve"> </w:t>
      </w:r>
      <w:r w:rsidRPr="00222FF7">
        <w:rPr>
          <w:rFonts w:ascii="Century" w:hAnsi="Century" w:cs="FrankRuehl" w:hint="cs"/>
          <w:spacing w:val="10"/>
          <w:szCs w:val="28"/>
          <w:shd w:val="clear" w:color="auto" w:fill="FFFFFF"/>
          <w:rtl/>
        </w:rPr>
        <w:t>לתחולתו של סעיף 5 לצו. מסקנה זו עולה בקנה אחד עם התפיסה הכללית ביחס לרעיון של תקנת השוק כמוסד משפטי המכוון להגנה על הסתמכות של קונים. היא אף מתחייבת ביתר שאת נוכח מאפייניו הייחודי</w:t>
      </w:r>
      <w:r>
        <w:rPr>
          <w:rFonts w:ascii="Century" w:hAnsi="Century" w:cs="FrankRuehl" w:hint="cs"/>
          <w:spacing w:val="10"/>
          <w:szCs w:val="28"/>
          <w:shd w:val="clear" w:color="auto" w:fill="FFFFFF"/>
          <w:rtl/>
        </w:rPr>
        <w:t>י</w:t>
      </w:r>
      <w:r w:rsidRPr="00222FF7">
        <w:rPr>
          <w:rFonts w:ascii="Century" w:hAnsi="Century" w:cs="FrankRuehl" w:hint="cs"/>
          <w:spacing w:val="10"/>
          <w:szCs w:val="28"/>
          <w:shd w:val="clear" w:color="auto" w:fill="FFFFFF"/>
          <w:rtl/>
        </w:rPr>
        <w:t xml:space="preserve">ם של סעיף 5 לצו כהסדר שחל בשטח המצוי תחת תפיסה לוחמתית. היבטים אלה אף מצדיקים עמידה על פרשנות דווקנית ביחס לדרישה זו. כעת אפנה להצגת מלוא הטעמים למסקנתי זו. </w:t>
      </w:r>
    </w:p>
    <w:p w:rsidR="005B1A77" w:rsidRDefault="005B1A77" w:rsidP="005B1A77">
      <w:pPr>
        <w:spacing w:line="360" w:lineRule="auto"/>
        <w:jc w:val="both"/>
        <w:rPr>
          <w:rFonts w:cs="FrankRuehl"/>
          <w:color w:val="000000"/>
          <w:spacing w:val="10"/>
          <w:sz w:val="28"/>
          <w:szCs w:val="28"/>
          <w:shd w:val="clear" w:color="auto" w:fill="FFFFFF"/>
          <w:rtl/>
        </w:rPr>
      </w:pPr>
    </w:p>
    <w:p w:rsidR="005B1A77" w:rsidRPr="00DC2455" w:rsidRDefault="005B1A77" w:rsidP="005B1A77">
      <w:pPr>
        <w:spacing w:line="360" w:lineRule="auto"/>
        <w:jc w:val="both"/>
        <w:rPr>
          <w:rFonts w:cs="FrankRuehl"/>
          <w:color w:val="000000"/>
          <w:spacing w:val="10"/>
          <w:sz w:val="28"/>
          <w:szCs w:val="28"/>
          <w:shd w:val="clear" w:color="auto" w:fill="FFFFFF"/>
          <w:rtl/>
        </w:rPr>
      </w:pPr>
      <w:r>
        <w:rPr>
          <w:rFonts w:cs="FrankRuehl" w:hint="cs"/>
          <w:color w:val="000000"/>
          <w:spacing w:val="10"/>
          <w:sz w:val="28"/>
          <w:szCs w:val="28"/>
          <w:shd w:val="clear" w:color="auto" w:fill="FFFFFF"/>
          <w:rtl/>
        </w:rPr>
        <w:t>39.</w:t>
      </w:r>
      <w:r>
        <w:rPr>
          <w:rFonts w:cs="FrankRuehl" w:hint="cs"/>
          <w:color w:val="000000"/>
          <w:spacing w:val="10"/>
          <w:sz w:val="28"/>
          <w:szCs w:val="28"/>
          <w:shd w:val="clear" w:color="auto" w:fill="FFFFFF"/>
          <w:rtl/>
        </w:rPr>
        <w:tab/>
      </w:r>
      <w:r w:rsidRPr="00222FF7">
        <w:rPr>
          <w:rFonts w:ascii="Century" w:hAnsi="Century" w:cs="FrankRuehl" w:hint="cs"/>
          <w:spacing w:val="10"/>
          <w:szCs w:val="28"/>
          <w:shd w:val="clear" w:color="auto" w:fill="FFFFFF"/>
          <w:rtl/>
        </w:rPr>
        <w:t xml:space="preserve">ראשית, במישור הלשוני, אני סבורה כי יש טעם בטענה שהדרישה לקיומה של </w:t>
      </w:r>
      <w:r w:rsidRPr="00222FF7">
        <w:rPr>
          <w:rFonts w:ascii="Century" w:hAnsi="Century" w:cs="Miriam" w:hint="eastAsia"/>
          <w:b/>
          <w:shd w:val="clear" w:color="auto" w:fill="FFFFFF"/>
          <w:rtl/>
        </w:rPr>
        <w:t>עסקה</w:t>
      </w:r>
      <w:r w:rsidRPr="00222FF7">
        <w:rPr>
          <w:rFonts w:ascii="Century" w:hAnsi="Century" w:cs="FrankRuehl" w:hint="cs"/>
          <w:spacing w:val="10"/>
          <w:szCs w:val="28"/>
          <w:shd w:val="clear" w:color="auto" w:fill="FFFFFF"/>
          <w:rtl/>
        </w:rPr>
        <w:t xml:space="preserve"> כתנאי לתחולתו של הסעיף משמיעה, במובנה הפשוט, כוונה להעברה של זכות כנגד מתן תמורה (ראו: </w:t>
      </w:r>
      <w:r w:rsidRPr="00222FF7">
        <w:rPr>
          <w:rFonts w:ascii="Century" w:hAnsi="Century" w:cs="FrankRuehl" w:hint="eastAsia"/>
          <w:spacing w:val="10"/>
          <w:szCs w:val="28"/>
          <w:rtl/>
        </w:rPr>
        <w:t>רונית</w:t>
      </w:r>
      <w:r w:rsidRPr="00222FF7">
        <w:rPr>
          <w:rFonts w:ascii="Century" w:hAnsi="Century" w:cs="FrankRuehl"/>
          <w:spacing w:val="10"/>
          <w:szCs w:val="28"/>
          <w:rtl/>
        </w:rPr>
        <w:t xml:space="preserve"> לוין-שנור "ללא תקנה</w:t>
      </w:r>
      <w:r w:rsidRPr="00222FF7">
        <w:rPr>
          <w:rFonts w:ascii="Century" w:hAnsi="Century" w:cs="FrankRuehl" w:hint="cs"/>
          <w:spacing w:val="10"/>
          <w:szCs w:val="28"/>
          <w:rtl/>
        </w:rPr>
        <w:t>:</w:t>
      </w:r>
      <w:r w:rsidRPr="00222FF7">
        <w:rPr>
          <w:rFonts w:ascii="Century" w:hAnsi="Century" w:cs="FrankRuehl"/>
          <w:spacing w:val="10"/>
          <w:szCs w:val="28"/>
          <w:rtl/>
        </w:rPr>
        <w:t xml:space="preserve"> על 'תקנת השוק' במקרקעין באזור יהודה והשומרון" </w:t>
      </w:r>
      <w:r w:rsidRPr="00222FF7">
        <w:rPr>
          <w:rFonts w:ascii="Century" w:hAnsi="Century" w:cs="Miriam" w:hint="cs"/>
          <w:b/>
          <w:rtl/>
        </w:rPr>
        <w:t>משפטים</w:t>
      </w:r>
      <w:r w:rsidRPr="00222FF7">
        <w:rPr>
          <w:rFonts w:ascii="Century" w:hAnsi="Century" w:cs="FrankRuehl"/>
          <w:spacing w:val="10"/>
          <w:szCs w:val="28"/>
          <w:rtl/>
        </w:rPr>
        <w:t xml:space="preserve"> </w:t>
      </w:r>
      <w:r w:rsidRPr="00222FF7">
        <w:rPr>
          <w:rFonts w:ascii="Century" w:hAnsi="Century" w:cs="FrankRuehl" w:hint="eastAsia"/>
          <w:spacing w:val="10"/>
          <w:szCs w:val="28"/>
          <w:rtl/>
        </w:rPr>
        <w:t>נ</w:t>
      </w:r>
      <w:r w:rsidRPr="00222FF7">
        <w:rPr>
          <w:rFonts w:ascii="Century" w:hAnsi="Century" w:cs="FrankRuehl"/>
          <w:spacing w:val="10"/>
          <w:szCs w:val="28"/>
          <w:rtl/>
        </w:rPr>
        <w:t xml:space="preserve"> 307, </w:t>
      </w:r>
      <w:r w:rsidRPr="00222FF7">
        <w:rPr>
          <w:rFonts w:ascii="Century" w:hAnsi="Century" w:cs="FrankRuehl" w:hint="cs"/>
          <w:spacing w:val="10"/>
          <w:szCs w:val="28"/>
          <w:rtl/>
        </w:rPr>
        <w:t>355</w:t>
      </w:r>
      <w:r w:rsidRPr="00222FF7">
        <w:rPr>
          <w:rFonts w:ascii="Century" w:hAnsi="Century" w:cs="FrankRuehl"/>
          <w:spacing w:val="10"/>
          <w:szCs w:val="28"/>
          <w:rtl/>
        </w:rPr>
        <w:t xml:space="preserve"> (2020)</w:t>
      </w:r>
      <w:r w:rsidRPr="00222FF7">
        <w:rPr>
          <w:rFonts w:ascii="Century" w:hAnsi="Century" w:cs="FrankRuehl" w:hint="cs"/>
          <w:spacing w:val="10"/>
          <w:szCs w:val="28"/>
          <w:rtl/>
        </w:rPr>
        <w:t xml:space="preserve">). </w:t>
      </w:r>
    </w:p>
    <w:p w:rsidR="005B1A77" w:rsidRDefault="005B1A77" w:rsidP="005B1A77">
      <w:pPr>
        <w:spacing w:line="360" w:lineRule="auto"/>
        <w:ind w:firstLine="720"/>
        <w:jc w:val="both"/>
        <w:rPr>
          <w:rFonts w:cs="FrankRuehl"/>
          <w:color w:val="000000"/>
          <w:spacing w:val="10"/>
          <w:sz w:val="28"/>
          <w:szCs w:val="28"/>
          <w:shd w:val="clear" w:color="auto" w:fill="FFFFFF"/>
          <w:rtl/>
        </w:rPr>
      </w:pPr>
    </w:p>
    <w:p w:rsidR="005B1A77" w:rsidRDefault="005B1A77" w:rsidP="005B1A77">
      <w:pPr>
        <w:spacing w:line="360" w:lineRule="auto"/>
        <w:jc w:val="both"/>
        <w:rPr>
          <w:rFonts w:cs="FrankRuehl"/>
          <w:color w:val="000000"/>
          <w:spacing w:val="10"/>
          <w:sz w:val="28"/>
          <w:szCs w:val="28"/>
          <w:shd w:val="clear" w:color="auto" w:fill="FFFFFF"/>
          <w:rtl/>
        </w:rPr>
      </w:pPr>
      <w:r w:rsidRPr="00222FF7">
        <w:rPr>
          <w:rFonts w:ascii="Century" w:hAnsi="Century" w:cs="FrankRuehl" w:hint="cs"/>
          <w:spacing w:val="10"/>
          <w:szCs w:val="28"/>
          <w:shd w:val="clear" w:color="auto" w:fill="FFFFFF"/>
          <w:rtl/>
        </w:rPr>
        <w:t>40.</w:t>
      </w:r>
      <w:r w:rsidRPr="00222FF7">
        <w:rPr>
          <w:rFonts w:ascii="Century" w:hAnsi="Century" w:cs="FrankRuehl" w:hint="cs"/>
          <w:spacing w:val="10"/>
          <w:szCs w:val="28"/>
          <w:shd w:val="clear" w:color="auto" w:fill="FFFFFF"/>
          <w:rtl/>
        </w:rPr>
        <w:tab/>
        <w:t xml:space="preserve">שנית, הדרישה לתמורה נלמדת מן השאיפה להגשמתה של התכלית המונחת ביסודו של סעיף 5 לצו. כפי שכבר ציינתי, מטרתו העיקרית </w:t>
      </w:r>
      <w:r w:rsidRPr="00222FF7">
        <w:rPr>
          <w:rFonts w:ascii="Century" w:hAnsi="Century" w:cs="FrankRuehl" w:hint="cs"/>
          <w:spacing w:val="10"/>
          <w:szCs w:val="28"/>
          <w:rtl/>
        </w:rPr>
        <w:t>של ההסדר שבפנינו היא להגן על גורמים חיצוניים שהסתמכו בתום לב על פעולותיו</w:t>
      </w:r>
      <w:r>
        <w:rPr>
          <w:rFonts w:ascii="Century" w:hAnsi="Century" w:cs="FrankRuehl" w:hint="cs"/>
          <w:spacing w:val="10"/>
          <w:szCs w:val="28"/>
          <w:rtl/>
        </w:rPr>
        <w:t xml:space="preserve"> של</w:t>
      </w:r>
      <w:r w:rsidRPr="00222FF7">
        <w:rPr>
          <w:rFonts w:ascii="Century" w:hAnsi="Century" w:cs="FrankRuehl" w:hint="cs"/>
          <w:spacing w:val="10"/>
          <w:szCs w:val="28"/>
          <w:rtl/>
        </w:rPr>
        <w:t xml:space="preserve"> הממונה, כגוף שלטוני. </w:t>
      </w:r>
      <w:r w:rsidRPr="00222FF7">
        <w:rPr>
          <w:rFonts w:ascii="Century" w:hAnsi="Century" w:cs="FrankRuehl" w:hint="cs"/>
          <w:spacing w:val="10"/>
          <w:szCs w:val="28"/>
          <w:shd w:val="clear" w:color="auto" w:fill="FFFFFF"/>
          <w:rtl/>
        </w:rPr>
        <w:t xml:space="preserve">על רקע זה, ברי כי בנסיבות שבהן לא ניתנה תמורה ובטרם שינה המתקשר עם הממונה את מצבו לרעה </w:t>
      </w:r>
      <w:r w:rsidRPr="00222FF7">
        <w:rPr>
          <w:rFonts w:ascii="Century" w:hAnsi="Century" w:cs="FrankRuehl"/>
          <w:spacing w:val="10"/>
          <w:szCs w:val="28"/>
          <w:shd w:val="clear" w:color="auto" w:fill="FFFFFF"/>
          <w:rtl/>
        </w:rPr>
        <w:t>–</w:t>
      </w:r>
      <w:r w:rsidRPr="00222FF7">
        <w:rPr>
          <w:rFonts w:ascii="Century" w:hAnsi="Century" w:cs="FrankRuehl" w:hint="cs"/>
          <w:spacing w:val="10"/>
          <w:szCs w:val="28"/>
          <w:shd w:val="clear" w:color="auto" w:fill="FFFFFF"/>
          <w:rtl/>
        </w:rPr>
        <w:t xml:space="preserve"> נחלש משמעותית הרציונל המרכזי שביסוד סעיף 5 לצו. במילים אחרות, שלילת תוקפה של העסקה במצבים אלו לא תפגע, בוודאי שלא באופן ניכר, בת</w:t>
      </w:r>
      <w:r w:rsidRPr="00222FF7">
        <w:rPr>
          <w:rFonts w:ascii="Century" w:hAnsi="Century" w:cs="FrankRuehl" w:hint="cs"/>
          <w:spacing w:val="10"/>
          <w:szCs w:val="28"/>
          <w:rtl/>
        </w:rPr>
        <w:t xml:space="preserve">כליתו של ההסדר: להגן על אינטרס ההסתמכות של המתקשרים עם הממונה </w:t>
      </w:r>
      <w:r w:rsidRPr="00222FF7">
        <w:rPr>
          <w:rFonts w:ascii="Century" w:hAnsi="Century" w:cs="FrankRuehl" w:hint="cs"/>
          <w:spacing w:val="10"/>
          <w:szCs w:val="28"/>
          <w:shd w:val="clear" w:color="auto" w:fill="FFFFFF"/>
          <w:rtl/>
        </w:rPr>
        <w:t xml:space="preserve">(כמוסבר גם בפסקה 26 לפסק דינו של </w:t>
      </w:r>
      <w:r>
        <w:rPr>
          <w:rFonts w:ascii="Century" w:hAnsi="Century" w:cs="FrankRuehl" w:hint="cs"/>
          <w:spacing w:val="10"/>
          <w:szCs w:val="28"/>
          <w:shd w:val="clear" w:color="auto" w:fill="FFFFFF"/>
          <w:rtl/>
        </w:rPr>
        <w:t xml:space="preserve">המשנה לנשיאה (בדימ') </w:t>
      </w:r>
      <w:r w:rsidRPr="00222FF7">
        <w:rPr>
          <w:rFonts w:ascii="Century" w:hAnsi="Century" w:cs="Miriam" w:hint="eastAsia"/>
          <w:b/>
          <w:shd w:val="clear" w:color="auto" w:fill="FFFFFF"/>
          <w:rtl/>
        </w:rPr>
        <w:t>הנדל</w:t>
      </w:r>
      <w:r w:rsidRPr="00222FF7">
        <w:rPr>
          <w:rFonts w:ascii="Century" w:hAnsi="Century" w:cs="FrankRuehl" w:hint="cs"/>
          <w:spacing w:val="10"/>
          <w:szCs w:val="28"/>
          <w:shd w:val="clear" w:color="auto" w:fill="FFFFFF"/>
          <w:rtl/>
        </w:rPr>
        <w:t xml:space="preserve"> </w:t>
      </w:r>
      <w:r>
        <w:rPr>
          <w:rFonts w:ascii="Century" w:hAnsi="Century" w:cs="FrankRuehl" w:hint="cs"/>
          <w:spacing w:val="10"/>
          <w:szCs w:val="28"/>
          <w:shd w:val="clear" w:color="auto" w:fill="FFFFFF"/>
          <w:rtl/>
        </w:rPr>
        <w:t xml:space="preserve">(באותה עת כשופט) </w:t>
      </w:r>
      <w:r w:rsidRPr="00222FF7">
        <w:rPr>
          <w:rFonts w:ascii="Century" w:hAnsi="Century" w:cs="FrankRuehl" w:hint="cs"/>
          <w:spacing w:val="10"/>
          <w:szCs w:val="28"/>
          <w:shd w:val="clear" w:color="auto" w:fill="FFFFFF"/>
          <w:rtl/>
        </w:rPr>
        <w:t xml:space="preserve">בפסק הדין הקודם. </w:t>
      </w:r>
      <w:r w:rsidRPr="00222FF7">
        <w:rPr>
          <w:rFonts w:ascii="Century" w:hAnsi="Century" w:cs="FrankRuehl" w:hint="cs"/>
          <w:spacing w:val="10"/>
          <w:szCs w:val="28"/>
          <w:rtl/>
        </w:rPr>
        <w:t xml:space="preserve">כן ראו: </w:t>
      </w:r>
      <w:r w:rsidRPr="00DC2455">
        <w:rPr>
          <w:rFonts w:ascii="Century" w:hAnsi="Century" w:cs="Miriam" w:hint="eastAsia"/>
          <w:b/>
          <w:rtl/>
        </w:rPr>
        <w:t>ויניצקי</w:t>
      </w:r>
      <w:r>
        <w:rPr>
          <w:rFonts w:ascii="Century" w:hAnsi="Century" w:cs="FrankRuehl" w:hint="cs"/>
          <w:spacing w:val="10"/>
          <w:szCs w:val="28"/>
          <w:rtl/>
        </w:rPr>
        <w:t xml:space="preserve">, </w:t>
      </w:r>
      <w:r w:rsidRPr="00222FF7">
        <w:rPr>
          <w:rFonts w:ascii="Century" w:hAnsi="Century" w:cs="FrankRuehl" w:hint="cs"/>
          <w:spacing w:val="10"/>
          <w:szCs w:val="28"/>
          <w:rtl/>
        </w:rPr>
        <w:t xml:space="preserve">בעמ' 399-397). מנקודת מבט זו, זה אני סבורה כי יש להתבונן על יסוד התמורה כחלק בלתי נפרד ממאפייניו של סעיף 5 לצו. </w:t>
      </w:r>
    </w:p>
    <w:p w:rsidR="005B1A77" w:rsidRDefault="005B1A77" w:rsidP="005B1A77">
      <w:pPr>
        <w:spacing w:line="360" w:lineRule="auto"/>
        <w:jc w:val="both"/>
        <w:rPr>
          <w:rFonts w:cs="FrankRuehl"/>
          <w:color w:val="000000"/>
          <w:spacing w:val="10"/>
          <w:sz w:val="28"/>
          <w:szCs w:val="28"/>
          <w:shd w:val="clear" w:color="auto" w:fill="FFFFFF"/>
          <w:rtl/>
        </w:rPr>
      </w:pPr>
    </w:p>
    <w:p w:rsidR="005B1A77" w:rsidRDefault="005B1A77" w:rsidP="005B1A77">
      <w:pPr>
        <w:spacing w:line="360" w:lineRule="auto"/>
        <w:jc w:val="both"/>
        <w:rPr>
          <w:rFonts w:cs="FrankRuehl"/>
          <w:color w:val="000000"/>
          <w:spacing w:val="10"/>
          <w:sz w:val="28"/>
          <w:szCs w:val="28"/>
          <w:shd w:val="clear" w:color="auto" w:fill="FFFFFF"/>
          <w:rtl/>
        </w:rPr>
      </w:pPr>
      <w:r>
        <w:rPr>
          <w:rFonts w:cs="FrankRuehl" w:hint="cs"/>
          <w:color w:val="000000"/>
          <w:spacing w:val="10"/>
          <w:sz w:val="28"/>
          <w:szCs w:val="28"/>
          <w:shd w:val="clear" w:color="auto" w:fill="FFFFFF"/>
          <w:rtl/>
        </w:rPr>
        <w:t xml:space="preserve">41. </w:t>
      </w:r>
      <w:r>
        <w:rPr>
          <w:rFonts w:cs="FrankRuehl"/>
          <w:color w:val="000000"/>
          <w:spacing w:val="10"/>
          <w:sz w:val="28"/>
          <w:szCs w:val="28"/>
          <w:shd w:val="clear" w:color="auto" w:fill="FFFFFF"/>
          <w:rtl/>
        </w:rPr>
        <w:tab/>
      </w:r>
      <w:r w:rsidRPr="00222FF7">
        <w:rPr>
          <w:rFonts w:ascii="Century" w:hAnsi="Century" w:cs="FrankRuehl" w:hint="cs"/>
          <w:spacing w:val="10"/>
          <w:szCs w:val="28"/>
          <w:shd w:val="clear" w:color="auto" w:fill="FFFFFF"/>
          <w:rtl/>
        </w:rPr>
        <w:t>שלישית, מסקנה דומה מתבקשת אף מטעמים של שאיפה ל"קוהרנטיות משפטית" בכללי תחרות הזכויות (ראו והשוו:</w:t>
      </w:r>
      <w:r w:rsidRPr="00222FF7">
        <w:rPr>
          <w:rFonts w:cs="FrankRuehl" w:hint="cs"/>
          <w:color w:val="000000"/>
          <w:spacing w:val="10"/>
          <w:sz w:val="28"/>
          <w:szCs w:val="28"/>
          <w:shd w:val="clear" w:color="auto" w:fill="FFFFFF"/>
          <w:rtl/>
        </w:rPr>
        <w:t xml:space="preserve"> </w:t>
      </w:r>
      <w:r w:rsidRPr="00D35FB5">
        <w:rPr>
          <w:rFonts w:ascii="Century" w:hAnsi="Century" w:cs="FrankRuehl" w:hint="eastAsia"/>
          <w:spacing w:val="10"/>
          <w:szCs w:val="28"/>
          <w:rtl/>
        </w:rPr>
        <w:t>ראו</w:t>
      </w:r>
      <w:r w:rsidRPr="00D35FB5">
        <w:rPr>
          <w:rFonts w:ascii="Century" w:hAnsi="Century" w:cs="FrankRuehl"/>
          <w:spacing w:val="10"/>
          <w:szCs w:val="28"/>
          <w:rtl/>
        </w:rPr>
        <w:t xml:space="preserve"> </w:t>
      </w:r>
      <w:r w:rsidRPr="00D35FB5">
        <w:rPr>
          <w:rFonts w:ascii="Century" w:hAnsi="Century" w:cs="FrankRuehl" w:hint="eastAsia"/>
          <w:spacing w:val="10"/>
          <w:szCs w:val="28"/>
          <w:rtl/>
        </w:rPr>
        <w:t>גם</w:t>
      </w:r>
      <w:r w:rsidRPr="00D35FB5">
        <w:rPr>
          <w:rFonts w:ascii="Century" w:hAnsi="Century" w:cs="FrankRuehl"/>
          <w:spacing w:val="10"/>
          <w:szCs w:val="28"/>
          <w:rtl/>
        </w:rPr>
        <w:t>:</w:t>
      </w:r>
      <w:r w:rsidRPr="00D730C2">
        <w:rPr>
          <w:rFonts w:cs="FrankRuehl" w:hint="cs"/>
          <w:color w:val="000000"/>
          <w:spacing w:val="10"/>
          <w:sz w:val="28"/>
          <w:szCs w:val="28"/>
          <w:shd w:val="clear" w:color="auto" w:fill="FFFFFF"/>
          <w:rtl/>
        </w:rPr>
        <w:t xml:space="preserve"> </w:t>
      </w:r>
      <w:r w:rsidRPr="00D35FB5">
        <w:rPr>
          <w:rFonts w:ascii="Century" w:hAnsi="Century" w:cs="FrankRuehl" w:hint="eastAsia"/>
          <w:spacing w:val="10"/>
          <w:szCs w:val="28"/>
          <w:rtl/>
        </w:rPr>
        <w:t>מיגל</w:t>
      </w:r>
      <w:r w:rsidRPr="00D35FB5">
        <w:rPr>
          <w:rFonts w:ascii="Century" w:hAnsi="Century" w:cs="FrankRuehl"/>
          <w:spacing w:val="10"/>
          <w:szCs w:val="28"/>
          <w:rtl/>
        </w:rPr>
        <w:t xml:space="preserve"> </w:t>
      </w:r>
      <w:r w:rsidRPr="00D35FB5">
        <w:rPr>
          <w:rFonts w:ascii="Century" w:hAnsi="Century" w:cs="FrankRuehl" w:hint="eastAsia"/>
          <w:spacing w:val="10"/>
          <w:szCs w:val="28"/>
          <w:rtl/>
        </w:rPr>
        <w:t>דויטש</w:t>
      </w:r>
      <w:r>
        <w:rPr>
          <w:rFonts w:cs="FrankRuehl" w:hint="cs"/>
          <w:color w:val="000000"/>
          <w:spacing w:val="10"/>
          <w:sz w:val="28"/>
          <w:szCs w:val="28"/>
          <w:shd w:val="clear" w:color="auto" w:fill="FFFFFF"/>
          <w:rtl/>
        </w:rPr>
        <w:t xml:space="preserve"> </w:t>
      </w:r>
      <w:r w:rsidRPr="00757D88">
        <w:rPr>
          <w:rFonts w:ascii="Century" w:hAnsi="Century" w:cs="Miriam" w:hint="eastAsia"/>
          <w:b/>
          <w:shd w:val="clear" w:color="auto" w:fill="FFFFFF"/>
          <w:rtl/>
        </w:rPr>
        <w:t>קניין</w:t>
      </w:r>
      <w:r w:rsidRPr="00695E31">
        <w:rPr>
          <w:rFonts w:cs="FrankRuehl" w:hint="cs"/>
          <w:color w:val="000000"/>
          <w:spacing w:val="10"/>
          <w:sz w:val="28"/>
          <w:szCs w:val="28"/>
          <w:shd w:val="clear" w:color="auto" w:fill="FFFFFF"/>
          <w:rtl/>
        </w:rPr>
        <w:t xml:space="preserve"> </w:t>
      </w:r>
      <w:r w:rsidRPr="00D35FB5">
        <w:rPr>
          <w:rFonts w:ascii="Century" w:hAnsi="Century" w:cs="FrankRuehl" w:hint="eastAsia"/>
          <w:spacing w:val="10"/>
          <w:szCs w:val="28"/>
          <w:rtl/>
        </w:rPr>
        <w:t>כרך</w:t>
      </w:r>
      <w:r w:rsidRPr="00D35FB5">
        <w:rPr>
          <w:rFonts w:ascii="Century" w:hAnsi="Century" w:cs="FrankRuehl"/>
          <w:spacing w:val="10"/>
          <w:szCs w:val="28"/>
          <w:rtl/>
        </w:rPr>
        <w:t xml:space="preserve"> </w:t>
      </w:r>
      <w:r w:rsidRPr="00D35FB5">
        <w:rPr>
          <w:rFonts w:ascii="Century" w:hAnsi="Century" w:cs="FrankRuehl" w:hint="eastAsia"/>
          <w:spacing w:val="10"/>
          <w:szCs w:val="28"/>
          <w:rtl/>
        </w:rPr>
        <w:t>ד</w:t>
      </w:r>
      <w:r>
        <w:rPr>
          <w:rFonts w:ascii="Century" w:hAnsi="Century" w:cs="FrankRuehl" w:hint="cs"/>
          <w:spacing w:val="10"/>
          <w:szCs w:val="28"/>
          <w:rtl/>
        </w:rPr>
        <w:t xml:space="preserve"> 310-309 (2007)</w:t>
      </w:r>
      <w:r w:rsidRPr="00D35FB5">
        <w:rPr>
          <w:rFonts w:ascii="Century" w:hAnsi="Century" w:cs="FrankRuehl"/>
          <w:spacing w:val="10"/>
          <w:szCs w:val="28"/>
          <w:rtl/>
        </w:rPr>
        <w:t xml:space="preserve"> (להלן:</w:t>
      </w:r>
      <w:r>
        <w:rPr>
          <w:rFonts w:cs="FrankRuehl" w:hint="cs"/>
          <w:color w:val="000000"/>
          <w:spacing w:val="10"/>
          <w:sz w:val="28"/>
          <w:szCs w:val="28"/>
          <w:shd w:val="clear" w:color="auto" w:fill="FFFFFF"/>
          <w:rtl/>
        </w:rPr>
        <w:t xml:space="preserve"> </w:t>
      </w:r>
      <w:r w:rsidRPr="00757D88">
        <w:rPr>
          <w:rFonts w:ascii="Century" w:hAnsi="Century" w:cs="Miriam" w:hint="eastAsia"/>
          <w:b/>
          <w:shd w:val="clear" w:color="auto" w:fill="FFFFFF"/>
          <w:rtl/>
        </w:rPr>
        <w:t>דויטש</w:t>
      </w:r>
      <w:r w:rsidRPr="00757D88">
        <w:rPr>
          <w:rFonts w:ascii="Century" w:hAnsi="Century" w:cs="Miriam"/>
          <w:b/>
          <w:shd w:val="clear" w:color="auto" w:fill="FFFFFF"/>
          <w:rtl/>
        </w:rPr>
        <w:t xml:space="preserve"> כרך ד</w:t>
      </w:r>
      <w:r>
        <w:rPr>
          <w:rFonts w:cs="FrankRuehl" w:hint="cs"/>
          <w:sz w:val="28"/>
          <w:szCs w:val="28"/>
          <w:rtl/>
        </w:rPr>
        <w:t>)</w:t>
      </w:r>
      <w:r>
        <w:rPr>
          <w:rFonts w:cs="FrankRuehl" w:hint="cs"/>
          <w:color w:val="000000"/>
          <w:spacing w:val="10"/>
          <w:sz w:val="28"/>
          <w:szCs w:val="28"/>
          <w:shd w:val="clear" w:color="auto" w:fill="FFFFFF"/>
          <w:rtl/>
        </w:rPr>
        <w:t xml:space="preserve">. כן ראו: </w:t>
      </w:r>
      <w:r w:rsidRPr="00D31A9A">
        <w:rPr>
          <w:rFonts w:cs="FrankRuehl"/>
          <w:color w:val="000000"/>
          <w:spacing w:val="10"/>
          <w:sz w:val="28"/>
          <w:szCs w:val="28"/>
          <w:shd w:val="clear" w:color="auto" w:fill="FFFFFF"/>
          <w:rtl/>
        </w:rPr>
        <w:t xml:space="preserve">רע״א 1096/97 </w:t>
      </w:r>
      <w:r w:rsidRPr="00757D88">
        <w:rPr>
          <w:rFonts w:ascii="Century" w:hAnsi="Century" w:cs="Miriam"/>
          <w:b/>
          <w:shd w:val="clear" w:color="auto" w:fill="FFFFFF"/>
          <w:rtl/>
        </w:rPr>
        <w:t>אבו ג׳ובה נ׳ פימן</w:t>
      </w:r>
      <w:r>
        <w:rPr>
          <w:rFonts w:cs="FrankRuehl" w:hint="cs"/>
          <w:color w:val="000000"/>
          <w:spacing w:val="10"/>
          <w:sz w:val="28"/>
          <w:szCs w:val="28"/>
          <w:shd w:val="clear" w:color="auto" w:fill="FFFFFF"/>
          <w:rtl/>
        </w:rPr>
        <w:t xml:space="preserve"> </w:t>
      </w:r>
      <w:r w:rsidRPr="000F136A">
        <w:rPr>
          <w:rFonts w:ascii="Century" w:hAnsi="Century" w:cs="Miriam" w:hint="cs"/>
          <w:b/>
          <w:shd w:val="clear" w:color="auto" w:fill="FFFFFF"/>
          <w:rtl/>
        </w:rPr>
        <w:t>בע"מ</w:t>
      </w:r>
      <w:r w:rsidRPr="00D31A9A">
        <w:rPr>
          <w:rFonts w:cs="FrankRuehl"/>
          <w:color w:val="000000"/>
          <w:spacing w:val="10"/>
          <w:sz w:val="28"/>
          <w:szCs w:val="28"/>
          <w:shd w:val="clear" w:color="auto" w:fill="FFFFFF"/>
          <w:rtl/>
        </w:rPr>
        <w:t>, פ״ד נג(1) 481, 500 (1999)</w:t>
      </w:r>
      <w:r>
        <w:rPr>
          <w:rFonts w:cs="FrankRuehl" w:hint="cs"/>
          <w:color w:val="000000"/>
          <w:spacing w:val="10"/>
          <w:sz w:val="28"/>
          <w:szCs w:val="28"/>
          <w:shd w:val="clear" w:color="auto" w:fill="FFFFFF"/>
          <w:rtl/>
        </w:rPr>
        <w:t xml:space="preserve">). </w:t>
      </w:r>
      <w:r w:rsidRPr="000F136A">
        <w:rPr>
          <w:rFonts w:ascii="Century" w:hAnsi="Century" w:cs="FrankRuehl" w:hint="cs"/>
          <w:spacing w:val="10"/>
          <w:szCs w:val="28"/>
          <w:shd w:val="clear" w:color="auto" w:fill="FFFFFF"/>
          <w:rtl/>
        </w:rPr>
        <w:t xml:space="preserve">במבט רחב ניתן לומר, כי באופן טיפוסי יסוד התמורה מהווה נדבך חשוב בהצדקה הכללית לקיומן של תקנות שוק כמוסד משפטי שנועד להסדיר כללי הכרעה במצבים של תחרות זכויות. במסגרת זו, העמידה על דרישת התמורה מושתתת הן על טעמים של צדק והן על שיקולי יעילות, מתוך רצון לאתר את הצד שהפגיעה בו היא הגדולה יותר. </w:t>
      </w:r>
      <w:r w:rsidRPr="000F136A">
        <w:rPr>
          <w:rFonts w:ascii="Century" w:hAnsi="Century" w:cs="FrankRuehl" w:hint="eastAsia"/>
          <w:spacing w:val="10"/>
          <w:szCs w:val="28"/>
          <w:shd w:val="clear" w:color="auto" w:fill="FFFFFF"/>
          <w:rtl/>
        </w:rPr>
        <w:t>במובן</w:t>
      </w:r>
      <w:r w:rsidRPr="000F136A">
        <w:rPr>
          <w:rFonts w:ascii="Century" w:hAnsi="Century" w:cs="FrankRuehl"/>
          <w:spacing w:val="10"/>
          <w:szCs w:val="28"/>
          <w:shd w:val="clear" w:color="auto" w:fill="FFFFFF"/>
          <w:rtl/>
        </w:rPr>
        <w:t xml:space="preserve"> </w:t>
      </w:r>
      <w:r w:rsidRPr="000F136A">
        <w:rPr>
          <w:rFonts w:ascii="Century" w:hAnsi="Century" w:cs="FrankRuehl" w:hint="eastAsia"/>
          <w:spacing w:val="10"/>
          <w:szCs w:val="28"/>
          <w:shd w:val="clear" w:color="auto" w:fill="FFFFFF"/>
          <w:rtl/>
        </w:rPr>
        <w:t>זה</w:t>
      </w:r>
      <w:r w:rsidRPr="000F136A">
        <w:rPr>
          <w:rFonts w:ascii="Century" w:hAnsi="Century" w:cs="FrankRuehl" w:hint="cs"/>
          <w:spacing w:val="10"/>
          <w:szCs w:val="28"/>
          <w:shd w:val="clear" w:color="auto" w:fill="FFFFFF"/>
          <w:rtl/>
        </w:rPr>
        <w:t>,</w:t>
      </w:r>
      <w:r w:rsidRPr="000F136A">
        <w:rPr>
          <w:rFonts w:ascii="Century" w:hAnsi="Century" w:cs="FrankRuehl"/>
          <w:spacing w:val="10"/>
          <w:szCs w:val="28"/>
          <w:shd w:val="clear" w:color="auto" w:fill="FFFFFF"/>
          <w:rtl/>
        </w:rPr>
        <w:t xml:space="preserve"> מהווה התמורה </w:t>
      </w:r>
      <w:r w:rsidRPr="000F136A">
        <w:rPr>
          <w:rFonts w:ascii="Century" w:hAnsi="Century" w:cs="FrankRuehl" w:hint="cs"/>
          <w:spacing w:val="10"/>
          <w:szCs w:val="28"/>
          <w:shd w:val="clear" w:color="auto" w:fill="FFFFFF"/>
          <w:rtl/>
        </w:rPr>
        <w:t>אינדיק</w:t>
      </w:r>
      <w:r w:rsidRPr="000F136A">
        <w:rPr>
          <w:rFonts w:ascii="Century" w:hAnsi="Century" w:cs="FrankRuehl" w:hint="eastAsia"/>
          <w:spacing w:val="10"/>
          <w:szCs w:val="28"/>
          <w:shd w:val="clear" w:color="auto" w:fill="FFFFFF"/>
          <w:rtl/>
        </w:rPr>
        <w:t>ציה</w:t>
      </w:r>
      <w:r w:rsidRPr="000F136A">
        <w:rPr>
          <w:rFonts w:ascii="Century" w:hAnsi="Century" w:cs="FrankRuehl"/>
          <w:spacing w:val="10"/>
          <w:szCs w:val="28"/>
          <w:shd w:val="clear" w:color="auto" w:fill="FFFFFF"/>
          <w:rtl/>
        </w:rPr>
        <w:t xml:space="preserve"> </w:t>
      </w:r>
      <w:r w:rsidRPr="000F136A">
        <w:rPr>
          <w:rFonts w:ascii="Century" w:hAnsi="Century" w:cs="FrankRuehl" w:hint="eastAsia"/>
          <w:spacing w:val="10"/>
          <w:szCs w:val="28"/>
          <w:shd w:val="clear" w:color="auto" w:fill="FFFFFF"/>
          <w:rtl/>
        </w:rPr>
        <w:t>ל</w:t>
      </w:r>
      <w:r w:rsidRPr="000F136A">
        <w:rPr>
          <w:rFonts w:ascii="Century" w:hAnsi="Century" w:cs="FrankRuehl" w:hint="cs"/>
          <w:spacing w:val="10"/>
          <w:szCs w:val="28"/>
          <w:shd w:val="clear" w:color="auto" w:fill="FFFFFF"/>
          <w:rtl/>
        </w:rPr>
        <w:t>מידת ההסתמכות של צד שלישי על הע</w:t>
      </w:r>
      <w:r w:rsidRPr="000F136A">
        <w:rPr>
          <w:rFonts w:ascii="Century" w:hAnsi="Century" w:cs="FrankRuehl" w:hint="eastAsia"/>
          <w:spacing w:val="10"/>
          <w:szCs w:val="28"/>
          <w:shd w:val="clear" w:color="auto" w:fill="FFFFFF"/>
          <w:rtl/>
        </w:rPr>
        <w:t>סקה</w:t>
      </w:r>
      <w:r w:rsidRPr="000F136A">
        <w:rPr>
          <w:rFonts w:ascii="Century" w:hAnsi="Century" w:cs="FrankRuehl"/>
          <w:spacing w:val="10"/>
          <w:szCs w:val="28"/>
          <w:shd w:val="clear" w:color="auto" w:fill="FFFFFF"/>
          <w:rtl/>
        </w:rPr>
        <w:t xml:space="preserve"> </w:t>
      </w:r>
      <w:r w:rsidRPr="000F136A">
        <w:rPr>
          <w:rFonts w:ascii="Century" w:hAnsi="Century" w:cs="FrankRuehl" w:hint="eastAsia"/>
          <w:spacing w:val="10"/>
          <w:szCs w:val="28"/>
          <w:shd w:val="clear" w:color="auto" w:fill="FFFFFF"/>
          <w:rtl/>
        </w:rPr>
        <w:t>שביצע</w:t>
      </w:r>
      <w:r w:rsidRPr="000F136A">
        <w:rPr>
          <w:rFonts w:ascii="Century" w:hAnsi="Century" w:cs="FrankRuehl"/>
          <w:spacing w:val="10"/>
          <w:szCs w:val="28"/>
          <w:shd w:val="clear" w:color="auto" w:fill="FFFFFF"/>
          <w:rtl/>
        </w:rPr>
        <w:t xml:space="preserve"> </w:t>
      </w:r>
      <w:r w:rsidRPr="000F136A">
        <w:rPr>
          <w:rFonts w:ascii="Century" w:hAnsi="Century" w:cs="FrankRuehl" w:hint="eastAsia"/>
          <w:spacing w:val="10"/>
          <w:szCs w:val="28"/>
          <w:shd w:val="clear" w:color="auto" w:fill="FFFFFF"/>
          <w:rtl/>
        </w:rPr>
        <w:t>בתום</w:t>
      </w:r>
      <w:r w:rsidRPr="000F136A">
        <w:rPr>
          <w:rFonts w:ascii="Century" w:hAnsi="Century" w:cs="FrankRuehl"/>
          <w:spacing w:val="10"/>
          <w:szCs w:val="28"/>
          <w:shd w:val="clear" w:color="auto" w:fill="FFFFFF"/>
          <w:rtl/>
        </w:rPr>
        <w:t xml:space="preserve"> </w:t>
      </w:r>
      <w:r w:rsidRPr="000F136A">
        <w:rPr>
          <w:rFonts w:ascii="Century" w:hAnsi="Century" w:cs="FrankRuehl" w:hint="eastAsia"/>
          <w:spacing w:val="10"/>
          <w:szCs w:val="28"/>
          <w:shd w:val="clear" w:color="auto" w:fill="FFFFFF"/>
          <w:rtl/>
        </w:rPr>
        <w:t>לב</w:t>
      </w:r>
      <w:r w:rsidRPr="000F136A">
        <w:rPr>
          <w:rFonts w:ascii="Century" w:hAnsi="Century" w:cs="FrankRuehl"/>
          <w:spacing w:val="10"/>
          <w:szCs w:val="28"/>
          <w:shd w:val="clear" w:color="auto" w:fill="FFFFFF"/>
        </w:rPr>
        <w:t>.</w:t>
      </w:r>
      <w:r w:rsidRPr="000F136A">
        <w:rPr>
          <w:rFonts w:ascii="Century" w:hAnsi="Century" w:cs="FrankRuehl" w:hint="cs"/>
          <w:spacing w:val="10"/>
          <w:szCs w:val="28"/>
          <w:shd w:val="clear" w:color="auto" w:fill="FFFFFF"/>
          <w:rtl/>
        </w:rPr>
        <w:t xml:space="preserve"> כך מובטח כי הפגיעה החמורה בזכותו הקניינית של הבעלים המקורי תיעשה בצמצום, אך בנסיבות שבהן הרוכש המאוחר אכן שינה את מצבו לרעה (באופן כללי, ראו:</w:t>
      </w:r>
      <w:r w:rsidRPr="000F136A">
        <w:rPr>
          <w:rFonts w:ascii="Century" w:hAnsi="Century" w:cs="FrankRuehl"/>
          <w:spacing w:val="10"/>
          <w:szCs w:val="28"/>
          <w:rtl/>
        </w:rPr>
        <w:t xml:space="preserve"> איל זמיר "תקנת השוק, טעות משותפת, עשיית עושר ועוד" </w:t>
      </w:r>
      <w:r w:rsidRPr="000F136A">
        <w:rPr>
          <w:rFonts w:ascii="Century" w:hAnsi="Century" w:cs="Miriam"/>
          <w:b/>
          <w:rtl/>
        </w:rPr>
        <w:t>משפטים</w:t>
      </w:r>
      <w:r w:rsidRPr="000F136A">
        <w:rPr>
          <w:rFonts w:ascii="Century" w:hAnsi="Century" w:cs="FrankRuehl"/>
          <w:spacing w:val="10"/>
          <w:szCs w:val="28"/>
          <w:rtl/>
        </w:rPr>
        <w:t xml:space="preserve"> </w:t>
      </w:r>
      <w:r w:rsidRPr="000F136A">
        <w:rPr>
          <w:rFonts w:ascii="Century" w:hAnsi="Century" w:cs="FrankRuehl"/>
          <w:spacing w:val="10"/>
          <w:szCs w:val="28"/>
          <w:rtl/>
        </w:rPr>
        <w:lastRenderedPageBreak/>
        <w:t>כו 359</w:t>
      </w:r>
      <w:r w:rsidRPr="000F136A">
        <w:rPr>
          <w:rFonts w:ascii="Century" w:hAnsi="Century" w:cs="FrankRuehl" w:hint="cs"/>
          <w:spacing w:val="10"/>
          <w:szCs w:val="28"/>
          <w:rtl/>
        </w:rPr>
        <w:t>, 366-365</w:t>
      </w:r>
      <w:r w:rsidRPr="000F136A">
        <w:rPr>
          <w:rFonts w:ascii="Century" w:hAnsi="Century" w:cs="FrankRuehl"/>
          <w:spacing w:val="10"/>
          <w:szCs w:val="28"/>
          <w:rtl/>
        </w:rPr>
        <w:t xml:space="preserve"> (</w:t>
      </w:r>
      <w:r w:rsidRPr="000F136A">
        <w:rPr>
          <w:rFonts w:ascii="Century" w:hAnsi="Century" w:cs="FrankRuehl" w:hint="cs"/>
          <w:spacing w:val="10"/>
          <w:szCs w:val="28"/>
          <w:rtl/>
        </w:rPr>
        <w:t>1995</w:t>
      </w:r>
      <w:r w:rsidRPr="000F136A">
        <w:rPr>
          <w:rFonts w:ascii="Century" w:hAnsi="Century" w:cs="FrankRuehl"/>
          <w:spacing w:val="10"/>
          <w:szCs w:val="28"/>
          <w:rtl/>
        </w:rPr>
        <w:t>); חנו</w:t>
      </w:r>
      <w:r w:rsidRPr="000F136A">
        <w:rPr>
          <w:rFonts w:ascii="Century" w:hAnsi="Century" w:cs="FrankRuehl" w:hint="cs"/>
          <w:spacing w:val="10"/>
          <w:szCs w:val="28"/>
          <w:rtl/>
        </w:rPr>
        <w:t>ך</w:t>
      </w:r>
      <w:r w:rsidRPr="000F136A">
        <w:rPr>
          <w:rFonts w:ascii="Century" w:hAnsi="Century" w:cs="FrankRuehl"/>
          <w:spacing w:val="10"/>
          <w:szCs w:val="28"/>
          <w:rtl/>
        </w:rPr>
        <w:t xml:space="preserve"> דגן "תקנת השוק כביטוח" </w:t>
      </w:r>
      <w:r w:rsidRPr="000F136A">
        <w:rPr>
          <w:rFonts w:ascii="Century" w:hAnsi="Century" w:cs="Miriam" w:hint="eastAsia"/>
          <w:b/>
          <w:rtl/>
        </w:rPr>
        <w:t>ספר</w:t>
      </w:r>
      <w:r w:rsidRPr="000F136A">
        <w:rPr>
          <w:rFonts w:ascii="Century" w:hAnsi="Century" w:cs="Miriam"/>
          <w:b/>
          <w:rtl/>
        </w:rPr>
        <w:t xml:space="preserve"> </w:t>
      </w:r>
      <w:r w:rsidRPr="000F136A">
        <w:rPr>
          <w:rFonts w:ascii="Century" w:hAnsi="Century" w:cs="Miriam" w:hint="eastAsia"/>
          <w:b/>
          <w:rtl/>
        </w:rPr>
        <w:t>ויסמן</w:t>
      </w:r>
      <w:r w:rsidRPr="000F136A">
        <w:rPr>
          <w:rFonts w:ascii="Century" w:hAnsi="Century" w:cs="FrankRuehl"/>
          <w:spacing w:val="10"/>
          <w:szCs w:val="28"/>
          <w:rtl/>
        </w:rPr>
        <w:t xml:space="preserve"> 15</w:t>
      </w:r>
      <w:r w:rsidRPr="000F136A">
        <w:rPr>
          <w:rFonts w:ascii="Century" w:hAnsi="Century" w:cs="FrankRuehl" w:hint="cs"/>
          <w:spacing w:val="10"/>
          <w:szCs w:val="28"/>
          <w:rtl/>
        </w:rPr>
        <w:t xml:space="preserve">, 19-18 </w:t>
      </w:r>
      <w:r w:rsidRPr="000F136A">
        <w:rPr>
          <w:rFonts w:ascii="Century" w:hAnsi="Century" w:cs="FrankRuehl"/>
          <w:spacing w:val="10"/>
          <w:szCs w:val="28"/>
          <w:rtl/>
        </w:rPr>
        <w:t>(2002)</w:t>
      </w:r>
      <w:r w:rsidRPr="000F136A">
        <w:rPr>
          <w:rFonts w:ascii="Century" w:hAnsi="Century" w:cs="FrankRuehl" w:hint="cs"/>
          <w:spacing w:val="10"/>
          <w:szCs w:val="28"/>
          <w:shd w:val="clear" w:color="auto" w:fill="FFFFFF"/>
          <w:rtl/>
        </w:rPr>
        <w:t xml:space="preserve">). </w:t>
      </w:r>
    </w:p>
    <w:p w:rsidR="005B1A77" w:rsidRPr="000F136A" w:rsidRDefault="005B1A77" w:rsidP="005B1A77">
      <w:pPr>
        <w:spacing w:line="360" w:lineRule="auto"/>
        <w:jc w:val="both"/>
        <w:rPr>
          <w:rFonts w:ascii="Century" w:hAnsi="Century" w:cs="FrankRuehl"/>
          <w:spacing w:val="10"/>
          <w:szCs w:val="28"/>
          <w:shd w:val="clear" w:color="auto" w:fill="FFFFFF"/>
          <w:rtl/>
        </w:rPr>
      </w:pPr>
    </w:p>
    <w:p w:rsidR="005B1A77" w:rsidRPr="000F136A" w:rsidRDefault="005B1A77" w:rsidP="005B1A77">
      <w:pPr>
        <w:spacing w:line="360" w:lineRule="auto"/>
        <w:jc w:val="both"/>
        <w:rPr>
          <w:rFonts w:ascii="Century" w:hAnsi="Century" w:cs="FrankRuehl"/>
          <w:spacing w:val="10"/>
          <w:szCs w:val="28"/>
          <w:shd w:val="clear" w:color="auto" w:fill="FFFFFF"/>
          <w:rtl/>
        </w:rPr>
      </w:pPr>
      <w:r w:rsidRPr="000F136A">
        <w:rPr>
          <w:rFonts w:ascii="Century" w:hAnsi="Century" w:cs="FrankRuehl" w:hint="cs"/>
          <w:spacing w:val="10"/>
          <w:szCs w:val="28"/>
          <w:shd w:val="clear" w:color="auto" w:fill="FFFFFF"/>
          <w:rtl/>
        </w:rPr>
        <w:t>42.</w:t>
      </w:r>
      <w:r w:rsidRPr="000F136A">
        <w:rPr>
          <w:rFonts w:ascii="Century" w:hAnsi="Century" w:cs="FrankRuehl" w:hint="cs"/>
          <w:spacing w:val="10"/>
          <w:szCs w:val="28"/>
          <w:shd w:val="clear" w:color="auto" w:fill="FFFFFF"/>
          <w:rtl/>
        </w:rPr>
        <w:tab/>
        <w:t xml:space="preserve">אכן, בדומה לסעיף 5 לצו, גם הסדרי תקנות השוק הקרובות לענייננו בסעיף 16 לחוק האפוטרופוס הכללי ובסעיף 17 לחוק נכסי נפקדים אינן מזכירות במפורש דרישה לתמורה. בהתאמה, שאלת קיומה של דרישה כאמור בגדרי הסדרים אלו נותרה בעבר ב"צריך עיון" (ראו: </w:t>
      </w:r>
      <w:r w:rsidRPr="000F136A">
        <w:rPr>
          <w:rFonts w:ascii="Century" w:hAnsi="Century" w:cs="FrankRuehl"/>
          <w:spacing w:val="10"/>
          <w:szCs w:val="28"/>
          <w:shd w:val="clear" w:color="auto" w:fill="FFFFFF"/>
          <w:rtl/>
        </w:rPr>
        <w:t xml:space="preserve">ע"א 109/87 </w:t>
      </w:r>
      <w:r w:rsidRPr="000F136A">
        <w:rPr>
          <w:rFonts w:ascii="Century" w:hAnsi="Century" w:cs="Miriam"/>
          <w:b/>
          <w:shd w:val="clear" w:color="auto" w:fill="FFFFFF"/>
          <w:rtl/>
        </w:rPr>
        <w:t>חוות מקורה בע"מ נ' חסן</w:t>
      </w:r>
      <w:r w:rsidRPr="005476C9">
        <w:rPr>
          <w:rFonts w:cs="FrankRuehl"/>
          <w:color w:val="000000"/>
          <w:spacing w:val="10"/>
          <w:sz w:val="28"/>
          <w:szCs w:val="28"/>
          <w:shd w:val="clear" w:color="auto" w:fill="FFFFFF"/>
          <w:rtl/>
        </w:rPr>
        <w:t xml:space="preserve">, </w:t>
      </w:r>
      <w:r w:rsidRPr="000F136A">
        <w:rPr>
          <w:rFonts w:ascii="Century" w:hAnsi="Century" w:cs="FrankRuehl"/>
          <w:spacing w:val="10"/>
          <w:szCs w:val="28"/>
          <w:shd w:val="clear" w:color="auto" w:fill="FFFFFF"/>
          <w:rtl/>
        </w:rPr>
        <w:t>פ"ד מז(5) 1, 25 (1993)</w:t>
      </w:r>
      <w:r w:rsidRPr="000F136A">
        <w:rPr>
          <w:rFonts w:ascii="Century" w:hAnsi="Century" w:cs="FrankRuehl" w:hint="cs"/>
          <w:spacing w:val="10"/>
          <w:szCs w:val="28"/>
          <w:shd w:val="clear" w:color="auto" w:fill="FFFFFF"/>
          <w:rtl/>
        </w:rPr>
        <w:t xml:space="preserve"> (להלן: עניין </w:t>
      </w:r>
      <w:r w:rsidRPr="000F136A">
        <w:rPr>
          <w:rFonts w:ascii="Century" w:hAnsi="Century" w:cs="FrankRuehl" w:hint="eastAsia"/>
          <w:spacing w:val="10"/>
          <w:szCs w:val="28"/>
          <w:shd w:val="clear" w:color="auto" w:fill="FFFFFF"/>
          <w:rtl/>
        </w:rPr>
        <w:t>חוות</w:t>
      </w:r>
      <w:r w:rsidRPr="000F136A">
        <w:rPr>
          <w:rFonts w:ascii="Century" w:hAnsi="Century" w:cs="FrankRuehl"/>
          <w:spacing w:val="10"/>
          <w:szCs w:val="28"/>
          <w:shd w:val="clear" w:color="auto" w:fill="FFFFFF"/>
          <w:rtl/>
        </w:rPr>
        <w:t xml:space="preserve"> </w:t>
      </w:r>
      <w:r w:rsidRPr="000F136A">
        <w:rPr>
          <w:rFonts w:ascii="Century" w:hAnsi="Century" w:cs="FrankRuehl" w:hint="eastAsia"/>
          <w:spacing w:val="10"/>
          <w:szCs w:val="28"/>
          <w:shd w:val="clear" w:color="auto" w:fill="FFFFFF"/>
          <w:rtl/>
        </w:rPr>
        <w:t>מקורה</w:t>
      </w:r>
      <w:r w:rsidRPr="000F136A">
        <w:rPr>
          <w:rFonts w:ascii="Century" w:hAnsi="Century" w:cs="FrankRuehl" w:hint="cs"/>
          <w:spacing w:val="10"/>
          <w:szCs w:val="28"/>
          <w:shd w:val="clear" w:color="auto" w:fill="FFFFFF"/>
          <w:rtl/>
        </w:rPr>
        <w:t>). כן ראו:</w:t>
      </w:r>
      <w:r w:rsidRPr="000F136A">
        <w:rPr>
          <w:rFonts w:cs="FrankRuehl" w:hint="cs"/>
          <w:color w:val="000000"/>
          <w:spacing w:val="10"/>
          <w:sz w:val="28"/>
          <w:szCs w:val="28"/>
          <w:shd w:val="clear" w:color="auto" w:fill="FFFFFF"/>
          <w:rtl/>
        </w:rPr>
        <w:t xml:space="preserve"> </w:t>
      </w:r>
      <w:r w:rsidRPr="000F136A">
        <w:rPr>
          <w:rFonts w:ascii="Century" w:hAnsi="Century" w:cs="Miriam" w:hint="eastAsia"/>
          <w:b/>
          <w:shd w:val="clear" w:color="auto" w:fill="FFFFFF"/>
          <w:rtl/>
        </w:rPr>
        <w:t>דויטש</w:t>
      </w:r>
      <w:r w:rsidRPr="000F136A">
        <w:rPr>
          <w:rFonts w:ascii="Century" w:hAnsi="Century" w:cs="Miriam" w:hint="cs"/>
          <w:b/>
          <w:shd w:val="clear" w:color="auto" w:fill="FFFFFF"/>
          <w:rtl/>
        </w:rPr>
        <w:t xml:space="preserve"> </w:t>
      </w:r>
      <w:r w:rsidRPr="000F136A">
        <w:rPr>
          <w:rFonts w:ascii="Century" w:hAnsi="Century" w:cs="Miriam" w:hint="eastAsia"/>
          <w:b/>
          <w:shd w:val="clear" w:color="auto" w:fill="FFFFFF"/>
          <w:rtl/>
        </w:rPr>
        <w:t>כרך</w:t>
      </w:r>
      <w:r w:rsidRPr="000F136A">
        <w:rPr>
          <w:rFonts w:ascii="Century" w:hAnsi="Century" w:cs="Miriam"/>
          <w:b/>
          <w:shd w:val="clear" w:color="auto" w:fill="FFFFFF"/>
          <w:rtl/>
        </w:rPr>
        <w:t xml:space="preserve"> </w:t>
      </w:r>
      <w:r w:rsidRPr="000F136A">
        <w:rPr>
          <w:rFonts w:ascii="Century" w:hAnsi="Century" w:cs="Miriam" w:hint="eastAsia"/>
          <w:b/>
          <w:shd w:val="clear" w:color="auto" w:fill="FFFFFF"/>
          <w:rtl/>
        </w:rPr>
        <w:t>ד</w:t>
      </w:r>
      <w:r w:rsidRPr="000F136A">
        <w:rPr>
          <w:rFonts w:ascii="Century" w:hAnsi="Century" w:cs="FrankRuehl" w:hint="cs"/>
          <w:spacing w:val="10"/>
          <w:szCs w:val="28"/>
          <w:shd w:val="clear" w:color="auto" w:fill="FFFFFF"/>
          <w:rtl/>
        </w:rPr>
        <w:t xml:space="preserve">, </w:t>
      </w:r>
      <w:r w:rsidRPr="000F136A">
        <w:rPr>
          <w:rFonts w:ascii="Century" w:hAnsi="Century" w:cs="FrankRuehl" w:hint="eastAsia"/>
          <w:spacing w:val="10"/>
          <w:szCs w:val="28"/>
          <w:shd w:val="clear" w:color="auto" w:fill="FFFFFF"/>
          <w:rtl/>
        </w:rPr>
        <w:t>בעמ</w:t>
      </w:r>
      <w:r w:rsidRPr="000F136A">
        <w:rPr>
          <w:rFonts w:ascii="Century" w:hAnsi="Century" w:cs="FrankRuehl"/>
          <w:spacing w:val="10"/>
          <w:szCs w:val="28"/>
          <w:shd w:val="clear" w:color="auto" w:fill="FFFFFF"/>
          <w:rtl/>
        </w:rPr>
        <w:t xml:space="preserve">' </w:t>
      </w:r>
      <w:r w:rsidRPr="000F136A">
        <w:rPr>
          <w:rFonts w:ascii="Century" w:hAnsi="Century" w:cs="FrankRuehl" w:hint="cs"/>
          <w:spacing w:val="10"/>
          <w:szCs w:val="28"/>
          <w:shd w:val="clear" w:color="auto" w:fill="FFFFFF"/>
          <w:rtl/>
        </w:rPr>
        <w:t xml:space="preserve">309). אולם, אינני סבורה שבמקרה דנן יש מקום להיסוס. למעשה, בהתייחס לחוק נכסי נפקדים דרישת התמורה כבר נלמדה מן החובה המוטלת על האפוטרופוס למכור נכס מקרקעין </w:t>
      </w:r>
      <w:r w:rsidRPr="000F136A">
        <w:rPr>
          <w:rFonts w:ascii="Century" w:hAnsi="Century" w:cs="FrankRuehl"/>
          <w:spacing w:val="10"/>
          <w:szCs w:val="28"/>
          <w:shd w:val="clear" w:color="auto" w:fill="FFFFFF"/>
          <w:rtl/>
        </w:rPr>
        <w:t>"</w:t>
      </w:r>
      <w:r w:rsidRPr="000F136A">
        <w:rPr>
          <w:rFonts w:ascii="Century" w:hAnsi="Century" w:cs="FrankRuehl" w:hint="eastAsia"/>
          <w:spacing w:val="10"/>
          <w:szCs w:val="28"/>
          <w:rtl/>
        </w:rPr>
        <w:t>במחיר</w:t>
      </w:r>
      <w:r w:rsidRPr="000F136A">
        <w:rPr>
          <w:rFonts w:ascii="Century" w:hAnsi="Century" w:cs="FrankRuehl"/>
          <w:spacing w:val="10"/>
          <w:szCs w:val="28"/>
          <w:rtl/>
        </w:rPr>
        <w:t xml:space="preserve"> </w:t>
      </w:r>
      <w:r w:rsidRPr="000F136A">
        <w:rPr>
          <w:rFonts w:ascii="Century" w:hAnsi="Century" w:cs="FrankRuehl" w:hint="eastAsia"/>
          <w:spacing w:val="10"/>
          <w:szCs w:val="28"/>
          <w:rtl/>
        </w:rPr>
        <w:t>שאינו</w:t>
      </w:r>
      <w:r w:rsidRPr="000F136A">
        <w:rPr>
          <w:rFonts w:ascii="Century" w:hAnsi="Century" w:cs="FrankRuehl"/>
          <w:spacing w:val="10"/>
          <w:szCs w:val="28"/>
          <w:rtl/>
        </w:rPr>
        <w:t xml:space="preserve"> </w:t>
      </w:r>
      <w:r w:rsidRPr="000F136A">
        <w:rPr>
          <w:rFonts w:ascii="Century" w:hAnsi="Century" w:cs="FrankRuehl" w:hint="eastAsia"/>
          <w:spacing w:val="10"/>
          <w:szCs w:val="28"/>
          <w:rtl/>
        </w:rPr>
        <w:t>פחות</w:t>
      </w:r>
      <w:r w:rsidRPr="000F136A">
        <w:rPr>
          <w:rFonts w:ascii="Century" w:hAnsi="Century" w:cs="FrankRuehl"/>
          <w:spacing w:val="10"/>
          <w:szCs w:val="28"/>
          <w:rtl/>
        </w:rPr>
        <w:t xml:space="preserve"> </w:t>
      </w:r>
      <w:r w:rsidRPr="000F136A">
        <w:rPr>
          <w:rFonts w:ascii="Century" w:hAnsi="Century" w:cs="FrankRuehl" w:hint="eastAsia"/>
          <w:spacing w:val="10"/>
          <w:szCs w:val="28"/>
          <w:rtl/>
        </w:rPr>
        <w:t>משוויו</w:t>
      </w:r>
      <w:r w:rsidRPr="000F136A">
        <w:rPr>
          <w:rFonts w:ascii="Century" w:hAnsi="Century" w:cs="FrankRuehl"/>
          <w:spacing w:val="10"/>
          <w:szCs w:val="28"/>
          <w:rtl/>
        </w:rPr>
        <w:t xml:space="preserve"> </w:t>
      </w:r>
      <w:r w:rsidRPr="000F136A">
        <w:rPr>
          <w:rFonts w:ascii="Century" w:hAnsi="Century" w:cs="FrankRuehl" w:hint="eastAsia"/>
          <w:spacing w:val="10"/>
          <w:szCs w:val="28"/>
          <w:rtl/>
        </w:rPr>
        <w:t>הרשמי</w:t>
      </w:r>
      <w:r w:rsidRPr="000F136A">
        <w:rPr>
          <w:rFonts w:ascii="Century" w:hAnsi="Century" w:cs="FrankRuehl"/>
          <w:spacing w:val="10"/>
          <w:szCs w:val="28"/>
          <w:rtl/>
        </w:rPr>
        <w:t>" (ראו:</w:t>
      </w:r>
      <w:r w:rsidRPr="000F136A">
        <w:rPr>
          <w:rFonts w:ascii="Century" w:hAnsi="Century" w:cs="FrankRuehl" w:hint="cs"/>
          <w:spacing w:val="10"/>
          <w:szCs w:val="28"/>
          <w:rtl/>
        </w:rPr>
        <w:t xml:space="preserve"> </w:t>
      </w:r>
      <w:r w:rsidRPr="000F136A">
        <w:rPr>
          <w:rFonts w:ascii="Century" w:hAnsi="Century" w:cs="FrankRuehl"/>
          <w:spacing w:val="10"/>
          <w:szCs w:val="28"/>
          <w:shd w:val="clear" w:color="auto" w:fill="FFFFFF"/>
          <w:rtl/>
        </w:rPr>
        <w:t>סעיף 19(א)(1) לחוק נכסי נפקדים</w:t>
      </w:r>
      <w:r w:rsidRPr="000F136A">
        <w:rPr>
          <w:rFonts w:ascii="Century" w:hAnsi="Century" w:cs="FrankRuehl" w:hint="cs"/>
          <w:spacing w:val="10"/>
          <w:szCs w:val="28"/>
          <w:shd w:val="clear" w:color="auto" w:fill="FFFFFF"/>
          <w:rtl/>
        </w:rPr>
        <w:t xml:space="preserve">. כן ראו: </w:t>
      </w:r>
      <w:r w:rsidRPr="000F136A">
        <w:rPr>
          <w:rFonts w:ascii="Century" w:hAnsi="Century" w:cs="FrankRuehl"/>
          <w:spacing w:val="10"/>
          <w:szCs w:val="28"/>
          <w:shd w:val="clear" w:color="auto" w:fill="FFFFFF"/>
          <w:rtl/>
        </w:rPr>
        <w:t>ע"א 11085/08</w:t>
      </w:r>
      <w:r w:rsidRPr="000F136A">
        <w:rPr>
          <w:rFonts w:cs="FrankRuehl"/>
          <w:color w:val="000000"/>
          <w:spacing w:val="10"/>
          <w:sz w:val="28"/>
          <w:szCs w:val="28"/>
          <w:shd w:val="clear" w:color="auto" w:fill="FFFFFF"/>
          <w:rtl/>
        </w:rPr>
        <w:t xml:space="preserve"> </w:t>
      </w:r>
      <w:r w:rsidRPr="000F136A">
        <w:rPr>
          <w:rFonts w:ascii="Century" w:hAnsi="Century" w:cs="Miriam"/>
          <w:b/>
          <w:shd w:val="clear" w:color="auto" w:fill="FFFFFF"/>
          <w:rtl/>
        </w:rPr>
        <w:t>עזבון מראד נ' רשות הפיתוח</w:t>
      </w:r>
      <w:r w:rsidRPr="00D31A9A">
        <w:rPr>
          <w:rFonts w:cs="FrankRuehl"/>
          <w:color w:val="000000"/>
          <w:spacing w:val="10"/>
          <w:sz w:val="28"/>
          <w:szCs w:val="28"/>
          <w:shd w:val="clear" w:color="auto" w:fill="FFFFFF"/>
          <w:rtl/>
        </w:rPr>
        <w:t>, פס</w:t>
      </w:r>
      <w:r>
        <w:rPr>
          <w:rFonts w:cs="FrankRuehl" w:hint="cs"/>
          <w:color w:val="000000"/>
          <w:spacing w:val="10"/>
          <w:sz w:val="28"/>
          <w:szCs w:val="28"/>
          <w:shd w:val="clear" w:color="auto" w:fill="FFFFFF"/>
          <w:rtl/>
        </w:rPr>
        <w:t>קה</w:t>
      </w:r>
      <w:r w:rsidRPr="00D31A9A">
        <w:rPr>
          <w:rFonts w:cs="FrankRuehl"/>
          <w:color w:val="000000"/>
          <w:spacing w:val="10"/>
          <w:sz w:val="28"/>
          <w:szCs w:val="28"/>
          <w:shd w:val="clear" w:color="auto" w:fill="FFFFFF"/>
          <w:rtl/>
        </w:rPr>
        <w:t xml:space="preserve"> 6ג לפסק דינו של </w:t>
      </w:r>
      <w:r>
        <w:rPr>
          <w:rFonts w:cs="FrankRuehl" w:hint="cs"/>
          <w:color w:val="000000"/>
          <w:spacing w:val="10"/>
          <w:sz w:val="28"/>
          <w:szCs w:val="28"/>
          <w:shd w:val="clear" w:color="auto" w:fill="FFFFFF"/>
          <w:rtl/>
        </w:rPr>
        <w:t xml:space="preserve">השופט (כתוארו אז) </w:t>
      </w:r>
      <w:r w:rsidRPr="00757D88">
        <w:rPr>
          <w:rFonts w:ascii="Century" w:hAnsi="Century" w:cs="Miriam"/>
          <w:b/>
          <w:shd w:val="clear" w:color="auto" w:fill="FFFFFF"/>
          <w:rtl/>
        </w:rPr>
        <w:t>הנדל</w:t>
      </w:r>
      <w:r w:rsidRPr="00D31A9A">
        <w:rPr>
          <w:rFonts w:cs="FrankRuehl"/>
          <w:color w:val="000000"/>
          <w:spacing w:val="10"/>
          <w:sz w:val="28"/>
          <w:szCs w:val="28"/>
          <w:shd w:val="clear" w:color="auto" w:fill="FFFFFF"/>
          <w:rtl/>
        </w:rPr>
        <w:t xml:space="preserve"> (9.10.2011)</w:t>
      </w:r>
      <w:r>
        <w:rPr>
          <w:rFonts w:cs="FrankRuehl" w:hint="cs"/>
          <w:color w:val="000000"/>
          <w:spacing w:val="10"/>
          <w:sz w:val="28"/>
          <w:szCs w:val="28"/>
          <w:shd w:val="clear" w:color="auto" w:fill="FFFFFF"/>
          <w:rtl/>
        </w:rPr>
        <w:t xml:space="preserve">). </w:t>
      </w:r>
      <w:r w:rsidRPr="000F136A">
        <w:rPr>
          <w:rFonts w:ascii="Century" w:hAnsi="Century" w:cs="FrankRuehl" w:hint="cs"/>
          <w:spacing w:val="10"/>
          <w:szCs w:val="28"/>
          <w:shd w:val="clear" w:color="auto" w:fill="FFFFFF"/>
          <w:rtl/>
        </w:rPr>
        <w:t>הדברים עולים בקנה אחד אף עם סעיף 18 לחוק נכסי נפקדים, הנוגע לחובתו של האפוטרופוס להשיב נכס שנחשב בטעות לנכס מוקנה או את</w:t>
      </w:r>
      <w:r w:rsidRPr="000F136A">
        <w:rPr>
          <w:rFonts w:cs="FrankRuehl" w:hint="cs"/>
          <w:color w:val="000000"/>
          <w:spacing w:val="10"/>
          <w:sz w:val="28"/>
          <w:szCs w:val="28"/>
          <w:shd w:val="clear" w:color="auto" w:fill="FFFFFF"/>
          <w:rtl/>
        </w:rPr>
        <w:t xml:space="preserve"> </w:t>
      </w:r>
      <w:r w:rsidRPr="00DC2455">
        <w:rPr>
          <w:rFonts w:ascii="Century" w:hAnsi="Century" w:cs="Miriam" w:hint="eastAsia"/>
          <w:b/>
          <w:shd w:val="clear" w:color="auto" w:fill="FFFFFF"/>
          <w:rtl/>
        </w:rPr>
        <w:t>התמורה</w:t>
      </w:r>
      <w:r w:rsidRPr="00735674">
        <w:rPr>
          <w:rFonts w:cs="FrankRuehl" w:hint="cs"/>
          <w:color w:val="000000"/>
          <w:spacing w:val="10"/>
          <w:sz w:val="28"/>
          <w:szCs w:val="28"/>
          <w:shd w:val="clear" w:color="auto" w:fill="FFFFFF"/>
          <w:rtl/>
        </w:rPr>
        <w:t xml:space="preserve"> </w:t>
      </w:r>
      <w:r w:rsidRPr="000F136A">
        <w:rPr>
          <w:rFonts w:ascii="Century" w:hAnsi="Century" w:cs="FrankRuehl" w:hint="cs"/>
          <w:spacing w:val="10"/>
          <w:szCs w:val="28"/>
          <w:shd w:val="clear" w:color="auto" w:fill="FFFFFF"/>
          <w:rtl/>
        </w:rPr>
        <w:t>שקיבל בעדו. בהתאם לכך, בספרות המשפטית הועלתה הסברה כי היעדרה של דרישה מפורשת לתמורה בסעיפים אלו נובע מן ההנחה הבסיסית לפיה רשות הפועלת על-פי דין תימנע מהקניית נכס ללא תמורה ראויה ולא כל שכן ללא תמורה כלל. זאת, בנוסף לטעמים היסטוריים</w:t>
      </w:r>
      <w:r>
        <w:rPr>
          <w:rFonts w:ascii="Century" w:hAnsi="Century" w:cs="FrankRuehl" w:hint="cs"/>
          <w:spacing w:val="10"/>
          <w:szCs w:val="28"/>
          <w:shd w:val="clear" w:color="auto" w:fill="FFFFFF"/>
          <w:rtl/>
        </w:rPr>
        <w:t>,</w:t>
      </w:r>
      <w:r w:rsidRPr="000F136A">
        <w:rPr>
          <w:rFonts w:ascii="Century" w:hAnsi="Century" w:cs="FrankRuehl" w:hint="cs"/>
          <w:spacing w:val="10"/>
          <w:szCs w:val="28"/>
          <w:shd w:val="clear" w:color="auto" w:fill="FFFFFF"/>
          <w:rtl/>
        </w:rPr>
        <w:t xml:space="preserve"> בהינתן שמדובר בהסדרים חקיקתיים מיושנים, שאינם חלק ממפעל החקיקה האזרחית המודרני (ראו:</w:t>
      </w:r>
      <w:r w:rsidRPr="000F136A">
        <w:rPr>
          <w:rFonts w:cs="FrankRuehl" w:hint="cs"/>
          <w:color w:val="000000"/>
          <w:spacing w:val="10"/>
          <w:sz w:val="28"/>
          <w:szCs w:val="28"/>
          <w:shd w:val="clear" w:color="auto" w:fill="FFFFFF"/>
          <w:rtl/>
        </w:rPr>
        <w:t xml:space="preserve"> </w:t>
      </w:r>
      <w:r w:rsidRPr="000F136A">
        <w:rPr>
          <w:rFonts w:ascii="Century" w:hAnsi="Century" w:cs="Miriam" w:hint="eastAsia"/>
          <w:b/>
          <w:shd w:val="clear" w:color="auto" w:fill="FFFFFF"/>
          <w:rtl/>
        </w:rPr>
        <w:t>דויטש</w:t>
      </w:r>
      <w:r w:rsidRPr="000F136A">
        <w:rPr>
          <w:rFonts w:ascii="Century" w:hAnsi="Century" w:cs="Miriam" w:hint="cs"/>
          <w:b/>
          <w:shd w:val="clear" w:color="auto" w:fill="FFFFFF"/>
          <w:rtl/>
        </w:rPr>
        <w:t xml:space="preserve"> </w:t>
      </w:r>
      <w:r w:rsidRPr="000F136A">
        <w:rPr>
          <w:rFonts w:ascii="Century" w:hAnsi="Century" w:cs="Miriam" w:hint="eastAsia"/>
          <w:b/>
          <w:shd w:val="clear" w:color="auto" w:fill="FFFFFF"/>
          <w:rtl/>
        </w:rPr>
        <w:t>כרך</w:t>
      </w:r>
      <w:r w:rsidRPr="000F136A">
        <w:rPr>
          <w:rFonts w:ascii="Century" w:hAnsi="Century" w:cs="Miriam"/>
          <w:b/>
          <w:shd w:val="clear" w:color="auto" w:fill="FFFFFF"/>
          <w:rtl/>
        </w:rPr>
        <w:t xml:space="preserve"> </w:t>
      </w:r>
      <w:r w:rsidRPr="000F136A">
        <w:rPr>
          <w:rFonts w:ascii="Century" w:hAnsi="Century" w:cs="Miriam" w:hint="eastAsia"/>
          <w:b/>
          <w:shd w:val="clear" w:color="auto" w:fill="FFFFFF"/>
          <w:rtl/>
        </w:rPr>
        <w:t>ד</w:t>
      </w:r>
      <w:r>
        <w:rPr>
          <w:rFonts w:cs="FrankRuehl" w:hint="cs"/>
          <w:color w:val="000000"/>
          <w:spacing w:val="10"/>
          <w:sz w:val="28"/>
          <w:szCs w:val="28"/>
          <w:shd w:val="clear" w:color="auto" w:fill="FFFFFF"/>
          <w:rtl/>
        </w:rPr>
        <w:t xml:space="preserve">, </w:t>
      </w:r>
      <w:r w:rsidRPr="000F136A">
        <w:rPr>
          <w:rFonts w:ascii="Century" w:hAnsi="Century" w:cs="FrankRuehl" w:hint="eastAsia"/>
          <w:spacing w:val="10"/>
          <w:szCs w:val="28"/>
          <w:shd w:val="clear" w:color="auto" w:fill="FFFFFF"/>
          <w:rtl/>
        </w:rPr>
        <w:t>בעמ</w:t>
      </w:r>
      <w:r w:rsidRPr="000F136A">
        <w:rPr>
          <w:rFonts w:ascii="Century" w:hAnsi="Century" w:cs="FrankRuehl"/>
          <w:spacing w:val="10"/>
          <w:szCs w:val="28"/>
          <w:shd w:val="clear" w:color="auto" w:fill="FFFFFF"/>
          <w:rtl/>
        </w:rPr>
        <w:t xml:space="preserve">' </w:t>
      </w:r>
      <w:r>
        <w:rPr>
          <w:rFonts w:ascii="Century" w:hAnsi="Century" w:cs="FrankRuehl" w:hint="cs"/>
          <w:spacing w:val="10"/>
          <w:szCs w:val="28"/>
          <w:shd w:val="clear" w:color="auto" w:fill="FFFFFF"/>
          <w:rtl/>
        </w:rPr>
        <w:t>310-309</w:t>
      </w:r>
      <w:r w:rsidRPr="000F136A">
        <w:rPr>
          <w:rFonts w:ascii="Century" w:hAnsi="Century" w:cs="FrankRuehl"/>
          <w:spacing w:val="10"/>
          <w:szCs w:val="28"/>
          <w:shd w:val="clear" w:color="auto" w:fill="FFFFFF"/>
          <w:rtl/>
        </w:rPr>
        <w:t>;</w:t>
      </w:r>
      <w:r w:rsidRPr="00757D88">
        <w:rPr>
          <w:rFonts w:ascii="Century" w:hAnsi="Century" w:cs="FrankRuehl"/>
          <w:spacing w:val="10"/>
          <w:szCs w:val="28"/>
          <w:shd w:val="clear" w:color="auto" w:fill="FFFFFF"/>
          <w:rtl/>
        </w:rPr>
        <w:t xml:space="preserve"> </w:t>
      </w:r>
      <w:r w:rsidRPr="000F136A">
        <w:rPr>
          <w:rFonts w:ascii="Century" w:hAnsi="Century" w:cs="Miriam" w:hint="eastAsia"/>
          <w:b/>
          <w:rtl/>
        </w:rPr>
        <w:t>ויניצקי</w:t>
      </w:r>
      <w:r w:rsidRPr="000F136A">
        <w:rPr>
          <w:rFonts w:ascii="Century" w:hAnsi="Century" w:cs="FrankRuehl" w:hint="cs"/>
          <w:spacing w:val="10"/>
          <w:szCs w:val="28"/>
          <w:rtl/>
        </w:rPr>
        <w:t>, בעמ' 397). לטעמי, שיקולים אחרונים אלו רלוונטיי</w:t>
      </w:r>
      <w:r w:rsidRPr="000F136A">
        <w:rPr>
          <w:rFonts w:ascii="Century" w:hAnsi="Century" w:cs="FrankRuehl" w:hint="eastAsia"/>
          <w:spacing w:val="10"/>
          <w:szCs w:val="28"/>
          <w:rtl/>
        </w:rPr>
        <w:t>ם</w:t>
      </w:r>
      <w:r w:rsidRPr="000F136A">
        <w:rPr>
          <w:rFonts w:ascii="Century" w:hAnsi="Century" w:cs="FrankRuehl" w:hint="cs"/>
          <w:spacing w:val="10"/>
          <w:szCs w:val="28"/>
          <w:rtl/>
        </w:rPr>
        <w:t xml:space="preserve">, בשינויים המתחייבים, אף בהתייחס להסדר הקבוע בסעיף 5 לצו.  </w:t>
      </w:r>
    </w:p>
    <w:p w:rsidR="005B1A77" w:rsidRPr="000F136A" w:rsidRDefault="005B1A77" w:rsidP="005B1A77">
      <w:pPr>
        <w:spacing w:line="360" w:lineRule="auto"/>
        <w:jc w:val="both"/>
        <w:rPr>
          <w:rFonts w:ascii="Century" w:hAnsi="Century" w:cs="FrankRuehl"/>
          <w:spacing w:val="10"/>
          <w:szCs w:val="28"/>
          <w:shd w:val="clear" w:color="auto" w:fill="FFFFFF"/>
          <w:rtl/>
        </w:rPr>
      </w:pPr>
    </w:p>
    <w:p w:rsidR="005B1A77" w:rsidRPr="000F136A" w:rsidRDefault="005B1A77" w:rsidP="005B1A77">
      <w:pPr>
        <w:spacing w:line="360" w:lineRule="auto"/>
        <w:jc w:val="both"/>
        <w:rPr>
          <w:rFonts w:ascii="Century" w:hAnsi="Century" w:cs="FrankRuehl"/>
          <w:spacing w:val="10"/>
          <w:szCs w:val="28"/>
          <w:shd w:val="clear" w:color="auto" w:fill="FFFFFF"/>
          <w:rtl/>
        </w:rPr>
      </w:pPr>
      <w:r w:rsidRPr="000F136A">
        <w:rPr>
          <w:rFonts w:ascii="Century" w:hAnsi="Century" w:cs="FrankRuehl" w:hint="cs"/>
          <w:spacing w:val="10"/>
          <w:szCs w:val="28"/>
          <w:shd w:val="clear" w:color="auto" w:fill="FFFFFF"/>
          <w:rtl/>
        </w:rPr>
        <w:t>43.</w:t>
      </w:r>
      <w:r w:rsidRPr="000F136A">
        <w:rPr>
          <w:rFonts w:ascii="Century" w:hAnsi="Century" w:cs="FrankRuehl" w:hint="cs"/>
          <w:spacing w:val="10"/>
          <w:szCs w:val="28"/>
          <w:shd w:val="clear" w:color="auto" w:fill="FFFFFF"/>
          <w:rtl/>
        </w:rPr>
        <w:tab/>
        <w:t xml:space="preserve">למעשה, מכלול השיקולים שתוארו לעיל מחייב לקבוע כי יסוד התמורה הנדרש לצורך תחולתו של סעיף 5 לצו הוא כזה שמגלם הסתמכות </w:t>
      </w:r>
      <w:r w:rsidRPr="000F136A">
        <w:rPr>
          <w:rFonts w:ascii="Century" w:hAnsi="Century" w:cs="FrankRuehl" w:hint="eastAsia"/>
          <w:spacing w:val="10"/>
          <w:szCs w:val="28"/>
          <w:shd w:val="clear" w:color="auto" w:fill="FFFFFF"/>
          <w:rtl/>
        </w:rPr>
        <w:t>ממשית</w:t>
      </w:r>
      <w:r w:rsidRPr="000F136A">
        <w:rPr>
          <w:rFonts w:ascii="Century" w:hAnsi="Century" w:cs="FrankRuehl" w:hint="cs"/>
          <w:spacing w:val="10"/>
          <w:szCs w:val="28"/>
          <w:shd w:val="clear" w:color="auto" w:fill="FFFFFF"/>
          <w:rtl/>
        </w:rPr>
        <w:t xml:space="preserve"> מצד המתקשר עם הממונה, שאף בוצעה בפועל. במישור העיוני, דרישה שכזו עולה בקנה אחד אף עם פרשנותה המקובלת של דרישת התמורה בהסדרי תקנות שוק רבים אחרים (ראו והשוו: </w:t>
      </w:r>
      <w:r>
        <w:rPr>
          <w:rFonts w:cs="FrankRuehl" w:hint="cs"/>
          <w:color w:val="000000"/>
          <w:spacing w:val="10"/>
          <w:sz w:val="28"/>
          <w:szCs w:val="28"/>
          <w:shd w:val="clear" w:color="auto" w:fill="FFFFFF"/>
          <w:rtl/>
        </w:rPr>
        <w:t xml:space="preserve">עניין </w:t>
      </w:r>
      <w:r w:rsidRPr="00EA3307">
        <w:rPr>
          <w:rFonts w:ascii="Century" w:hAnsi="Century" w:cs="Miriam" w:hint="cs"/>
          <w:b/>
          <w:shd w:val="clear" w:color="auto" w:fill="FFFFFF"/>
          <w:rtl/>
        </w:rPr>
        <w:t>חוות מקורה</w:t>
      </w:r>
      <w:r>
        <w:rPr>
          <w:rFonts w:ascii="Century" w:hAnsi="Century" w:cs="FrankRuehl" w:hint="cs"/>
          <w:spacing w:val="10"/>
          <w:szCs w:val="28"/>
          <w:shd w:val="clear" w:color="auto" w:fill="FFFFFF"/>
          <w:rtl/>
        </w:rPr>
        <w:t xml:space="preserve">, בעמ' 24-23; </w:t>
      </w:r>
      <w:r w:rsidRPr="009F75FA">
        <w:rPr>
          <w:rFonts w:ascii="Century" w:hAnsi="Century" w:cs="FrankRuehl"/>
          <w:spacing w:val="10"/>
          <w:szCs w:val="28"/>
          <w:shd w:val="clear" w:color="auto" w:fill="FFFFFF"/>
          <w:rtl/>
        </w:rPr>
        <w:t>דנ"א 2568</w:t>
      </w:r>
      <w:r>
        <w:rPr>
          <w:rFonts w:ascii="Century" w:hAnsi="Century" w:cs="FrankRuehl" w:hint="cs"/>
          <w:spacing w:val="10"/>
          <w:szCs w:val="28"/>
          <w:shd w:val="clear" w:color="auto" w:fill="FFFFFF"/>
          <w:rtl/>
        </w:rPr>
        <w:t>/97</w:t>
      </w:r>
      <w:r w:rsidRPr="009F75FA">
        <w:rPr>
          <w:rFonts w:ascii="Century" w:hAnsi="Century" w:cs="FrankRuehl"/>
          <w:spacing w:val="10"/>
          <w:szCs w:val="28"/>
          <w:shd w:val="clear" w:color="auto" w:fill="FFFFFF"/>
          <w:rtl/>
        </w:rPr>
        <w:t xml:space="preserve"> </w:t>
      </w:r>
      <w:r w:rsidRPr="003B0873">
        <w:rPr>
          <w:rFonts w:ascii="Century" w:hAnsi="Century" w:cs="Miriam" w:hint="eastAsia"/>
          <w:b/>
          <w:shd w:val="clear" w:color="auto" w:fill="FFFFFF"/>
          <w:rtl/>
        </w:rPr>
        <w:t>כנען</w:t>
      </w:r>
      <w:r w:rsidRPr="003B0873">
        <w:rPr>
          <w:rFonts w:ascii="Century" w:hAnsi="Century" w:cs="Miriam"/>
          <w:b/>
          <w:shd w:val="clear" w:color="auto" w:fill="FFFFFF"/>
          <w:rtl/>
        </w:rPr>
        <w:t xml:space="preserve"> </w:t>
      </w:r>
      <w:r w:rsidRPr="003B0873">
        <w:rPr>
          <w:rFonts w:ascii="Century" w:hAnsi="Century" w:cs="Miriam" w:hint="eastAsia"/>
          <w:b/>
          <w:shd w:val="clear" w:color="auto" w:fill="FFFFFF"/>
          <w:rtl/>
        </w:rPr>
        <w:t>נ</w:t>
      </w:r>
      <w:r w:rsidRPr="003B0873">
        <w:rPr>
          <w:rFonts w:ascii="Century" w:hAnsi="Century" w:cs="Miriam"/>
          <w:b/>
          <w:shd w:val="clear" w:color="auto" w:fill="FFFFFF"/>
          <w:rtl/>
        </w:rPr>
        <w:t xml:space="preserve">' </w:t>
      </w:r>
      <w:r w:rsidRPr="003B0873">
        <w:rPr>
          <w:rFonts w:ascii="Century" w:hAnsi="Century" w:cs="Miriam" w:hint="eastAsia"/>
          <w:b/>
          <w:shd w:val="clear" w:color="auto" w:fill="FFFFFF"/>
          <w:rtl/>
        </w:rPr>
        <w:t>ממשלת</w:t>
      </w:r>
      <w:r w:rsidRPr="003B0873">
        <w:rPr>
          <w:rFonts w:ascii="Century" w:hAnsi="Century" w:cs="Miriam"/>
          <w:b/>
          <w:shd w:val="clear" w:color="auto" w:fill="FFFFFF"/>
          <w:rtl/>
        </w:rPr>
        <w:t xml:space="preserve"> </w:t>
      </w:r>
      <w:r w:rsidRPr="003B0873">
        <w:rPr>
          <w:rFonts w:ascii="Century" w:hAnsi="Century" w:cs="Miriam" w:hint="eastAsia"/>
          <w:b/>
          <w:shd w:val="clear" w:color="auto" w:fill="FFFFFF"/>
          <w:rtl/>
        </w:rPr>
        <w:t>ארצות</w:t>
      </w:r>
      <w:r w:rsidRPr="003B0873">
        <w:rPr>
          <w:rFonts w:ascii="Century" w:hAnsi="Century" w:cs="Miriam"/>
          <w:b/>
          <w:shd w:val="clear" w:color="auto" w:fill="FFFFFF"/>
          <w:rtl/>
        </w:rPr>
        <w:t>-</w:t>
      </w:r>
      <w:r w:rsidRPr="003B0873">
        <w:rPr>
          <w:rFonts w:ascii="Century" w:hAnsi="Century" w:cs="Miriam" w:hint="eastAsia"/>
          <w:b/>
          <w:shd w:val="clear" w:color="auto" w:fill="FFFFFF"/>
          <w:rtl/>
        </w:rPr>
        <w:t>הברית</w:t>
      </w:r>
      <w:r w:rsidRPr="009F75FA">
        <w:rPr>
          <w:rFonts w:ascii="Century" w:hAnsi="Century" w:cs="FrankRuehl"/>
          <w:spacing w:val="10"/>
          <w:szCs w:val="28"/>
          <w:shd w:val="clear" w:color="auto" w:fill="FFFFFF"/>
          <w:rtl/>
        </w:rPr>
        <w:t>, פ"ד נז(2) 632, 716 (2003)</w:t>
      </w:r>
      <w:r>
        <w:rPr>
          <w:rFonts w:ascii="Century" w:hAnsi="Century" w:cs="FrankRuehl" w:hint="cs"/>
          <w:spacing w:val="10"/>
          <w:szCs w:val="28"/>
          <w:shd w:val="clear" w:color="auto" w:fill="FFFFFF"/>
          <w:rtl/>
        </w:rPr>
        <w:t xml:space="preserve">. כן ראו: </w:t>
      </w:r>
      <w:r>
        <w:rPr>
          <w:rFonts w:ascii="Century" w:hAnsi="Century" w:cs="FrankRuehl"/>
          <w:spacing w:val="10"/>
          <w:szCs w:val="28"/>
          <w:shd w:val="clear" w:color="auto" w:fill="FFFFFF"/>
          <w:rtl/>
        </w:rPr>
        <w:t>דניאל פרידמן ואלרן שפירא בר-אור</w:t>
      </w:r>
      <w:r w:rsidRPr="00DD1808">
        <w:rPr>
          <w:rFonts w:ascii="Century" w:hAnsi="Century" w:cs="FrankRuehl"/>
          <w:spacing w:val="10"/>
          <w:szCs w:val="28"/>
          <w:shd w:val="clear" w:color="auto" w:fill="FFFFFF"/>
          <w:rtl/>
        </w:rPr>
        <w:t xml:space="preserve"> </w:t>
      </w:r>
      <w:r w:rsidRPr="003B0873">
        <w:rPr>
          <w:rFonts w:ascii="Century" w:hAnsi="Century" w:cs="Miriam" w:hint="eastAsia"/>
          <w:b/>
          <w:shd w:val="clear" w:color="auto" w:fill="FFFFFF"/>
          <w:rtl/>
        </w:rPr>
        <w:t>דיני</w:t>
      </w:r>
      <w:r w:rsidRPr="003B0873">
        <w:rPr>
          <w:rFonts w:ascii="Century" w:hAnsi="Century" w:cs="Miriam"/>
          <w:b/>
          <w:shd w:val="clear" w:color="auto" w:fill="FFFFFF"/>
          <w:rtl/>
        </w:rPr>
        <w:t xml:space="preserve"> </w:t>
      </w:r>
      <w:r w:rsidRPr="003B0873">
        <w:rPr>
          <w:rFonts w:ascii="Century" w:hAnsi="Century" w:cs="Miriam" w:hint="eastAsia"/>
          <w:b/>
          <w:shd w:val="clear" w:color="auto" w:fill="FFFFFF"/>
          <w:rtl/>
        </w:rPr>
        <w:t>עשיית</w:t>
      </w:r>
      <w:r w:rsidRPr="003B0873">
        <w:rPr>
          <w:rFonts w:ascii="Century" w:hAnsi="Century" w:cs="Miriam"/>
          <w:b/>
          <w:shd w:val="clear" w:color="auto" w:fill="FFFFFF"/>
          <w:rtl/>
        </w:rPr>
        <w:t xml:space="preserve"> </w:t>
      </w:r>
      <w:r w:rsidRPr="003B0873">
        <w:rPr>
          <w:rFonts w:ascii="Century" w:hAnsi="Century" w:cs="Miriam" w:hint="eastAsia"/>
          <w:b/>
          <w:shd w:val="clear" w:color="auto" w:fill="FFFFFF"/>
          <w:rtl/>
        </w:rPr>
        <w:t>עושר</w:t>
      </w:r>
      <w:r w:rsidRPr="003B0873">
        <w:rPr>
          <w:rFonts w:ascii="Century" w:hAnsi="Century" w:cs="Miriam"/>
          <w:b/>
          <w:shd w:val="clear" w:color="auto" w:fill="FFFFFF"/>
          <w:rtl/>
        </w:rPr>
        <w:t xml:space="preserve"> </w:t>
      </w:r>
      <w:r w:rsidRPr="003B0873">
        <w:rPr>
          <w:rFonts w:ascii="Century" w:hAnsi="Century" w:cs="Miriam" w:hint="eastAsia"/>
          <w:b/>
          <w:shd w:val="clear" w:color="auto" w:fill="FFFFFF"/>
          <w:rtl/>
        </w:rPr>
        <w:t>ולא</w:t>
      </w:r>
      <w:r w:rsidRPr="003B0873">
        <w:rPr>
          <w:rFonts w:ascii="Century" w:hAnsi="Century" w:cs="Miriam"/>
          <w:b/>
          <w:shd w:val="clear" w:color="auto" w:fill="FFFFFF"/>
          <w:rtl/>
        </w:rPr>
        <w:t xml:space="preserve"> </w:t>
      </w:r>
      <w:r w:rsidRPr="003B0873">
        <w:rPr>
          <w:rFonts w:ascii="Century" w:hAnsi="Century" w:cs="Miriam" w:hint="eastAsia"/>
          <w:b/>
          <w:shd w:val="clear" w:color="auto" w:fill="FFFFFF"/>
          <w:rtl/>
        </w:rPr>
        <w:t>במשפט</w:t>
      </w:r>
      <w:r w:rsidRPr="00DD1808">
        <w:rPr>
          <w:rFonts w:ascii="Century" w:hAnsi="Century" w:cs="FrankRuehl"/>
          <w:spacing w:val="10"/>
          <w:szCs w:val="28"/>
          <w:shd w:val="clear" w:color="auto" w:fill="FFFFFF"/>
          <w:rtl/>
        </w:rPr>
        <w:t xml:space="preserve"> כרך ב 1345-1338 (מהדורה 3, 2017)</w:t>
      </w:r>
      <w:r>
        <w:rPr>
          <w:rFonts w:ascii="Century" w:hAnsi="Century" w:cs="FrankRuehl" w:hint="cs"/>
          <w:spacing w:val="10"/>
          <w:szCs w:val="28"/>
          <w:shd w:val="clear" w:color="auto" w:fill="FFFFFF"/>
          <w:rtl/>
        </w:rPr>
        <w:t xml:space="preserve"> (להלן: </w:t>
      </w:r>
      <w:r>
        <w:rPr>
          <w:rFonts w:ascii="Century" w:hAnsi="Century" w:cs="Miriam" w:hint="cs"/>
          <w:b/>
          <w:shd w:val="clear" w:color="auto" w:fill="FFFFFF"/>
          <w:rtl/>
        </w:rPr>
        <w:t>פרידמן ובר-אור</w:t>
      </w:r>
      <w:r>
        <w:rPr>
          <w:rFonts w:cs="FrankRuehl" w:hint="cs"/>
          <w:color w:val="000000"/>
          <w:spacing w:val="10"/>
          <w:sz w:val="28"/>
          <w:szCs w:val="28"/>
          <w:shd w:val="clear" w:color="auto" w:fill="FFFFFF"/>
          <w:rtl/>
        </w:rPr>
        <w:t xml:space="preserve">)). </w:t>
      </w:r>
      <w:r w:rsidRPr="000F136A">
        <w:rPr>
          <w:rFonts w:ascii="Century" w:hAnsi="Century" w:cs="FrankRuehl" w:hint="cs"/>
          <w:spacing w:val="10"/>
          <w:szCs w:val="28"/>
          <w:shd w:val="clear" w:color="auto" w:fill="FFFFFF"/>
          <w:rtl/>
        </w:rPr>
        <w:t xml:space="preserve">כאמור אף היועץ המשפטי לממשלה לא חולק על כך.  </w:t>
      </w:r>
    </w:p>
    <w:p w:rsidR="005B1A77" w:rsidRPr="000F136A" w:rsidRDefault="005B1A77" w:rsidP="005B1A77">
      <w:pPr>
        <w:spacing w:line="360" w:lineRule="auto"/>
        <w:jc w:val="both"/>
        <w:rPr>
          <w:rFonts w:ascii="Century" w:hAnsi="Century" w:cs="FrankRuehl"/>
          <w:spacing w:val="10"/>
          <w:szCs w:val="28"/>
          <w:shd w:val="clear" w:color="auto" w:fill="FFFFFF"/>
          <w:rtl/>
        </w:rPr>
      </w:pPr>
    </w:p>
    <w:p w:rsidR="005B1A77" w:rsidRPr="000F136A" w:rsidRDefault="005B1A77" w:rsidP="005B1A77">
      <w:pPr>
        <w:spacing w:line="360" w:lineRule="auto"/>
        <w:jc w:val="both"/>
        <w:rPr>
          <w:rFonts w:ascii="Century" w:hAnsi="Century" w:cs="FrankRuehl"/>
          <w:spacing w:val="10"/>
          <w:szCs w:val="28"/>
          <w:shd w:val="clear" w:color="auto" w:fill="FFFFFF"/>
          <w:rtl/>
        </w:rPr>
      </w:pPr>
      <w:r w:rsidRPr="000F136A">
        <w:rPr>
          <w:rFonts w:ascii="Century" w:hAnsi="Century" w:cs="FrankRuehl" w:hint="cs"/>
          <w:spacing w:val="10"/>
          <w:szCs w:val="28"/>
          <w:shd w:val="clear" w:color="auto" w:fill="FFFFFF"/>
          <w:rtl/>
        </w:rPr>
        <w:t xml:space="preserve">44. </w:t>
      </w:r>
      <w:r w:rsidRPr="000F136A">
        <w:rPr>
          <w:rFonts w:ascii="Century" w:hAnsi="Century" w:cs="FrankRuehl"/>
          <w:spacing w:val="10"/>
          <w:szCs w:val="28"/>
          <w:shd w:val="clear" w:color="auto" w:fill="FFFFFF"/>
          <w:rtl/>
        </w:rPr>
        <w:tab/>
      </w:r>
      <w:r w:rsidRPr="000F136A">
        <w:rPr>
          <w:rFonts w:ascii="Century" w:hAnsi="Century" w:cs="FrankRuehl" w:hint="cs"/>
          <w:spacing w:val="10"/>
          <w:szCs w:val="28"/>
          <w:shd w:val="clear" w:color="auto" w:fill="FFFFFF"/>
          <w:rtl/>
        </w:rPr>
        <w:t>על כך אוסיף, וזה העיקר, כי בהקשרו של סעיף 5 לצו, מאחר שמדובר כאמור בה</w:t>
      </w:r>
      <w:r w:rsidRPr="000F136A">
        <w:rPr>
          <w:rFonts w:ascii="Century" w:hAnsi="Century" w:cs="FrankRuehl" w:hint="cs"/>
          <w:spacing w:val="10"/>
          <w:szCs w:val="28"/>
          <w:rtl/>
        </w:rPr>
        <w:t>סדר של</w:t>
      </w:r>
      <w:r w:rsidRPr="000F136A">
        <w:rPr>
          <w:rFonts w:cs="FrankRuehl" w:hint="cs"/>
          <w:color w:val="000000"/>
          <w:spacing w:val="10"/>
          <w:sz w:val="28"/>
          <w:szCs w:val="28"/>
          <w:rtl/>
        </w:rPr>
        <w:t xml:space="preserve"> </w:t>
      </w:r>
      <w:r w:rsidRPr="000F136A">
        <w:rPr>
          <w:rFonts w:ascii="Century" w:hAnsi="Century" w:cs="Miriam" w:hint="eastAsia"/>
          <w:b/>
          <w:rtl/>
        </w:rPr>
        <w:t>מעין</w:t>
      </w:r>
      <w:r w:rsidRPr="000F136A">
        <w:rPr>
          <w:rFonts w:cs="FrankRuehl" w:hint="cs"/>
          <w:color w:val="000000"/>
          <w:spacing w:val="10"/>
          <w:sz w:val="28"/>
          <w:szCs w:val="28"/>
          <w:rtl/>
        </w:rPr>
        <w:t xml:space="preserve"> </w:t>
      </w:r>
      <w:r>
        <w:rPr>
          <w:rFonts w:cs="FrankRuehl" w:hint="cs"/>
          <w:color w:val="000000"/>
          <w:spacing w:val="10"/>
          <w:sz w:val="28"/>
          <w:szCs w:val="28"/>
          <w:rtl/>
        </w:rPr>
        <w:t xml:space="preserve">תקנת שוק, ובשים לב להבדלים המתחייבים מן המצב המשפטי הייחודי באזור, </w:t>
      </w:r>
      <w:r>
        <w:rPr>
          <w:rFonts w:cs="FrankRuehl" w:hint="cs"/>
          <w:color w:val="000000"/>
          <w:spacing w:val="10"/>
          <w:sz w:val="28"/>
          <w:szCs w:val="28"/>
          <w:shd w:val="clear" w:color="auto" w:fill="FFFFFF"/>
          <w:rtl/>
        </w:rPr>
        <w:t xml:space="preserve">קיימת הצדקה לדרישת תמורה קפדנית עוד יותר, כזו שאינה מסתפקת בתמורה </w:t>
      </w:r>
      <w:r>
        <w:rPr>
          <w:rFonts w:cs="FrankRuehl" w:hint="cs"/>
          <w:color w:val="000000"/>
          <w:spacing w:val="10"/>
          <w:sz w:val="28"/>
          <w:szCs w:val="28"/>
          <w:shd w:val="clear" w:color="auto" w:fill="FFFFFF"/>
          <w:rtl/>
        </w:rPr>
        <w:lastRenderedPageBreak/>
        <w:t xml:space="preserve">כספית גרידא, אלא מחייבת </w:t>
      </w:r>
      <w:r w:rsidRPr="000F136A">
        <w:rPr>
          <w:rFonts w:ascii="Century" w:hAnsi="Century" w:cs="Miriam" w:hint="eastAsia"/>
          <w:b/>
          <w:shd w:val="clear" w:color="auto" w:fill="FFFFFF"/>
          <w:rtl/>
        </w:rPr>
        <w:t>דבר</w:t>
      </w:r>
      <w:r w:rsidRPr="000F136A">
        <w:rPr>
          <w:rFonts w:ascii="Century" w:hAnsi="Century" w:cs="Miriam"/>
          <w:b/>
          <w:shd w:val="clear" w:color="auto" w:fill="FFFFFF"/>
          <w:rtl/>
        </w:rPr>
        <w:t xml:space="preserve"> </w:t>
      </w:r>
      <w:r w:rsidRPr="000F136A">
        <w:rPr>
          <w:rFonts w:ascii="Century" w:hAnsi="Century" w:cs="Miriam" w:hint="eastAsia"/>
          <w:b/>
          <w:shd w:val="clear" w:color="auto" w:fill="FFFFFF"/>
          <w:rtl/>
        </w:rPr>
        <w:t>מה</w:t>
      </w:r>
      <w:r w:rsidRPr="000F136A">
        <w:rPr>
          <w:rFonts w:ascii="Century" w:hAnsi="Century" w:cs="Miriam"/>
          <w:b/>
          <w:shd w:val="clear" w:color="auto" w:fill="FFFFFF"/>
          <w:rtl/>
        </w:rPr>
        <w:t xml:space="preserve"> </w:t>
      </w:r>
      <w:r w:rsidRPr="000F136A">
        <w:rPr>
          <w:rFonts w:ascii="Century" w:hAnsi="Century" w:cs="Miriam" w:hint="eastAsia"/>
          <w:b/>
          <w:shd w:val="clear" w:color="auto" w:fill="FFFFFF"/>
          <w:rtl/>
        </w:rPr>
        <w:t>נוסף</w:t>
      </w:r>
      <w:r>
        <w:rPr>
          <w:rFonts w:cs="FrankRuehl" w:hint="cs"/>
          <w:color w:val="000000"/>
          <w:spacing w:val="10"/>
          <w:sz w:val="28"/>
          <w:szCs w:val="28"/>
          <w:shd w:val="clear" w:color="auto" w:fill="FFFFFF"/>
          <w:rtl/>
        </w:rPr>
        <w:t xml:space="preserve">. </w:t>
      </w:r>
      <w:r w:rsidRPr="000F136A">
        <w:rPr>
          <w:rFonts w:ascii="Century" w:hAnsi="Century" w:cs="FrankRuehl" w:hint="cs"/>
          <w:spacing w:val="10"/>
          <w:szCs w:val="28"/>
          <w:shd w:val="clear" w:color="auto" w:fill="FFFFFF"/>
          <w:rtl/>
        </w:rPr>
        <w:t xml:space="preserve">בהקשר זה אני מייחסת חשיבות רבה במיוחד לכך שהדרישה לתמורה משמעותית משקפת את המחויבות לתיחומו של </w:t>
      </w:r>
      <w:r>
        <w:rPr>
          <w:rFonts w:ascii="Century" w:hAnsi="Century" w:cs="FrankRuehl" w:hint="cs"/>
          <w:spacing w:val="10"/>
          <w:szCs w:val="28"/>
          <w:shd w:val="clear" w:color="auto" w:fill="FFFFFF"/>
          <w:rtl/>
        </w:rPr>
        <w:t>ה</w:t>
      </w:r>
      <w:r w:rsidRPr="000F136A">
        <w:rPr>
          <w:rFonts w:ascii="Century" w:hAnsi="Century" w:cs="FrankRuehl" w:hint="cs"/>
          <w:spacing w:val="10"/>
          <w:szCs w:val="28"/>
          <w:shd w:val="clear" w:color="auto" w:fill="FFFFFF"/>
          <w:rtl/>
        </w:rPr>
        <w:t xml:space="preserve">הסדר שבפנינו בהתאם למאפייניו </w:t>
      </w:r>
      <w:r w:rsidRPr="000F136A">
        <w:rPr>
          <w:rFonts w:ascii="Century" w:hAnsi="Century" w:cs="FrankRuehl" w:hint="eastAsia"/>
          <w:spacing w:val="10"/>
          <w:szCs w:val="28"/>
          <w:shd w:val="clear" w:color="auto" w:fill="FFFFFF"/>
          <w:rtl/>
        </w:rPr>
        <w:t>המיוחדים</w:t>
      </w:r>
      <w:r w:rsidRPr="000F136A">
        <w:rPr>
          <w:rFonts w:ascii="Century" w:hAnsi="Century" w:cs="FrankRuehl"/>
          <w:spacing w:val="10"/>
          <w:szCs w:val="28"/>
          <w:shd w:val="clear" w:color="auto" w:fill="FFFFFF"/>
          <w:rtl/>
        </w:rPr>
        <w:t xml:space="preserve"> </w:t>
      </w:r>
      <w:r w:rsidRPr="000F136A">
        <w:rPr>
          <w:rFonts w:ascii="Century" w:hAnsi="Century" w:cs="FrankRuehl" w:hint="eastAsia"/>
          <w:spacing w:val="10"/>
          <w:szCs w:val="28"/>
          <w:rtl/>
        </w:rPr>
        <w:t>ו</w:t>
      </w:r>
      <w:r w:rsidRPr="000F136A">
        <w:rPr>
          <w:rFonts w:ascii="Century" w:hAnsi="Century" w:cs="FrankRuehl" w:hint="cs"/>
          <w:spacing w:val="10"/>
          <w:szCs w:val="28"/>
          <w:rtl/>
        </w:rPr>
        <w:t>ל</w:t>
      </w:r>
      <w:r w:rsidRPr="000F136A">
        <w:rPr>
          <w:rFonts w:ascii="Century" w:hAnsi="Century" w:cs="FrankRuehl" w:hint="eastAsia"/>
          <w:spacing w:val="10"/>
          <w:szCs w:val="28"/>
          <w:rtl/>
        </w:rPr>
        <w:t>סביבה</w:t>
      </w:r>
      <w:r w:rsidRPr="000F136A">
        <w:rPr>
          <w:rFonts w:ascii="Century" w:hAnsi="Century" w:cs="FrankRuehl"/>
          <w:spacing w:val="10"/>
          <w:szCs w:val="28"/>
          <w:rtl/>
        </w:rPr>
        <w:t xml:space="preserve"> הנורמטיבית </w:t>
      </w:r>
      <w:r w:rsidRPr="000F136A">
        <w:rPr>
          <w:rFonts w:ascii="Century" w:hAnsi="Century" w:cs="FrankRuehl" w:hint="cs"/>
          <w:spacing w:val="10"/>
          <w:szCs w:val="28"/>
          <w:rtl/>
        </w:rPr>
        <w:t>ש</w:t>
      </w:r>
      <w:r w:rsidRPr="000F136A">
        <w:rPr>
          <w:rFonts w:ascii="Century" w:hAnsi="Century" w:cs="FrankRuehl" w:hint="eastAsia"/>
          <w:spacing w:val="10"/>
          <w:szCs w:val="28"/>
          <w:shd w:val="clear" w:color="auto" w:fill="FFFFFF"/>
          <w:rtl/>
        </w:rPr>
        <w:t>בגדרה</w:t>
      </w:r>
      <w:r w:rsidRPr="000F136A">
        <w:rPr>
          <w:rFonts w:ascii="Century" w:hAnsi="Century" w:cs="FrankRuehl"/>
          <w:spacing w:val="10"/>
          <w:szCs w:val="28"/>
          <w:shd w:val="clear" w:color="auto" w:fill="FFFFFF"/>
          <w:rtl/>
        </w:rPr>
        <w:t xml:space="preserve"> </w:t>
      </w:r>
      <w:r w:rsidRPr="000F136A">
        <w:rPr>
          <w:rFonts w:ascii="Century" w:hAnsi="Century" w:cs="FrankRuehl" w:hint="eastAsia"/>
          <w:spacing w:val="10"/>
          <w:szCs w:val="28"/>
          <w:shd w:val="clear" w:color="auto" w:fill="FFFFFF"/>
          <w:rtl/>
        </w:rPr>
        <w:t>הוא</w:t>
      </w:r>
      <w:r w:rsidRPr="000F136A">
        <w:rPr>
          <w:rFonts w:ascii="Century" w:hAnsi="Century" w:cs="FrankRuehl" w:hint="cs"/>
          <w:spacing w:val="10"/>
          <w:szCs w:val="28"/>
          <w:shd w:val="clear" w:color="auto" w:fill="FFFFFF"/>
          <w:rtl/>
        </w:rPr>
        <w:t xml:space="preserve"> מוחל, קרי חובותיהם של הממונה והמפקד הצבאי באזור מכוח המשפט הבינלאומי. בכך שונה ההסדר שבפנינו מתקנות שוק אחרות בדין הישראלי. במובן זה, העמידה על הצורך בהסתמכות שחורגת מהשקעה כספית בלבד משקפת לטעמי את התפיסה כי בנסיבות הייחודיות הללו יש צורך להצביע על הצדקה מיוחדת כדי להטות את כף המאזניים לפגיעה בזכויות הקניין של בעלי הנכסים המקוריים. דרישה זו עולה בקנה אחד עם הרצון להבטיח כי פרשנותו של סעיף 5 </w:t>
      </w:r>
      <w:r>
        <w:rPr>
          <w:rFonts w:ascii="Century" w:hAnsi="Century" w:cs="FrankRuehl" w:hint="cs"/>
          <w:spacing w:val="10"/>
          <w:szCs w:val="28"/>
          <w:shd w:val="clear" w:color="auto" w:fill="FFFFFF"/>
          <w:rtl/>
        </w:rPr>
        <w:t xml:space="preserve">לצו </w:t>
      </w:r>
      <w:r w:rsidRPr="000F136A">
        <w:rPr>
          <w:rFonts w:ascii="Century" w:hAnsi="Century" w:cs="FrankRuehl" w:hint="cs"/>
          <w:spacing w:val="10"/>
          <w:szCs w:val="28"/>
          <w:shd w:val="clear" w:color="auto" w:fill="FFFFFF"/>
          <w:rtl/>
        </w:rPr>
        <w:t>תצמצם, ככל הניתן, את מעגל העסקאות הלא כשרות שביצע הממונה אשר יוכשרו בפועל בדיעבד. קביעת רף נמוך בהקשר זה</w:t>
      </w:r>
      <w:r>
        <w:rPr>
          <w:rFonts w:ascii="Century" w:hAnsi="Century" w:cs="FrankRuehl" w:hint="cs"/>
          <w:spacing w:val="10"/>
          <w:szCs w:val="28"/>
          <w:shd w:val="clear" w:color="auto" w:fill="FFFFFF"/>
          <w:rtl/>
        </w:rPr>
        <w:t xml:space="preserve"> </w:t>
      </w:r>
      <w:r>
        <w:rPr>
          <w:rFonts w:ascii="Century" w:hAnsi="Century" w:cs="FrankRuehl"/>
          <w:spacing w:val="10"/>
          <w:szCs w:val="28"/>
          <w:shd w:val="clear" w:color="auto" w:fill="FFFFFF"/>
          <w:rtl/>
        </w:rPr>
        <w:t>–</w:t>
      </w:r>
      <w:r>
        <w:rPr>
          <w:rFonts w:ascii="Century" w:hAnsi="Century" w:cs="FrankRuehl" w:hint="cs"/>
          <w:spacing w:val="10"/>
          <w:szCs w:val="28"/>
          <w:shd w:val="clear" w:color="auto" w:fill="FFFFFF"/>
          <w:rtl/>
        </w:rPr>
        <w:t xml:space="preserve"> </w:t>
      </w:r>
      <w:r w:rsidRPr="000F136A">
        <w:rPr>
          <w:rFonts w:ascii="Century" w:hAnsi="Century" w:cs="FrankRuehl" w:hint="cs"/>
          <w:spacing w:val="10"/>
          <w:szCs w:val="28"/>
          <w:shd w:val="clear" w:color="auto" w:fill="FFFFFF"/>
          <w:rtl/>
        </w:rPr>
        <w:t>במובן של היעדר צורך בתמורה כלל או אפילו הסתפקות בתמורה כספית בלבד</w:t>
      </w:r>
      <w:r>
        <w:rPr>
          <w:rFonts w:ascii="Century" w:hAnsi="Century" w:cs="FrankRuehl" w:hint="cs"/>
          <w:spacing w:val="10"/>
          <w:szCs w:val="28"/>
          <w:shd w:val="clear" w:color="auto" w:fill="FFFFFF"/>
          <w:rtl/>
        </w:rPr>
        <w:t xml:space="preserve"> </w:t>
      </w:r>
      <w:r>
        <w:rPr>
          <w:rFonts w:ascii="Century" w:hAnsi="Century" w:cs="FrankRuehl"/>
          <w:spacing w:val="10"/>
          <w:szCs w:val="28"/>
          <w:shd w:val="clear" w:color="auto" w:fill="FFFFFF"/>
          <w:rtl/>
        </w:rPr>
        <w:t>–</w:t>
      </w:r>
      <w:r w:rsidRPr="000F136A">
        <w:rPr>
          <w:rFonts w:ascii="Century" w:hAnsi="Century" w:cs="FrankRuehl" w:hint="cs"/>
          <w:spacing w:val="10"/>
          <w:szCs w:val="28"/>
          <w:shd w:val="clear" w:color="auto" w:fill="FFFFFF"/>
          <w:rtl/>
        </w:rPr>
        <w:t xml:space="preserve"> אינה נותנת לטעמי די משקל לחריגותו של ההסדר שבפנינו החל בשטח הנתון לתפיסה לוחמתית. </w:t>
      </w:r>
    </w:p>
    <w:p w:rsidR="005B1A77" w:rsidRPr="000F136A" w:rsidRDefault="005B1A77" w:rsidP="005B1A77">
      <w:pPr>
        <w:spacing w:line="360" w:lineRule="auto"/>
        <w:jc w:val="both"/>
        <w:rPr>
          <w:rFonts w:ascii="Century" w:hAnsi="Century" w:cs="FrankRuehl"/>
          <w:spacing w:val="10"/>
          <w:szCs w:val="28"/>
          <w:shd w:val="clear" w:color="auto" w:fill="FFFFFF"/>
          <w:rtl/>
        </w:rPr>
      </w:pPr>
    </w:p>
    <w:p w:rsidR="005B1A77" w:rsidRPr="000F136A" w:rsidRDefault="005B1A77" w:rsidP="005B1A77">
      <w:pPr>
        <w:spacing w:line="360" w:lineRule="auto"/>
        <w:jc w:val="both"/>
        <w:rPr>
          <w:rFonts w:ascii="Century" w:hAnsi="Century" w:cs="FrankRuehl"/>
          <w:spacing w:val="10"/>
          <w:szCs w:val="28"/>
          <w:shd w:val="clear" w:color="auto" w:fill="FFFFFF"/>
          <w:rtl/>
        </w:rPr>
      </w:pPr>
      <w:r w:rsidRPr="000F136A">
        <w:rPr>
          <w:rFonts w:ascii="Century" w:hAnsi="Century" w:cs="FrankRuehl" w:hint="cs"/>
          <w:spacing w:val="10"/>
          <w:szCs w:val="28"/>
          <w:shd w:val="clear" w:color="auto" w:fill="FFFFFF"/>
          <w:rtl/>
        </w:rPr>
        <w:t>45.</w:t>
      </w:r>
      <w:r w:rsidRPr="000F136A">
        <w:rPr>
          <w:rFonts w:ascii="Century" w:hAnsi="Century" w:cs="FrankRuehl"/>
          <w:spacing w:val="10"/>
          <w:szCs w:val="28"/>
          <w:shd w:val="clear" w:color="auto" w:fill="FFFFFF"/>
          <w:rtl/>
        </w:rPr>
        <w:tab/>
      </w:r>
      <w:r w:rsidRPr="000F136A">
        <w:rPr>
          <w:rFonts w:ascii="Century" w:hAnsi="Century" w:cs="FrankRuehl" w:hint="cs"/>
          <w:spacing w:val="10"/>
          <w:szCs w:val="28"/>
          <w:shd w:val="clear" w:color="auto" w:fill="FFFFFF"/>
          <w:rtl/>
        </w:rPr>
        <w:t>אני סבורה אפוא כי על דרך הכלל, לא יהיה די בתמורה המתבטאת בהתחייבויו</w:t>
      </w:r>
      <w:r w:rsidRPr="000F136A">
        <w:rPr>
          <w:rFonts w:ascii="Century" w:hAnsi="Century" w:cs="FrankRuehl" w:hint="eastAsia"/>
          <w:spacing w:val="10"/>
          <w:szCs w:val="28"/>
          <w:shd w:val="clear" w:color="auto" w:fill="FFFFFF"/>
          <w:rtl/>
        </w:rPr>
        <w:t>ת</w:t>
      </w:r>
      <w:r w:rsidRPr="000F136A">
        <w:rPr>
          <w:rFonts w:ascii="Century" w:hAnsi="Century" w:cs="FrankRuehl" w:hint="cs"/>
          <w:spacing w:val="10"/>
          <w:szCs w:val="28"/>
          <w:shd w:val="clear" w:color="auto" w:fill="FFFFFF"/>
          <w:rtl/>
        </w:rPr>
        <w:t xml:space="preserve"> כספיות או בקיומן של פעולות תכנון ערטילאיות. חלף זאת, לצורך עמידה בתנאי ההסדר שבפנינו יש להצביע על פעולות ממשיות וביצועיות בשטח, אשר הובילו לשינוי משמעותי לרעה. כאלו הן הקמת בית מגורים וישיבה בו, השתקעות בקרקע ופיתוח חיי קהילה. </w:t>
      </w:r>
    </w:p>
    <w:p w:rsidR="005B1A77" w:rsidRPr="000F136A" w:rsidRDefault="005B1A77" w:rsidP="005B1A77">
      <w:pPr>
        <w:spacing w:line="360" w:lineRule="auto"/>
        <w:jc w:val="both"/>
        <w:rPr>
          <w:rFonts w:ascii="Century" w:hAnsi="Century" w:cs="FrankRuehl"/>
          <w:spacing w:val="10"/>
          <w:szCs w:val="28"/>
          <w:shd w:val="clear" w:color="auto" w:fill="FFFFFF"/>
          <w:rtl/>
        </w:rPr>
      </w:pPr>
    </w:p>
    <w:p w:rsidR="005B1A77" w:rsidRPr="00A6390D" w:rsidRDefault="005B1A77" w:rsidP="005B1A77">
      <w:pPr>
        <w:spacing w:line="360" w:lineRule="auto"/>
        <w:jc w:val="both"/>
        <w:rPr>
          <w:rFonts w:ascii="Century" w:hAnsi="Century" w:cs="FrankRuehl"/>
          <w:spacing w:val="10"/>
          <w:szCs w:val="28"/>
          <w:shd w:val="clear" w:color="auto" w:fill="FFFFFF"/>
          <w:rtl/>
        </w:rPr>
      </w:pPr>
      <w:r w:rsidRPr="000F136A">
        <w:rPr>
          <w:rFonts w:ascii="Century" w:hAnsi="Century" w:cs="FrankRuehl" w:hint="cs"/>
          <w:spacing w:val="10"/>
          <w:szCs w:val="28"/>
          <w:shd w:val="clear" w:color="auto" w:fill="FFFFFF"/>
          <w:rtl/>
        </w:rPr>
        <w:t>46.</w:t>
      </w:r>
      <w:r w:rsidRPr="000F136A">
        <w:rPr>
          <w:rFonts w:ascii="Century" w:hAnsi="Century" w:cs="FrankRuehl" w:hint="cs"/>
          <w:spacing w:val="10"/>
          <w:szCs w:val="28"/>
          <w:shd w:val="clear" w:color="auto" w:fill="FFFFFF"/>
          <w:rtl/>
        </w:rPr>
        <w:tab/>
        <w:t>לדרישת התמורה בפרשנות שהוצגה לעיל יש השלכה מעשית ברורה, וגם בכך חשיבותה. היא יוצרת גבולות ברורים באשר להיקף השטחים שלגביהם יוחל ההסדר שבפנינו, כך שאלו יכללו רק מקרקעין שבהם בוצעה בנייה בפועל וזאת בטרם התגלה הפגם שנפל בעסקה. ביטוי לכך נמצא בעמדתו של היועץ המשפטי לממשלה, שלפיה "</w:t>
      </w:r>
      <w:r w:rsidRPr="000F136A">
        <w:rPr>
          <w:rFonts w:ascii="Century" w:hAnsi="Century" w:cs="FrankRuehl"/>
          <w:spacing w:val="10"/>
          <w:szCs w:val="28"/>
          <w:shd w:val="clear" w:color="auto" w:fill="FFFFFF"/>
          <w:rtl/>
        </w:rPr>
        <w:t>מן הראוי להגביל את השימוש בסעיף 5 ככלל</w:t>
      </w:r>
      <w:r w:rsidRPr="000F136A">
        <w:rPr>
          <w:rFonts w:cs="FrankRuehl"/>
          <w:color w:val="000000"/>
          <w:spacing w:val="10"/>
          <w:sz w:val="28"/>
          <w:szCs w:val="28"/>
          <w:shd w:val="clear" w:color="auto" w:fill="FFFFFF"/>
          <w:rtl/>
        </w:rPr>
        <w:t xml:space="preserve"> </w:t>
      </w:r>
      <w:r w:rsidRPr="000F136A">
        <w:rPr>
          <w:rFonts w:ascii="Century" w:hAnsi="Century" w:cs="Miriam" w:hint="eastAsia"/>
          <w:b/>
          <w:shd w:val="clear" w:color="auto" w:fill="FFFFFF"/>
          <w:rtl/>
        </w:rPr>
        <w:t>למתחם</w:t>
      </w:r>
      <w:r w:rsidRPr="000F136A">
        <w:rPr>
          <w:rFonts w:ascii="Century" w:hAnsi="Century" w:cs="Miriam"/>
          <w:b/>
          <w:shd w:val="clear" w:color="auto" w:fill="FFFFFF"/>
          <w:rtl/>
        </w:rPr>
        <w:t xml:space="preserve"> </w:t>
      </w:r>
      <w:r w:rsidRPr="000F136A">
        <w:rPr>
          <w:rFonts w:ascii="Century" w:hAnsi="Century" w:cs="Miriam" w:hint="eastAsia"/>
          <w:b/>
          <w:shd w:val="clear" w:color="auto" w:fill="FFFFFF"/>
          <w:rtl/>
        </w:rPr>
        <w:t>המגורים</w:t>
      </w:r>
      <w:r w:rsidRPr="000F136A">
        <w:rPr>
          <w:rFonts w:ascii="Century" w:hAnsi="Century" w:cs="Miriam"/>
          <w:b/>
          <w:shd w:val="clear" w:color="auto" w:fill="FFFFFF"/>
          <w:rtl/>
        </w:rPr>
        <w:t xml:space="preserve"> </w:t>
      </w:r>
      <w:r w:rsidRPr="000F136A">
        <w:rPr>
          <w:rFonts w:ascii="Century" w:hAnsi="Century" w:cs="Miriam" w:hint="eastAsia"/>
          <w:b/>
          <w:shd w:val="clear" w:color="auto" w:fill="FFFFFF"/>
          <w:rtl/>
        </w:rPr>
        <w:t>המבונה</w:t>
      </w:r>
      <w:r w:rsidRPr="000F136A">
        <w:rPr>
          <w:rFonts w:ascii="Century" w:hAnsi="Century" w:cs="Miriam"/>
          <w:b/>
          <w:shd w:val="clear" w:color="auto" w:fill="FFFFFF"/>
          <w:rtl/>
        </w:rPr>
        <w:t xml:space="preserve"> </w:t>
      </w:r>
      <w:r w:rsidRPr="000F136A">
        <w:rPr>
          <w:rFonts w:ascii="Century" w:hAnsi="Century" w:cs="Miriam" w:hint="eastAsia"/>
          <w:b/>
          <w:shd w:val="clear" w:color="auto" w:fill="FFFFFF"/>
          <w:rtl/>
        </w:rPr>
        <w:t>של</w:t>
      </w:r>
      <w:r w:rsidRPr="000F136A">
        <w:rPr>
          <w:rFonts w:ascii="Century" w:hAnsi="Century" w:cs="Miriam"/>
          <w:b/>
          <w:shd w:val="clear" w:color="auto" w:fill="FFFFFF"/>
          <w:rtl/>
        </w:rPr>
        <w:t xml:space="preserve"> </w:t>
      </w:r>
      <w:r w:rsidRPr="000F136A">
        <w:rPr>
          <w:rFonts w:ascii="Century" w:hAnsi="Century" w:cs="Miriam" w:hint="eastAsia"/>
          <w:b/>
          <w:shd w:val="clear" w:color="auto" w:fill="FFFFFF"/>
          <w:rtl/>
        </w:rPr>
        <w:t>היישוב</w:t>
      </w:r>
      <w:r w:rsidRPr="000F136A">
        <w:rPr>
          <w:rFonts w:ascii="Century" w:hAnsi="Century" w:cs="FrankRuehl"/>
          <w:spacing w:val="10"/>
          <w:szCs w:val="28"/>
          <w:shd w:val="clear" w:color="auto" w:fill="FFFFFF"/>
          <w:rtl/>
        </w:rPr>
        <w:t>, ולבנייה בפועל שנעשתה בשטחו טרם שנודע לצדדים לעסקה על כך שמדובר למעשה ברכוש שאיננו ממשלתי"</w:t>
      </w:r>
      <w:r w:rsidRPr="000F136A">
        <w:rPr>
          <w:rFonts w:ascii="Century" w:hAnsi="Century" w:cs="FrankRuehl" w:hint="cs"/>
          <w:spacing w:val="10"/>
          <w:szCs w:val="28"/>
          <w:shd w:val="clear" w:color="auto" w:fill="FFFFFF"/>
          <w:rtl/>
        </w:rPr>
        <w:t xml:space="preserve"> (ראו: סעיף 4 ל</w:t>
      </w:r>
      <w:r w:rsidRPr="000F136A">
        <w:rPr>
          <w:rFonts w:ascii="Century" w:hAnsi="Century" w:cs="FrankRuehl" w:hint="cs"/>
          <w:spacing w:val="10"/>
          <w:szCs w:val="28"/>
          <w:rtl/>
        </w:rPr>
        <w:t>חוות דעת היועמ"ש 2016</w:t>
      </w:r>
      <w:r>
        <w:rPr>
          <w:rFonts w:ascii="Century" w:hAnsi="Century" w:cs="FrankRuehl" w:hint="cs"/>
          <w:spacing w:val="10"/>
          <w:szCs w:val="28"/>
          <w:rtl/>
        </w:rPr>
        <w:t xml:space="preserve">; </w:t>
      </w:r>
      <w:r w:rsidRPr="000F136A">
        <w:rPr>
          <w:rFonts w:ascii="Century" w:hAnsi="Century" w:cs="FrankRuehl" w:hint="cs"/>
          <w:spacing w:val="10"/>
          <w:szCs w:val="28"/>
          <w:shd w:val="clear" w:color="auto" w:fill="FFFFFF"/>
          <w:rtl/>
        </w:rPr>
        <w:t>ההדגשה במקור).</w:t>
      </w:r>
      <w:r w:rsidRPr="000F136A">
        <w:rPr>
          <w:rFonts w:cs="FrankRuehl" w:hint="cs"/>
          <w:color w:val="000000"/>
          <w:spacing w:val="10"/>
          <w:sz w:val="28"/>
          <w:szCs w:val="28"/>
          <w:shd w:val="clear" w:color="auto" w:fill="FFFFFF"/>
          <w:rtl/>
        </w:rPr>
        <w:t xml:space="preserve"> </w:t>
      </w:r>
      <w:r w:rsidRPr="00A6390D">
        <w:rPr>
          <w:rFonts w:ascii="Century" w:hAnsi="Century" w:cs="FrankRuehl" w:hint="cs"/>
          <w:spacing w:val="10"/>
          <w:szCs w:val="28"/>
          <w:shd w:val="clear" w:color="auto" w:fill="FFFFFF"/>
          <w:rtl/>
        </w:rPr>
        <w:t xml:space="preserve">במובן זה אף לשיטת היועץ המשפטי לממשלה מרכז הכובד של השימוש בסעיף 5 לצו אמור להיות הגנה על קורת גג קיימת. הגם שלא הלכתי בדרכו הפרשנית לכל אורכה, בנקודה זו אני סבורה שהצדק עימו. לצד זאת, להשקפתי, פרשנות היסוד "תמורה" אמורה לתת ביטוי מובנה לכך. במילים אחרות, בהתאם לפרשנות שבה אני מצדדת, הדרישה להסתמכות בדמות בינוי ומגורים בפועל היא תנאי אינהרנטי והכרחי המגביל את תחולתו של ההסדר שבפנינו, ולא רק שיקול חשוב המבטא מדיניות ראויה ביחס לשימוש בסעיף 5 לצו. </w:t>
      </w:r>
    </w:p>
    <w:p w:rsidR="005B1A77" w:rsidRPr="00A6390D" w:rsidRDefault="005B1A77" w:rsidP="005B1A77">
      <w:pPr>
        <w:spacing w:line="360" w:lineRule="auto"/>
        <w:jc w:val="both"/>
        <w:rPr>
          <w:rFonts w:ascii="Century" w:hAnsi="Century" w:cs="FrankRuehl"/>
          <w:spacing w:val="10"/>
          <w:szCs w:val="28"/>
          <w:shd w:val="clear" w:color="auto" w:fill="FFFFFF"/>
          <w:rtl/>
        </w:rPr>
      </w:pPr>
    </w:p>
    <w:p w:rsidR="005B1A77" w:rsidRPr="00A6390D" w:rsidRDefault="005B1A77" w:rsidP="005B1A77">
      <w:pPr>
        <w:spacing w:line="360" w:lineRule="auto"/>
        <w:jc w:val="both"/>
        <w:rPr>
          <w:rFonts w:ascii="Century" w:hAnsi="Century" w:cs="FrankRuehl"/>
          <w:spacing w:val="10"/>
          <w:szCs w:val="28"/>
          <w:shd w:val="clear" w:color="auto" w:fill="FFFFFF"/>
          <w:rtl/>
        </w:rPr>
      </w:pPr>
      <w:r w:rsidRPr="00A6390D">
        <w:rPr>
          <w:rFonts w:ascii="Century" w:hAnsi="Century" w:cs="FrankRuehl" w:hint="cs"/>
          <w:spacing w:val="10"/>
          <w:szCs w:val="28"/>
          <w:shd w:val="clear" w:color="auto" w:fill="FFFFFF"/>
          <w:rtl/>
        </w:rPr>
        <w:lastRenderedPageBreak/>
        <w:t>47.</w:t>
      </w:r>
      <w:r w:rsidRPr="00A6390D">
        <w:rPr>
          <w:rFonts w:ascii="Century" w:hAnsi="Century" w:cs="FrankRuehl" w:hint="cs"/>
          <w:spacing w:val="10"/>
          <w:szCs w:val="28"/>
          <w:shd w:val="clear" w:color="auto" w:fill="FFFFFF"/>
          <w:rtl/>
        </w:rPr>
        <w:tab/>
        <w:t>חשוב להדגיש: במצבים האמורים, אף בראי הפרשנות המצמצמת לסעיף 5 לצו שבה אני דוגלת, ישנה הצדקה מיוחדת להגן על אינטרס ההסתמכות של מי שרכש זכויות בתום לב, וכעת עלול בדיעבד למצוא עצמו ללא קורת גג מעל ראשו. כך בהיבט המשפטי, ולא פחות מכך, בהיבט האנושי. מנקודת מבטי, הגנה על קורת גג, בפרט בנסיבות של מגורים לאורך זמן ממושך ובהסתמך על גור</w:t>
      </w:r>
      <w:r>
        <w:rPr>
          <w:rFonts w:ascii="Century" w:hAnsi="Century" w:cs="FrankRuehl" w:hint="cs"/>
          <w:spacing w:val="10"/>
          <w:szCs w:val="28"/>
          <w:shd w:val="clear" w:color="auto" w:fill="FFFFFF"/>
          <w:rtl/>
        </w:rPr>
        <w:t>מי</w:t>
      </w:r>
      <w:r w:rsidRPr="00A6390D">
        <w:rPr>
          <w:rFonts w:ascii="Century" w:hAnsi="Century" w:cs="FrankRuehl" w:hint="cs"/>
          <w:spacing w:val="10"/>
          <w:szCs w:val="28"/>
          <w:shd w:val="clear" w:color="auto" w:fill="FFFFFF"/>
          <w:rtl/>
        </w:rPr>
        <w:t>ם שלטוני</w:t>
      </w:r>
      <w:r>
        <w:rPr>
          <w:rFonts w:ascii="Century" w:hAnsi="Century" w:cs="FrankRuehl" w:hint="cs"/>
          <w:spacing w:val="10"/>
          <w:szCs w:val="28"/>
          <w:shd w:val="clear" w:color="auto" w:fill="FFFFFF"/>
          <w:rtl/>
        </w:rPr>
        <w:t>ים</w:t>
      </w:r>
      <w:r w:rsidRPr="00A6390D">
        <w:rPr>
          <w:rFonts w:ascii="Century" w:hAnsi="Century" w:cs="FrankRuehl" w:hint="cs"/>
          <w:spacing w:val="10"/>
          <w:szCs w:val="28"/>
          <w:shd w:val="clear" w:color="auto" w:fill="FFFFFF"/>
          <w:rtl/>
        </w:rPr>
        <w:t xml:space="preserve">, היא שיקול מנחה רב ערך בחיפוש אחר הפתרון המשפטי הראוי למצבים שנוצרו על רקע היסטוריה מורכבת, הגם שאף פעם אינו שיקול העומד לבדו. בהתאם לכך, יש לבחון כל מקרה לגופו על נסיבותיו ומאפייניו המיוחדים (ראו והשוו: </w:t>
      </w:r>
      <w:r w:rsidRPr="00A6390D">
        <w:rPr>
          <w:rFonts w:ascii="Century" w:hAnsi="Century" w:cs="FrankRuehl"/>
          <w:spacing w:val="10"/>
          <w:szCs w:val="28"/>
          <w:shd w:val="clear" w:color="auto" w:fill="FFFFFF"/>
          <w:rtl/>
        </w:rPr>
        <w:t>בג"ץ 7446/17</w:t>
      </w:r>
      <w:r w:rsidRPr="00A6390D">
        <w:rPr>
          <w:rFonts w:cs="FrankRuehl"/>
          <w:color w:val="000000"/>
          <w:spacing w:val="10"/>
          <w:sz w:val="28"/>
          <w:szCs w:val="28"/>
          <w:shd w:val="clear" w:color="auto" w:fill="FFFFFF"/>
          <w:rtl/>
        </w:rPr>
        <w:t xml:space="preserve"> </w:t>
      </w:r>
      <w:r w:rsidRPr="00A6390D">
        <w:rPr>
          <w:rFonts w:ascii="Century" w:hAnsi="Century" w:cs="Miriam"/>
          <w:b/>
          <w:shd w:val="clear" w:color="auto" w:fill="FFFFFF"/>
          <w:rtl/>
        </w:rPr>
        <w:t>סרחאן נ' האפוטרופוס הכללי והכונס הרשמי</w:t>
      </w:r>
      <w:r w:rsidRPr="006F0F23">
        <w:rPr>
          <w:rFonts w:cs="FrankRuehl"/>
          <w:color w:val="000000"/>
          <w:spacing w:val="10"/>
          <w:sz w:val="28"/>
          <w:szCs w:val="28"/>
          <w:shd w:val="clear" w:color="auto" w:fill="FFFFFF"/>
          <w:rtl/>
        </w:rPr>
        <w:t xml:space="preserve">, </w:t>
      </w:r>
      <w:r w:rsidRPr="00A6390D">
        <w:rPr>
          <w:rFonts w:ascii="Century" w:hAnsi="Century" w:cs="FrankRuehl"/>
          <w:spacing w:val="10"/>
          <w:szCs w:val="28"/>
          <w:shd w:val="clear" w:color="auto" w:fill="FFFFFF"/>
          <w:rtl/>
        </w:rPr>
        <w:t>פסקה 61 (21.11.2018)</w:t>
      </w:r>
      <w:r w:rsidRPr="00A6390D">
        <w:rPr>
          <w:rFonts w:ascii="Century" w:hAnsi="Century" w:cs="FrankRuehl" w:hint="cs"/>
          <w:spacing w:val="10"/>
          <w:szCs w:val="28"/>
          <w:shd w:val="clear" w:color="auto" w:fill="FFFFFF"/>
          <w:rtl/>
        </w:rPr>
        <w:t xml:space="preserve">; </w:t>
      </w:r>
      <w:r w:rsidRPr="00A6390D">
        <w:rPr>
          <w:rFonts w:ascii="Century" w:hAnsi="Century" w:cs="FrankRuehl"/>
          <w:spacing w:val="10"/>
          <w:szCs w:val="28"/>
          <w:shd w:val="clear" w:color="auto" w:fill="FFFFFF"/>
          <w:rtl/>
        </w:rPr>
        <w:t xml:space="preserve">רע"א 8885/20 </w:t>
      </w:r>
      <w:r w:rsidRPr="00A6390D">
        <w:rPr>
          <w:rFonts w:ascii="Century" w:hAnsi="Century" w:cs="Miriam"/>
          <w:b/>
          <w:shd w:val="clear" w:color="auto" w:fill="FFFFFF"/>
          <w:rtl/>
        </w:rPr>
        <w:t>חאמד נ' חאמד</w:t>
      </w:r>
      <w:r w:rsidRPr="00F575CF">
        <w:rPr>
          <w:rFonts w:cs="FrankRuehl"/>
          <w:color w:val="000000"/>
          <w:spacing w:val="10"/>
          <w:sz w:val="28"/>
          <w:szCs w:val="28"/>
          <w:shd w:val="clear" w:color="auto" w:fill="FFFFFF"/>
          <w:rtl/>
        </w:rPr>
        <w:t xml:space="preserve">, </w:t>
      </w:r>
      <w:r w:rsidRPr="00A6390D">
        <w:rPr>
          <w:rFonts w:ascii="Century" w:hAnsi="Century" w:cs="FrankRuehl"/>
          <w:spacing w:val="10"/>
          <w:szCs w:val="28"/>
          <w:shd w:val="clear" w:color="auto" w:fill="FFFFFF"/>
          <w:rtl/>
        </w:rPr>
        <w:t>פסקאות 21-20 (12.8.2021)</w:t>
      </w:r>
      <w:r w:rsidRPr="00A6390D">
        <w:rPr>
          <w:rFonts w:ascii="Century" w:hAnsi="Century" w:cs="FrankRuehl" w:hint="cs"/>
          <w:spacing w:val="10"/>
          <w:szCs w:val="28"/>
          <w:shd w:val="clear" w:color="auto" w:fill="FFFFFF"/>
          <w:rtl/>
        </w:rPr>
        <w:t>; עניין</w:t>
      </w:r>
      <w:r w:rsidRPr="00A6390D">
        <w:rPr>
          <w:rFonts w:cs="FrankRuehl" w:hint="cs"/>
          <w:color w:val="000000"/>
          <w:spacing w:val="10"/>
          <w:sz w:val="28"/>
          <w:szCs w:val="28"/>
          <w:shd w:val="clear" w:color="auto" w:fill="FFFFFF"/>
          <w:rtl/>
        </w:rPr>
        <w:t xml:space="preserve"> </w:t>
      </w:r>
      <w:r w:rsidRPr="00A6390D">
        <w:rPr>
          <w:rFonts w:ascii="Century" w:hAnsi="Century" w:cs="Miriam" w:hint="eastAsia"/>
          <w:b/>
          <w:rtl/>
        </w:rPr>
        <w:t>ג</w:t>
      </w:r>
      <w:r w:rsidRPr="00A6390D">
        <w:rPr>
          <w:rFonts w:ascii="Century" w:hAnsi="Century" w:cs="Miriam"/>
          <w:b/>
          <w:rtl/>
        </w:rPr>
        <w:t>'</w:t>
      </w:r>
      <w:r w:rsidRPr="00A6390D">
        <w:rPr>
          <w:rFonts w:ascii="Century" w:hAnsi="Century" w:cs="Miriam" w:hint="eastAsia"/>
          <w:b/>
          <w:rtl/>
        </w:rPr>
        <w:t>אע</w:t>
      </w:r>
      <w:r w:rsidRPr="00A6390D">
        <w:rPr>
          <w:rFonts w:ascii="Century" w:hAnsi="Century" w:cs="Miriam" w:hint="cs"/>
          <w:b/>
          <w:rtl/>
        </w:rPr>
        <w:t>ו</w:t>
      </w:r>
      <w:r w:rsidRPr="00A6390D">
        <w:rPr>
          <w:rFonts w:ascii="Century" w:hAnsi="Century" w:cs="Miriam" w:hint="eastAsia"/>
          <w:b/>
          <w:rtl/>
        </w:rPr>
        <w:t>ני</w:t>
      </w:r>
      <w:r>
        <w:rPr>
          <w:rFonts w:cs="FrankRuehl" w:hint="cs"/>
          <w:color w:val="000000"/>
          <w:spacing w:val="10"/>
          <w:sz w:val="28"/>
          <w:szCs w:val="28"/>
          <w:shd w:val="clear" w:color="auto" w:fill="FFFFFF"/>
          <w:rtl/>
        </w:rPr>
        <w:t xml:space="preserve">, </w:t>
      </w:r>
      <w:r w:rsidRPr="00A6390D">
        <w:rPr>
          <w:rFonts w:ascii="Century" w:hAnsi="Century" w:cs="FrankRuehl" w:hint="cs"/>
          <w:spacing w:val="10"/>
          <w:szCs w:val="28"/>
          <w:shd w:val="clear" w:color="auto" w:fill="FFFFFF"/>
          <w:rtl/>
        </w:rPr>
        <w:t>פסקה 82 לפסק דיני</w:t>
      </w:r>
      <w:r>
        <w:rPr>
          <w:rFonts w:ascii="Century" w:hAnsi="Century" w:cs="FrankRuehl" w:hint="cs"/>
          <w:spacing w:val="10"/>
          <w:szCs w:val="28"/>
          <w:shd w:val="clear" w:color="auto" w:fill="FFFFFF"/>
          <w:rtl/>
        </w:rPr>
        <w:t xml:space="preserve">; רע"א 8694/20 </w:t>
      </w:r>
      <w:r w:rsidRPr="00A6390D">
        <w:rPr>
          <w:rFonts w:ascii="Century" w:hAnsi="Century" w:cs="Miriam" w:hint="cs"/>
          <w:b/>
          <w:shd w:val="clear" w:color="auto" w:fill="FFFFFF"/>
          <w:rtl/>
        </w:rPr>
        <w:t>דוויק נ' זרביב</w:t>
      </w:r>
      <w:r>
        <w:rPr>
          <w:rFonts w:ascii="Century" w:hAnsi="Century" w:cs="FrankRuehl" w:hint="cs"/>
          <w:spacing w:val="10"/>
          <w:szCs w:val="28"/>
          <w:shd w:val="clear" w:color="auto" w:fill="FFFFFF"/>
          <w:rtl/>
        </w:rPr>
        <w:t>, פסקה 43 (21.7.2022)</w:t>
      </w:r>
      <w:r w:rsidRPr="00A6390D">
        <w:rPr>
          <w:rFonts w:ascii="Century" w:hAnsi="Century" w:cs="FrankRuehl" w:hint="cs"/>
          <w:spacing w:val="10"/>
          <w:szCs w:val="28"/>
          <w:shd w:val="clear" w:color="auto" w:fill="FFFFFF"/>
          <w:rtl/>
        </w:rPr>
        <w:t xml:space="preserve">. כן ראו: </w:t>
      </w:r>
      <w:r w:rsidRPr="00A6390D">
        <w:rPr>
          <w:rFonts w:ascii="Century" w:hAnsi="Century" w:cs="FrankRuehl"/>
          <w:spacing w:val="10"/>
          <w:szCs w:val="28"/>
          <w:shd w:val="clear" w:color="auto" w:fill="FFFFFF"/>
          <w:rtl/>
        </w:rPr>
        <w:t xml:space="preserve">רע"א 3094/11 </w:t>
      </w:r>
      <w:r w:rsidRPr="008C69F5">
        <w:rPr>
          <w:rFonts w:ascii="Century" w:hAnsi="Century" w:cs="Miriam"/>
          <w:b/>
          <w:shd w:val="clear" w:color="auto" w:fill="FFFFFF"/>
          <w:rtl/>
        </w:rPr>
        <w:t>אבו אלקיעאן נ' מדינת ישראל</w:t>
      </w:r>
      <w:r w:rsidRPr="00A375CE">
        <w:rPr>
          <w:rFonts w:cs="FrankRuehl"/>
          <w:color w:val="000000"/>
          <w:spacing w:val="10"/>
          <w:sz w:val="28"/>
          <w:szCs w:val="28"/>
          <w:shd w:val="clear" w:color="auto" w:fill="FFFFFF"/>
          <w:rtl/>
        </w:rPr>
        <w:t xml:space="preserve">, </w:t>
      </w:r>
      <w:r w:rsidRPr="00A6390D">
        <w:rPr>
          <w:rFonts w:ascii="Century" w:hAnsi="Century" w:cs="FrankRuehl"/>
          <w:spacing w:val="10"/>
          <w:szCs w:val="28"/>
          <w:shd w:val="clear" w:color="auto" w:fill="FFFFFF"/>
          <w:rtl/>
        </w:rPr>
        <w:t xml:space="preserve">פסקאות </w:t>
      </w:r>
      <w:r w:rsidRPr="00A6390D">
        <w:rPr>
          <w:rFonts w:ascii="Century" w:hAnsi="Century" w:cs="FrankRuehl" w:hint="cs"/>
          <w:spacing w:val="10"/>
          <w:szCs w:val="28"/>
          <w:shd w:val="clear" w:color="auto" w:fill="FFFFFF"/>
          <w:rtl/>
        </w:rPr>
        <w:t>10-8</w:t>
      </w:r>
      <w:r w:rsidRPr="00A6390D">
        <w:rPr>
          <w:rFonts w:ascii="Century" w:hAnsi="Century" w:cs="FrankRuehl"/>
          <w:spacing w:val="10"/>
          <w:szCs w:val="28"/>
          <w:shd w:val="clear" w:color="auto" w:fill="FFFFFF"/>
          <w:rtl/>
        </w:rPr>
        <w:t xml:space="preserve"> לפסק דיני (5.5.2015)</w:t>
      </w:r>
      <w:r w:rsidRPr="00A6390D">
        <w:rPr>
          <w:rFonts w:ascii="Century" w:hAnsi="Century" w:cs="FrankRuehl" w:hint="cs"/>
          <w:spacing w:val="10"/>
          <w:szCs w:val="28"/>
          <w:shd w:val="clear" w:color="auto" w:fill="FFFFFF"/>
          <w:rtl/>
        </w:rPr>
        <w:t>, באותו מקרה בדעת מיעוט באשר לפתרון הראוי בנסיבות העניין). אף במקרה דנן, ההליך נסב על מי שגרים בבתיהם במשך תקופה לא מבוטלת, תוך הסתמכות בתום לב, ובנו את חייהם במקום</w:t>
      </w:r>
      <w:r>
        <w:rPr>
          <w:rFonts w:ascii="Century" w:hAnsi="Century" w:cs="FrankRuehl" w:hint="cs"/>
          <w:spacing w:val="10"/>
          <w:szCs w:val="28"/>
          <w:shd w:val="clear" w:color="auto" w:fill="FFFFFF"/>
          <w:rtl/>
        </w:rPr>
        <w:t>.</w:t>
      </w:r>
      <w:r w:rsidRPr="00A6390D">
        <w:rPr>
          <w:rFonts w:ascii="Century" w:hAnsi="Century" w:cs="FrankRuehl" w:hint="cs"/>
          <w:spacing w:val="10"/>
          <w:szCs w:val="28"/>
          <w:shd w:val="clear" w:color="auto" w:fill="FFFFFF"/>
          <w:rtl/>
        </w:rPr>
        <w:t xml:space="preserve"> </w:t>
      </w:r>
    </w:p>
    <w:p w:rsidR="005B1A77" w:rsidRPr="00A6390D" w:rsidRDefault="005B1A77" w:rsidP="005B1A77">
      <w:pPr>
        <w:spacing w:line="360" w:lineRule="auto"/>
        <w:jc w:val="both"/>
        <w:rPr>
          <w:rFonts w:ascii="Century" w:hAnsi="Century" w:cs="FrankRuehl"/>
          <w:spacing w:val="10"/>
          <w:szCs w:val="28"/>
          <w:shd w:val="clear" w:color="auto" w:fill="FFFFFF"/>
          <w:rtl/>
        </w:rPr>
      </w:pPr>
    </w:p>
    <w:p w:rsidR="005B1A77" w:rsidRPr="00A6390D" w:rsidRDefault="005B1A77" w:rsidP="005B1A77">
      <w:pPr>
        <w:spacing w:line="360" w:lineRule="auto"/>
        <w:jc w:val="both"/>
        <w:rPr>
          <w:rFonts w:ascii="Century" w:hAnsi="Century" w:cs="FrankRuehl"/>
          <w:spacing w:val="10"/>
          <w:szCs w:val="28"/>
          <w:rtl/>
        </w:rPr>
      </w:pPr>
      <w:r w:rsidRPr="00A6390D">
        <w:rPr>
          <w:rFonts w:ascii="Century" w:hAnsi="Century" w:cs="FrankRuehl" w:hint="cs"/>
          <w:spacing w:val="10"/>
          <w:szCs w:val="28"/>
          <w:shd w:val="clear" w:color="auto" w:fill="FFFFFF"/>
          <w:rtl/>
        </w:rPr>
        <w:t xml:space="preserve">48. </w:t>
      </w:r>
      <w:r w:rsidRPr="00A6390D">
        <w:rPr>
          <w:rFonts w:ascii="Century" w:hAnsi="Century" w:cs="FrankRuehl" w:hint="cs"/>
          <w:spacing w:val="10"/>
          <w:szCs w:val="28"/>
          <w:shd w:val="clear" w:color="auto" w:fill="FFFFFF"/>
          <w:rtl/>
        </w:rPr>
        <w:tab/>
        <w:t xml:space="preserve">שונים הם פני הדברים כאשר עסקינן בתמורה כספית גרידא, אשר מטבעה ניתנת לפיצוי מלא בקלות רבה יותר. זאת, בפרט בשים לב ליכולתו של המתקשר להיפרע במקרים המתאימים מן הממונה. הדברים אמורים מקל וחומר בעת שמדובר אך בתמורה המסתכמת בפעולות פיתוח ותכנון וזאת מטעמו של גורם מיישב, שהינו כאמור שחקן חוזר וצד קרוב לממונה. במובן זה, לטעמי, אין בהסתמכות שכזו להצדיק את התוצאה הקשה הנובעת מתחולתו של ההסדר. בהקשר זה יש להדגיש כי האמור לעיל ביחס ליסוד התמורה משלים במידה רבה את עמדתי באשר לקושי להכיר בגורם המיישב לבדו כממלא את דרישות סעיף 5 לצו. </w:t>
      </w:r>
      <w:r w:rsidRPr="00A6390D">
        <w:rPr>
          <w:rFonts w:ascii="Century" w:hAnsi="Century" w:cs="FrankRuehl" w:hint="cs"/>
          <w:spacing w:val="10"/>
          <w:szCs w:val="28"/>
          <w:rtl/>
        </w:rPr>
        <w:t xml:space="preserve">מבחינה זו, פרשנות דווקנית המחייבת להצביע על שינוי לרעה מן הסוג שעליו עמדתי "מתכתבת" עם הדרישה לקיומו של צד שלישי "בשר ודם". </w:t>
      </w:r>
    </w:p>
    <w:p w:rsidR="005B1A77" w:rsidRPr="00A6390D" w:rsidRDefault="005B1A77" w:rsidP="005B1A77">
      <w:pPr>
        <w:spacing w:line="360" w:lineRule="auto"/>
        <w:jc w:val="both"/>
        <w:rPr>
          <w:rFonts w:ascii="Century" w:hAnsi="Century" w:cs="FrankRuehl"/>
          <w:spacing w:val="10"/>
          <w:szCs w:val="28"/>
          <w:shd w:val="clear" w:color="auto" w:fill="FFFFFF"/>
          <w:rtl/>
        </w:rPr>
      </w:pPr>
    </w:p>
    <w:p w:rsidR="005B1A77" w:rsidRDefault="005B1A77" w:rsidP="005B1A77">
      <w:pPr>
        <w:spacing w:line="360" w:lineRule="auto"/>
        <w:jc w:val="both"/>
        <w:rPr>
          <w:rFonts w:ascii="Century" w:hAnsi="Century" w:cs="FrankRuehl"/>
          <w:spacing w:val="10"/>
          <w:szCs w:val="28"/>
          <w:shd w:val="clear" w:color="auto" w:fill="FFFFFF"/>
          <w:rtl/>
        </w:rPr>
      </w:pPr>
      <w:r w:rsidRPr="00A6390D">
        <w:rPr>
          <w:rFonts w:ascii="Century" w:hAnsi="Century" w:cs="FrankRuehl" w:hint="cs"/>
          <w:spacing w:val="10"/>
          <w:szCs w:val="28"/>
          <w:shd w:val="clear" w:color="auto" w:fill="FFFFFF"/>
          <w:rtl/>
        </w:rPr>
        <w:t>49.</w:t>
      </w:r>
      <w:r w:rsidRPr="00A6390D">
        <w:rPr>
          <w:rFonts w:ascii="Century" w:hAnsi="Century" w:cs="FrankRuehl" w:hint="cs"/>
          <w:spacing w:val="10"/>
          <w:szCs w:val="28"/>
          <w:shd w:val="clear" w:color="auto" w:fill="FFFFFF"/>
          <w:rtl/>
        </w:rPr>
        <w:tab/>
        <w:t xml:space="preserve">אכן, פרשנות מצמצמת שכזו משמעה כי הגנת סעיף 5 לצו לא תחול </w:t>
      </w:r>
      <w:r>
        <w:rPr>
          <w:rFonts w:ascii="Century" w:hAnsi="Century" w:cs="FrankRuehl" w:hint="cs"/>
          <w:spacing w:val="10"/>
          <w:szCs w:val="28"/>
          <w:shd w:val="clear" w:color="auto" w:fill="FFFFFF"/>
          <w:rtl/>
        </w:rPr>
        <w:t>בכ</w:t>
      </w:r>
      <w:r w:rsidRPr="00A6390D">
        <w:rPr>
          <w:rFonts w:ascii="Century" w:hAnsi="Century" w:cs="FrankRuehl" w:hint="cs"/>
          <w:spacing w:val="10"/>
          <w:szCs w:val="28"/>
          <w:shd w:val="clear" w:color="auto" w:fill="FFFFFF"/>
          <w:rtl/>
        </w:rPr>
        <w:t>ל המקרים שבהם תוכח הסתמכות בעלת משמעות ממונית. כמו כן, יש להודות כי מדובר בפרשנות החורגת מעבר למקובל ביחס לדרישת התמורה בהשוואה להסדרי תקנות שוק אחרים. לצד זאת, אני סבורה כי אין מנוס מאימוצה של פרשנות זו על מנת לאזן בין הגשמת תכליתו של ההסדר לבין הסביבה המשפטית שבה הוא פועל, ובכלל זה החובות החלות מכוח המשפט הבינלאומי.</w:t>
      </w:r>
    </w:p>
    <w:p w:rsidR="005B1A77" w:rsidRPr="00A6390D" w:rsidRDefault="005B1A77" w:rsidP="005B1A77">
      <w:pPr>
        <w:spacing w:line="360" w:lineRule="auto"/>
        <w:jc w:val="both"/>
        <w:rPr>
          <w:rFonts w:ascii="Century" w:hAnsi="Century" w:cs="FrankRuehl"/>
          <w:spacing w:val="10"/>
          <w:szCs w:val="28"/>
          <w:shd w:val="clear" w:color="auto" w:fill="FFFFFF"/>
          <w:rtl/>
        </w:rPr>
      </w:pPr>
    </w:p>
    <w:p w:rsidR="005B1A77" w:rsidRDefault="005B1A77" w:rsidP="005B1A77">
      <w:pPr>
        <w:spacing w:line="360" w:lineRule="auto"/>
        <w:jc w:val="both"/>
        <w:rPr>
          <w:rFonts w:cs="FrankRuehl"/>
          <w:color w:val="000000"/>
          <w:spacing w:val="10"/>
          <w:sz w:val="28"/>
          <w:szCs w:val="28"/>
          <w:shd w:val="clear" w:color="auto" w:fill="FFFFFF"/>
          <w:rtl/>
        </w:rPr>
      </w:pPr>
      <w:r w:rsidRPr="00A6390D">
        <w:rPr>
          <w:rFonts w:ascii="Century" w:hAnsi="Century" w:cs="FrankRuehl" w:hint="cs"/>
          <w:spacing w:val="10"/>
          <w:szCs w:val="28"/>
          <w:shd w:val="clear" w:color="auto" w:fill="FFFFFF"/>
          <w:rtl/>
        </w:rPr>
        <w:t>50.</w:t>
      </w:r>
      <w:r w:rsidRPr="00A6390D">
        <w:rPr>
          <w:rFonts w:ascii="Century" w:hAnsi="Century" w:cs="FrankRuehl"/>
          <w:spacing w:val="10"/>
          <w:szCs w:val="28"/>
          <w:shd w:val="clear" w:color="auto" w:fill="FFFFFF"/>
          <w:rtl/>
        </w:rPr>
        <w:tab/>
      </w:r>
      <w:r w:rsidRPr="00A6390D">
        <w:rPr>
          <w:rFonts w:ascii="Century" w:hAnsi="Century" w:cs="FrankRuehl" w:hint="cs"/>
          <w:spacing w:val="10"/>
          <w:szCs w:val="28"/>
          <w:shd w:val="clear" w:color="auto" w:fill="FFFFFF"/>
          <w:rtl/>
        </w:rPr>
        <w:t xml:space="preserve">לבסוף, יש אף מקום לשוב ולהזכיר בקצרה </w:t>
      </w:r>
      <w:r w:rsidRPr="00A6390D">
        <w:rPr>
          <w:rFonts w:ascii="Century" w:hAnsi="Century" w:cs="FrankRuehl" w:hint="cs"/>
          <w:spacing w:val="10"/>
          <w:szCs w:val="28"/>
          <w:rtl/>
        </w:rPr>
        <w:t xml:space="preserve">כי לצורך בחינת קיומה של דרישת התמורה יש לקחת בחשבון אך את ההשקעה והפעולות שנעשו עובר לגילוי הפגם שנפל </w:t>
      </w:r>
      <w:r w:rsidRPr="00A6390D">
        <w:rPr>
          <w:rFonts w:ascii="Century" w:hAnsi="Century" w:cs="FrankRuehl" w:hint="cs"/>
          <w:spacing w:val="10"/>
          <w:szCs w:val="28"/>
          <w:rtl/>
        </w:rPr>
        <w:lastRenderedPageBreak/>
        <w:t xml:space="preserve">בעסקה, כלומר טרם גילוי העובדה כי זו נסבה על נכס שאינו רכוש ממשלתי. במילים אחרות, יש להתחשב רק בתמורה שניתנה בעת </w:t>
      </w:r>
      <w:r>
        <w:rPr>
          <w:rFonts w:ascii="Century" w:hAnsi="Century" w:cs="FrankRuehl" w:hint="cs"/>
          <w:spacing w:val="10"/>
          <w:szCs w:val="28"/>
          <w:rtl/>
        </w:rPr>
        <w:t>ש</w:t>
      </w:r>
      <w:r w:rsidRPr="00A6390D">
        <w:rPr>
          <w:rFonts w:ascii="Century" w:hAnsi="Century" w:cs="FrankRuehl" w:hint="cs"/>
          <w:spacing w:val="10"/>
          <w:szCs w:val="28"/>
          <w:rtl/>
        </w:rPr>
        <w:t>המתקשר עודו תם לב (</w:t>
      </w:r>
      <w:r w:rsidRPr="00A6390D">
        <w:rPr>
          <w:rFonts w:ascii="Century" w:hAnsi="Century" w:cs="FrankRuehl" w:hint="eastAsia"/>
          <w:spacing w:val="10"/>
          <w:szCs w:val="28"/>
          <w:shd w:val="clear" w:color="auto" w:fill="FFFFFF"/>
          <w:rtl/>
        </w:rPr>
        <w:t>ראו</w:t>
      </w:r>
      <w:r w:rsidRPr="00A6390D">
        <w:rPr>
          <w:rFonts w:ascii="Century" w:hAnsi="Century" w:cs="FrankRuehl"/>
          <w:spacing w:val="10"/>
          <w:szCs w:val="28"/>
          <w:shd w:val="clear" w:color="auto" w:fill="FFFFFF"/>
          <w:rtl/>
        </w:rPr>
        <w:t>:</w:t>
      </w:r>
      <w:r w:rsidRPr="00A6390D">
        <w:rPr>
          <w:rFonts w:ascii="Century" w:hAnsi="Century" w:cs="Miriam" w:hint="cs"/>
          <w:b/>
          <w:shd w:val="clear" w:color="auto" w:fill="FFFFFF"/>
          <w:rtl/>
        </w:rPr>
        <w:t xml:space="preserve"> </w:t>
      </w:r>
      <w:r>
        <w:rPr>
          <w:rFonts w:ascii="Century" w:hAnsi="Century" w:cs="Miriam" w:hint="cs"/>
          <w:b/>
          <w:shd w:val="clear" w:color="auto" w:fill="FFFFFF"/>
          <w:rtl/>
        </w:rPr>
        <w:t>פרידמן ובר-אור</w:t>
      </w:r>
      <w:r w:rsidRPr="003B0873">
        <w:rPr>
          <w:rFonts w:ascii="Century" w:hAnsi="Century" w:cs="FrankRuehl"/>
          <w:spacing w:val="10"/>
          <w:szCs w:val="28"/>
          <w:shd w:val="clear" w:color="auto" w:fill="FFFFFF"/>
          <w:rtl/>
        </w:rPr>
        <w:t xml:space="preserve">, </w:t>
      </w:r>
      <w:r w:rsidRPr="003B0873">
        <w:rPr>
          <w:rFonts w:ascii="Century" w:hAnsi="Century" w:cs="FrankRuehl" w:hint="eastAsia"/>
          <w:spacing w:val="10"/>
          <w:szCs w:val="28"/>
          <w:shd w:val="clear" w:color="auto" w:fill="FFFFFF"/>
          <w:rtl/>
        </w:rPr>
        <w:t>בעמ</w:t>
      </w:r>
      <w:r w:rsidRPr="003B0873">
        <w:rPr>
          <w:rFonts w:ascii="Century" w:hAnsi="Century" w:cs="FrankRuehl"/>
          <w:spacing w:val="10"/>
          <w:szCs w:val="28"/>
          <w:shd w:val="clear" w:color="auto" w:fill="FFFFFF"/>
          <w:rtl/>
        </w:rPr>
        <w:t>' 1341</w:t>
      </w:r>
      <w:r>
        <w:rPr>
          <w:rFonts w:ascii="Century" w:hAnsi="Century" w:cs="Miriam" w:hint="cs"/>
          <w:b/>
          <w:shd w:val="clear" w:color="auto" w:fill="FFFFFF"/>
          <w:rtl/>
        </w:rPr>
        <w:t>.</w:t>
      </w:r>
      <w:r>
        <w:rPr>
          <w:rFonts w:ascii="Century" w:hAnsi="Century" w:cs="FrankRuehl" w:hint="cs"/>
          <w:spacing w:val="10"/>
          <w:szCs w:val="28"/>
          <w:rtl/>
        </w:rPr>
        <w:t xml:space="preserve"> ראו גם: </w:t>
      </w:r>
      <w:r w:rsidRPr="00A6390D">
        <w:rPr>
          <w:rFonts w:ascii="Century" w:hAnsi="Century" w:cs="Miriam" w:hint="cs"/>
          <w:b/>
          <w:rtl/>
        </w:rPr>
        <w:t>ויניצקי</w:t>
      </w:r>
      <w:r>
        <w:rPr>
          <w:rFonts w:ascii="Century" w:hAnsi="Century" w:cs="FrankRuehl" w:hint="cs"/>
          <w:spacing w:val="10"/>
          <w:szCs w:val="28"/>
          <w:rtl/>
        </w:rPr>
        <w:t xml:space="preserve">, בעמ' 399). </w:t>
      </w:r>
    </w:p>
    <w:p w:rsidR="005B1A77" w:rsidRDefault="005B1A77" w:rsidP="005B1A77">
      <w:pPr>
        <w:spacing w:line="360" w:lineRule="auto"/>
        <w:jc w:val="both"/>
        <w:rPr>
          <w:rFonts w:cs="FrankRuehl"/>
          <w:color w:val="000000"/>
          <w:spacing w:val="10"/>
          <w:sz w:val="28"/>
          <w:szCs w:val="28"/>
          <w:shd w:val="clear" w:color="auto" w:fill="FFFFFF"/>
          <w:rtl/>
        </w:rPr>
      </w:pPr>
    </w:p>
    <w:p w:rsidR="005B1A77" w:rsidRPr="00A6390D" w:rsidRDefault="005B1A77" w:rsidP="005B1A77">
      <w:pPr>
        <w:spacing w:line="360" w:lineRule="auto"/>
        <w:jc w:val="both"/>
        <w:rPr>
          <w:rFonts w:ascii="Century" w:hAnsi="Century" w:cs="Miriam"/>
          <w:b/>
          <w:shd w:val="clear" w:color="auto" w:fill="FFFFFF"/>
          <w:rtl/>
        </w:rPr>
      </w:pPr>
      <w:r w:rsidRPr="00A6390D">
        <w:rPr>
          <w:rFonts w:ascii="Century" w:hAnsi="Century" w:cs="Miriam" w:hint="eastAsia"/>
          <w:b/>
          <w:shd w:val="clear" w:color="auto" w:fill="FFFFFF"/>
          <w:rtl/>
        </w:rPr>
        <w:t>סוף</w:t>
      </w:r>
      <w:r w:rsidRPr="00A6390D">
        <w:rPr>
          <w:rFonts w:ascii="Century" w:hAnsi="Century" w:cs="Miriam"/>
          <w:b/>
          <w:shd w:val="clear" w:color="auto" w:fill="FFFFFF"/>
          <w:rtl/>
        </w:rPr>
        <w:t xml:space="preserve"> דבר </w:t>
      </w:r>
    </w:p>
    <w:p w:rsidR="005B1A77" w:rsidRPr="00670AEC" w:rsidRDefault="005B1A77" w:rsidP="005B1A77">
      <w:pPr>
        <w:spacing w:line="360" w:lineRule="auto"/>
        <w:jc w:val="both"/>
        <w:rPr>
          <w:rFonts w:ascii="Century" w:hAnsi="Century" w:cs="FrankRuehl"/>
          <w:spacing w:val="10"/>
          <w:szCs w:val="28"/>
          <w:shd w:val="clear" w:color="auto" w:fill="FFFFFF"/>
          <w:rtl/>
        </w:rPr>
      </w:pPr>
    </w:p>
    <w:p w:rsidR="005B1A77" w:rsidRPr="00A6390D" w:rsidRDefault="005B1A77" w:rsidP="005B1A77">
      <w:pPr>
        <w:spacing w:line="360" w:lineRule="auto"/>
        <w:jc w:val="both"/>
        <w:rPr>
          <w:rFonts w:ascii="Century" w:hAnsi="Century" w:cs="FrankRuehl"/>
          <w:spacing w:val="10"/>
          <w:szCs w:val="28"/>
          <w:shd w:val="clear" w:color="auto" w:fill="FFFFFF"/>
        </w:rPr>
      </w:pPr>
      <w:r w:rsidRPr="00A6390D">
        <w:rPr>
          <w:rFonts w:ascii="Century" w:hAnsi="Century" w:cs="FrankRuehl" w:hint="cs"/>
          <w:spacing w:val="10"/>
          <w:szCs w:val="28"/>
          <w:shd w:val="clear" w:color="auto" w:fill="FFFFFF"/>
          <w:rtl/>
        </w:rPr>
        <w:t>51</w:t>
      </w:r>
      <w:r w:rsidRPr="00A6390D">
        <w:rPr>
          <w:rFonts w:ascii="Century" w:hAnsi="Century" w:cs="FrankRuehl"/>
          <w:spacing w:val="10"/>
          <w:szCs w:val="28"/>
          <w:shd w:val="clear" w:color="auto" w:fill="FFFFFF"/>
          <w:rtl/>
        </w:rPr>
        <w:t>.</w:t>
      </w:r>
      <w:r w:rsidRPr="00A6390D">
        <w:rPr>
          <w:rFonts w:ascii="Century" w:hAnsi="Century" w:cs="FrankRuehl"/>
          <w:spacing w:val="10"/>
          <w:szCs w:val="28"/>
          <w:shd w:val="clear" w:color="auto" w:fill="FFFFFF"/>
          <w:rtl/>
        </w:rPr>
        <w:tab/>
        <w:t xml:space="preserve"> </w:t>
      </w:r>
      <w:r w:rsidRPr="00A6390D">
        <w:rPr>
          <w:rFonts w:ascii="Century" w:hAnsi="Century" w:cs="FrankRuehl" w:hint="cs"/>
          <w:spacing w:val="10"/>
          <w:szCs w:val="28"/>
          <w:shd w:val="clear" w:color="auto" w:fill="FFFFFF"/>
          <w:rtl/>
        </w:rPr>
        <w:t xml:space="preserve">יש לומר בפה מלא: התוצאה במקרה דנן אינה פשוטה כלל ועיקר. אסור להקל ראש בפגיעה הקשה בזכויות הקניין הכרוכה בהחלתו של ההסדר שבפנינו, גם כאשר זהותם הקונקרטית של בעלי המקרקעין נשוא ההליך דנן טרם התבררה די צרכה. ההכרעה שהועמדה לפתחנו כרוכה במורכבות מיוחדת ומחייבת מטבעה איזון עדין בין שיקולים סותרים. ברקע הדברים עמדה ההכרה בחריגותו הרבה של סעיף 5 לצו אשר חל בשטח הנתון לתפיסה לוחמתית, ובצדה השאיפה להגשמת תכליתו של ההסדר. כל זאת על רקע חוסר בהירות עובדתית ובהינתן הקושי הרב </w:t>
      </w:r>
      <w:r>
        <w:rPr>
          <w:rFonts w:ascii="Century" w:hAnsi="Century" w:cs="FrankRuehl" w:hint="cs"/>
          <w:spacing w:val="10"/>
          <w:szCs w:val="28"/>
          <w:shd w:val="clear" w:color="auto" w:fill="FFFFFF"/>
          <w:rtl/>
        </w:rPr>
        <w:t>הנובע מ</w:t>
      </w:r>
      <w:r w:rsidRPr="00A6390D">
        <w:rPr>
          <w:rFonts w:ascii="Century" w:hAnsi="Century" w:cs="FrankRuehl" w:hint="cs"/>
          <w:spacing w:val="10"/>
          <w:szCs w:val="28"/>
          <w:shd w:val="clear" w:color="auto" w:fill="FFFFFF"/>
          <w:rtl/>
        </w:rPr>
        <w:t xml:space="preserve">מרחק הזמן. אף על פי כן </w:t>
      </w:r>
      <w:r w:rsidRPr="00A6390D">
        <w:rPr>
          <w:rFonts w:ascii="Century" w:hAnsi="Century" w:cs="FrankRuehl"/>
          <w:spacing w:val="10"/>
          <w:szCs w:val="28"/>
          <w:shd w:val="clear" w:color="auto" w:fill="FFFFFF"/>
          <w:rtl/>
        </w:rPr>
        <w:t>–</w:t>
      </w:r>
      <w:r w:rsidRPr="00A6390D">
        <w:rPr>
          <w:rFonts w:ascii="Century" w:hAnsi="Century" w:cs="FrankRuehl" w:hint="cs"/>
          <w:spacing w:val="10"/>
          <w:szCs w:val="28"/>
          <w:shd w:val="clear" w:color="auto" w:fill="FFFFFF"/>
          <w:rtl/>
        </w:rPr>
        <w:t xml:space="preserve"> אין מנוס מהכרעה.</w:t>
      </w:r>
    </w:p>
    <w:p w:rsidR="005B1A77" w:rsidRDefault="005B1A77" w:rsidP="005B1A77">
      <w:pPr>
        <w:spacing w:line="360" w:lineRule="auto"/>
        <w:jc w:val="both"/>
        <w:rPr>
          <w:rFonts w:ascii="Century" w:hAnsi="Century" w:cs="FrankRuehl"/>
          <w:spacing w:val="10"/>
          <w:szCs w:val="28"/>
          <w:shd w:val="clear" w:color="auto" w:fill="FFFFFF"/>
        </w:rPr>
      </w:pPr>
    </w:p>
    <w:p w:rsidR="005B1A77" w:rsidRPr="00A6390D" w:rsidRDefault="005B1A77" w:rsidP="00DB19B0">
      <w:pPr>
        <w:spacing w:line="360" w:lineRule="auto"/>
        <w:jc w:val="both"/>
        <w:rPr>
          <w:rFonts w:ascii="Century" w:hAnsi="Century" w:cs="FrankRuehl"/>
          <w:spacing w:val="10"/>
          <w:szCs w:val="28"/>
          <w:shd w:val="clear" w:color="auto" w:fill="FFFFFF"/>
          <w:rtl/>
        </w:rPr>
      </w:pPr>
      <w:r w:rsidRPr="00A6390D">
        <w:rPr>
          <w:rFonts w:ascii="Century" w:hAnsi="Century" w:cs="FrankRuehl" w:hint="cs"/>
          <w:spacing w:val="10"/>
          <w:szCs w:val="28"/>
          <w:shd w:val="clear" w:color="auto" w:fill="FFFFFF"/>
          <w:rtl/>
        </w:rPr>
        <w:t>52.</w:t>
      </w:r>
      <w:r w:rsidRPr="00A6390D">
        <w:rPr>
          <w:rFonts w:ascii="Century" w:hAnsi="Century" w:cs="FrankRuehl"/>
          <w:spacing w:val="10"/>
          <w:szCs w:val="28"/>
          <w:shd w:val="clear" w:color="auto" w:fill="FFFFFF"/>
          <w:rtl/>
        </w:rPr>
        <w:tab/>
      </w:r>
      <w:r w:rsidRPr="00A6390D">
        <w:rPr>
          <w:rFonts w:ascii="Century" w:hAnsi="Century" w:cs="FrankRuehl" w:hint="cs"/>
          <w:spacing w:val="10"/>
          <w:szCs w:val="28"/>
          <w:shd w:val="clear" w:color="auto" w:fill="FFFFFF"/>
          <w:rtl/>
        </w:rPr>
        <w:t>לצד זאת, ובמישור המעשי, אבקש להדגיש היבט חשוב נוסף שיש בו, ולו במידה חלקית, להקל על התוצאה המורכבת הכרוכה בהחלתו של ההסדר שבפנינו. הגם שסוגיה זו לא עמדה במרכז הדיון בפנינו, אני מוצאת לנכון להבהיר כי לאורך ההליך עמדתו של היועץ המשפטי לממשלה הייתה כי יש לפעול להסדרת מנגנון פיצוי למי שיוכיח כי הוא בעל זכויות במקרקעין שלגביהם הוחל ההסדר הקבוע בסעיף (ראו סעיף 6 ל</w:t>
      </w:r>
      <w:r w:rsidRPr="00A6390D">
        <w:rPr>
          <w:rFonts w:ascii="Century" w:hAnsi="Century" w:cs="FrankRuehl" w:hint="cs"/>
          <w:spacing w:val="10"/>
          <w:szCs w:val="28"/>
          <w:rtl/>
        </w:rPr>
        <w:t>חוות דעת היועמ"ש 2016</w:t>
      </w:r>
      <w:r w:rsidRPr="00A6390D">
        <w:rPr>
          <w:rFonts w:ascii="Century" w:hAnsi="Century" w:cs="FrankRuehl" w:hint="cs"/>
          <w:spacing w:val="10"/>
          <w:szCs w:val="28"/>
          <w:shd w:val="clear" w:color="auto" w:fill="FFFFFF"/>
          <w:rtl/>
        </w:rPr>
        <w:t xml:space="preserve">). זאת, באופן דומה להסדרים המקבילים המעוגנים בחוק נכסי נפקדים ובחוק נכסי גרמנים. בהקשר זה חברי השופט </w:t>
      </w:r>
      <w:r w:rsidRPr="00A6390D">
        <w:rPr>
          <w:rFonts w:ascii="Century" w:hAnsi="Century" w:cs="Miriam" w:hint="eastAsia"/>
          <w:b/>
          <w:shd w:val="clear" w:color="auto" w:fill="FFFFFF"/>
          <w:rtl/>
        </w:rPr>
        <w:t>סולברג</w:t>
      </w:r>
      <w:r w:rsidRPr="00A6390D">
        <w:rPr>
          <w:rFonts w:cs="FrankRuehl" w:hint="cs"/>
          <w:color w:val="000000"/>
          <w:spacing w:val="10"/>
          <w:sz w:val="28"/>
          <w:szCs w:val="28"/>
          <w:shd w:val="clear" w:color="auto" w:fill="FFFFFF"/>
          <w:rtl/>
        </w:rPr>
        <w:t xml:space="preserve"> </w:t>
      </w:r>
      <w:r w:rsidRPr="00A6390D">
        <w:rPr>
          <w:rFonts w:ascii="Century" w:hAnsi="Century" w:cs="FrankRuehl" w:hint="cs"/>
          <w:spacing w:val="10"/>
          <w:szCs w:val="28"/>
          <w:shd w:val="clear" w:color="auto" w:fill="FFFFFF"/>
          <w:rtl/>
        </w:rPr>
        <w:t xml:space="preserve">ציין כי פרשנות שכזו "היא טבעית ומתבקשת בנסיבות העניין" (פסקה </w:t>
      </w:r>
      <w:r w:rsidR="00DB19B0">
        <w:rPr>
          <w:rFonts w:ascii="Century" w:hAnsi="Century" w:cs="FrankRuehl" w:hint="cs"/>
          <w:spacing w:val="10"/>
          <w:szCs w:val="28"/>
          <w:shd w:val="clear" w:color="auto" w:fill="FFFFFF"/>
          <w:rtl/>
        </w:rPr>
        <w:t>105</w:t>
      </w:r>
      <w:r w:rsidRPr="00A6390D">
        <w:rPr>
          <w:rFonts w:ascii="Century" w:hAnsi="Century" w:cs="FrankRuehl" w:hint="cs"/>
          <w:spacing w:val="10"/>
          <w:szCs w:val="28"/>
          <w:shd w:val="clear" w:color="auto" w:fill="FFFFFF"/>
          <w:rtl/>
        </w:rPr>
        <w:t xml:space="preserve"> לפסק דינו). אין לי אלא להצטרף לעמדה זו, ולהדגיש כי מבחינתי מדובר בהיבט שהוא חלק בלתי נפרד מפרשנותו הכוללת של סעיף 5 לצו. למעשה, כשלעצמי, אעיר עוד, ואף בכך אני מצטרפת לחברי השופט</w:t>
      </w:r>
      <w:r w:rsidRPr="00A6390D">
        <w:rPr>
          <w:rFonts w:cs="FrankRuehl" w:hint="cs"/>
          <w:color w:val="000000"/>
          <w:spacing w:val="10"/>
          <w:sz w:val="28"/>
          <w:szCs w:val="28"/>
          <w:shd w:val="clear" w:color="auto" w:fill="FFFFFF"/>
          <w:rtl/>
        </w:rPr>
        <w:t xml:space="preserve"> </w:t>
      </w:r>
      <w:r w:rsidRPr="00A6390D">
        <w:rPr>
          <w:rFonts w:ascii="Century" w:hAnsi="Century" w:cs="Miriam" w:hint="eastAsia"/>
          <w:b/>
          <w:shd w:val="clear" w:color="auto" w:fill="FFFFFF"/>
          <w:rtl/>
        </w:rPr>
        <w:t>עמית</w:t>
      </w:r>
      <w:r w:rsidRPr="00A6390D">
        <w:rPr>
          <w:rFonts w:ascii="Century" w:hAnsi="Century" w:cs="FrankRuehl" w:hint="cs"/>
          <w:spacing w:val="10"/>
          <w:szCs w:val="28"/>
          <w:shd w:val="clear" w:color="auto" w:fill="FFFFFF"/>
          <w:rtl/>
        </w:rPr>
        <w:t xml:space="preserve">, כי בהתחשב בחריגותו של ההסדר שבפנינו, ובפרט בנסיבות המורכבות במיוחד של המקרה דנן, על הגורמים הנוגעים בדבר לתת פיצוי בעין בדמות קרקע חלופית הולמת </w:t>
      </w:r>
      <w:r>
        <w:rPr>
          <w:rFonts w:ascii="Century" w:hAnsi="Century" w:cs="FrankRuehl" w:hint="cs"/>
          <w:spacing w:val="10"/>
          <w:szCs w:val="28"/>
          <w:shd w:val="clear" w:color="auto" w:fill="FFFFFF"/>
          <w:rtl/>
        </w:rPr>
        <w:t xml:space="preserve">לבעלים הרשומים או </w:t>
      </w:r>
      <w:r w:rsidRPr="00A6390D">
        <w:rPr>
          <w:rFonts w:ascii="Century" w:hAnsi="Century" w:cs="FrankRuehl" w:hint="cs"/>
          <w:spacing w:val="10"/>
          <w:szCs w:val="28"/>
          <w:shd w:val="clear" w:color="auto" w:fill="FFFFFF"/>
          <w:rtl/>
        </w:rPr>
        <w:t>למי שיוכיחו זכויותיהם במקרקעין.</w:t>
      </w:r>
      <w:r>
        <w:rPr>
          <w:rFonts w:ascii="Century" w:hAnsi="Century" w:cs="FrankRuehl" w:hint="cs"/>
          <w:spacing w:val="10"/>
          <w:szCs w:val="28"/>
          <w:shd w:val="clear" w:color="auto" w:fill="FFFFFF"/>
          <w:rtl/>
        </w:rPr>
        <w:t xml:space="preserve"> למותר לציין כי מדובר בפיצוי בעין אשר ישקף את גודל המקרקעין </w:t>
      </w:r>
      <w:r w:rsidRPr="001F1FF9">
        <w:rPr>
          <w:rFonts w:ascii="Century" w:hAnsi="Century" w:cs="Miriam" w:hint="eastAsia"/>
          <w:b/>
          <w:sz w:val="22"/>
          <w:shd w:val="clear" w:color="auto" w:fill="FFFFFF"/>
          <w:rtl/>
        </w:rPr>
        <w:t>בפועל</w:t>
      </w:r>
      <w:r w:rsidRPr="0091148E">
        <w:rPr>
          <w:rFonts w:ascii="Century" w:hAnsi="Century" w:cs="FrankRuehl" w:hint="cs"/>
          <w:spacing w:val="10"/>
          <w:szCs w:val="28"/>
          <w:shd w:val="clear" w:color="auto" w:fill="FFFFFF"/>
          <w:rtl/>
        </w:rPr>
        <w:t xml:space="preserve"> </w:t>
      </w:r>
      <w:r>
        <w:rPr>
          <w:rFonts w:ascii="Century" w:hAnsi="Century" w:cs="FrankRuehl" w:hint="cs"/>
          <w:spacing w:val="10"/>
          <w:szCs w:val="28"/>
          <w:shd w:val="clear" w:color="auto" w:fill="FFFFFF"/>
          <w:rtl/>
        </w:rPr>
        <w:t xml:space="preserve">שביחס אליו מתקיימים תנאיו של ההסדר הקבוע בסעיף 5 לצו (בהתאם לגבולות הגזרה המפורטים בפסקה 57 להלן). </w:t>
      </w:r>
      <w:r w:rsidRPr="00A6390D">
        <w:rPr>
          <w:rFonts w:ascii="Century" w:hAnsi="Century" w:cs="FrankRuehl" w:hint="cs"/>
          <w:spacing w:val="10"/>
          <w:szCs w:val="28"/>
          <w:shd w:val="clear" w:color="auto" w:fill="FFFFFF"/>
          <w:rtl/>
        </w:rPr>
        <w:t xml:space="preserve">לשיטתי, דרך זו עולה בקנה אחד, ולו במידת מה, עם החובות המיוחדות החלות באזור </w:t>
      </w:r>
      <w:r>
        <w:rPr>
          <w:rFonts w:ascii="Century" w:hAnsi="Century" w:cs="FrankRuehl" w:hint="cs"/>
          <w:spacing w:val="10"/>
          <w:szCs w:val="28"/>
          <w:shd w:val="clear" w:color="auto" w:fill="FFFFFF"/>
          <w:rtl/>
        </w:rPr>
        <w:t xml:space="preserve">מכוח המשפט הבינלאומי </w:t>
      </w:r>
      <w:r w:rsidRPr="00A6390D">
        <w:rPr>
          <w:rFonts w:ascii="Century" w:hAnsi="Century" w:cs="FrankRuehl" w:hint="cs"/>
          <w:spacing w:val="10"/>
          <w:szCs w:val="28"/>
          <w:shd w:val="clear" w:color="auto" w:fill="FFFFFF"/>
          <w:rtl/>
        </w:rPr>
        <w:t>ועם החתירה לצמצום הפגיעה הכרוכה בהסדר דנן.</w:t>
      </w:r>
    </w:p>
    <w:p w:rsidR="005B1A77" w:rsidRPr="00A6390D" w:rsidRDefault="005B1A77" w:rsidP="005B1A77">
      <w:pPr>
        <w:spacing w:line="360" w:lineRule="auto"/>
        <w:jc w:val="both"/>
        <w:rPr>
          <w:rFonts w:ascii="Century" w:hAnsi="Century" w:cs="FrankRuehl"/>
          <w:spacing w:val="10"/>
          <w:szCs w:val="28"/>
          <w:shd w:val="clear" w:color="auto" w:fill="FFFFFF"/>
          <w:rtl/>
        </w:rPr>
      </w:pPr>
    </w:p>
    <w:p w:rsidR="005B1A77" w:rsidRPr="00A6390D" w:rsidRDefault="005B1A77" w:rsidP="005B1A77">
      <w:pPr>
        <w:spacing w:line="360" w:lineRule="auto"/>
        <w:jc w:val="both"/>
        <w:rPr>
          <w:rFonts w:ascii="Century" w:hAnsi="Century" w:cs="FrankRuehl"/>
          <w:spacing w:val="10"/>
          <w:szCs w:val="28"/>
          <w:shd w:val="clear" w:color="auto" w:fill="FFFFFF"/>
          <w:rtl/>
        </w:rPr>
      </w:pPr>
      <w:r w:rsidRPr="00A6390D">
        <w:rPr>
          <w:rFonts w:ascii="Century" w:hAnsi="Century" w:cs="FrankRuehl" w:hint="cs"/>
          <w:spacing w:val="10"/>
          <w:szCs w:val="28"/>
          <w:shd w:val="clear" w:color="auto" w:fill="FFFFFF"/>
          <w:rtl/>
        </w:rPr>
        <w:lastRenderedPageBreak/>
        <w:t>53.</w:t>
      </w:r>
      <w:r w:rsidRPr="00A6390D">
        <w:rPr>
          <w:rFonts w:ascii="Century" w:hAnsi="Century" w:cs="FrankRuehl" w:hint="cs"/>
          <w:spacing w:val="10"/>
          <w:szCs w:val="28"/>
          <w:shd w:val="clear" w:color="auto" w:fill="FFFFFF"/>
          <w:rtl/>
        </w:rPr>
        <w:tab/>
        <w:t xml:space="preserve">נוכח מורכבותם של הדברים, אני מבקשת לחזור בקצרה על עיקרי גישתי, שהובילוני עד הלום, תוך הבחנה בין הפן העקרוני לבין הפן היישומי, כמפורט להלן. </w:t>
      </w:r>
    </w:p>
    <w:p w:rsidR="005B1A77" w:rsidRPr="008A2BF9" w:rsidRDefault="005B1A77" w:rsidP="005B1A77">
      <w:pPr>
        <w:spacing w:line="360" w:lineRule="auto"/>
        <w:jc w:val="both"/>
        <w:rPr>
          <w:rFonts w:ascii="Century" w:hAnsi="Century" w:cs="FrankRuehl"/>
          <w:spacing w:val="10"/>
          <w:sz w:val="22"/>
          <w:szCs w:val="28"/>
          <w:shd w:val="clear" w:color="auto" w:fill="FFFFFF"/>
          <w:rtl/>
        </w:rPr>
      </w:pPr>
    </w:p>
    <w:p w:rsidR="005B1A77" w:rsidRPr="008A2BF9" w:rsidRDefault="005B1A77" w:rsidP="005B1A77">
      <w:pPr>
        <w:spacing w:line="360" w:lineRule="auto"/>
        <w:jc w:val="both"/>
        <w:rPr>
          <w:rFonts w:ascii="Century" w:hAnsi="Century" w:cs="FrankRuehl"/>
          <w:spacing w:val="10"/>
          <w:sz w:val="22"/>
          <w:szCs w:val="28"/>
          <w:shd w:val="clear" w:color="auto" w:fill="FFFFFF"/>
          <w:rtl/>
        </w:rPr>
      </w:pPr>
      <w:r w:rsidRPr="008A2BF9">
        <w:rPr>
          <w:rFonts w:ascii="Century" w:hAnsi="Century" w:cs="FrankRuehl" w:hint="cs"/>
          <w:spacing w:val="10"/>
          <w:sz w:val="22"/>
          <w:szCs w:val="28"/>
          <w:shd w:val="clear" w:color="auto" w:fill="FFFFFF"/>
          <w:rtl/>
        </w:rPr>
        <w:t xml:space="preserve">54. </w:t>
      </w:r>
      <w:r w:rsidRPr="008A2BF9">
        <w:rPr>
          <w:rFonts w:ascii="Century" w:hAnsi="Century" w:cs="FrankRuehl"/>
          <w:spacing w:val="10"/>
          <w:sz w:val="22"/>
          <w:szCs w:val="28"/>
          <w:shd w:val="clear" w:color="auto" w:fill="FFFFFF"/>
          <w:rtl/>
        </w:rPr>
        <w:tab/>
      </w:r>
      <w:r w:rsidRPr="008A2BF9">
        <w:rPr>
          <w:rFonts w:ascii="Century" w:hAnsi="Century" w:cs="FrankRuehl" w:hint="cs"/>
          <w:spacing w:val="10"/>
          <w:sz w:val="22"/>
          <w:szCs w:val="28"/>
          <w:shd w:val="clear" w:color="auto" w:fill="FFFFFF"/>
          <w:rtl/>
        </w:rPr>
        <w:t xml:space="preserve">במישור העקרוני אני סבורה כי נוכח מאפייניו המיוחדים של סעיף 5 לצו כהסדר המעגן "מעין" תקנת שוק, יש לשאוף ככלל לפרשנות מצמצמת של תנאיו. בהתאם לכך, בסוגיה העקרונית שהועמדה לפתחנו, מצאתי להצטרף לקביעה כי פרשנותו הראויה של הסעיף מחייבת את הממונה על הרכוש הממשלתי לעמוד בדרישת תום </w:t>
      </w:r>
      <w:r w:rsidRPr="008A2BF9">
        <w:rPr>
          <w:rFonts w:ascii="Century" w:hAnsi="Century" w:cs="FrankRuehl"/>
          <w:spacing w:val="10"/>
          <w:sz w:val="22"/>
          <w:szCs w:val="28"/>
          <w:rtl/>
        </w:rPr>
        <w:t>לב סובייקטיבית "ברף גבוה"</w:t>
      </w:r>
      <w:r w:rsidRPr="008A2BF9">
        <w:rPr>
          <w:rFonts w:ascii="Century" w:hAnsi="Century" w:cs="FrankRuehl" w:hint="cs"/>
          <w:spacing w:val="10"/>
          <w:sz w:val="22"/>
          <w:szCs w:val="28"/>
          <w:rtl/>
        </w:rPr>
        <w:t xml:space="preserve"> (ואולם כזו שאינו עולה לרף בחינה אובייקטיב</w:t>
      </w:r>
      <w:r w:rsidRPr="008A2BF9">
        <w:rPr>
          <w:rFonts w:ascii="Century" w:hAnsi="Century" w:cs="FrankRuehl" w:hint="eastAsia"/>
          <w:spacing w:val="10"/>
          <w:sz w:val="22"/>
          <w:szCs w:val="28"/>
          <w:rtl/>
        </w:rPr>
        <w:t>י</w:t>
      </w:r>
      <w:r w:rsidRPr="008A2BF9">
        <w:rPr>
          <w:rFonts w:ascii="Century" w:hAnsi="Century" w:cs="FrankRuehl" w:hint="cs"/>
          <w:spacing w:val="10"/>
          <w:sz w:val="22"/>
          <w:szCs w:val="28"/>
          <w:rtl/>
        </w:rPr>
        <w:t>)</w:t>
      </w:r>
      <w:r w:rsidRPr="008A2BF9">
        <w:rPr>
          <w:rFonts w:ascii="Century" w:hAnsi="Century" w:cs="FrankRuehl" w:hint="cs"/>
          <w:spacing w:val="10"/>
          <w:sz w:val="22"/>
          <w:szCs w:val="28"/>
          <w:shd w:val="clear" w:color="auto" w:fill="FFFFFF"/>
          <w:rtl/>
        </w:rPr>
        <w:t xml:space="preserve">. זאת ועוד, מצאתי להבהיר כי גישתי הפרשנית מחייבת הקפדה יתרה אף ביחס לתנאים נוספים הדרושים לצורך התקיימותו של סעיף 5 לצו, ואשר משליכים על היקף תחולתו. </w:t>
      </w:r>
    </w:p>
    <w:p w:rsidR="005B1A77" w:rsidRPr="00A6390D" w:rsidRDefault="005B1A77" w:rsidP="005B1A77">
      <w:pPr>
        <w:spacing w:line="360" w:lineRule="auto"/>
        <w:jc w:val="both"/>
        <w:rPr>
          <w:rFonts w:ascii="Century" w:hAnsi="Century" w:cs="FrankRuehl"/>
          <w:spacing w:val="10"/>
          <w:szCs w:val="28"/>
          <w:shd w:val="clear" w:color="auto" w:fill="FFFFFF"/>
          <w:rtl/>
        </w:rPr>
      </w:pPr>
    </w:p>
    <w:p w:rsidR="005B1A77" w:rsidRPr="008A2BF9" w:rsidRDefault="005B1A77" w:rsidP="005B1A77">
      <w:pPr>
        <w:spacing w:line="360" w:lineRule="auto"/>
        <w:jc w:val="both"/>
        <w:rPr>
          <w:rFonts w:ascii="Century" w:hAnsi="Century" w:cs="FrankRuehl"/>
          <w:spacing w:val="10"/>
          <w:sz w:val="22"/>
          <w:szCs w:val="28"/>
          <w:shd w:val="clear" w:color="auto" w:fill="FFFFFF"/>
          <w:rtl/>
        </w:rPr>
      </w:pPr>
      <w:r w:rsidRPr="00A6390D">
        <w:rPr>
          <w:rFonts w:ascii="Century" w:hAnsi="Century" w:cs="FrankRuehl" w:hint="cs"/>
          <w:spacing w:val="10"/>
          <w:szCs w:val="28"/>
          <w:shd w:val="clear" w:color="auto" w:fill="FFFFFF"/>
          <w:rtl/>
        </w:rPr>
        <w:t>55.</w:t>
      </w:r>
      <w:r w:rsidRPr="00A6390D">
        <w:rPr>
          <w:rFonts w:ascii="Century" w:hAnsi="Century" w:cs="FrankRuehl"/>
          <w:spacing w:val="10"/>
          <w:szCs w:val="28"/>
          <w:shd w:val="clear" w:color="auto" w:fill="FFFFFF"/>
          <w:rtl/>
        </w:rPr>
        <w:tab/>
      </w:r>
      <w:r w:rsidRPr="00A6390D">
        <w:rPr>
          <w:rFonts w:ascii="Century" w:hAnsi="Century" w:cs="FrankRuehl" w:hint="cs"/>
          <w:spacing w:val="10"/>
          <w:szCs w:val="28"/>
          <w:shd w:val="clear" w:color="auto" w:fill="FFFFFF"/>
          <w:rtl/>
        </w:rPr>
        <w:t xml:space="preserve">באופן קונקרטי, וזהו היבט מרכזי של גישתי, אני סבורה כי אין להכיר בהתקשרות הראשונית שנעשתה בין הממונה ובין גורם מיישב כדוגמת ההסתדרות הציונית כממלאת אחר דרישות סעיף 5 לצו. זאת, כל עוד לא ניתן להצביע על גורם שלישי "ממשי", כחולייה נוספת של העסקה שפעלה בהסתמך על אותה ההתקשרות. בהתאם לכך, מצאתי להסביר כי עמדה זו משליכה אף על אופן יישומו של יסוד תום הלב. כך, וככל שהדברים מתייחסים למי שהתקשר עם הממונה, הדגשתי כי יש מקום לבחון את התקיימותו של יסוד תום הלב אף ביחס לאותם גורמים שלישיים נוספים. כמו כן, הבהרתי כי יש לטעמי לתת משקל משמעותי לפעולות הנוגעות לחוליית ההתקשרות </w:t>
      </w:r>
      <w:r>
        <w:rPr>
          <w:rFonts w:ascii="Century" w:hAnsi="Century" w:cs="FrankRuehl" w:hint="cs"/>
          <w:spacing w:val="10"/>
          <w:szCs w:val="28"/>
          <w:shd w:val="clear" w:color="auto" w:fill="FFFFFF"/>
          <w:rtl/>
        </w:rPr>
        <w:t>הנוספת,</w:t>
      </w:r>
      <w:r w:rsidRPr="00A6390D">
        <w:rPr>
          <w:rFonts w:ascii="Century" w:hAnsi="Century" w:cs="FrankRuehl" w:hint="cs"/>
          <w:spacing w:val="10"/>
          <w:szCs w:val="28"/>
          <w:shd w:val="clear" w:color="auto" w:fill="FFFFFF"/>
          <w:rtl/>
        </w:rPr>
        <w:t xml:space="preserve"> וזאת בכל הנוגע לעיתוי לבחינתו של יסוד תום הלב. זאת ועוד, מצאתי להדגיש כי לשיטתי דרישת התמורה מהווה נדבך חשוב המעוגן בתכליתו של סעיף 5 לצו. בהקשר זה עמדתי על כך שיש לאמץ בענייננו אמת מידה קפדנית, כזו שאינה מסתפקת בתמורה כספית בלבד, אלא מתבטאת בפעולות ממשיות וביצועיות, במובן של הקמת בתים וישיבה בהם. </w:t>
      </w:r>
      <w:r w:rsidRPr="008A2BF9">
        <w:rPr>
          <w:rFonts w:ascii="Century" w:hAnsi="Century" w:cs="FrankRuehl" w:hint="cs"/>
          <w:spacing w:val="10"/>
          <w:sz w:val="22"/>
          <w:szCs w:val="28"/>
          <w:shd w:val="clear" w:color="auto" w:fill="FFFFFF"/>
          <w:rtl/>
        </w:rPr>
        <w:t xml:space="preserve">לבסוף, הדגשתי את החשיבות שבהסדרת מנגנון פיצוי הולם, לרבות האפשרות, במקרים המתאימים, למתן קרקע חלופית למי שצפויים להיפגע מההסדר.  </w:t>
      </w:r>
    </w:p>
    <w:p w:rsidR="005B1A77" w:rsidRPr="008A2BF9" w:rsidRDefault="005B1A77" w:rsidP="005B1A77">
      <w:pPr>
        <w:spacing w:line="360" w:lineRule="auto"/>
        <w:jc w:val="both"/>
        <w:rPr>
          <w:rFonts w:ascii="Century" w:hAnsi="Century" w:cs="FrankRuehl"/>
          <w:spacing w:val="10"/>
          <w:sz w:val="22"/>
          <w:szCs w:val="28"/>
          <w:shd w:val="clear" w:color="auto" w:fill="FFFFFF"/>
          <w:rtl/>
        </w:rPr>
      </w:pPr>
    </w:p>
    <w:p w:rsidR="005B1A77" w:rsidRPr="008A2BF9" w:rsidRDefault="005B1A77" w:rsidP="005B1A77">
      <w:pPr>
        <w:spacing w:line="360" w:lineRule="auto"/>
        <w:jc w:val="both"/>
        <w:rPr>
          <w:rFonts w:ascii="Century" w:hAnsi="Century" w:cs="FrankRuehl"/>
          <w:spacing w:val="10"/>
          <w:sz w:val="22"/>
          <w:szCs w:val="28"/>
          <w:shd w:val="clear" w:color="auto" w:fill="FFFFFF"/>
          <w:rtl/>
        </w:rPr>
      </w:pPr>
      <w:r w:rsidRPr="008A2BF9">
        <w:rPr>
          <w:rFonts w:ascii="Century" w:hAnsi="Century" w:cs="FrankRuehl" w:hint="cs"/>
          <w:spacing w:val="10"/>
          <w:sz w:val="22"/>
          <w:szCs w:val="28"/>
          <w:shd w:val="clear" w:color="auto" w:fill="FFFFFF"/>
          <w:rtl/>
        </w:rPr>
        <w:t>56.</w:t>
      </w:r>
      <w:r w:rsidRPr="008A2BF9">
        <w:rPr>
          <w:rFonts w:ascii="Century" w:hAnsi="Century" w:cs="FrankRuehl" w:hint="cs"/>
          <w:spacing w:val="10"/>
          <w:sz w:val="22"/>
          <w:szCs w:val="28"/>
          <w:shd w:val="clear" w:color="auto" w:fill="FFFFFF"/>
          <w:rtl/>
        </w:rPr>
        <w:tab/>
        <w:t xml:space="preserve">במישור היישומי, מצאתי להצטרף לקביעה כי בנסיבות העניין, ובין היתר בהתחשב בפעולות ובבדיקות שנערכו בנקודת הזמן הרלוונטית להקמת הישוב מצפה כרמים במיקומו הנוכחי, ניתן לומר כי הצדדים להליך עמדו בדרישת תום הלב שבה הם חבים. זאת, אף בשים לב לכך שעסקינן בבחינת פרקטיקות ופעולות שהתרחשו לפני שנים רבות. בהמשך לכך, באתי לכלל מסקנה כי גם יתר תנאי סעיף 5 לצו התקיימו בנסיבות המקרה שבפנינו. בפרט, נתתי משקל לבחינת ההתקשרות עם החוליה האחרונה בשרשרת </w:t>
      </w:r>
      <w:r w:rsidRPr="008A2BF9">
        <w:rPr>
          <w:rFonts w:ascii="Century" w:hAnsi="Century" w:cs="FrankRuehl"/>
          <w:spacing w:val="10"/>
          <w:sz w:val="22"/>
          <w:szCs w:val="28"/>
          <w:shd w:val="clear" w:color="auto" w:fill="FFFFFF"/>
          <w:rtl/>
        </w:rPr>
        <w:t>–</w:t>
      </w:r>
      <w:r w:rsidRPr="008A2BF9">
        <w:rPr>
          <w:rFonts w:ascii="Century" w:hAnsi="Century" w:cs="FrankRuehl" w:hint="cs"/>
          <w:spacing w:val="10"/>
          <w:sz w:val="22"/>
          <w:szCs w:val="28"/>
          <w:shd w:val="clear" w:color="auto" w:fill="FFFFFF"/>
          <w:rtl/>
        </w:rPr>
        <w:t xml:space="preserve"> הם המחזיקים </w:t>
      </w:r>
      <w:r w:rsidRPr="008A2BF9">
        <w:rPr>
          <w:rFonts w:ascii="Century" w:hAnsi="Century" w:cs="FrankRuehl"/>
          <w:spacing w:val="10"/>
          <w:sz w:val="22"/>
          <w:szCs w:val="28"/>
          <w:shd w:val="clear" w:color="auto" w:fill="FFFFFF"/>
          <w:rtl/>
        </w:rPr>
        <w:t>–</w:t>
      </w:r>
      <w:r w:rsidRPr="008A2BF9">
        <w:rPr>
          <w:rFonts w:ascii="Century" w:hAnsi="Century" w:cs="FrankRuehl" w:hint="cs"/>
          <w:spacing w:val="10"/>
          <w:sz w:val="22"/>
          <w:szCs w:val="28"/>
          <w:shd w:val="clear" w:color="auto" w:fill="FFFFFF"/>
          <w:rtl/>
        </w:rPr>
        <w:t xml:space="preserve"> וזאת הן בהיבט של תום הלב והן בהיבט התמורה. </w:t>
      </w:r>
    </w:p>
    <w:p w:rsidR="005B1A77" w:rsidRPr="005C383F" w:rsidRDefault="005B1A77" w:rsidP="005B1A77">
      <w:pPr>
        <w:spacing w:line="360" w:lineRule="auto"/>
        <w:jc w:val="both"/>
        <w:rPr>
          <w:rFonts w:ascii="Century" w:hAnsi="Century" w:cs="FrankRuehl"/>
          <w:spacing w:val="10"/>
          <w:szCs w:val="28"/>
          <w:shd w:val="clear" w:color="auto" w:fill="FFFFFF"/>
          <w:rtl/>
        </w:rPr>
      </w:pPr>
    </w:p>
    <w:p w:rsidR="005B1A77" w:rsidRDefault="005B1A77" w:rsidP="005B1A77">
      <w:pPr>
        <w:spacing w:line="360" w:lineRule="auto"/>
        <w:jc w:val="both"/>
        <w:rPr>
          <w:rFonts w:ascii="Century" w:hAnsi="Century" w:cs="FrankRuehl"/>
          <w:spacing w:val="10"/>
          <w:szCs w:val="28"/>
          <w:shd w:val="clear" w:color="auto" w:fill="FFFFFF"/>
          <w:rtl/>
        </w:rPr>
      </w:pPr>
      <w:r w:rsidRPr="005C383F">
        <w:rPr>
          <w:rFonts w:ascii="Century" w:hAnsi="Century" w:cs="FrankRuehl" w:hint="cs"/>
          <w:spacing w:val="10"/>
          <w:szCs w:val="28"/>
          <w:shd w:val="clear" w:color="auto" w:fill="FFFFFF"/>
          <w:rtl/>
        </w:rPr>
        <w:lastRenderedPageBreak/>
        <w:t>57.</w:t>
      </w:r>
      <w:r w:rsidRPr="005C383F">
        <w:rPr>
          <w:rFonts w:ascii="Century" w:hAnsi="Century" w:cs="FrankRuehl"/>
          <w:spacing w:val="10"/>
          <w:szCs w:val="28"/>
          <w:shd w:val="clear" w:color="auto" w:fill="FFFFFF"/>
          <w:rtl/>
        </w:rPr>
        <w:tab/>
      </w:r>
      <w:r w:rsidRPr="005C383F">
        <w:rPr>
          <w:rFonts w:ascii="Century" w:hAnsi="Century" w:cs="FrankRuehl" w:hint="cs"/>
          <w:spacing w:val="10"/>
          <w:szCs w:val="28"/>
          <w:shd w:val="clear" w:color="auto" w:fill="FFFFFF"/>
          <w:rtl/>
        </w:rPr>
        <w:t xml:space="preserve">למען הסר ספק, אדגיש כי לשיטתי תנאיו של סעיף 5 לצו מתמלאים בענייננו </w:t>
      </w:r>
      <w:r>
        <w:rPr>
          <w:rFonts w:ascii="Century" w:hAnsi="Century" w:cs="FrankRuehl" w:hint="cs"/>
          <w:spacing w:val="10"/>
          <w:szCs w:val="28"/>
          <w:shd w:val="clear" w:color="auto" w:fill="FFFFFF"/>
          <w:rtl/>
        </w:rPr>
        <w:t>בכפוף</w:t>
      </w:r>
      <w:r w:rsidRPr="005C383F">
        <w:rPr>
          <w:rFonts w:ascii="Century" w:hAnsi="Century" w:cs="FrankRuehl" w:hint="cs"/>
          <w:spacing w:val="10"/>
          <w:szCs w:val="28"/>
          <w:shd w:val="clear" w:color="auto" w:fill="FFFFFF"/>
          <w:rtl/>
        </w:rPr>
        <w:t xml:space="preserve"> </w:t>
      </w:r>
      <w:r>
        <w:rPr>
          <w:rFonts w:ascii="Century" w:hAnsi="Century" w:cs="FrankRuehl" w:hint="cs"/>
          <w:spacing w:val="10"/>
          <w:szCs w:val="28"/>
          <w:shd w:val="clear" w:color="auto" w:fill="FFFFFF"/>
          <w:rtl/>
        </w:rPr>
        <w:t>לשני</w:t>
      </w:r>
      <w:r w:rsidRPr="005C383F">
        <w:rPr>
          <w:rFonts w:ascii="Century" w:hAnsi="Century" w:cs="FrankRuehl" w:hint="cs"/>
          <w:spacing w:val="10"/>
          <w:szCs w:val="28"/>
          <w:shd w:val="clear" w:color="auto" w:fill="FFFFFF"/>
          <w:rtl/>
        </w:rPr>
        <w:t xml:space="preserve"> סייגים. </w:t>
      </w:r>
    </w:p>
    <w:p w:rsidR="005B1A77" w:rsidRDefault="005B1A77" w:rsidP="005B1A77">
      <w:pPr>
        <w:spacing w:line="360" w:lineRule="auto"/>
        <w:jc w:val="both"/>
        <w:rPr>
          <w:rFonts w:ascii="Century" w:hAnsi="Century" w:cs="FrankRuehl"/>
          <w:spacing w:val="10"/>
          <w:szCs w:val="28"/>
          <w:shd w:val="clear" w:color="auto" w:fill="FFFFFF"/>
          <w:rtl/>
        </w:rPr>
      </w:pPr>
    </w:p>
    <w:p w:rsidR="005B1A77" w:rsidRDefault="005B1A77" w:rsidP="005B1A77">
      <w:pPr>
        <w:spacing w:line="360" w:lineRule="auto"/>
        <w:ind w:firstLine="720"/>
        <w:jc w:val="both"/>
        <w:rPr>
          <w:rFonts w:cs="FrankRuehl"/>
          <w:color w:val="000000"/>
          <w:spacing w:val="10"/>
          <w:sz w:val="28"/>
          <w:szCs w:val="28"/>
          <w:shd w:val="clear" w:color="auto" w:fill="FFFFFF"/>
          <w:rtl/>
        </w:rPr>
      </w:pPr>
      <w:r w:rsidRPr="005C383F">
        <w:rPr>
          <w:rFonts w:ascii="Century" w:hAnsi="Century" w:cs="FrankRuehl" w:hint="cs"/>
          <w:spacing w:val="10"/>
          <w:szCs w:val="28"/>
          <w:shd w:val="clear" w:color="auto" w:fill="FFFFFF"/>
          <w:rtl/>
        </w:rPr>
        <w:t xml:space="preserve">ראשית, </w:t>
      </w:r>
      <w:r w:rsidRPr="000670F0">
        <w:rPr>
          <w:rFonts w:ascii="Century" w:hAnsi="Century" w:cs="Miriam" w:hint="eastAsia"/>
          <w:b/>
          <w:sz w:val="22"/>
          <w:shd w:val="clear" w:color="auto" w:fill="FFFFFF"/>
          <w:rtl/>
        </w:rPr>
        <w:t>התנאים</w:t>
      </w:r>
      <w:r w:rsidRPr="000670F0">
        <w:rPr>
          <w:rFonts w:ascii="Century" w:hAnsi="Century" w:cs="Miriam"/>
          <w:b/>
          <w:sz w:val="22"/>
          <w:shd w:val="clear" w:color="auto" w:fill="FFFFFF"/>
          <w:rtl/>
        </w:rPr>
        <w:t xml:space="preserve"> </w:t>
      </w:r>
      <w:r w:rsidRPr="000670F0">
        <w:rPr>
          <w:rFonts w:ascii="Century" w:hAnsi="Century" w:cs="Miriam" w:hint="eastAsia"/>
          <w:b/>
          <w:sz w:val="22"/>
          <w:shd w:val="clear" w:color="auto" w:fill="FFFFFF"/>
          <w:rtl/>
        </w:rPr>
        <w:t>יחולו</w:t>
      </w:r>
      <w:r w:rsidRPr="000670F0">
        <w:rPr>
          <w:rFonts w:ascii="Century" w:hAnsi="Century" w:cs="Miriam"/>
          <w:b/>
          <w:sz w:val="22"/>
          <w:shd w:val="clear" w:color="auto" w:fill="FFFFFF"/>
          <w:rtl/>
        </w:rPr>
        <w:t xml:space="preserve">, </w:t>
      </w:r>
      <w:r w:rsidRPr="000670F0">
        <w:rPr>
          <w:rFonts w:ascii="Century" w:hAnsi="Century" w:cs="Miriam" w:hint="eastAsia"/>
          <w:b/>
          <w:sz w:val="22"/>
          <w:shd w:val="clear" w:color="auto" w:fill="FFFFFF"/>
          <w:rtl/>
        </w:rPr>
        <w:t>לכל</w:t>
      </w:r>
      <w:r w:rsidRPr="000670F0">
        <w:rPr>
          <w:rFonts w:ascii="Century" w:hAnsi="Century" w:cs="Miriam"/>
          <w:b/>
          <w:sz w:val="22"/>
          <w:shd w:val="clear" w:color="auto" w:fill="FFFFFF"/>
          <w:rtl/>
        </w:rPr>
        <w:t xml:space="preserve"> </w:t>
      </w:r>
      <w:r w:rsidRPr="000670F0">
        <w:rPr>
          <w:rFonts w:ascii="Century" w:hAnsi="Century" w:cs="Miriam" w:hint="eastAsia"/>
          <w:b/>
          <w:sz w:val="22"/>
          <w:shd w:val="clear" w:color="auto" w:fill="FFFFFF"/>
          <w:rtl/>
        </w:rPr>
        <w:t>היותר</w:t>
      </w:r>
      <w:r w:rsidRPr="000670F0">
        <w:rPr>
          <w:rFonts w:ascii="Century" w:hAnsi="Century" w:cs="Miriam"/>
          <w:b/>
          <w:sz w:val="22"/>
          <w:shd w:val="clear" w:color="auto" w:fill="FFFFFF"/>
          <w:rtl/>
        </w:rPr>
        <w:t xml:space="preserve">, </w:t>
      </w:r>
      <w:r w:rsidRPr="000670F0">
        <w:rPr>
          <w:rFonts w:ascii="Century" w:hAnsi="Century" w:cs="Miriam" w:hint="eastAsia"/>
          <w:b/>
          <w:sz w:val="22"/>
          <w:shd w:val="clear" w:color="auto" w:fill="FFFFFF"/>
          <w:rtl/>
        </w:rPr>
        <w:t>ביחס</w:t>
      </w:r>
      <w:r w:rsidRPr="000670F0">
        <w:rPr>
          <w:rFonts w:ascii="Century" w:hAnsi="Century" w:cs="Miriam"/>
          <w:b/>
          <w:sz w:val="22"/>
          <w:shd w:val="clear" w:color="auto" w:fill="FFFFFF"/>
          <w:rtl/>
        </w:rPr>
        <w:t xml:space="preserve"> </w:t>
      </w:r>
      <w:r w:rsidRPr="000670F0">
        <w:rPr>
          <w:rFonts w:ascii="Century" w:hAnsi="Century" w:cs="Miriam" w:hint="eastAsia"/>
          <w:b/>
          <w:sz w:val="22"/>
          <w:shd w:val="clear" w:color="auto" w:fill="FFFFFF"/>
          <w:rtl/>
        </w:rPr>
        <w:t>לחלקות</w:t>
      </w:r>
      <w:r w:rsidRPr="000670F0">
        <w:rPr>
          <w:rFonts w:ascii="Century" w:hAnsi="Century" w:cs="Miriam"/>
          <w:b/>
          <w:sz w:val="22"/>
          <w:shd w:val="clear" w:color="auto" w:fill="FFFFFF"/>
          <w:rtl/>
        </w:rPr>
        <w:t xml:space="preserve"> </w:t>
      </w:r>
      <w:r w:rsidRPr="000670F0">
        <w:rPr>
          <w:rFonts w:ascii="Century" w:hAnsi="Century" w:cs="Miriam" w:hint="eastAsia"/>
          <w:b/>
          <w:sz w:val="22"/>
          <w:shd w:val="clear" w:color="auto" w:fill="FFFFFF"/>
          <w:rtl/>
        </w:rPr>
        <w:t>הקונקרטיות</w:t>
      </w:r>
      <w:r w:rsidRPr="000670F0">
        <w:rPr>
          <w:rFonts w:ascii="Century" w:hAnsi="Century" w:cs="Miriam"/>
          <w:b/>
          <w:sz w:val="22"/>
          <w:shd w:val="clear" w:color="auto" w:fill="FFFFFF"/>
          <w:rtl/>
        </w:rPr>
        <w:t xml:space="preserve"> </w:t>
      </w:r>
      <w:r w:rsidRPr="00C57AC4">
        <w:rPr>
          <w:rFonts w:ascii="Century" w:hAnsi="Century" w:cs="Miriam" w:hint="eastAsia"/>
          <w:b/>
          <w:sz w:val="22"/>
          <w:shd w:val="clear" w:color="auto" w:fill="FFFFFF"/>
          <w:rtl/>
        </w:rPr>
        <w:t>בבעלות</w:t>
      </w:r>
      <w:r w:rsidRPr="00C57AC4">
        <w:rPr>
          <w:rFonts w:ascii="Century" w:hAnsi="Century" w:cs="Miriam"/>
          <w:b/>
          <w:sz w:val="22"/>
          <w:shd w:val="clear" w:color="auto" w:fill="FFFFFF"/>
          <w:rtl/>
        </w:rPr>
        <w:t xml:space="preserve"> </w:t>
      </w:r>
      <w:r w:rsidRPr="00C57AC4">
        <w:rPr>
          <w:rFonts w:ascii="Century" w:hAnsi="Century" w:cs="Miriam" w:hint="eastAsia"/>
          <w:b/>
          <w:sz w:val="22"/>
          <w:shd w:val="clear" w:color="auto" w:fill="FFFFFF"/>
          <w:rtl/>
        </w:rPr>
        <w:t>פרטית</w:t>
      </w:r>
      <w:r w:rsidRPr="000670F0">
        <w:rPr>
          <w:rFonts w:ascii="Century" w:hAnsi="Century" w:cs="FrankRuehl" w:hint="cs"/>
          <w:spacing w:val="10"/>
          <w:szCs w:val="28"/>
          <w:shd w:val="clear" w:color="auto" w:fill="FFFFFF"/>
          <w:rtl/>
        </w:rPr>
        <w:t xml:space="preserve"> </w:t>
      </w:r>
      <w:r>
        <w:rPr>
          <w:rFonts w:ascii="Century" w:hAnsi="Century" w:cs="FrankRuehl" w:hint="cs"/>
          <w:spacing w:val="10"/>
          <w:szCs w:val="28"/>
          <w:shd w:val="clear" w:color="auto" w:fill="FFFFFF"/>
          <w:rtl/>
        </w:rPr>
        <w:t>שצוינו בכתב התביעה כפי שהוגש בבית המשפט המחוזי, שנמצאות בשימוש ולגביהן התבקש סעד. באופן מעשי, המדובר ב</w:t>
      </w:r>
      <w:r w:rsidRPr="005C383F">
        <w:rPr>
          <w:rFonts w:ascii="Century" w:hAnsi="Century" w:cs="FrankRuehl" w:hint="cs"/>
          <w:spacing w:val="10"/>
          <w:szCs w:val="28"/>
          <w:shd w:val="clear" w:color="auto" w:fill="FFFFFF"/>
          <w:rtl/>
        </w:rPr>
        <w:t>חלקות 12, 13, 14, 15 ו-23 בגוש 19, ששטחן הכולל, כעולה מהנתונים שהוצגו בהליך, עומד על כ-70 דונמים (ראו: חוות דעת מומחית בעניין "הערכת שווי מקרקעין" מחודש יולי 2016 שהוצגה בבית המשפט המחוזי</w:t>
      </w:r>
      <w:r>
        <w:rPr>
          <w:rFonts w:ascii="Century" w:hAnsi="Century" w:cs="FrankRuehl" w:hint="cs"/>
          <w:spacing w:val="10"/>
          <w:szCs w:val="28"/>
          <w:shd w:val="clear" w:color="auto" w:fill="FFFFFF"/>
          <w:rtl/>
        </w:rPr>
        <w:t xml:space="preserve"> והמפות שצורפו לה</w:t>
      </w:r>
      <w:r w:rsidRPr="005C383F">
        <w:rPr>
          <w:rFonts w:ascii="Century" w:hAnsi="Century" w:cs="FrankRuehl" w:hint="cs"/>
          <w:spacing w:val="10"/>
          <w:szCs w:val="28"/>
          <w:shd w:val="clear" w:color="auto" w:fill="FFFFFF"/>
          <w:rtl/>
        </w:rPr>
        <w:t xml:space="preserve"> (להלן:</w:t>
      </w:r>
      <w:r w:rsidRPr="005C383F">
        <w:rPr>
          <w:rFonts w:cs="FrankRuehl" w:hint="cs"/>
          <w:color w:val="000000"/>
          <w:spacing w:val="10"/>
          <w:sz w:val="28"/>
          <w:szCs w:val="28"/>
          <w:shd w:val="clear" w:color="auto" w:fill="FFFFFF"/>
          <w:rtl/>
        </w:rPr>
        <w:t xml:space="preserve"> </w:t>
      </w:r>
      <w:r w:rsidRPr="00716345">
        <w:rPr>
          <w:rFonts w:ascii="Century" w:hAnsi="Century" w:cs="Miriam" w:hint="eastAsia"/>
          <w:b/>
          <w:shd w:val="clear" w:color="auto" w:fill="FFFFFF"/>
          <w:rtl/>
        </w:rPr>
        <w:t>חוות</w:t>
      </w:r>
      <w:r w:rsidRPr="00716345">
        <w:rPr>
          <w:rFonts w:ascii="Century" w:hAnsi="Century" w:cs="Miriam"/>
          <w:b/>
          <w:shd w:val="clear" w:color="auto" w:fill="FFFFFF"/>
          <w:rtl/>
        </w:rPr>
        <w:t xml:space="preserve"> </w:t>
      </w:r>
      <w:r w:rsidRPr="00716345">
        <w:rPr>
          <w:rFonts w:ascii="Century" w:hAnsi="Century" w:cs="Miriam" w:hint="eastAsia"/>
          <w:b/>
          <w:shd w:val="clear" w:color="auto" w:fill="FFFFFF"/>
          <w:rtl/>
        </w:rPr>
        <w:t>הדעת</w:t>
      </w:r>
      <w:r w:rsidRPr="00716345">
        <w:rPr>
          <w:rFonts w:ascii="Century" w:hAnsi="Century" w:cs="Miriam"/>
          <w:b/>
          <w:shd w:val="clear" w:color="auto" w:fill="FFFFFF"/>
          <w:rtl/>
        </w:rPr>
        <w:t xml:space="preserve"> </w:t>
      </w:r>
      <w:r w:rsidRPr="00716345">
        <w:rPr>
          <w:rFonts w:ascii="Century" w:hAnsi="Century" w:cs="Miriam" w:hint="eastAsia"/>
          <w:b/>
          <w:shd w:val="clear" w:color="auto" w:fill="FFFFFF"/>
          <w:rtl/>
        </w:rPr>
        <w:t>השמאית</w:t>
      </w:r>
      <w:r>
        <w:rPr>
          <w:rFonts w:cs="FrankRuehl" w:hint="cs"/>
          <w:color w:val="000000"/>
          <w:spacing w:val="10"/>
          <w:sz w:val="28"/>
          <w:szCs w:val="28"/>
          <w:shd w:val="clear" w:color="auto" w:fill="FFFFFF"/>
          <w:rtl/>
        </w:rPr>
        <w:t xml:space="preserve">)). </w:t>
      </w:r>
      <w:r>
        <w:rPr>
          <w:rFonts w:ascii="Century" w:hAnsi="Century" w:cs="FrankRuehl" w:hint="cs"/>
          <w:spacing w:val="10"/>
          <w:szCs w:val="28"/>
          <w:shd w:val="clear" w:color="auto" w:fill="FFFFFF"/>
          <w:rtl/>
        </w:rPr>
        <w:t xml:space="preserve">בהקשר זה יצוין כי ביחס לחלקה 16, שאף היא הוזכרה בכתב התביעה, הובהר במסגרת ההליך כי </w:t>
      </w:r>
      <w:r w:rsidRPr="009C6126">
        <w:rPr>
          <w:rFonts w:ascii="Century" w:hAnsi="Century" w:cs="FrankRuehl"/>
          <w:spacing w:val="10"/>
          <w:szCs w:val="28"/>
          <w:shd w:val="clear" w:color="auto" w:fill="FFFFFF"/>
          <w:rtl/>
        </w:rPr>
        <w:t xml:space="preserve">מדובר באדמת מדינה להבדיל מקרקע בבעלות פרטית. </w:t>
      </w:r>
      <w:r>
        <w:rPr>
          <w:rFonts w:ascii="Century" w:hAnsi="Century" w:cs="FrankRuehl" w:hint="cs"/>
          <w:spacing w:val="10"/>
          <w:szCs w:val="28"/>
          <w:shd w:val="clear" w:color="auto" w:fill="FFFFFF"/>
          <w:rtl/>
        </w:rPr>
        <w:t xml:space="preserve">עוד יוער כי אמנם התבקש סעד גם לגבי חלקה 11, אך עיון במפות שצורפו מעלה לכאורה כי בחלקה זו לא נבנו מבנים כלשהם ואף בכתב התביעה לא נטען כי מי מהמחזיקים שבפנינו מתגורר שם (סעיף 7 לכתב התביעה). </w:t>
      </w:r>
    </w:p>
    <w:p w:rsidR="005B1A77" w:rsidRDefault="005B1A77" w:rsidP="005B1A77">
      <w:pPr>
        <w:spacing w:line="360" w:lineRule="auto"/>
        <w:ind w:firstLine="720"/>
        <w:jc w:val="both"/>
        <w:rPr>
          <w:rFonts w:cs="FrankRuehl"/>
          <w:color w:val="000000"/>
          <w:spacing w:val="10"/>
          <w:sz w:val="28"/>
          <w:szCs w:val="28"/>
          <w:shd w:val="clear" w:color="auto" w:fill="FFFFFF"/>
          <w:rtl/>
        </w:rPr>
      </w:pPr>
    </w:p>
    <w:p w:rsidR="005B1A77" w:rsidRDefault="005B1A77" w:rsidP="005B1A77">
      <w:pPr>
        <w:spacing w:line="360" w:lineRule="auto"/>
        <w:ind w:firstLine="720"/>
        <w:jc w:val="both"/>
        <w:rPr>
          <w:rFonts w:cs="FrankRuehl"/>
          <w:color w:val="000000"/>
          <w:spacing w:val="10"/>
          <w:sz w:val="28"/>
          <w:szCs w:val="28"/>
          <w:shd w:val="clear" w:color="auto" w:fill="FFFFFF"/>
          <w:rtl/>
        </w:rPr>
      </w:pPr>
      <w:r>
        <w:rPr>
          <w:rFonts w:cs="FrankRuehl" w:hint="cs"/>
          <w:color w:val="000000"/>
          <w:spacing w:val="10"/>
          <w:sz w:val="28"/>
          <w:szCs w:val="28"/>
          <w:shd w:val="clear" w:color="auto" w:fill="FFFFFF"/>
          <w:rtl/>
        </w:rPr>
        <w:t xml:space="preserve">שנית, מתוך חלקות אלה </w:t>
      </w:r>
      <w:r w:rsidRPr="000670F0">
        <w:rPr>
          <w:rFonts w:ascii="Century" w:hAnsi="Century" w:cs="Miriam" w:hint="eastAsia"/>
          <w:b/>
          <w:sz w:val="22"/>
          <w:shd w:val="clear" w:color="auto" w:fill="FFFFFF"/>
          <w:rtl/>
        </w:rPr>
        <w:t>ההסדר</w:t>
      </w:r>
      <w:r w:rsidRPr="000670F0">
        <w:rPr>
          <w:rFonts w:ascii="Century" w:hAnsi="Century" w:cs="Miriam"/>
          <w:b/>
          <w:sz w:val="22"/>
          <w:shd w:val="clear" w:color="auto" w:fill="FFFFFF"/>
          <w:rtl/>
        </w:rPr>
        <w:t xml:space="preserve"> </w:t>
      </w:r>
      <w:r w:rsidRPr="000670F0">
        <w:rPr>
          <w:rFonts w:ascii="Century" w:hAnsi="Century" w:cs="Miriam" w:hint="eastAsia"/>
          <w:b/>
          <w:sz w:val="22"/>
          <w:shd w:val="clear" w:color="auto" w:fill="FFFFFF"/>
          <w:rtl/>
        </w:rPr>
        <w:t>יחול</w:t>
      </w:r>
      <w:r w:rsidRPr="000670F0">
        <w:rPr>
          <w:rFonts w:ascii="Century" w:hAnsi="Century" w:cs="Miriam"/>
          <w:b/>
          <w:sz w:val="22"/>
          <w:shd w:val="clear" w:color="auto" w:fill="FFFFFF"/>
          <w:rtl/>
        </w:rPr>
        <w:t xml:space="preserve"> </w:t>
      </w:r>
      <w:r w:rsidRPr="000670F0">
        <w:rPr>
          <w:rFonts w:ascii="Century" w:hAnsi="Century" w:cs="Miriam" w:hint="eastAsia"/>
          <w:b/>
          <w:sz w:val="22"/>
          <w:shd w:val="clear" w:color="auto" w:fill="FFFFFF"/>
          <w:rtl/>
        </w:rPr>
        <w:t>רק</w:t>
      </w:r>
      <w:r w:rsidRPr="000670F0">
        <w:rPr>
          <w:rFonts w:ascii="Century" w:hAnsi="Century" w:cs="Miriam"/>
          <w:b/>
          <w:sz w:val="22"/>
          <w:shd w:val="clear" w:color="auto" w:fill="FFFFFF"/>
          <w:rtl/>
        </w:rPr>
        <w:t xml:space="preserve"> </w:t>
      </w:r>
      <w:r w:rsidRPr="000670F0">
        <w:rPr>
          <w:rFonts w:ascii="Century" w:hAnsi="Century" w:cs="Miriam" w:hint="eastAsia"/>
          <w:b/>
          <w:sz w:val="22"/>
          <w:shd w:val="clear" w:color="auto" w:fill="FFFFFF"/>
          <w:rtl/>
        </w:rPr>
        <w:t>ביחס</w:t>
      </w:r>
      <w:r w:rsidRPr="000670F0">
        <w:rPr>
          <w:rFonts w:ascii="Century" w:hAnsi="Century" w:cs="Miriam"/>
          <w:b/>
          <w:sz w:val="22"/>
          <w:shd w:val="clear" w:color="auto" w:fill="FFFFFF"/>
          <w:rtl/>
        </w:rPr>
        <w:t xml:space="preserve"> </w:t>
      </w:r>
      <w:r w:rsidRPr="000670F0">
        <w:rPr>
          <w:rFonts w:ascii="Century" w:hAnsi="Century" w:cs="Miriam" w:hint="eastAsia"/>
          <w:b/>
          <w:sz w:val="22"/>
          <w:shd w:val="clear" w:color="auto" w:fill="FFFFFF"/>
          <w:rtl/>
        </w:rPr>
        <w:t>למתחם</w:t>
      </w:r>
      <w:r w:rsidRPr="000670F0">
        <w:rPr>
          <w:rFonts w:ascii="Century" w:hAnsi="Century" w:cs="Miriam"/>
          <w:b/>
          <w:sz w:val="22"/>
          <w:shd w:val="clear" w:color="auto" w:fill="FFFFFF"/>
          <w:rtl/>
        </w:rPr>
        <w:t xml:space="preserve"> </w:t>
      </w:r>
      <w:r w:rsidRPr="000670F0">
        <w:rPr>
          <w:rFonts w:ascii="Century" w:hAnsi="Century" w:cs="Miriam" w:hint="eastAsia"/>
          <w:b/>
          <w:sz w:val="22"/>
          <w:shd w:val="clear" w:color="auto" w:fill="FFFFFF"/>
          <w:rtl/>
        </w:rPr>
        <w:t>המגורים</w:t>
      </w:r>
      <w:r w:rsidRPr="000670F0">
        <w:rPr>
          <w:rFonts w:ascii="Century" w:hAnsi="Century" w:cs="Miriam"/>
          <w:b/>
          <w:sz w:val="22"/>
          <w:shd w:val="clear" w:color="auto" w:fill="FFFFFF"/>
          <w:rtl/>
        </w:rPr>
        <w:t xml:space="preserve"> </w:t>
      </w:r>
      <w:r w:rsidRPr="000670F0">
        <w:rPr>
          <w:rFonts w:ascii="Century" w:hAnsi="Century" w:cs="Miriam" w:hint="eastAsia"/>
          <w:b/>
          <w:sz w:val="22"/>
          <w:shd w:val="clear" w:color="auto" w:fill="FFFFFF"/>
          <w:rtl/>
        </w:rPr>
        <w:t>הבנוי</w:t>
      </w:r>
      <w:r w:rsidRPr="000670F0">
        <w:rPr>
          <w:rFonts w:ascii="Century" w:hAnsi="Century" w:cs="Miriam"/>
          <w:b/>
          <w:sz w:val="22"/>
          <w:shd w:val="clear" w:color="auto" w:fill="FFFFFF"/>
          <w:rtl/>
        </w:rPr>
        <w:t xml:space="preserve"> </w:t>
      </w:r>
      <w:r w:rsidRPr="000670F0">
        <w:rPr>
          <w:rFonts w:ascii="Century" w:hAnsi="Century" w:cs="Miriam" w:hint="eastAsia"/>
          <w:b/>
          <w:sz w:val="22"/>
          <w:shd w:val="clear" w:color="auto" w:fill="FFFFFF"/>
          <w:rtl/>
        </w:rPr>
        <w:t>הקיים</w:t>
      </w:r>
      <w:r w:rsidRPr="000670F0">
        <w:rPr>
          <w:rFonts w:ascii="Century" w:hAnsi="Century" w:cs="Miriam"/>
          <w:b/>
          <w:sz w:val="22"/>
          <w:shd w:val="clear" w:color="auto" w:fill="FFFFFF"/>
          <w:rtl/>
        </w:rPr>
        <w:t xml:space="preserve"> </w:t>
      </w:r>
      <w:r w:rsidRPr="000670F0">
        <w:rPr>
          <w:rFonts w:ascii="Century" w:hAnsi="Century" w:cs="Miriam" w:hint="eastAsia"/>
          <w:b/>
          <w:sz w:val="22"/>
          <w:shd w:val="clear" w:color="auto" w:fill="FFFFFF"/>
          <w:rtl/>
        </w:rPr>
        <w:t>של</w:t>
      </w:r>
      <w:r w:rsidRPr="000670F0">
        <w:rPr>
          <w:rFonts w:ascii="Century" w:hAnsi="Century" w:cs="Miriam"/>
          <w:b/>
          <w:sz w:val="22"/>
          <w:shd w:val="clear" w:color="auto" w:fill="FFFFFF"/>
          <w:rtl/>
        </w:rPr>
        <w:t xml:space="preserve"> </w:t>
      </w:r>
      <w:r w:rsidRPr="000670F0">
        <w:rPr>
          <w:rFonts w:ascii="Century" w:hAnsi="Century" w:cs="Miriam" w:hint="eastAsia"/>
          <w:b/>
          <w:sz w:val="22"/>
          <w:shd w:val="clear" w:color="auto" w:fill="FFFFFF"/>
          <w:rtl/>
        </w:rPr>
        <w:t>היישוב</w:t>
      </w:r>
      <w:r w:rsidRPr="000670F0">
        <w:rPr>
          <w:rFonts w:ascii="Century" w:hAnsi="Century" w:cs="Miriam"/>
          <w:b/>
          <w:sz w:val="22"/>
          <w:shd w:val="clear" w:color="auto" w:fill="FFFFFF"/>
          <w:rtl/>
        </w:rPr>
        <w:t xml:space="preserve"> </w:t>
      </w:r>
      <w:r w:rsidRPr="000670F0">
        <w:rPr>
          <w:rFonts w:ascii="Century" w:hAnsi="Century" w:cs="Miriam" w:hint="eastAsia"/>
          <w:b/>
          <w:sz w:val="22"/>
          <w:shd w:val="clear" w:color="auto" w:fill="FFFFFF"/>
          <w:rtl/>
        </w:rPr>
        <w:t>מצפה</w:t>
      </w:r>
      <w:r w:rsidRPr="000670F0">
        <w:rPr>
          <w:rFonts w:ascii="Century" w:hAnsi="Century" w:cs="Miriam"/>
          <w:b/>
          <w:sz w:val="22"/>
          <w:shd w:val="clear" w:color="auto" w:fill="FFFFFF"/>
          <w:rtl/>
        </w:rPr>
        <w:t xml:space="preserve"> </w:t>
      </w:r>
      <w:r w:rsidRPr="000670F0">
        <w:rPr>
          <w:rFonts w:ascii="Century" w:hAnsi="Century" w:cs="Miriam" w:hint="eastAsia"/>
          <w:b/>
          <w:sz w:val="22"/>
          <w:shd w:val="clear" w:color="auto" w:fill="FFFFFF"/>
          <w:rtl/>
        </w:rPr>
        <w:t>כרמים</w:t>
      </w:r>
      <w:r>
        <w:rPr>
          <w:rFonts w:cs="FrankRuehl" w:hint="cs"/>
          <w:color w:val="000000"/>
          <w:spacing w:val="10"/>
          <w:sz w:val="28"/>
          <w:szCs w:val="28"/>
          <w:shd w:val="clear" w:color="auto" w:fill="FFFFFF"/>
          <w:rtl/>
        </w:rPr>
        <w:t xml:space="preserve">, כלומר מבני המגורים והחצרות שעומדים על מכונם, וכן מבני הציבור והתשתיות שכבר הוקמו בשטח החלקות. זאת, בשונה מבנייה עתידית חדשה בשטחים החורגים מכך. אולם, אין באמור כדי למנוע (בכפוף לכל דין) תוספות בנייה למבנים הקיימים, כמו גם בניית מבני קבע תחת מבנים יבילים הנמצאים בשימוש </w:t>
      </w:r>
      <w:r>
        <w:rPr>
          <w:rFonts w:cs="FrankRuehl"/>
          <w:color w:val="000000"/>
          <w:spacing w:val="10"/>
          <w:sz w:val="28"/>
          <w:szCs w:val="28"/>
          <w:shd w:val="clear" w:color="auto" w:fill="FFFFFF"/>
          <w:rtl/>
        </w:rPr>
        <w:t>–</w:t>
      </w:r>
      <w:r>
        <w:rPr>
          <w:rFonts w:cs="FrankRuehl" w:hint="cs"/>
          <w:color w:val="000000"/>
          <w:spacing w:val="10"/>
          <w:sz w:val="28"/>
          <w:szCs w:val="28"/>
          <w:shd w:val="clear" w:color="auto" w:fill="FFFFFF"/>
          <w:rtl/>
        </w:rPr>
        <w:t xml:space="preserve"> אך זאת כאמור ללא חריגה מגבולות מתחם הבינוי הקיים והחצרות הסמוכות לו. בנקודה זו, ולשם הבהרת הדברים, אני מוצאת לציין כי מכלל החומר שהובא לפתחנו, לרבות תצלומי האוויר שצורפו לחוות הדעת השמאית (בסעיף 8), עולה כי עיקר השטח הבנוי בפועל ביישוב מצוי על גבי חלקות 12, 13 ו-23, שבהן קיימת בנייה צפופה של מבנים ותשתיות. על כן, בהיבט היישומי ההסדר בסעיף 5 לצו יחול על שטח חלקות אלו בשלמותו. שונים פני הדברים ביחס לחלקות 14 ו-15 (ששטחן הכולל הוא כ-38 דונם) ואשר חלקים נרחבים מהן (ולמעשה רובן המכריע) הם פנויים, ללא בינוי בפועל. לפיכך, לשיטתי, הסדר תקנת השוק יחול אך על חלק מצומצם מתוך שטחן הכולל של חלקות אלה </w:t>
      </w:r>
      <w:r>
        <w:rPr>
          <w:rFonts w:cs="FrankRuehl"/>
          <w:color w:val="000000"/>
          <w:spacing w:val="10"/>
          <w:sz w:val="28"/>
          <w:szCs w:val="28"/>
          <w:shd w:val="clear" w:color="auto" w:fill="FFFFFF"/>
          <w:rtl/>
        </w:rPr>
        <w:t>–</w:t>
      </w:r>
      <w:r>
        <w:rPr>
          <w:rFonts w:cs="FrankRuehl" w:hint="cs"/>
          <w:color w:val="000000"/>
          <w:spacing w:val="10"/>
          <w:sz w:val="28"/>
          <w:szCs w:val="28"/>
          <w:shd w:val="clear" w:color="auto" w:fill="FFFFFF"/>
          <w:rtl/>
        </w:rPr>
        <w:t xml:space="preserve"> הוא רק אותו שטח שבו עומדים כיום הבתים והחצרות על מכונם. </w:t>
      </w:r>
    </w:p>
    <w:p w:rsidR="005B1A77" w:rsidRPr="008A2BF9" w:rsidRDefault="005B1A77" w:rsidP="005B1A77">
      <w:pPr>
        <w:spacing w:line="360" w:lineRule="auto"/>
        <w:jc w:val="both"/>
        <w:rPr>
          <w:rFonts w:ascii="Century" w:hAnsi="Century" w:cs="FrankRuehl"/>
          <w:spacing w:val="10"/>
          <w:sz w:val="22"/>
          <w:szCs w:val="28"/>
          <w:shd w:val="clear" w:color="auto" w:fill="FFFFFF"/>
          <w:rtl/>
        </w:rPr>
      </w:pPr>
    </w:p>
    <w:p w:rsidR="005B1A77" w:rsidRPr="008A2BF9" w:rsidRDefault="005B1A77" w:rsidP="005B1A77">
      <w:pPr>
        <w:spacing w:line="360" w:lineRule="auto"/>
        <w:jc w:val="both"/>
        <w:rPr>
          <w:rFonts w:ascii="Century" w:hAnsi="Century" w:cs="FrankRuehl"/>
          <w:spacing w:val="10"/>
          <w:sz w:val="22"/>
          <w:szCs w:val="28"/>
          <w:shd w:val="clear" w:color="auto" w:fill="FFFFFF"/>
          <w:rtl/>
        </w:rPr>
      </w:pPr>
      <w:r w:rsidRPr="008A2BF9">
        <w:rPr>
          <w:rFonts w:ascii="Century" w:hAnsi="Century" w:cs="FrankRuehl" w:hint="cs"/>
          <w:spacing w:val="10"/>
          <w:sz w:val="22"/>
          <w:szCs w:val="28"/>
          <w:shd w:val="clear" w:color="auto" w:fill="FFFFFF"/>
          <w:rtl/>
        </w:rPr>
        <w:t>58.</w:t>
      </w:r>
      <w:r w:rsidRPr="008A2BF9">
        <w:rPr>
          <w:rFonts w:ascii="Century" w:hAnsi="Century" w:cs="FrankRuehl" w:hint="cs"/>
          <w:spacing w:val="10"/>
          <w:sz w:val="22"/>
          <w:szCs w:val="28"/>
          <w:shd w:val="clear" w:color="auto" w:fill="FFFFFF"/>
          <w:rtl/>
        </w:rPr>
        <w:tab/>
        <w:t xml:space="preserve">הגיון הדברים ברור: מאחר שהסתמכות בתום לב היא מבחינתי תנאי בלעדיו אין לתחולתו של ההסדר, משמעות הדברים היא, שכל שאר השטח שלגביו נעשתה התקשרות שלא כדין בין הממונה לבין ההסתדרות הציונית ולא הוקצה ל"משתמש קצה", לא יוכל ליהנות מתחולתה של תקנת השוק. </w:t>
      </w:r>
      <w:r>
        <w:rPr>
          <w:rFonts w:ascii="Century" w:hAnsi="Century" w:cs="FrankRuehl" w:hint="cs"/>
          <w:spacing w:val="10"/>
          <w:sz w:val="22"/>
          <w:szCs w:val="28"/>
          <w:shd w:val="clear" w:color="auto" w:fill="FFFFFF"/>
          <w:rtl/>
        </w:rPr>
        <w:t>זאת</w:t>
      </w:r>
      <w:r w:rsidRPr="008A2BF9">
        <w:rPr>
          <w:rFonts w:ascii="Century" w:hAnsi="Century" w:cs="FrankRuehl" w:hint="cs"/>
          <w:spacing w:val="10"/>
          <w:sz w:val="22"/>
          <w:szCs w:val="28"/>
          <w:shd w:val="clear" w:color="auto" w:fill="FFFFFF"/>
          <w:rtl/>
        </w:rPr>
        <w:t xml:space="preserve"> במבט הצופה פני עבר, להבדיל מהרחבת השימוש העתידי בקרקע שהוקצתה למעשה, כך אנו יודעים היום, שלא כדין. כל זאת, </w:t>
      </w:r>
      <w:r w:rsidRPr="008A2BF9">
        <w:rPr>
          <w:rFonts w:ascii="Century" w:hAnsi="Century" w:cs="FrankRuehl" w:hint="cs"/>
          <w:spacing w:val="10"/>
          <w:sz w:val="22"/>
          <w:szCs w:val="28"/>
          <w:shd w:val="clear" w:color="auto" w:fill="FFFFFF"/>
          <w:rtl/>
        </w:rPr>
        <w:lastRenderedPageBreak/>
        <w:t>בראי העיקרון של הקפדה על פגיעה מצומצמת ככל האפשר בזכויות קניין. ויודגש, אין בתוצאה זו להשליך על שטחים אחרים שהוקצו בחריגה מגבולות צו התפיסה המקורי, וזאת בהיקף של מאות דונמים, אלא בהגנה על אותן חלקות בודדות שבהן הוקמו בתים, לרבות מבני הציבור והתשתיות המשרתים אותם, בתחומי היישוב.</w:t>
      </w:r>
      <w:r>
        <w:rPr>
          <w:rFonts w:ascii="Century" w:hAnsi="Century" w:cs="FrankRuehl" w:hint="cs"/>
          <w:spacing w:val="10"/>
          <w:sz w:val="22"/>
          <w:szCs w:val="28"/>
          <w:shd w:val="clear" w:color="auto" w:fill="FFFFFF"/>
          <w:rtl/>
        </w:rPr>
        <w:t xml:space="preserve"> חשוב להוסיף ולהבהיר: מסגרת הדיון שבפנינו היא זו של דיני תקנת השוק. ממילא הכרעתנו אמורה להיות ממוקדת בהגנה על צדדים קונקרטיים ועל הסתמכותם, להבדיל מציפיות או תכניות ביחס לעתיד. עם זאת, מובן כי אינני נוקטת כל עמדה ביחס לשאלות שעניינן פיתוח נוסף של היישוב מצפה כרמים ותשתיותיו, תוך מתן מענה לצרכי המתגוררים בו, וזאת על גבי אדמות מדינה. עיון במפות מצביע כאמור על קיומן של אלו בתחומי היישוב (חלקה 16), גם אם לא בהיקף רב, כמו גם ביישוב כוכב השחר הסמוך לו. והכל </w:t>
      </w:r>
      <w:r>
        <w:rPr>
          <w:rFonts w:ascii="Century" w:hAnsi="Century" w:cs="FrankRuehl"/>
          <w:spacing w:val="10"/>
          <w:sz w:val="22"/>
          <w:szCs w:val="28"/>
          <w:shd w:val="clear" w:color="auto" w:fill="FFFFFF"/>
          <w:rtl/>
        </w:rPr>
        <w:t>–</w:t>
      </w:r>
      <w:r>
        <w:rPr>
          <w:rFonts w:ascii="Century" w:hAnsi="Century" w:cs="FrankRuehl" w:hint="cs"/>
          <w:spacing w:val="10"/>
          <w:sz w:val="22"/>
          <w:szCs w:val="28"/>
          <w:shd w:val="clear" w:color="auto" w:fill="FFFFFF"/>
          <w:rtl/>
        </w:rPr>
        <w:t xml:space="preserve"> במגבלות הדין.</w:t>
      </w:r>
    </w:p>
    <w:p w:rsidR="005B1A77" w:rsidRPr="008A2BF9" w:rsidRDefault="005B1A77" w:rsidP="005B1A77">
      <w:pPr>
        <w:spacing w:line="360" w:lineRule="auto"/>
        <w:jc w:val="both"/>
        <w:rPr>
          <w:rFonts w:ascii="Century" w:hAnsi="Century" w:cs="FrankRuehl"/>
          <w:spacing w:val="10"/>
          <w:sz w:val="22"/>
          <w:szCs w:val="28"/>
          <w:shd w:val="clear" w:color="auto" w:fill="FFFFFF"/>
          <w:rtl/>
        </w:rPr>
      </w:pPr>
    </w:p>
    <w:p w:rsidR="005B1A77" w:rsidRPr="005C383F" w:rsidRDefault="005B1A77" w:rsidP="005B1A77">
      <w:pPr>
        <w:spacing w:line="360" w:lineRule="auto"/>
        <w:jc w:val="both"/>
        <w:rPr>
          <w:rFonts w:ascii="Century" w:hAnsi="Century" w:cs="FrankRuehl"/>
          <w:spacing w:val="10"/>
          <w:szCs w:val="28"/>
          <w:shd w:val="clear" w:color="auto" w:fill="FFFFFF"/>
          <w:rtl/>
        </w:rPr>
      </w:pPr>
      <w:r w:rsidRPr="005C383F">
        <w:rPr>
          <w:rFonts w:ascii="Century" w:hAnsi="Century" w:cs="FrankRuehl" w:hint="cs"/>
          <w:spacing w:val="10"/>
          <w:szCs w:val="28"/>
          <w:shd w:val="clear" w:color="auto" w:fill="FFFFFF"/>
          <w:rtl/>
        </w:rPr>
        <w:t>59.</w:t>
      </w:r>
      <w:r w:rsidRPr="005C383F">
        <w:rPr>
          <w:rFonts w:ascii="Century" w:hAnsi="Century" w:cs="FrankRuehl"/>
          <w:spacing w:val="10"/>
          <w:szCs w:val="28"/>
          <w:shd w:val="clear" w:color="auto" w:fill="FFFFFF"/>
          <w:rtl/>
        </w:rPr>
        <w:tab/>
      </w:r>
      <w:r w:rsidRPr="005C383F">
        <w:rPr>
          <w:rFonts w:ascii="Century" w:hAnsi="Century" w:cs="FrankRuehl" w:hint="cs"/>
          <w:spacing w:val="10"/>
          <w:szCs w:val="28"/>
          <w:shd w:val="clear" w:color="auto" w:fill="FFFFFF"/>
          <w:rtl/>
        </w:rPr>
        <w:t xml:space="preserve">אשר על כן, </w:t>
      </w:r>
      <w:r>
        <w:rPr>
          <w:rFonts w:ascii="Century" w:hAnsi="Century" w:cs="FrankRuehl" w:hint="cs"/>
          <w:spacing w:val="10"/>
          <w:szCs w:val="28"/>
          <w:shd w:val="clear" w:color="auto" w:fill="FFFFFF"/>
          <w:rtl/>
        </w:rPr>
        <w:t xml:space="preserve">ובנתון לתנאים שהגדרתי בפסקה 57 לעיל, </w:t>
      </w:r>
      <w:r w:rsidRPr="005C383F">
        <w:rPr>
          <w:rFonts w:ascii="Century" w:hAnsi="Century" w:cs="FrankRuehl" w:hint="cs"/>
          <w:spacing w:val="10"/>
          <w:szCs w:val="28"/>
          <w:shd w:val="clear" w:color="auto" w:fill="FFFFFF"/>
          <w:rtl/>
        </w:rPr>
        <w:t xml:space="preserve">אני מצטרפת בנסיבות העניין לתוצאה של קבלת העתירה לדיון נוסף, תוך </w:t>
      </w:r>
      <w:r>
        <w:rPr>
          <w:rFonts w:ascii="Century" w:hAnsi="Century" w:cs="FrankRuehl" w:hint="cs"/>
          <w:spacing w:val="10"/>
          <w:szCs w:val="28"/>
          <w:shd w:val="clear" w:color="auto" w:fill="FFFFFF"/>
          <w:rtl/>
        </w:rPr>
        <w:t>הסכמה</w:t>
      </w:r>
      <w:r w:rsidRPr="005C383F">
        <w:rPr>
          <w:rFonts w:ascii="Century" w:hAnsi="Century" w:cs="FrankRuehl" w:hint="cs"/>
          <w:spacing w:val="10"/>
          <w:szCs w:val="28"/>
          <w:shd w:val="clear" w:color="auto" w:fill="FFFFFF"/>
          <w:rtl/>
        </w:rPr>
        <w:t xml:space="preserve"> לעמדתו של חברי השופט</w:t>
      </w:r>
      <w:r w:rsidRPr="005C383F">
        <w:rPr>
          <w:rFonts w:cs="FrankRuehl" w:hint="cs"/>
          <w:color w:val="000000"/>
          <w:spacing w:val="10"/>
          <w:sz w:val="28"/>
          <w:szCs w:val="28"/>
          <w:shd w:val="clear" w:color="auto" w:fill="FFFFFF"/>
          <w:rtl/>
        </w:rPr>
        <w:t xml:space="preserve"> </w:t>
      </w:r>
      <w:r w:rsidRPr="005C383F">
        <w:rPr>
          <w:rFonts w:ascii="Century" w:hAnsi="Century" w:cs="Miriam" w:hint="eastAsia"/>
          <w:b/>
          <w:shd w:val="clear" w:color="auto" w:fill="FFFFFF"/>
          <w:rtl/>
        </w:rPr>
        <w:t>עמית</w:t>
      </w:r>
      <w:r w:rsidRPr="005C383F">
        <w:rPr>
          <w:rFonts w:cs="FrankRuehl" w:hint="cs"/>
          <w:color w:val="000000"/>
          <w:spacing w:val="10"/>
          <w:sz w:val="28"/>
          <w:szCs w:val="28"/>
          <w:shd w:val="clear" w:color="auto" w:fill="FFFFFF"/>
          <w:rtl/>
        </w:rPr>
        <w:t xml:space="preserve"> </w:t>
      </w:r>
      <w:r w:rsidRPr="005C383F">
        <w:rPr>
          <w:rFonts w:ascii="Century" w:hAnsi="Century" w:cs="FrankRuehl" w:hint="cs"/>
          <w:spacing w:val="10"/>
          <w:szCs w:val="28"/>
          <w:shd w:val="clear" w:color="auto" w:fill="FFFFFF"/>
          <w:rtl/>
        </w:rPr>
        <w:t xml:space="preserve">בנושא החיוב בהוצאות, כמו גם בעניין מתן פיצוי בדמות מקרקעין חלופיים </w:t>
      </w:r>
      <w:r>
        <w:rPr>
          <w:rFonts w:ascii="Century" w:hAnsi="Century" w:cs="FrankRuehl" w:hint="cs"/>
          <w:spacing w:val="10"/>
          <w:szCs w:val="28"/>
          <w:shd w:val="clear" w:color="auto" w:fill="FFFFFF"/>
          <w:rtl/>
        </w:rPr>
        <w:t xml:space="preserve">לבעלים הרשומים או </w:t>
      </w:r>
      <w:r w:rsidRPr="005C383F">
        <w:rPr>
          <w:rFonts w:ascii="Century" w:hAnsi="Century" w:cs="FrankRuehl" w:hint="cs"/>
          <w:spacing w:val="10"/>
          <w:szCs w:val="28"/>
          <w:shd w:val="clear" w:color="auto" w:fill="FFFFFF"/>
          <w:rtl/>
        </w:rPr>
        <w:t xml:space="preserve">למי שיוכיחו כי הם בעלי זכויות בקרקע מושא ההליך דנן, כמפורט בפסקה 20 לפסק דינו. </w:t>
      </w:r>
    </w:p>
    <w:p w:rsidR="005B1A77" w:rsidRPr="005C383F" w:rsidRDefault="005B1A77" w:rsidP="005B1A77">
      <w:pPr>
        <w:spacing w:line="360" w:lineRule="auto"/>
        <w:jc w:val="both"/>
        <w:rPr>
          <w:rFonts w:ascii="Century" w:hAnsi="Century" w:cs="FrankRuehl"/>
          <w:spacing w:val="10"/>
          <w:szCs w:val="28"/>
          <w:shd w:val="clear" w:color="auto" w:fill="FFFFFF"/>
          <w:rtl/>
        </w:rPr>
      </w:pPr>
    </w:p>
    <w:p w:rsidR="005B1A77" w:rsidRDefault="005B1A77" w:rsidP="005B1A77">
      <w:pPr>
        <w:spacing w:line="360" w:lineRule="auto"/>
        <w:jc w:val="both"/>
        <w:rPr>
          <w:rFonts w:cs="FrankRuehl"/>
          <w:color w:val="000000"/>
          <w:spacing w:val="10"/>
          <w:sz w:val="28"/>
          <w:szCs w:val="28"/>
          <w:shd w:val="clear" w:color="auto" w:fill="FFFFFF"/>
          <w:rtl/>
        </w:rPr>
      </w:pPr>
      <w:r>
        <w:rPr>
          <w:rFonts w:cs="FrankRuehl" w:hint="cs"/>
          <w:color w:val="000000"/>
          <w:spacing w:val="10"/>
          <w:sz w:val="28"/>
          <w:szCs w:val="28"/>
          <w:shd w:val="clear" w:color="auto" w:fill="FFFFFF"/>
          <w:rtl/>
        </w:rPr>
        <w:t xml:space="preserve">60. </w:t>
      </w:r>
      <w:r>
        <w:rPr>
          <w:rFonts w:cs="FrankRuehl" w:hint="cs"/>
          <w:color w:val="000000"/>
          <w:spacing w:val="10"/>
          <w:sz w:val="28"/>
          <w:szCs w:val="28"/>
          <w:shd w:val="clear" w:color="auto" w:fill="FFFFFF"/>
          <w:rtl/>
        </w:rPr>
        <w:tab/>
        <w:t xml:space="preserve">לקראת סיום אחזור לראשית הדברים: אין במסקנה האופרטיבית שאליה הגעתי כדי לגרוע מהקשיים שצפו ועלו ביחס להתנהלותם של גורמים שונים. בחלוף הזמן, רבים מן העוסקים במלאכה בזמנים הרלוונטיים אינם מכהנים עוד בתפקידיהם. אולם, חובה היא </w:t>
      </w:r>
      <w:r>
        <w:rPr>
          <w:rFonts w:cs="FrankRuehl"/>
          <w:color w:val="000000"/>
          <w:spacing w:val="10"/>
          <w:sz w:val="28"/>
          <w:szCs w:val="28"/>
          <w:shd w:val="clear" w:color="auto" w:fill="FFFFFF"/>
          <w:rtl/>
        </w:rPr>
        <w:t>–</w:t>
      </w:r>
      <w:r>
        <w:rPr>
          <w:rFonts w:cs="FrankRuehl" w:hint="cs"/>
          <w:color w:val="000000"/>
          <w:spacing w:val="10"/>
          <w:sz w:val="28"/>
          <w:szCs w:val="28"/>
          <w:shd w:val="clear" w:color="auto" w:fill="FFFFFF"/>
          <w:rtl/>
        </w:rPr>
        <w:t xml:space="preserve"> כעניין נורמטיבי ממש, ולא רק בבחינת הבעת עמדה ביחס ל"ראוי" </w:t>
      </w:r>
      <w:r>
        <w:rPr>
          <w:rFonts w:cs="FrankRuehl"/>
          <w:color w:val="000000"/>
          <w:spacing w:val="10"/>
          <w:sz w:val="28"/>
          <w:szCs w:val="28"/>
          <w:shd w:val="clear" w:color="auto" w:fill="FFFFFF"/>
          <w:rtl/>
        </w:rPr>
        <w:t>–</w:t>
      </w:r>
      <w:r>
        <w:rPr>
          <w:rFonts w:cs="FrankRuehl" w:hint="cs"/>
          <w:color w:val="000000"/>
          <w:spacing w:val="10"/>
          <w:sz w:val="28"/>
          <w:szCs w:val="28"/>
          <w:shd w:val="clear" w:color="auto" w:fill="FFFFFF"/>
          <w:rtl/>
        </w:rPr>
        <w:t xml:space="preserve"> לוודא שכאשר מבוצעת הקצאת קרקעות, זו תיעשה תוך הקפדה מלאה על קלה כחמורה.</w:t>
      </w:r>
    </w:p>
    <w:p w:rsidR="005B1A77" w:rsidRPr="004E2FB2" w:rsidRDefault="005B1A77" w:rsidP="005B1A77">
      <w:pPr>
        <w:pStyle w:val="Ruller41"/>
        <w:rPr>
          <w:rtl/>
        </w:rPr>
      </w:pPr>
    </w:p>
    <w:p w:rsidR="005B1A77" w:rsidRDefault="005B1A77" w:rsidP="00861362">
      <w:pPr>
        <w:pStyle w:val="Ruller41"/>
        <w:rPr>
          <w:rFonts w:ascii="Century" w:hAnsi="Century"/>
          <w:rtl/>
        </w:rPr>
      </w:pPr>
    </w:p>
    <w:tbl>
      <w:tblPr>
        <w:bidiVisual/>
        <w:tblW w:w="8363" w:type="dxa"/>
        <w:tblLook w:val="01E0" w:firstRow="1" w:lastRow="1" w:firstColumn="1" w:lastColumn="1" w:noHBand="0" w:noVBand="0"/>
      </w:tblPr>
      <w:tblGrid>
        <w:gridCol w:w="2786"/>
        <w:gridCol w:w="2787"/>
        <w:gridCol w:w="2790"/>
      </w:tblGrid>
      <w:tr w:rsidR="00861362" w:rsidRPr="004C7127" w:rsidTr="00BA1299">
        <w:tc>
          <w:tcPr>
            <w:tcW w:w="2842" w:type="dxa"/>
            <w:shd w:val="clear" w:color="auto" w:fill="auto"/>
          </w:tcPr>
          <w:p w:rsidR="00861362" w:rsidRPr="004C7127" w:rsidRDefault="00861362" w:rsidP="00BA1299">
            <w:pPr>
              <w:pStyle w:val="Ruller41"/>
              <w:rPr>
                <w:rtl/>
              </w:rPr>
            </w:pPr>
          </w:p>
        </w:tc>
        <w:tc>
          <w:tcPr>
            <w:tcW w:w="2843" w:type="dxa"/>
            <w:shd w:val="clear" w:color="auto" w:fill="auto"/>
          </w:tcPr>
          <w:p w:rsidR="00861362" w:rsidRPr="004C7127" w:rsidRDefault="00861362" w:rsidP="00BA1299">
            <w:pPr>
              <w:pStyle w:val="Ruller41"/>
              <w:jc w:val="center"/>
              <w:rPr>
                <w:rtl/>
              </w:rPr>
            </w:pPr>
          </w:p>
        </w:tc>
        <w:tc>
          <w:tcPr>
            <w:tcW w:w="2843" w:type="dxa"/>
            <w:shd w:val="clear" w:color="auto" w:fill="auto"/>
          </w:tcPr>
          <w:p w:rsidR="00861362" w:rsidRPr="004C7127" w:rsidRDefault="00861362" w:rsidP="00BA1299">
            <w:pPr>
              <w:pStyle w:val="Ruller41"/>
              <w:jc w:val="right"/>
              <w:rPr>
                <w:rtl/>
              </w:rPr>
            </w:pPr>
            <w:r>
              <w:rPr>
                <w:rFonts w:hint="cs"/>
                <w:rtl/>
              </w:rPr>
              <w:t>ש ו פ ט ת</w:t>
            </w:r>
          </w:p>
        </w:tc>
      </w:tr>
    </w:tbl>
    <w:p w:rsidR="00366287" w:rsidRDefault="00366287" w:rsidP="004C7127">
      <w:pPr>
        <w:pStyle w:val="Ruller41"/>
        <w:rPr>
          <w:rFonts w:ascii="Century" w:hAnsi="Century"/>
          <w:rtl/>
        </w:rPr>
      </w:pPr>
    </w:p>
    <w:p w:rsidR="00366287" w:rsidRPr="00A56E77" w:rsidRDefault="00366287" w:rsidP="00A56E77">
      <w:pPr>
        <w:pStyle w:val="1"/>
        <w:spacing w:before="0"/>
        <w:rPr>
          <w:rFonts w:ascii="Century" w:hAnsi="Century" w:cs="Miriam"/>
          <w:b/>
          <w:color w:val="auto"/>
          <w:spacing w:val="0"/>
          <w:sz w:val="22"/>
          <w:szCs w:val="24"/>
          <w:rtl/>
        </w:rPr>
      </w:pPr>
      <w:r w:rsidRPr="00A56E77">
        <w:rPr>
          <w:rFonts w:ascii="Century" w:hAnsi="Century" w:cs="Miriam" w:hint="cs"/>
          <w:b/>
          <w:color w:val="auto"/>
          <w:spacing w:val="0"/>
          <w:sz w:val="22"/>
          <w:szCs w:val="24"/>
          <w:u w:val="single"/>
          <w:rtl/>
        </w:rPr>
        <w:t>הנשיאה א' חיות</w:t>
      </w:r>
      <w:r w:rsidRPr="00A56E77">
        <w:rPr>
          <w:rFonts w:ascii="Century" w:hAnsi="Century" w:cs="Miriam" w:hint="cs"/>
          <w:b/>
          <w:color w:val="auto"/>
          <w:spacing w:val="0"/>
          <w:sz w:val="22"/>
          <w:szCs w:val="24"/>
          <w:rtl/>
        </w:rPr>
        <w:t xml:space="preserve">: </w:t>
      </w:r>
    </w:p>
    <w:p w:rsidR="00366287" w:rsidRDefault="00366287" w:rsidP="004C7127">
      <w:pPr>
        <w:pStyle w:val="Ruller41"/>
        <w:rPr>
          <w:rFonts w:ascii="Century" w:hAnsi="Century"/>
          <w:rtl/>
        </w:rPr>
      </w:pPr>
    </w:p>
    <w:p w:rsidR="00B20B22" w:rsidRDefault="00B20B22" w:rsidP="005E0E5C">
      <w:pPr>
        <w:pStyle w:val="Ruller4"/>
        <w:numPr>
          <w:ilvl w:val="0"/>
          <w:numId w:val="32"/>
        </w:numPr>
      </w:pPr>
      <w:r>
        <w:rPr>
          <w:rFonts w:hint="cs"/>
          <w:rtl/>
        </w:rPr>
        <w:t>עיינתי בחוות הדעת של חבריי, ו</w:t>
      </w:r>
      <w:r w:rsidRPr="005E0E5C">
        <w:rPr>
          <w:rFonts w:ascii="Century" w:hAnsi="Century" w:hint="cs"/>
          <w:sz w:val="22"/>
          <w:rtl/>
        </w:rPr>
        <w:t>ל</w:t>
      </w:r>
      <w:r>
        <w:rPr>
          <w:rFonts w:hint="cs"/>
          <w:rtl/>
        </w:rPr>
        <w:t xml:space="preserve">א מצאתי לשנות מן העמדה שהבעתי בפסק הדין נושא הדיון הנוסף, ואותה אימץ חברי המשנה לנשיאה </w:t>
      </w:r>
      <w:r w:rsidRPr="005E0E5C">
        <w:rPr>
          <w:rFonts w:ascii="Miriam" w:hAnsi="Miriam" w:cs="Miriam"/>
          <w:szCs w:val="24"/>
          <w:rtl/>
        </w:rPr>
        <w:t>ע' פוגלמן</w:t>
      </w:r>
      <w:r>
        <w:rPr>
          <w:rFonts w:hint="cs"/>
          <w:rtl/>
        </w:rPr>
        <w:t xml:space="preserve"> בהליך דנן. אני מצטרפת, על כן, בהסכמה לחוות דעתו ואוסיף אך הערות אחדות.</w:t>
      </w:r>
    </w:p>
    <w:p w:rsidR="00B20B22" w:rsidRPr="00B17BEF" w:rsidRDefault="00B20B22" w:rsidP="00B20B22">
      <w:pPr>
        <w:pStyle w:val="Ruller4"/>
        <w:numPr>
          <w:ilvl w:val="0"/>
          <w:numId w:val="0"/>
        </w:numPr>
        <w:rPr>
          <w:rtl/>
        </w:rPr>
      </w:pPr>
    </w:p>
    <w:p w:rsidR="00B20B22" w:rsidRDefault="00B20B22" w:rsidP="00A648B1">
      <w:pPr>
        <w:pStyle w:val="Ruller4"/>
        <w:rPr>
          <w:rtl/>
        </w:rPr>
      </w:pPr>
      <w:r>
        <w:rPr>
          <w:rFonts w:hint="cs"/>
          <w:rtl/>
        </w:rPr>
        <w:lastRenderedPageBreak/>
        <w:t xml:space="preserve">הסוגיות לבירור בדיון הנוסף הוגדרו בהחלטת השופט </w:t>
      </w:r>
      <w:r w:rsidRPr="00A9177C">
        <w:rPr>
          <w:rFonts w:ascii="Miriam" w:hAnsi="Miriam" w:cs="Miriam" w:hint="eastAsia"/>
          <w:szCs w:val="24"/>
          <w:rtl/>
        </w:rPr>
        <w:t>י</w:t>
      </w:r>
      <w:r w:rsidRPr="00A9177C">
        <w:rPr>
          <w:rFonts w:ascii="Miriam" w:hAnsi="Miriam" w:cs="Miriam"/>
          <w:szCs w:val="24"/>
          <w:rtl/>
        </w:rPr>
        <w:t xml:space="preserve">' </w:t>
      </w:r>
      <w:r w:rsidRPr="00A9177C">
        <w:rPr>
          <w:rFonts w:ascii="Miriam" w:hAnsi="Miriam" w:cs="Miriam" w:hint="eastAsia"/>
          <w:szCs w:val="24"/>
          <w:rtl/>
        </w:rPr>
        <w:t>עמית</w:t>
      </w:r>
      <w:r>
        <w:rPr>
          <w:rFonts w:hint="cs"/>
          <w:rtl/>
        </w:rPr>
        <w:t xml:space="preserve"> מיום 24.11.2020 כך: "מהן אמות המידה המשפטיות לבחינת עקרון תום הלב המעוגן בסעיף 5 לצו</w:t>
      </w:r>
      <w:r w:rsidRPr="00DF3E52">
        <w:rPr>
          <w:rFonts w:hint="cs"/>
          <w:rtl/>
        </w:rPr>
        <w:t xml:space="preserve"> </w:t>
      </w:r>
      <w:r>
        <w:rPr>
          <w:rFonts w:hint="cs"/>
          <w:rtl/>
        </w:rPr>
        <w:t xml:space="preserve">בדבר רכוש ממשלתי (יהודה והשומרון) (מס' 59), התשכ"ז-1967, ואופן יישומן ויישום יתר תנאי הסעיף במקרה דנן". </w:t>
      </w:r>
    </w:p>
    <w:p w:rsidR="00B20B22" w:rsidRDefault="00B20B22" w:rsidP="00B20B22">
      <w:pPr>
        <w:pStyle w:val="Ruller41"/>
        <w:rPr>
          <w:rtl/>
        </w:rPr>
      </w:pPr>
    </w:p>
    <w:p w:rsidR="00B20B22" w:rsidRDefault="00B20B22" w:rsidP="00A648B1">
      <w:pPr>
        <w:pStyle w:val="Ruller4"/>
        <w:rPr>
          <w:rtl/>
        </w:rPr>
      </w:pPr>
      <w:r>
        <w:rPr>
          <w:rFonts w:hint="cs"/>
          <w:rtl/>
        </w:rPr>
        <w:t>סעיף 5 לצו</w:t>
      </w:r>
      <w:r w:rsidRPr="00DF3E52">
        <w:rPr>
          <w:rFonts w:hint="cs"/>
          <w:rtl/>
        </w:rPr>
        <w:t xml:space="preserve"> </w:t>
      </w:r>
      <w:r>
        <w:rPr>
          <w:rFonts w:hint="cs"/>
          <w:rtl/>
        </w:rPr>
        <w:t xml:space="preserve">בדבר רכוש ממשלתי (יהודה והשומרון) (מס' 59), התשכ"ז-1967 (להלן: </w:t>
      </w:r>
      <w:r w:rsidRPr="00492BD3">
        <w:rPr>
          <w:rFonts w:ascii="Century" w:hAnsi="Century" w:cs="Miriam" w:hint="cs"/>
          <w:b/>
          <w:spacing w:val="0"/>
          <w:szCs w:val="24"/>
          <w:rtl/>
        </w:rPr>
        <w:t>הצו</w:t>
      </w:r>
      <w:r>
        <w:rPr>
          <w:rFonts w:hint="cs"/>
          <w:rtl/>
        </w:rPr>
        <w:t>), קובע "מעין תקנת שוק" וזו לשונו:</w:t>
      </w:r>
    </w:p>
    <w:p w:rsidR="00B20B22" w:rsidRDefault="00B20B22" w:rsidP="00B20B22">
      <w:pPr>
        <w:pStyle w:val="Ruller41"/>
        <w:rPr>
          <w:rtl/>
        </w:rPr>
      </w:pPr>
    </w:p>
    <w:p w:rsidR="00B20B22" w:rsidRPr="00AD5F6C" w:rsidRDefault="00B20B22" w:rsidP="00B20B22">
      <w:pPr>
        <w:pStyle w:val="Ruller5"/>
        <w:rPr>
          <w:rFonts w:ascii="Century" w:hAnsi="Century" w:cs="Miriam"/>
          <w:b/>
          <w:spacing w:val="0"/>
          <w:szCs w:val="24"/>
          <w:rtl/>
        </w:rPr>
      </w:pPr>
      <w:r w:rsidRPr="00AD5F6C">
        <w:rPr>
          <w:rFonts w:ascii="Century" w:hAnsi="Century" w:cs="Miriam"/>
          <w:b/>
          <w:spacing w:val="0"/>
          <w:szCs w:val="24"/>
          <w:rtl/>
        </w:rPr>
        <w:t xml:space="preserve">כשרות עיסקות </w:t>
      </w:r>
    </w:p>
    <w:p w:rsidR="00B20B22" w:rsidRPr="00DF3E52" w:rsidRDefault="00B20B22" w:rsidP="00B20B22">
      <w:pPr>
        <w:pStyle w:val="Ruller5"/>
      </w:pPr>
      <w:r>
        <w:rPr>
          <w:rtl/>
        </w:rPr>
        <w:t>כל עיסקה שנעשתה בתום לב בין הממונה ובין אדם אחר בכל נכס שהממונה חשבו בשעת העיסקה לרכוש ממשלתי, לא תיפסל ותעמוד בתוקפה גם אם יוכח שהנכס לא היה אותה שעה רכוש ממשלתי</w:t>
      </w:r>
      <w:r w:rsidR="007765DC">
        <w:rPr>
          <w:rFonts w:hint="cs"/>
          <w:rtl/>
        </w:rPr>
        <w:t>.</w:t>
      </w:r>
    </w:p>
    <w:p w:rsidR="00B20B22" w:rsidRDefault="00B20B22" w:rsidP="00B20B22">
      <w:pPr>
        <w:pStyle w:val="Ruller4"/>
        <w:numPr>
          <w:ilvl w:val="0"/>
          <w:numId w:val="0"/>
        </w:numPr>
        <w:rPr>
          <w:rtl/>
        </w:rPr>
      </w:pPr>
    </w:p>
    <w:p w:rsidR="00B20B22" w:rsidRDefault="00B20B22" w:rsidP="00B20B22">
      <w:pPr>
        <w:pStyle w:val="Ruller4"/>
        <w:numPr>
          <w:ilvl w:val="0"/>
          <w:numId w:val="0"/>
        </w:numPr>
        <w:rPr>
          <w:rtl/>
        </w:rPr>
      </w:pPr>
      <w:r>
        <w:rPr>
          <w:rtl/>
        </w:rPr>
        <w:tab/>
      </w:r>
      <w:r>
        <w:rPr>
          <w:rFonts w:hint="cs"/>
          <w:rtl/>
        </w:rPr>
        <w:t xml:space="preserve">ההסדר הקבוע בסעיף 5 הנ"ל מציב שלושה תנאים לתחולתו: (1) קיומה של עסקה בין הממונה על הרכוש הממשלתי (להלן: </w:t>
      </w:r>
      <w:r w:rsidRPr="003911D0">
        <w:rPr>
          <w:rFonts w:ascii="Century" w:hAnsi="Century" w:cs="Miriam" w:hint="cs"/>
          <w:b/>
          <w:spacing w:val="0"/>
          <w:sz w:val="22"/>
          <w:szCs w:val="24"/>
          <w:rtl/>
        </w:rPr>
        <w:t>הממונה</w:t>
      </w:r>
      <w:r>
        <w:rPr>
          <w:rFonts w:hint="cs"/>
          <w:rtl/>
        </w:rPr>
        <w:t xml:space="preserve">) ובין "אדם אחר"; (2) שנעשתה בתום לב; (3) בנוגע לנכס שהממונה חשבו בשעת העסקה לרכוש ממשלתי. בפסק הדין נושא הדיון הנוסף עמדתי על כך ש"דרישת תום הלב שבסעיף 5 לצו מחמירה עם המתקשרים בעסקה בהשוואה ל'תקנות שוק' אחרות, במובן זה שחובת תום הלב לפיו חלה לא רק על רוכש הזכות אלא גם על המעביר אותה" (פסקה 44 לחוות דעתי) </w:t>
      </w:r>
      <w:r>
        <w:rPr>
          <w:rtl/>
        </w:rPr>
        <w:t>–</w:t>
      </w:r>
      <w:r>
        <w:rPr>
          <w:rFonts w:hint="cs"/>
          <w:rtl/>
        </w:rPr>
        <w:t xml:space="preserve"> קרי על הממונה. בעניין זה יש תמימות דעים בין כל חבריי. המחלוקת בינינו נעוצה, בין היתר, בשאלה מהי אמת המידה אשר לפיה יש לבחון את תום הלב שמחויב בו הממונה.</w:t>
      </w:r>
    </w:p>
    <w:p w:rsidR="00B20B22" w:rsidRDefault="00B20B22" w:rsidP="00B20B22">
      <w:pPr>
        <w:pStyle w:val="Ruller4"/>
        <w:numPr>
          <w:ilvl w:val="0"/>
          <w:numId w:val="0"/>
        </w:numPr>
        <w:rPr>
          <w:rtl/>
        </w:rPr>
      </w:pPr>
    </w:p>
    <w:p w:rsidR="00B20B22" w:rsidRDefault="00B20B22" w:rsidP="00B20B22">
      <w:pPr>
        <w:pStyle w:val="Ruller4"/>
        <w:numPr>
          <w:ilvl w:val="0"/>
          <w:numId w:val="0"/>
        </w:numPr>
        <w:rPr>
          <w:rtl/>
        </w:rPr>
      </w:pPr>
      <w:r>
        <w:rPr>
          <w:rtl/>
        </w:rPr>
        <w:tab/>
      </w:r>
      <w:r>
        <w:rPr>
          <w:rFonts w:hint="cs"/>
          <w:rtl/>
        </w:rPr>
        <w:t xml:space="preserve">בפסק הדין נושא הדיון הנוסף ציינתי כי להשקפתי יש להחיל על הממונה אמת מידה קפדנית המטילה עליו חובת תום לב סובייקטיבית מוגברת. זאת מן הטעם שהממונה פועל בהקשר זה על פי הסמכויות שהוקנו לו מתוקף תפקידו באזור כידו הארוכה של הריבון, וכן מן הטעם שמדובר באזור הנתון בתפיסה לוחמתית, אשר לגביו נקבעו במשפט הבינלאומי חובות מיוחדות הנוגעות להגנה על קניינם של התושבים המוגנים. עוד ציינתי כי מקום שבו התקיימו סימני אזהרה מחשידים ובעל הסמכות עצם את עיניו מלראותם, לא ניתן לומר כי הוא צלח את מבחן תום הלב (פסקה 44 לחוות דעתי). חברי המשנה לנשיאה </w:t>
      </w:r>
      <w:r w:rsidRPr="00D260EC">
        <w:rPr>
          <w:rFonts w:ascii="Century" w:hAnsi="Century" w:cs="Miriam" w:hint="cs"/>
          <w:b/>
          <w:spacing w:val="0"/>
          <w:sz w:val="22"/>
          <w:szCs w:val="24"/>
          <w:rtl/>
        </w:rPr>
        <w:t>פוגלמן</w:t>
      </w:r>
      <w:r>
        <w:rPr>
          <w:rFonts w:hint="cs"/>
          <w:rtl/>
        </w:rPr>
        <w:t xml:space="preserve"> אימץ אף הוא עמדה זו, וציין כי נקודת האיזון הראויה בעיניו היא זו "שמטילה חובת תום לב סובייקטיבית 'ברף הגבוה' </w:t>
      </w:r>
      <w:r>
        <w:rPr>
          <w:rtl/>
        </w:rPr>
        <w:t>–</w:t>
      </w:r>
      <w:r>
        <w:rPr>
          <w:rFonts w:hint="cs"/>
          <w:rtl/>
        </w:rPr>
        <w:t xml:space="preserve"> אך כזו שעדיין לא מטילה על הממונה 'חובת זהירות'" (בפסקה 59 לחוות דעתו). חברתי השופטת </w:t>
      </w:r>
      <w:r w:rsidRPr="00D260EC">
        <w:rPr>
          <w:rFonts w:ascii="Century" w:hAnsi="Century" w:cs="Miriam" w:hint="cs"/>
          <w:b/>
          <w:spacing w:val="0"/>
          <w:sz w:val="22"/>
          <w:szCs w:val="24"/>
          <w:rtl/>
        </w:rPr>
        <w:t>ברון</w:t>
      </w:r>
      <w:r>
        <w:rPr>
          <w:rFonts w:hint="cs"/>
          <w:rtl/>
        </w:rPr>
        <w:t xml:space="preserve"> הצטרפה לעמדה האמורה (פסקה 3 לחוות דעתה), וכך גם חברתי השופטת </w:t>
      </w:r>
      <w:r>
        <w:rPr>
          <w:rFonts w:ascii="Century" w:hAnsi="Century" w:cs="Miriam" w:hint="cs"/>
          <w:b/>
          <w:spacing w:val="0"/>
          <w:sz w:val="22"/>
          <w:szCs w:val="24"/>
          <w:rtl/>
        </w:rPr>
        <w:t>ברק-</w:t>
      </w:r>
      <w:r w:rsidRPr="00D260EC">
        <w:rPr>
          <w:rFonts w:ascii="Century" w:hAnsi="Century" w:cs="Miriam" w:hint="cs"/>
          <w:b/>
          <w:spacing w:val="0"/>
          <w:sz w:val="22"/>
          <w:szCs w:val="24"/>
          <w:rtl/>
        </w:rPr>
        <w:t>ארז</w:t>
      </w:r>
      <w:r w:rsidRPr="00D260EC">
        <w:rPr>
          <w:rFonts w:hint="cs"/>
          <w:rtl/>
        </w:rPr>
        <w:t>,</w:t>
      </w:r>
      <w:r>
        <w:rPr>
          <w:rFonts w:ascii="Century" w:hAnsi="Century" w:cs="Miriam" w:hint="cs"/>
          <w:b/>
          <w:spacing w:val="0"/>
          <w:sz w:val="22"/>
          <w:szCs w:val="24"/>
          <w:rtl/>
        </w:rPr>
        <w:t xml:space="preserve"> </w:t>
      </w:r>
      <w:r>
        <w:rPr>
          <w:rFonts w:hint="cs"/>
          <w:rtl/>
        </w:rPr>
        <w:t xml:space="preserve">אשר ציינה כי עמדה זו מקובלת עליה במישור העקרוני-פרשני "בהתחשב </w:t>
      </w:r>
      <w:r>
        <w:rPr>
          <w:rFonts w:hint="cs"/>
          <w:rtl/>
        </w:rPr>
        <w:lastRenderedPageBreak/>
        <w:t xml:space="preserve">במאפייניו החריגים של ההסדר הקבוע בסעיף 5 לצו ובפרט בחובות המיוחדות החלות על המפקד הצבאי באזור </w:t>
      </w:r>
      <w:r w:rsidR="006350A0">
        <w:rPr>
          <w:rFonts w:hint="cs"/>
          <w:rtl/>
        </w:rPr>
        <w:t xml:space="preserve">ועל הממונה </w:t>
      </w:r>
      <w:r>
        <w:rPr>
          <w:rFonts w:hint="cs"/>
          <w:rtl/>
        </w:rPr>
        <w:t xml:space="preserve">מכוח כללי המשפט הבינלאומי". באותו הקשר אף ראתה השופטת </w:t>
      </w:r>
      <w:r>
        <w:rPr>
          <w:rFonts w:ascii="Century" w:hAnsi="Century" w:cs="Miriam" w:hint="cs"/>
          <w:b/>
          <w:spacing w:val="0"/>
          <w:sz w:val="22"/>
          <w:szCs w:val="24"/>
          <w:rtl/>
        </w:rPr>
        <w:t>ברק-</w:t>
      </w:r>
      <w:r w:rsidRPr="00D260EC">
        <w:rPr>
          <w:rFonts w:ascii="Century" w:hAnsi="Century" w:cs="Miriam" w:hint="cs"/>
          <w:b/>
          <w:spacing w:val="0"/>
          <w:sz w:val="22"/>
          <w:szCs w:val="24"/>
          <w:rtl/>
        </w:rPr>
        <w:t>ארז</w:t>
      </w:r>
      <w:r>
        <w:rPr>
          <w:rFonts w:hint="cs"/>
          <w:rtl/>
        </w:rPr>
        <w:t xml:space="preserve"> להסתייג </w:t>
      </w:r>
      <w:r>
        <w:rPr>
          <w:rtl/>
        </w:rPr>
        <w:t>–</w:t>
      </w:r>
      <w:r>
        <w:rPr>
          <w:rFonts w:hint="cs"/>
          <w:rtl/>
        </w:rPr>
        <w:t xml:space="preserve"> ולכך אין לי אלא להצטרף </w:t>
      </w:r>
      <w:r>
        <w:rPr>
          <w:rtl/>
        </w:rPr>
        <w:t>–</w:t>
      </w:r>
      <w:r>
        <w:rPr>
          <w:rFonts w:hint="cs"/>
          <w:rtl/>
        </w:rPr>
        <w:t xml:space="preserve"> מעמדתו של חברי המשנה לנשיאה (בדימ'</w:t>
      </w:r>
      <w:r w:rsidRPr="00985CBC">
        <w:rPr>
          <w:rFonts w:ascii="FrankRuehl" w:hAnsi="FrankRuehl"/>
          <w:b/>
          <w:spacing w:val="0"/>
          <w:sz w:val="28"/>
          <w:rtl/>
        </w:rPr>
        <w:t>)</w:t>
      </w:r>
      <w:r w:rsidRPr="00985CBC">
        <w:rPr>
          <w:rFonts w:ascii="Century" w:hAnsi="Century" w:cs="Miriam" w:hint="cs"/>
          <w:b/>
          <w:spacing w:val="0"/>
          <w:sz w:val="22"/>
          <w:szCs w:val="24"/>
          <w:rtl/>
        </w:rPr>
        <w:t xml:space="preserve"> נ' הנדל</w:t>
      </w:r>
      <w:r>
        <w:rPr>
          <w:rFonts w:hint="cs"/>
          <w:rtl/>
        </w:rPr>
        <w:t xml:space="preserve"> המבקש לנתק בין סטנדרט הבחינה "האזרחי" המוטל על הממונה בסעיף 5 לצו ובין החובות המוטלות עליו מכוח המשפט המנהלי והמשפט הבינלאומי, וכן הסתייגה מגישתו של חברי השופט </w:t>
      </w:r>
      <w:r w:rsidRPr="00985CBC">
        <w:rPr>
          <w:rFonts w:ascii="Century" w:hAnsi="Century" w:cs="Miriam" w:hint="cs"/>
          <w:b/>
          <w:spacing w:val="0"/>
          <w:sz w:val="22"/>
          <w:szCs w:val="24"/>
          <w:rtl/>
        </w:rPr>
        <w:t>נ' סולברג</w:t>
      </w:r>
      <w:r>
        <w:rPr>
          <w:rFonts w:hint="cs"/>
          <w:rtl/>
        </w:rPr>
        <w:t xml:space="preserve">, הנוטה להניח כי אין לבחון את תום ליבו של הממונה בצורה כה קפדנית (פסקה 7 לחוות דעתה). </w:t>
      </w:r>
    </w:p>
    <w:p w:rsidR="00B20B22" w:rsidRPr="000B3BE2" w:rsidRDefault="00B20B22" w:rsidP="00B20B22">
      <w:pPr>
        <w:pStyle w:val="Ruller41"/>
      </w:pPr>
    </w:p>
    <w:p w:rsidR="00B20B22" w:rsidRDefault="00B20B22" w:rsidP="00B20B22">
      <w:pPr>
        <w:pStyle w:val="Ruller4"/>
        <w:numPr>
          <w:ilvl w:val="0"/>
          <w:numId w:val="0"/>
        </w:numPr>
        <w:rPr>
          <w:rtl/>
        </w:rPr>
      </w:pPr>
      <w:r>
        <w:rPr>
          <w:rtl/>
        </w:rPr>
        <w:tab/>
      </w:r>
      <w:r>
        <w:rPr>
          <w:rFonts w:hint="cs"/>
          <w:rtl/>
        </w:rPr>
        <w:t xml:space="preserve">אלא שבבואה ליישם את אמת המידה הקפדנית האמורה על התנהלותו של הממונה במקרה דנן, הגיעה חברתי השופטת </w:t>
      </w:r>
      <w:r>
        <w:rPr>
          <w:rFonts w:ascii="Century" w:hAnsi="Century" w:cs="Miriam" w:hint="cs"/>
          <w:b/>
          <w:spacing w:val="0"/>
          <w:sz w:val="22"/>
          <w:szCs w:val="24"/>
          <w:rtl/>
        </w:rPr>
        <w:t>ברק-</w:t>
      </w:r>
      <w:r w:rsidRPr="00D260EC">
        <w:rPr>
          <w:rFonts w:ascii="Century" w:hAnsi="Century" w:cs="Miriam" w:hint="cs"/>
          <w:b/>
          <w:spacing w:val="0"/>
          <w:sz w:val="22"/>
          <w:szCs w:val="24"/>
          <w:rtl/>
        </w:rPr>
        <w:t>ארז</w:t>
      </w:r>
      <w:r>
        <w:rPr>
          <w:rFonts w:hint="cs"/>
          <w:rtl/>
        </w:rPr>
        <w:t xml:space="preserve"> למסקנה כי אף שהתנהלותו של הממונה הייתה, כדבריה, "רשלנית (ומהיבט זה אף בלתי תקינה), אין מדובר במקרה טיפוסי של עצימת עיניים" (פסקה 30 לחוות דעתה). על כן סברה כי "במובן זה המקרה שבפנינו צולח, ולו בדוחק, את הרף הסובייקטיבי הנדרש" (</w:t>
      </w:r>
      <w:r w:rsidRPr="000B3BE2">
        <w:rPr>
          <w:rFonts w:ascii="Miriam" w:hAnsi="Miriam" w:cs="Miriam"/>
          <w:szCs w:val="24"/>
          <w:rtl/>
        </w:rPr>
        <w:t>שם</w:t>
      </w:r>
      <w:r>
        <w:rPr>
          <w:rFonts w:hint="cs"/>
          <w:rtl/>
        </w:rPr>
        <w:t xml:space="preserve">). </w:t>
      </w:r>
    </w:p>
    <w:p w:rsidR="00B20B22" w:rsidRDefault="00B20B22" w:rsidP="00B20B22">
      <w:pPr>
        <w:pStyle w:val="Ruller4"/>
        <w:numPr>
          <w:ilvl w:val="0"/>
          <w:numId w:val="0"/>
        </w:numPr>
        <w:rPr>
          <w:rtl/>
        </w:rPr>
      </w:pPr>
    </w:p>
    <w:p w:rsidR="00B20B22" w:rsidRDefault="00B20B22" w:rsidP="00B20B22">
      <w:pPr>
        <w:pStyle w:val="Ruller4"/>
        <w:numPr>
          <w:ilvl w:val="0"/>
          <w:numId w:val="0"/>
        </w:numPr>
        <w:rPr>
          <w:rtl/>
        </w:rPr>
      </w:pPr>
      <w:r>
        <w:rPr>
          <w:rtl/>
        </w:rPr>
        <w:tab/>
      </w:r>
      <w:r>
        <w:rPr>
          <w:rFonts w:hint="cs"/>
          <w:rtl/>
        </w:rPr>
        <w:t xml:space="preserve">דעתי בעניין זה שונה. </w:t>
      </w:r>
    </w:p>
    <w:p w:rsidR="00B20B22" w:rsidRDefault="00B20B22" w:rsidP="00B20B22">
      <w:pPr>
        <w:pStyle w:val="Ruller4"/>
        <w:numPr>
          <w:ilvl w:val="0"/>
          <w:numId w:val="0"/>
        </w:numPr>
        <w:rPr>
          <w:rtl/>
        </w:rPr>
      </w:pPr>
    </w:p>
    <w:p w:rsidR="00B20B22" w:rsidRDefault="00B20B22" w:rsidP="0026776A">
      <w:pPr>
        <w:pStyle w:val="Ruller4"/>
        <w:numPr>
          <w:ilvl w:val="0"/>
          <w:numId w:val="0"/>
        </w:numPr>
        <w:rPr>
          <w:rtl/>
        </w:rPr>
      </w:pPr>
      <w:r>
        <w:rPr>
          <w:rtl/>
        </w:rPr>
        <w:tab/>
      </w:r>
      <w:r>
        <w:rPr>
          <w:rFonts w:hint="cs"/>
          <w:rtl/>
        </w:rPr>
        <w:t>בניגוד לחברתי הסבורה כי "התמונה המצטיירת ממכלול העובדות שהוצגו בבית המשפט המחוזי ושנפר</w:t>
      </w:r>
      <w:r w:rsidR="0026776A">
        <w:rPr>
          <w:rFonts w:hint="cs"/>
          <w:rtl/>
        </w:rPr>
        <w:t>ש</w:t>
      </w:r>
      <w:r>
        <w:rPr>
          <w:rFonts w:hint="cs"/>
          <w:rtl/>
        </w:rPr>
        <w:t>ו גם בפנינו אינה של חוסר תום לב מובהק מצד הממונה, אלא של תאונה משפטית 'מתגלגלת' וארוכת שלבים" (</w:t>
      </w:r>
      <w:r w:rsidRPr="000B3BE2">
        <w:rPr>
          <w:rFonts w:ascii="Miriam" w:hAnsi="Miriam" w:cs="Miriam" w:hint="cs"/>
          <w:szCs w:val="24"/>
          <w:rtl/>
        </w:rPr>
        <w:t>שם</w:t>
      </w:r>
      <w:r>
        <w:rPr>
          <w:rFonts w:hint="cs"/>
          <w:rtl/>
        </w:rPr>
        <w:t xml:space="preserve">), אני סבורה כי לאורך כל הדרך הממונה התעלם משורה של סימני אזהרה מובהקים שניצבו ממש לנגד עיניו, אך הוא בחר לעצום אותן ולא לראות. זאת, החל מן ההתקשרות הראשונה שבין הממונה ובין ההסתדרות הציונית העולמית בהסכם ההרשאה משנת 1981; עבור בחידושו מעת לעת בשנים 1985, 1990, 1995 ו-1997; וכלה בהתנהלות הממונה ונציגיו בעת העתקת מצפה כרמים למיקומו הנוכחי (ואף לאחר מכן, כמפורט בחוות דעתו של המשנה לנשיאה </w:t>
      </w:r>
      <w:r w:rsidRPr="00D56DA3">
        <w:rPr>
          <w:rFonts w:ascii="Miriam" w:hAnsi="Miriam" w:cs="Miriam" w:hint="cs"/>
          <w:szCs w:val="24"/>
          <w:rtl/>
        </w:rPr>
        <w:t>פוגלמן</w:t>
      </w:r>
      <w:r>
        <w:rPr>
          <w:rFonts w:hint="cs"/>
          <w:rtl/>
        </w:rPr>
        <w:t xml:space="preserve"> בפסקה 96). </w:t>
      </w:r>
    </w:p>
    <w:p w:rsidR="00B20B22" w:rsidRDefault="00B20B22" w:rsidP="00B20B22">
      <w:pPr>
        <w:pStyle w:val="Ruller4"/>
        <w:numPr>
          <w:ilvl w:val="0"/>
          <w:numId w:val="0"/>
        </w:numPr>
        <w:rPr>
          <w:rtl/>
        </w:rPr>
      </w:pPr>
    </w:p>
    <w:p w:rsidR="00B20B22" w:rsidRPr="00FA137E" w:rsidRDefault="00B20B22" w:rsidP="00B20B22">
      <w:pPr>
        <w:pStyle w:val="Ruller4"/>
        <w:rPr>
          <w:b/>
          <w:bCs/>
          <w:rtl/>
        </w:rPr>
      </w:pPr>
      <w:r>
        <w:rPr>
          <w:rFonts w:hint="cs"/>
          <w:rtl/>
        </w:rPr>
        <w:t xml:space="preserve">מהי עצימת עיניים? בפסיקה שעליה עמד המשנה לנשיאה </w:t>
      </w:r>
      <w:r w:rsidRPr="00F87051">
        <w:rPr>
          <w:rFonts w:ascii="Miriam" w:hAnsi="Miriam" w:cs="Miriam" w:hint="cs"/>
          <w:szCs w:val="24"/>
          <w:rtl/>
        </w:rPr>
        <w:t>פוגלמן</w:t>
      </w:r>
      <w:r>
        <w:rPr>
          <w:rFonts w:hint="cs"/>
          <w:rtl/>
        </w:rPr>
        <w:t xml:space="preserve"> נקבע בהקשר זה כי צד המחויב לפעול בתום לב אינו רשאי לעצום את עיניו מלראות עובדות גלויות המקימות סימני אזהרה והעשויות "להעמידו על המשמר". משנוצרו נסיבות כאלה, העדר בדיקה ראויה של אותן העובדות מהווה "עצימת עיניים", אשר יש בה כדי לשלול את הגנת תום הלב</w:t>
      </w:r>
      <w:r>
        <w:rPr>
          <w:rFonts w:hint="cs"/>
          <w:b/>
          <w:bCs/>
          <w:rtl/>
        </w:rPr>
        <w:t xml:space="preserve"> </w:t>
      </w:r>
      <w:r>
        <w:rPr>
          <w:rFonts w:hint="cs"/>
          <w:rtl/>
        </w:rPr>
        <w:t xml:space="preserve">(פסקאות 56-55 לחוות דעתו של המשנה לנשיאה </w:t>
      </w:r>
      <w:r w:rsidRPr="00F87051">
        <w:rPr>
          <w:rFonts w:ascii="Miriam" w:hAnsi="Miriam" w:cs="Miriam" w:hint="cs"/>
          <w:szCs w:val="24"/>
          <w:rtl/>
        </w:rPr>
        <w:t>פוגלמן</w:t>
      </w:r>
      <w:r>
        <w:rPr>
          <w:rFonts w:hint="cs"/>
          <w:rtl/>
        </w:rPr>
        <w:t xml:space="preserve"> והאסמכתאות שם).</w:t>
      </w:r>
    </w:p>
    <w:p w:rsidR="00B20B22" w:rsidRDefault="00B20B22" w:rsidP="00B20B22">
      <w:pPr>
        <w:pStyle w:val="Ruller41"/>
        <w:rPr>
          <w:rtl/>
        </w:rPr>
      </w:pPr>
    </w:p>
    <w:p w:rsidR="00B20B22" w:rsidRDefault="00B20B22" w:rsidP="00B20B22">
      <w:pPr>
        <w:pStyle w:val="Ruller4"/>
      </w:pPr>
      <w:r>
        <w:rPr>
          <w:rFonts w:hint="cs"/>
          <w:rtl/>
        </w:rPr>
        <w:lastRenderedPageBreak/>
        <w:t>בפסק הדין נושא הדיון הנוסף פירטתי את העובדות והראיות שהוצגו בהקשר זה, אשר היוו לגישתי סימני אזהרה מובהקים ושמהם התעלם הממונה (בפסקאות 46-45 לחוות דעתי). כך</w:t>
      </w:r>
      <w:r w:rsidRPr="002054F0">
        <w:rPr>
          <w:rFonts w:hint="cs"/>
          <w:rtl/>
        </w:rPr>
        <w:t>,</w:t>
      </w:r>
      <w:r>
        <w:rPr>
          <w:rFonts w:hint="cs"/>
          <w:rtl/>
        </w:rPr>
        <w:t xml:space="preserve"> מהחומר עולה כי כבר בשנת 1975 העביר הממונה עצמו מכתב שציין את היקף השטח המדויק שנסגר בצו הסגירה </w:t>
      </w:r>
      <w:r>
        <w:rPr>
          <w:rtl/>
        </w:rPr>
        <w:t>–</w:t>
      </w:r>
      <w:r>
        <w:rPr>
          <w:rFonts w:hint="cs"/>
          <w:rtl/>
        </w:rPr>
        <w:t xml:space="preserve"> 1070 דונמים </w:t>
      </w:r>
      <w:r>
        <w:rPr>
          <w:rtl/>
        </w:rPr>
        <w:t>–</w:t>
      </w:r>
      <w:r>
        <w:rPr>
          <w:rFonts w:hint="cs"/>
          <w:rtl/>
        </w:rPr>
        <w:t xml:space="preserve"> וכן את פירוט הבעלויות בשטח שנסגר. בשנת 1980 הוצא צו תפיסה לצרכים צבאיים על שטח מצומצם מזה שנסגר בצו הסגירה </w:t>
      </w:r>
      <w:r>
        <w:rPr>
          <w:rtl/>
        </w:rPr>
        <w:t>–</w:t>
      </w:r>
      <w:r>
        <w:rPr>
          <w:rFonts w:hint="cs"/>
          <w:rtl/>
        </w:rPr>
        <w:t xml:space="preserve"> 850 דונמים. בשנת 1981 נחתם הסכם ההרשאה הראשון בין הממונה להסתדרות הציונית העולמית ולפיו קיבלה ההסתדרות הציונית לחזקתה שטח של 1,071 דונמים, שסומן על גבי מפה שצורפה כנספח להסכם ההרשאה (המפה שצורפה היא למעשה מפת צו הסגירה אף שנכתב על גביה "צו תפיסה"). לגבי מפה זו</w:t>
      </w:r>
      <w:r w:rsidRPr="002054F0">
        <w:rPr>
          <w:rFonts w:hint="cs"/>
          <w:rtl/>
        </w:rPr>
        <w:t xml:space="preserve"> </w:t>
      </w:r>
      <w:r>
        <w:rPr>
          <w:rFonts w:hint="cs"/>
          <w:rtl/>
        </w:rPr>
        <w:t>ציין הממונה דאז נהרי בעדותו בבית המשפט המחוזי כי היא לא הייתה מדויקת וכי</w:t>
      </w:r>
      <w:r w:rsidRPr="002054F0">
        <w:rPr>
          <w:rFonts w:hint="cs"/>
          <w:rtl/>
        </w:rPr>
        <w:t xml:space="preserve"> </w:t>
      </w:r>
      <w:r>
        <w:rPr>
          <w:rFonts w:hint="cs"/>
          <w:rtl/>
        </w:rPr>
        <w:t>"</w:t>
      </w:r>
      <w:r w:rsidRPr="002054F0">
        <w:rPr>
          <w:rFonts w:hint="cs"/>
          <w:rtl/>
        </w:rPr>
        <w:t>קשה ואף בלתי אפשרי לתכנן או לתחום על פיה את גבולות המשבצת</w:t>
      </w:r>
      <w:r>
        <w:rPr>
          <w:rFonts w:hint="cs"/>
          <w:rtl/>
        </w:rPr>
        <w:t>" (פסקה 38 לפסק דינו של בית המשפט המחוזי)</w:t>
      </w:r>
      <w:r w:rsidRPr="002054F0">
        <w:rPr>
          <w:rFonts w:hint="cs"/>
          <w:rtl/>
        </w:rPr>
        <w:t xml:space="preserve">. </w:t>
      </w:r>
      <w:r>
        <w:rPr>
          <w:rFonts w:hint="cs"/>
          <w:rtl/>
        </w:rPr>
        <w:t>עוד ציין</w:t>
      </w:r>
      <w:r w:rsidRPr="002054F0">
        <w:rPr>
          <w:rFonts w:hint="cs"/>
          <w:rtl/>
        </w:rPr>
        <w:t xml:space="preserve"> הממונה בעדותו בבית המשפט המחוזי כי הוא דרש, אך לא קיבל, מפה מדויקת יותר עם הסכם ההרשאה: "בהתחלה הקצתי את השטח על סמך מפה לא מדויקת, כללית, זה לא מכבודי להקצות שטח לא ברור אבל הייתי צריך לעשות איתם חוזה אז כתבתי בפירוש שהמפה הזאת היא לא מביעה את השטח האמיתי ואני מבקש שיתנו לי מפה מדויקת יותר" (עמ' 194 לפרוטוקול,</w:t>
      </w:r>
      <w:r w:rsidR="00731132">
        <w:rPr>
          <w:rFonts w:hint="cs"/>
          <w:rtl/>
        </w:rPr>
        <w:t xml:space="preserve"> שורות</w:t>
      </w:r>
      <w:r w:rsidRPr="002054F0">
        <w:rPr>
          <w:rFonts w:hint="cs"/>
          <w:rtl/>
        </w:rPr>
        <w:t xml:space="preserve"> 20-12). </w:t>
      </w:r>
      <w:r>
        <w:rPr>
          <w:rFonts w:hint="cs"/>
          <w:rtl/>
        </w:rPr>
        <w:t xml:space="preserve">בהמשך, הובאה בפניו מפת מערכת ההנחיות 223 אשר השתרעה על שטח בהיקף של 1,416 דונמים. </w:t>
      </w:r>
    </w:p>
    <w:p w:rsidR="00B20B22" w:rsidRPr="00D56DA3" w:rsidRDefault="00B20B22" w:rsidP="00B20B22">
      <w:pPr>
        <w:pStyle w:val="Ruller4"/>
        <w:numPr>
          <w:ilvl w:val="0"/>
          <w:numId w:val="0"/>
        </w:numPr>
        <w:rPr>
          <w:rtl/>
        </w:rPr>
      </w:pPr>
    </w:p>
    <w:p w:rsidR="00B20B22" w:rsidRDefault="00B20B22" w:rsidP="00B20B22">
      <w:pPr>
        <w:pStyle w:val="Ruller4"/>
        <w:numPr>
          <w:ilvl w:val="0"/>
          <w:numId w:val="0"/>
        </w:numPr>
        <w:rPr>
          <w:rtl/>
        </w:rPr>
      </w:pPr>
      <w:r>
        <w:rPr>
          <w:rtl/>
        </w:rPr>
        <w:tab/>
      </w:r>
      <w:r>
        <w:rPr>
          <w:rFonts w:hint="cs"/>
          <w:rtl/>
        </w:rPr>
        <w:t xml:space="preserve">כלומר, לא רק שהממונה לא עמד על כך שתוצג לו מפה מדויקת של תא השטח שהוגדר בהסכם ההרשאה אלא שהמפה הנוספת שהוצגה בפניו חרגה בלא פחות ממאות דונמים מצו התפיסה, מצו הסגירה ומהשטח שצוין בהסכם ההרשאה. חרף עובדות אלה, שהיו </w:t>
      </w:r>
      <w:r w:rsidRPr="008D2614">
        <w:rPr>
          <w:rFonts w:ascii="Century" w:hAnsi="Century" w:cs="Miriam" w:hint="cs"/>
          <w:b/>
          <w:spacing w:val="0"/>
          <w:sz w:val="22"/>
          <w:szCs w:val="24"/>
          <w:rtl/>
        </w:rPr>
        <w:t>בידיעתו</w:t>
      </w:r>
      <w:r w:rsidRPr="00C0671B">
        <w:rPr>
          <w:rFonts w:hint="cs"/>
          <w:rtl/>
        </w:rPr>
        <w:t xml:space="preserve"> </w:t>
      </w:r>
      <w:r>
        <w:rPr>
          <w:rFonts w:hint="cs"/>
          <w:rtl/>
        </w:rPr>
        <w:t xml:space="preserve">של הממונה, לא הוצגו כל בדיקות שנערכו לצורך בירור המצב לאשורו, וזאת אף שכאמור, מדובר במקרקעין מוסדרים שלגביהם היה בידי הממונה סקר בעלויות שאיפשר להצביע על כל חלקה וחלקה, ושעיון פשוט בו יכול היה להבהיר כי השטח שבו ממוקם כיום מצפה כרמים, הוא שטח של מקרקעין פרטיים מוסדרים אשר חורג הן מצו התפיסה והן מצו הסגירה. </w:t>
      </w:r>
    </w:p>
    <w:p w:rsidR="00B20B22" w:rsidRDefault="00B20B22" w:rsidP="00B20B22">
      <w:pPr>
        <w:pStyle w:val="Ruller41"/>
        <w:rPr>
          <w:rtl/>
        </w:rPr>
      </w:pPr>
    </w:p>
    <w:p w:rsidR="00B20B22" w:rsidRDefault="00B20B22" w:rsidP="00B20B22">
      <w:pPr>
        <w:pStyle w:val="Ruller4"/>
        <w:rPr>
          <w:rtl/>
        </w:rPr>
      </w:pPr>
      <w:r>
        <w:rPr>
          <w:rFonts w:hint="cs"/>
          <w:rtl/>
        </w:rPr>
        <w:t>הסכם ההרשאה הוארך מספר פעמים, וזאת חרף העובדה שבמהלך השנים התגלה כי חמישה מגרשים ביישוב כוכב השחר נמצאים מחוץ לגבולות התפיסה בפועל (ראו גם בחוות דעתו של המשנה לנשיאה פוגלמן בפסקאות 91-89). במילים אחרות, גם כאשר התגלה כי בפועל קיים חוסר התאמה משמעותי בין המצב בשטח ובין צווי התפיסה והסגירה, הוארך ההסכם עם ההסתדרות הציונית על בסיס המפה הקיימת ומבלי שהוצגו בדיקות שנעשו ביחס לשטח שעליו חלה תוכנית 223, ובכלל זאת השטח שבו ממוקם כיום מצפה כרמים.</w:t>
      </w:r>
    </w:p>
    <w:p w:rsidR="00B20B22" w:rsidRPr="00002FC3" w:rsidRDefault="00B20B22" w:rsidP="00B20B22">
      <w:pPr>
        <w:pStyle w:val="Ruller41"/>
        <w:rPr>
          <w:rtl/>
        </w:rPr>
      </w:pPr>
    </w:p>
    <w:p w:rsidR="00B20B22" w:rsidRDefault="00B20B22" w:rsidP="00B20B22">
      <w:pPr>
        <w:pStyle w:val="Ruller4"/>
      </w:pPr>
      <w:r>
        <w:rPr>
          <w:rFonts w:hint="cs"/>
          <w:rtl/>
        </w:rPr>
        <w:t xml:space="preserve">לגישתי, עצימת עיניים זו שנמשכה לאורך השנים נושאת משקל משמעותי </w:t>
      </w:r>
      <w:r w:rsidRPr="00422FE8">
        <w:rPr>
          <w:rFonts w:hint="cs"/>
          <w:rtl/>
        </w:rPr>
        <w:t xml:space="preserve">בבואנו לבחון את תום ליבו של הממונה בענייננו וזאת גם בהנחה </w:t>
      </w:r>
      <w:r w:rsidRPr="00422FE8">
        <w:rPr>
          <w:rtl/>
        </w:rPr>
        <w:t>–</w:t>
      </w:r>
      <w:r w:rsidRPr="00422FE8">
        <w:rPr>
          <w:rFonts w:hint="cs"/>
          <w:rtl/>
        </w:rPr>
        <w:t xml:space="preserve"> שאינה מקובלת עלי </w:t>
      </w:r>
      <w:r w:rsidRPr="00422FE8">
        <w:rPr>
          <w:rtl/>
        </w:rPr>
        <w:t>–</w:t>
      </w:r>
      <w:r w:rsidRPr="00422FE8">
        <w:rPr>
          <w:rFonts w:hint="cs"/>
          <w:rtl/>
        </w:rPr>
        <w:t xml:space="preserve"> ולפיה, כעמדת כמה מחבריי, מועד השתכללות "העסקה" לעניין סעיף 5 </w:t>
      </w:r>
      <w:r w:rsidRPr="00556C87">
        <w:rPr>
          <w:rFonts w:hint="cs"/>
          <w:rtl/>
        </w:rPr>
        <w:t>לצו הוא בשלב מאוחר יותר (הסכם ההרשאה האחרון משנת 1997 או מועד כניסת התושבים הראשונים של מצפה כרמים לתמונה בשנים 2000-1999). המסקנה המתבקשת בעיניי מן העובדות המפורטות לעיל היא כי הממונה לא עמד בדרישת תום הלב ברף הגבוה משום שבאותו שלב הוא ידע כי קיימים קשיים כאלה ואחרים ביחס לתא השטח שבו ממוקם</w:t>
      </w:r>
      <w:r>
        <w:rPr>
          <w:rFonts w:hint="cs"/>
          <w:rtl/>
        </w:rPr>
        <w:t xml:space="preserve"> היישוב כוכב השחר ושבו ישב "מצפה כרמים הישן". לכן, משהתעורר הצורך להעתיק את מיקומו של מצפה כרמים ממיקומו המקורי למיקום חדש במסגרת "הסכם המאחזים", ניתן היה לצפות שכדי להפיג את החשש לחריגה מצו התפיסה, תיעשה בדיקה מעמיקה ויסודית בטרם יועתק היישוב. זאת, במיוחד בהינתן העובדה שבשנת 1999 הוקם "צוות סטטוס מקרקעין" </w:t>
      </w:r>
      <w:r w:rsidRPr="00F62058">
        <w:rPr>
          <w:rFonts w:ascii="Century" w:hAnsi="Century" w:hint="cs"/>
          <w:sz w:val="22"/>
          <w:rtl/>
        </w:rPr>
        <w:t xml:space="preserve">(המכונה גם </w:t>
      </w:r>
      <w:r w:rsidRPr="00F62058">
        <w:rPr>
          <w:rFonts w:ascii="Century" w:hAnsi="Century" w:hint="eastAsia"/>
          <w:sz w:val="22"/>
          <w:rtl/>
        </w:rPr>
        <w:t>צוות</w:t>
      </w:r>
      <w:r w:rsidRPr="00F62058">
        <w:rPr>
          <w:rFonts w:ascii="Century" w:hAnsi="Century"/>
          <w:sz w:val="22"/>
          <w:rtl/>
        </w:rPr>
        <w:t xml:space="preserve"> </w:t>
      </w:r>
      <w:r w:rsidRPr="00F62058">
        <w:rPr>
          <w:rFonts w:ascii="Century" w:hAnsi="Century" w:hint="eastAsia"/>
          <w:sz w:val="22"/>
          <w:rtl/>
        </w:rPr>
        <w:t>קו</w:t>
      </w:r>
      <w:r w:rsidRPr="00F62058">
        <w:rPr>
          <w:rFonts w:ascii="Century" w:hAnsi="Century"/>
          <w:sz w:val="22"/>
          <w:rtl/>
        </w:rPr>
        <w:t xml:space="preserve"> </w:t>
      </w:r>
      <w:r w:rsidRPr="00F62058">
        <w:rPr>
          <w:rFonts w:ascii="Century" w:hAnsi="Century" w:hint="eastAsia"/>
          <w:sz w:val="22"/>
          <w:rtl/>
        </w:rPr>
        <w:t>כחול</w:t>
      </w:r>
      <w:r>
        <w:rPr>
          <w:rFonts w:hint="cs"/>
          <w:rtl/>
        </w:rPr>
        <w:t>), לאחר ש</w:t>
      </w:r>
      <w:r w:rsidRPr="00F62058">
        <w:rPr>
          <w:rFonts w:ascii="FrankRuehl" w:hAnsi="FrankRuehl"/>
          <w:color w:val="000000"/>
          <w:sz w:val="28"/>
          <w:rtl/>
        </w:rPr>
        <w:t>הוחלט במנהל האזרחי שיש לקבוע מתכונת עבודה מסודרת ולבצע בחינה מחודשת של כל התעודות בדבר הכרזה על אדמות מדינה</w:t>
      </w:r>
      <w:r>
        <w:rPr>
          <w:rFonts w:ascii="FrankRuehl" w:hAnsi="FrankRuehl" w:hint="cs"/>
          <w:color w:val="000000"/>
          <w:sz w:val="28"/>
          <w:rtl/>
        </w:rPr>
        <w:t>,</w:t>
      </w:r>
      <w:r>
        <w:rPr>
          <w:rFonts w:hint="cs"/>
          <w:rtl/>
        </w:rPr>
        <w:t xml:space="preserve"> על רקע אי דיוקים בתרשימים הרלוונטיים (בג"ץ 1308/17 </w:t>
      </w:r>
      <w:r w:rsidRPr="00B226A2">
        <w:rPr>
          <w:rFonts w:ascii="Century" w:hAnsi="Century" w:cs="Miriam"/>
          <w:b/>
          <w:spacing w:val="0"/>
          <w:szCs w:val="24"/>
          <w:rtl/>
        </w:rPr>
        <w:t>עיריית סילואד נ' הכנסת</w:t>
      </w:r>
      <w:r>
        <w:rPr>
          <w:rFonts w:ascii="Century" w:hAnsi="Century" w:cs="Miriam" w:hint="cs"/>
          <w:b/>
          <w:spacing w:val="0"/>
          <w:szCs w:val="24"/>
          <w:rtl/>
        </w:rPr>
        <w:t>,</w:t>
      </w:r>
      <w:r>
        <w:rPr>
          <w:rFonts w:hint="cs"/>
          <w:rtl/>
        </w:rPr>
        <w:t xml:space="preserve"> פסקה 14 לחוות דעתי (9.6.2020)). </w:t>
      </w:r>
    </w:p>
    <w:p w:rsidR="00B20B22" w:rsidRDefault="00B20B22" w:rsidP="00B20B22">
      <w:pPr>
        <w:pStyle w:val="Ruller4"/>
        <w:numPr>
          <w:ilvl w:val="0"/>
          <w:numId w:val="0"/>
        </w:numPr>
        <w:rPr>
          <w:rtl/>
        </w:rPr>
      </w:pPr>
    </w:p>
    <w:p w:rsidR="00B20B22" w:rsidRDefault="00B20B22" w:rsidP="00B20B22">
      <w:pPr>
        <w:pStyle w:val="Ruller4"/>
        <w:numPr>
          <w:ilvl w:val="0"/>
          <w:numId w:val="0"/>
        </w:numPr>
      </w:pPr>
      <w:r>
        <w:rPr>
          <w:rtl/>
        </w:rPr>
        <w:tab/>
      </w:r>
      <w:r>
        <w:rPr>
          <w:rFonts w:hint="cs"/>
          <w:rtl/>
        </w:rPr>
        <w:t xml:space="preserve">בפני הממונה ניצבו, אפוא, סימני אזהרה ברורים שחייבו אותו לקיים בדיקה ראויה במועד העתקת מצפה כרמים למיקומו החדש. אך עדויות לקיומה של בדיקה כזו לא הוצגו (ראו גם פסקה 77 לחוות דעתו של המשנה לנשיאה </w:t>
      </w:r>
      <w:r w:rsidRPr="00F62058">
        <w:rPr>
          <w:rFonts w:ascii="Century" w:hAnsi="Century" w:cs="Miriam" w:hint="eastAsia"/>
          <w:b/>
          <w:spacing w:val="0"/>
          <w:sz w:val="22"/>
          <w:szCs w:val="24"/>
          <w:rtl/>
        </w:rPr>
        <w:t>פוגלמן</w:t>
      </w:r>
      <w:r>
        <w:rPr>
          <w:rFonts w:hint="cs"/>
          <w:rtl/>
        </w:rPr>
        <w:t>). לפיכך, אין בעיניי מנוס מן המסקנה כי אין מדובר ברשלנות אלא בעצימת עיניים של ממש.</w:t>
      </w:r>
    </w:p>
    <w:p w:rsidR="00B20B22" w:rsidRDefault="00B20B22" w:rsidP="00B20B22">
      <w:pPr>
        <w:pStyle w:val="Ruller4"/>
        <w:numPr>
          <w:ilvl w:val="0"/>
          <w:numId w:val="0"/>
        </w:numPr>
        <w:rPr>
          <w:rtl/>
        </w:rPr>
      </w:pPr>
    </w:p>
    <w:p w:rsidR="00B20B22" w:rsidRDefault="00B20B22" w:rsidP="00B20B22">
      <w:pPr>
        <w:pStyle w:val="Ruller4"/>
        <w:rPr>
          <w:rFonts w:ascii="FrankRuehl" w:hAnsi="FrankRuehl"/>
          <w:sz w:val="28"/>
          <w:rtl/>
        </w:rPr>
      </w:pPr>
      <w:r>
        <w:rPr>
          <w:rFonts w:hint="cs"/>
          <w:rtl/>
        </w:rPr>
        <w:t xml:space="preserve">ע' רע"ן תשתית במנהל האזרחי </w:t>
      </w:r>
      <w:r w:rsidRPr="00F62058">
        <w:rPr>
          <w:rFonts w:ascii="FrankRuehl" w:hAnsi="FrankRuehl"/>
          <w:sz w:val="28"/>
          <w:rtl/>
        </w:rPr>
        <w:t xml:space="preserve">בשנים </w:t>
      </w:r>
      <w:r w:rsidRPr="00F62058">
        <w:rPr>
          <w:rFonts w:ascii="FrankRuehl" w:hAnsi="FrankRuehl" w:hint="cs"/>
          <w:sz w:val="28"/>
          <w:rtl/>
        </w:rPr>
        <w:t>2005-1993</w:t>
      </w:r>
      <w:r>
        <w:rPr>
          <w:rFonts w:hint="cs"/>
          <w:rtl/>
        </w:rPr>
        <w:t xml:space="preserve">, רב סרן יאיר בלומנטל, טען אומנם בעדותו בבית המשפט המחוזי כי לפני העתקת המאחז הוא ירד לשטח וראה גדר שהעידה מבחינתו על תפיסה בפועל. ואולם, השטח שבו נעשתה הבדיקה כלל אינו חופף למיקום הנוכחי של מצפה כרמים, שכן הקרוואנים של המחזיקים הוצבו לבסוף </w:t>
      </w:r>
      <w:r w:rsidRPr="00F62058">
        <w:rPr>
          <w:rFonts w:ascii="Century" w:hAnsi="Century" w:cs="Miriam" w:hint="eastAsia"/>
          <w:b/>
          <w:spacing w:val="0"/>
          <w:sz w:val="22"/>
          <w:szCs w:val="24"/>
          <w:rtl/>
        </w:rPr>
        <w:t>בשטח</w:t>
      </w:r>
      <w:r w:rsidRPr="00F62058">
        <w:rPr>
          <w:rFonts w:ascii="Century" w:hAnsi="Century" w:cs="Miriam"/>
          <w:b/>
          <w:spacing w:val="0"/>
          <w:sz w:val="22"/>
          <w:szCs w:val="24"/>
          <w:rtl/>
        </w:rPr>
        <w:t xml:space="preserve"> </w:t>
      </w:r>
      <w:r w:rsidRPr="00F62058">
        <w:rPr>
          <w:rFonts w:ascii="Century" w:hAnsi="Century" w:cs="Miriam" w:hint="eastAsia"/>
          <w:b/>
          <w:spacing w:val="0"/>
          <w:sz w:val="22"/>
          <w:szCs w:val="24"/>
          <w:rtl/>
        </w:rPr>
        <w:t>שונה</w:t>
      </w:r>
      <w:r w:rsidRPr="00D43329">
        <w:rPr>
          <w:rtl/>
        </w:rPr>
        <w:t xml:space="preserve"> </w:t>
      </w:r>
      <w:r>
        <w:rPr>
          <w:rFonts w:hint="cs"/>
          <w:rtl/>
        </w:rPr>
        <w:t xml:space="preserve">מזה שנבחן במסגרת תכנית 223/1/5 ובלומנטל עצמו אישר בעדותו שלא נכח בעת העלייה על הקרקע </w:t>
      </w:r>
      <w:r w:rsidRPr="00F62058">
        <w:rPr>
          <w:rFonts w:ascii="Century" w:hAnsi="Century" w:cs="Miriam" w:hint="eastAsia"/>
          <w:b/>
          <w:spacing w:val="0"/>
          <w:sz w:val="22"/>
          <w:szCs w:val="24"/>
          <w:rtl/>
        </w:rPr>
        <w:t>במיקום</w:t>
      </w:r>
      <w:r w:rsidRPr="00F62058">
        <w:rPr>
          <w:rFonts w:ascii="Century" w:hAnsi="Century" w:cs="Miriam"/>
          <w:b/>
          <w:spacing w:val="0"/>
          <w:sz w:val="22"/>
          <w:szCs w:val="24"/>
          <w:rtl/>
        </w:rPr>
        <w:t xml:space="preserve"> </w:t>
      </w:r>
      <w:r w:rsidRPr="00F62058">
        <w:rPr>
          <w:rFonts w:ascii="Century" w:hAnsi="Century" w:cs="Miriam" w:hint="eastAsia"/>
          <w:b/>
          <w:spacing w:val="0"/>
          <w:sz w:val="22"/>
          <w:szCs w:val="24"/>
          <w:rtl/>
        </w:rPr>
        <w:t>הנוכחי</w:t>
      </w:r>
      <w:r w:rsidRPr="00AC55AD">
        <w:rPr>
          <w:rtl/>
        </w:rPr>
        <w:t xml:space="preserve"> </w:t>
      </w:r>
      <w:r>
        <w:rPr>
          <w:rFonts w:hint="cs"/>
          <w:rtl/>
        </w:rPr>
        <w:t xml:space="preserve">של מצפה כרמים. </w:t>
      </w:r>
      <w:r w:rsidRPr="00F62058">
        <w:rPr>
          <w:rFonts w:ascii="FrankRuehl" w:hAnsi="FrankRuehl" w:hint="cs"/>
          <w:sz w:val="28"/>
          <w:rtl/>
        </w:rPr>
        <w:t xml:space="preserve">במענה לשאלה </w:t>
      </w:r>
      <w:r w:rsidRPr="00F62058">
        <w:rPr>
          <w:rFonts w:ascii="FrankRuehl" w:hAnsi="FrankRuehl"/>
          <w:sz w:val="28"/>
          <w:rtl/>
        </w:rPr>
        <w:t xml:space="preserve">האם ידע שהקרקע </w:t>
      </w:r>
      <w:r w:rsidRPr="00F62058">
        <w:rPr>
          <w:rFonts w:ascii="FrankRuehl" w:hAnsi="FrankRuehl" w:hint="cs"/>
          <w:sz w:val="28"/>
          <w:rtl/>
        </w:rPr>
        <w:t>ש</w:t>
      </w:r>
      <w:r w:rsidRPr="00F62058">
        <w:rPr>
          <w:rFonts w:ascii="FrankRuehl" w:hAnsi="FrankRuehl"/>
          <w:sz w:val="28"/>
          <w:rtl/>
        </w:rPr>
        <w:t>בה מוקם מצפה כרמים היא קרקע פרטית מוסדרת,</w:t>
      </w:r>
      <w:r w:rsidRPr="00F62058">
        <w:rPr>
          <w:rFonts w:ascii="FrankRuehl" w:hAnsi="FrankRuehl" w:hint="cs"/>
          <w:sz w:val="28"/>
          <w:rtl/>
        </w:rPr>
        <w:t xml:space="preserve"> ציין</w:t>
      </w:r>
      <w:r w:rsidRPr="00F62058">
        <w:rPr>
          <w:rFonts w:ascii="FrankRuehl" w:hAnsi="FrankRuehl"/>
          <w:sz w:val="28"/>
          <w:rtl/>
        </w:rPr>
        <w:t xml:space="preserve"> </w:t>
      </w:r>
      <w:r w:rsidRPr="00F62058">
        <w:rPr>
          <w:rFonts w:ascii="FrankRuehl" w:hAnsi="FrankRuehl" w:hint="cs"/>
          <w:sz w:val="28"/>
          <w:rtl/>
        </w:rPr>
        <w:t xml:space="preserve">בלומנטל </w:t>
      </w:r>
      <w:r w:rsidRPr="00F62058">
        <w:rPr>
          <w:rFonts w:ascii="FrankRuehl" w:hAnsi="FrankRuehl"/>
          <w:sz w:val="28"/>
          <w:rtl/>
        </w:rPr>
        <w:t xml:space="preserve">"בוודאי", והוסיף "לא מעניין אותי" (עמ' 269, שורות </w:t>
      </w:r>
      <w:r w:rsidRPr="00F62058">
        <w:rPr>
          <w:rFonts w:ascii="FrankRuehl" w:hAnsi="FrankRuehl" w:hint="cs"/>
          <w:sz w:val="28"/>
          <w:rtl/>
        </w:rPr>
        <w:t>14-6</w:t>
      </w:r>
      <w:r w:rsidRPr="00F62058">
        <w:rPr>
          <w:rFonts w:ascii="FrankRuehl" w:hAnsi="FrankRuehl"/>
          <w:sz w:val="28"/>
          <w:rtl/>
        </w:rPr>
        <w:t>)</w:t>
      </w:r>
      <w:r>
        <w:rPr>
          <w:rFonts w:ascii="FrankRuehl" w:hAnsi="FrankRuehl" w:hint="cs"/>
          <w:sz w:val="28"/>
          <w:rtl/>
        </w:rPr>
        <w:t xml:space="preserve">. הוא הוסיף וציין </w:t>
      </w:r>
      <w:r w:rsidRPr="00F62058">
        <w:rPr>
          <w:rFonts w:ascii="FrankRuehl" w:hAnsi="FrankRuehl"/>
          <w:sz w:val="28"/>
          <w:rtl/>
        </w:rPr>
        <w:t>כי במינהל האזרחי ידעו "שזה מחוץ לצו בגדול"</w:t>
      </w:r>
      <w:r>
        <w:rPr>
          <w:rFonts w:ascii="FrankRuehl" w:hAnsi="FrankRuehl" w:hint="cs"/>
          <w:sz w:val="28"/>
          <w:rtl/>
        </w:rPr>
        <w:t>,</w:t>
      </w:r>
      <w:r w:rsidRPr="00F62058">
        <w:rPr>
          <w:rFonts w:ascii="FrankRuehl" w:hAnsi="FrankRuehl"/>
          <w:sz w:val="28"/>
          <w:rtl/>
        </w:rPr>
        <w:t xml:space="preserve"> אך הסתפקו בכך שהמיקום היה "בתוך השטח התפוס </w:t>
      </w:r>
      <w:r w:rsidRPr="00F62058">
        <w:rPr>
          <w:rFonts w:ascii="FrankRuehl" w:hAnsi="FrankRuehl" w:hint="cs"/>
          <w:sz w:val="28"/>
          <w:rtl/>
        </w:rPr>
        <w:t xml:space="preserve">בפועל" </w:t>
      </w:r>
      <w:r w:rsidRPr="00F62058">
        <w:rPr>
          <w:rFonts w:ascii="FrankRuehl" w:hAnsi="FrankRuehl"/>
          <w:sz w:val="28"/>
          <w:rtl/>
        </w:rPr>
        <w:t>(עדות בלומנטל, עמ' 259, שורות 22-21)</w:t>
      </w:r>
      <w:r w:rsidRPr="00F62058">
        <w:rPr>
          <w:rFonts w:ascii="FrankRuehl" w:hAnsi="FrankRuehl" w:hint="cs"/>
          <w:sz w:val="28"/>
          <w:rtl/>
        </w:rPr>
        <w:t>.</w:t>
      </w:r>
      <w:r>
        <w:rPr>
          <w:rFonts w:ascii="FrankRuehl" w:hAnsi="FrankRuehl" w:hint="cs"/>
          <w:sz w:val="28"/>
          <w:rtl/>
        </w:rPr>
        <w:t xml:space="preserve"> אם דבריו אלה של בלומנטל אינם מלמדים על עצימת עיניים, לא אדע עצימת עיניים מהי.</w:t>
      </w:r>
      <w:r w:rsidRPr="00F62058">
        <w:rPr>
          <w:rFonts w:ascii="FrankRuehl" w:hAnsi="FrankRuehl" w:hint="cs"/>
          <w:sz w:val="28"/>
          <w:rtl/>
        </w:rPr>
        <w:t xml:space="preserve"> </w:t>
      </w:r>
    </w:p>
    <w:p w:rsidR="00B20B22" w:rsidRDefault="00B20B22" w:rsidP="00B20B22">
      <w:pPr>
        <w:pStyle w:val="Ruller4"/>
        <w:numPr>
          <w:ilvl w:val="0"/>
          <w:numId w:val="0"/>
        </w:numPr>
        <w:rPr>
          <w:rFonts w:ascii="FrankRuehl" w:hAnsi="FrankRuehl"/>
          <w:sz w:val="28"/>
          <w:rtl/>
        </w:rPr>
      </w:pPr>
    </w:p>
    <w:p w:rsidR="00B20B22" w:rsidRDefault="00B20B22" w:rsidP="00B20B22">
      <w:pPr>
        <w:pStyle w:val="Ruller4"/>
        <w:numPr>
          <w:ilvl w:val="0"/>
          <w:numId w:val="0"/>
        </w:numPr>
      </w:pPr>
      <w:r>
        <w:rPr>
          <w:rFonts w:ascii="FrankRuehl" w:hAnsi="FrankRuehl"/>
          <w:sz w:val="28"/>
          <w:rtl/>
        </w:rPr>
        <w:lastRenderedPageBreak/>
        <w:tab/>
      </w:r>
      <w:r>
        <w:rPr>
          <w:rFonts w:hint="cs"/>
          <w:rtl/>
        </w:rPr>
        <w:t xml:space="preserve">המחזיקים מבקשים להסתמך על דבריו של אלוף הפיקוד דאז, יעלון, לפיהם הוא עצמו ליווה את העלייה על הקרקע, ואולם מהמסמכים שהוצגו עולה כי יעלון ציין בדיון פנימי בפיקוד ביום 7.11.1999 שעבודת המטה שנעשתה ביחס להעתקת מצפה כרמים "הייתה לקויה", וכי בסיכום ישיבה מיום 17.1.2000 הוחלט לעצור את ההליך התכנוני ולבדוק את ההשלכות של פינוי מצפה כרמים (ראו גם בפסקה 95 לחוות דעתו של המשנה לנשיאה </w:t>
      </w:r>
      <w:r w:rsidRPr="00F62058">
        <w:rPr>
          <w:rFonts w:ascii="Century" w:hAnsi="Century" w:cs="Miriam" w:hint="eastAsia"/>
          <w:b/>
          <w:spacing w:val="0"/>
          <w:sz w:val="22"/>
          <w:szCs w:val="24"/>
          <w:rtl/>
        </w:rPr>
        <w:t>פוגלמן</w:t>
      </w:r>
      <w:r>
        <w:rPr>
          <w:rFonts w:hint="cs"/>
          <w:rtl/>
        </w:rPr>
        <w:t xml:space="preserve">). שבועיים לאחר ישיבה זו התקבל דיווח ביחידת הפיקוח שקרוואנים הוצבו בשטח שבו נמצא מצפה כרמים היום </w:t>
      </w:r>
      <w:r>
        <w:rPr>
          <w:rtl/>
        </w:rPr>
        <w:t>–</w:t>
      </w:r>
      <w:r>
        <w:rPr>
          <w:rFonts w:hint="cs"/>
          <w:rtl/>
        </w:rPr>
        <w:t xml:space="preserve"> השונה, כאמור, מזה שנבחן על ידי אלוף הפיקוד באותן הישיבות. זאת, מבלי שהוצגה ראיה כי התבצע תהליך בחינה כלשהו שהיה בו כדי להפיג את מכלול החששות שהתעוררו באשר למיקום מצפה כרמים.</w:t>
      </w:r>
    </w:p>
    <w:p w:rsidR="00B20B22" w:rsidRPr="007F4193" w:rsidRDefault="00B20B22" w:rsidP="00B20B22">
      <w:pPr>
        <w:pStyle w:val="Ruller4"/>
        <w:numPr>
          <w:ilvl w:val="0"/>
          <w:numId w:val="0"/>
        </w:numPr>
        <w:rPr>
          <w:rtl/>
        </w:rPr>
      </w:pPr>
    </w:p>
    <w:p w:rsidR="00B20B22" w:rsidRDefault="00B20B22" w:rsidP="00B20B22">
      <w:pPr>
        <w:pStyle w:val="Ruller4"/>
      </w:pPr>
      <w:r>
        <w:rPr>
          <w:rFonts w:hint="cs"/>
          <w:rtl/>
        </w:rPr>
        <w:t xml:space="preserve">אמת המידה הנדרשת לבחינת תום ליבו של הממונה היא, כאמור, אמת מידה סובייקטיבית קפדנית ברף גבוה. בנסיבות שתוארו </w:t>
      </w:r>
      <w:r>
        <w:rPr>
          <w:rtl/>
        </w:rPr>
        <w:t>–</w:t>
      </w:r>
      <w:r>
        <w:rPr>
          <w:rFonts w:hint="cs"/>
          <w:rtl/>
        </w:rPr>
        <w:t xml:space="preserve"> בהינתן סימני האזהרה המובהקים ביחס לתא השטח האמור לכל אורך הדרך, וגם בעת שהיישוב הוקם מחדש; בהינתן החשש לפגיעה קשה בזכויות הקניין של </w:t>
      </w:r>
      <w:r w:rsidRPr="00EB7203">
        <w:rPr>
          <w:rFonts w:hint="cs"/>
          <w:rtl/>
        </w:rPr>
        <w:t xml:space="preserve">תושבים מוגנים בשטח הנתון בתפיסה לוחמתית; ובהינתן שהמטרה שנקבעה ב"הסכם המאחזים" הייתה להעתיק את היישוב לאדמות מדינה </w:t>
      </w:r>
      <w:r w:rsidRPr="00EB7203">
        <w:rPr>
          <w:rtl/>
        </w:rPr>
        <w:t xml:space="preserve">– </w:t>
      </w:r>
      <w:r w:rsidRPr="00EB7203">
        <w:rPr>
          <w:rFonts w:hint="eastAsia"/>
          <w:rtl/>
        </w:rPr>
        <w:t>לא</w:t>
      </w:r>
      <w:r w:rsidRPr="00EB7203">
        <w:rPr>
          <w:rtl/>
        </w:rPr>
        <w:t xml:space="preserve"> </w:t>
      </w:r>
      <w:r w:rsidRPr="00EB7203">
        <w:rPr>
          <w:rFonts w:hint="eastAsia"/>
          <w:rtl/>
        </w:rPr>
        <w:t>ניתן</w:t>
      </w:r>
      <w:r w:rsidRPr="00EB7203">
        <w:rPr>
          <w:rtl/>
        </w:rPr>
        <w:t xml:space="preserve"> </w:t>
      </w:r>
      <w:r w:rsidRPr="00EB7203">
        <w:rPr>
          <w:rFonts w:hint="eastAsia"/>
          <w:rtl/>
        </w:rPr>
        <w:t>לראות</w:t>
      </w:r>
      <w:r w:rsidRPr="00EB7203">
        <w:rPr>
          <w:rtl/>
        </w:rPr>
        <w:t xml:space="preserve"> </w:t>
      </w:r>
      <w:r w:rsidRPr="00EB7203">
        <w:rPr>
          <w:rFonts w:hint="eastAsia"/>
          <w:rtl/>
        </w:rPr>
        <w:t>בצעדים</w:t>
      </w:r>
      <w:r w:rsidRPr="00EB7203">
        <w:rPr>
          <w:rtl/>
        </w:rPr>
        <w:t xml:space="preserve"> </w:t>
      </w:r>
      <w:r w:rsidRPr="00EB7203">
        <w:rPr>
          <w:rFonts w:hint="cs"/>
          <w:rtl/>
        </w:rPr>
        <w:t>שננקטו על ידי הממונה משום</w:t>
      </w:r>
      <w:r w:rsidRPr="003916B3">
        <w:rPr>
          <w:rtl/>
        </w:rPr>
        <w:t xml:space="preserve"> </w:t>
      </w:r>
      <w:r w:rsidRPr="003916B3">
        <w:rPr>
          <w:rFonts w:hint="eastAsia"/>
          <w:rtl/>
        </w:rPr>
        <w:t>בדיקה</w:t>
      </w:r>
      <w:r w:rsidRPr="003916B3">
        <w:rPr>
          <w:rtl/>
        </w:rPr>
        <w:t xml:space="preserve"> </w:t>
      </w:r>
      <w:r w:rsidRPr="003916B3">
        <w:rPr>
          <w:rFonts w:hint="eastAsia"/>
          <w:rtl/>
        </w:rPr>
        <w:t>מספקת</w:t>
      </w:r>
      <w:r w:rsidRPr="003916B3">
        <w:rPr>
          <w:rtl/>
        </w:rPr>
        <w:t xml:space="preserve"> </w:t>
      </w:r>
      <w:r w:rsidRPr="003916B3">
        <w:rPr>
          <w:rFonts w:hint="eastAsia"/>
          <w:rtl/>
        </w:rPr>
        <w:t>של</w:t>
      </w:r>
      <w:r w:rsidRPr="003916B3">
        <w:rPr>
          <w:rtl/>
        </w:rPr>
        <w:t xml:space="preserve"> </w:t>
      </w:r>
      <w:r w:rsidRPr="003916B3">
        <w:rPr>
          <w:rFonts w:hint="eastAsia"/>
          <w:rtl/>
        </w:rPr>
        <w:t>גורם</w:t>
      </w:r>
      <w:r w:rsidRPr="003916B3">
        <w:rPr>
          <w:rtl/>
        </w:rPr>
        <w:t xml:space="preserve"> </w:t>
      </w:r>
      <w:r w:rsidRPr="003916B3">
        <w:rPr>
          <w:rFonts w:hint="eastAsia"/>
          <w:rtl/>
        </w:rPr>
        <w:t>שלטוני</w:t>
      </w:r>
      <w:r w:rsidRPr="003916B3">
        <w:rPr>
          <w:rtl/>
        </w:rPr>
        <w:t xml:space="preserve"> </w:t>
      </w:r>
      <w:r w:rsidRPr="003916B3">
        <w:rPr>
          <w:rFonts w:hint="eastAsia"/>
          <w:rtl/>
        </w:rPr>
        <w:t>אשר</w:t>
      </w:r>
      <w:r>
        <w:rPr>
          <w:rFonts w:hint="cs"/>
          <w:rtl/>
        </w:rPr>
        <w:t xml:space="preserve"> יש בה מענה לסימני האזהרה שהיו לנגד עיניו לאורך כל הדרך.</w:t>
      </w:r>
      <w:r w:rsidRPr="003916B3">
        <w:rPr>
          <w:rtl/>
        </w:rPr>
        <w:t xml:space="preserve"> </w:t>
      </w:r>
      <w:r w:rsidRPr="003916B3">
        <w:rPr>
          <w:rFonts w:hint="eastAsia"/>
          <w:rtl/>
        </w:rPr>
        <w:t>על</w:t>
      </w:r>
      <w:r w:rsidRPr="003916B3">
        <w:rPr>
          <w:rtl/>
        </w:rPr>
        <w:t xml:space="preserve"> </w:t>
      </w:r>
      <w:r w:rsidRPr="003916B3">
        <w:rPr>
          <w:rFonts w:hint="eastAsia"/>
          <w:rtl/>
        </w:rPr>
        <w:t>כן</w:t>
      </w:r>
      <w:r w:rsidRPr="003916B3">
        <w:rPr>
          <w:rtl/>
        </w:rPr>
        <w:t xml:space="preserve">, </w:t>
      </w:r>
      <w:r>
        <w:rPr>
          <w:rFonts w:hint="cs"/>
          <w:rtl/>
        </w:rPr>
        <w:t xml:space="preserve">לגישתי גם בשלב שבו נכנסו המחזיקים לתמונה, לא עמד הממונה בדרישת תום הלב הקבועה בסעיף 5 לצו, בהתאם לאמת המידה הקפדנית המוטלת עליו.  </w:t>
      </w:r>
    </w:p>
    <w:p w:rsidR="00B20B22" w:rsidRPr="00CA20A5" w:rsidRDefault="00B20B22" w:rsidP="00B20B22">
      <w:pPr>
        <w:pStyle w:val="Ruller41"/>
        <w:rPr>
          <w:rtl/>
        </w:rPr>
      </w:pPr>
    </w:p>
    <w:p w:rsidR="00B20B22" w:rsidRDefault="00B20B22" w:rsidP="00B20B22">
      <w:pPr>
        <w:pStyle w:val="Ruller4"/>
        <w:rPr>
          <w:rtl/>
        </w:rPr>
      </w:pPr>
      <w:r>
        <w:rPr>
          <w:rFonts w:hint="cs"/>
          <w:rtl/>
        </w:rPr>
        <w:t xml:space="preserve">משנשלל יסוד תום הלב בהתנהלות הממונה, נשללת לגישתי ולו מטעם זה בלבד תחולתו של סעיף 5 לצו. לפיכך, לא ראיתי צורך להוסיף ולהתייחס לסוגיות הנכבדות שהעלו חבריי בחוות דעתם, בין היתר, בעניין זהותו של "האדם האחר" שעימו נקשרה העסקה במקרה דנן או בעניין יסוד התמורה שיש לקרוא אל תוך הסעיף ומשמעותו. </w:t>
      </w:r>
    </w:p>
    <w:p w:rsidR="00B20B22" w:rsidRDefault="00B20B22" w:rsidP="00B20B22">
      <w:pPr>
        <w:pStyle w:val="Ruller4"/>
        <w:numPr>
          <w:ilvl w:val="0"/>
          <w:numId w:val="0"/>
        </w:numPr>
        <w:rPr>
          <w:rtl/>
        </w:rPr>
      </w:pPr>
    </w:p>
    <w:p w:rsidR="00B20B22" w:rsidRPr="00283627" w:rsidRDefault="00B20B22" w:rsidP="00B20B22">
      <w:pPr>
        <w:pStyle w:val="Ruller41"/>
        <w:rPr>
          <w:rtl/>
        </w:rPr>
      </w:pPr>
      <w:r>
        <w:rPr>
          <w:rtl/>
        </w:rPr>
        <w:tab/>
      </w:r>
      <w:r w:rsidRPr="00283627">
        <w:rPr>
          <w:rtl/>
        </w:rPr>
        <w:t xml:space="preserve">אילו נשמעה דעתי </w:t>
      </w:r>
      <w:r>
        <w:rPr>
          <w:rFonts w:hint="cs"/>
          <w:rtl/>
        </w:rPr>
        <w:t xml:space="preserve">היה </w:t>
      </w:r>
      <w:r w:rsidRPr="00283627">
        <w:rPr>
          <w:rtl/>
        </w:rPr>
        <w:t xml:space="preserve">המענה להסתמכותם של המחזיקים </w:t>
      </w:r>
      <w:r>
        <w:rPr>
          <w:rFonts w:hint="cs"/>
          <w:rtl/>
        </w:rPr>
        <w:t xml:space="preserve">בנסיבות דנן, </w:t>
      </w:r>
      <w:r w:rsidRPr="00283627">
        <w:rPr>
          <w:rtl/>
        </w:rPr>
        <w:t>מוצא את ביטויו</w:t>
      </w:r>
      <w:r>
        <w:rPr>
          <w:rFonts w:hint="cs"/>
          <w:rtl/>
        </w:rPr>
        <w:t>,</w:t>
      </w:r>
      <w:r w:rsidRPr="00283627">
        <w:rPr>
          <w:rtl/>
        </w:rPr>
        <w:t xml:space="preserve"> כאמור </w:t>
      </w:r>
      <w:r>
        <w:rPr>
          <w:rFonts w:hint="cs"/>
          <w:rtl/>
        </w:rPr>
        <w:t>בפסקה</w:t>
      </w:r>
      <w:r w:rsidRPr="00283627">
        <w:rPr>
          <w:rtl/>
        </w:rPr>
        <w:t xml:space="preserve"> </w:t>
      </w:r>
      <w:r>
        <w:rPr>
          <w:rFonts w:hint="cs"/>
          <w:rtl/>
        </w:rPr>
        <w:t>66 לחוות דעתי ב</w:t>
      </w:r>
      <w:r w:rsidRPr="00283627">
        <w:rPr>
          <w:rtl/>
        </w:rPr>
        <w:t>פסק הד</w:t>
      </w:r>
      <w:r>
        <w:rPr>
          <w:rtl/>
        </w:rPr>
        <w:t xml:space="preserve">ין נושא הדיון הנוסף, </w:t>
      </w:r>
      <w:r>
        <w:rPr>
          <w:rFonts w:hint="cs"/>
          <w:rtl/>
        </w:rPr>
        <w:t>בכך שנטיל על המדינה את "</w:t>
      </w:r>
      <w:r>
        <w:rPr>
          <w:rFonts w:ascii="FrankRuehl" w:hAnsi="FrankRuehl"/>
          <w:color w:val="000000"/>
          <w:sz w:val="28"/>
          <w:rtl/>
        </w:rPr>
        <w:t>החובה למצוא למתיישבי מצפה כרמים פתרון חלופי, שיהיה ראוי והולם בנסיבות העניין</w:t>
      </w:r>
      <w:r>
        <w:rPr>
          <w:rFonts w:hint="cs"/>
          <w:rtl/>
        </w:rPr>
        <w:t xml:space="preserve">", וזאת לנוכח הפגמים שנפלו בהתנהלות נציגיה. </w:t>
      </w:r>
    </w:p>
    <w:p w:rsidR="00B20B22" w:rsidRPr="0026123C" w:rsidRDefault="00B20B22" w:rsidP="004C7127">
      <w:pPr>
        <w:pStyle w:val="Ruller41"/>
        <w:rPr>
          <w:rFonts w:ascii="Century" w:hAnsi="Century"/>
          <w:rtl/>
        </w:rPr>
      </w:pPr>
    </w:p>
    <w:p w:rsidR="00366287" w:rsidRPr="0026123C" w:rsidRDefault="00366287" w:rsidP="004C7127">
      <w:pPr>
        <w:pStyle w:val="Ruller41"/>
        <w:rPr>
          <w:rFonts w:ascii="Century" w:hAnsi="Century"/>
          <w:rtl/>
        </w:rPr>
      </w:pPr>
    </w:p>
    <w:tbl>
      <w:tblPr>
        <w:bidiVisual/>
        <w:tblW w:w="8363" w:type="dxa"/>
        <w:tblLook w:val="01E0" w:firstRow="1" w:lastRow="1" w:firstColumn="1" w:lastColumn="1" w:noHBand="0" w:noVBand="0"/>
      </w:tblPr>
      <w:tblGrid>
        <w:gridCol w:w="2786"/>
        <w:gridCol w:w="2787"/>
        <w:gridCol w:w="2790"/>
      </w:tblGrid>
      <w:tr w:rsidR="00366287" w:rsidRPr="004C7127" w:rsidTr="00BA1299">
        <w:tc>
          <w:tcPr>
            <w:tcW w:w="2842" w:type="dxa"/>
            <w:shd w:val="clear" w:color="auto" w:fill="auto"/>
          </w:tcPr>
          <w:p w:rsidR="00366287" w:rsidRPr="004C7127" w:rsidRDefault="00366287" w:rsidP="00BA1299">
            <w:pPr>
              <w:pStyle w:val="Ruller41"/>
              <w:rPr>
                <w:rtl/>
              </w:rPr>
            </w:pPr>
          </w:p>
        </w:tc>
        <w:tc>
          <w:tcPr>
            <w:tcW w:w="2843" w:type="dxa"/>
            <w:shd w:val="clear" w:color="auto" w:fill="auto"/>
          </w:tcPr>
          <w:p w:rsidR="00366287" w:rsidRPr="004C7127" w:rsidRDefault="00366287" w:rsidP="00BA1299">
            <w:pPr>
              <w:pStyle w:val="Ruller41"/>
              <w:jc w:val="center"/>
              <w:rPr>
                <w:rtl/>
              </w:rPr>
            </w:pPr>
          </w:p>
        </w:tc>
        <w:tc>
          <w:tcPr>
            <w:tcW w:w="2843" w:type="dxa"/>
            <w:shd w:val="clear" w:color="auto" w:fill="auto"/>
          </w:tcPr>
          <w:p w:rsidR="00366287" w:rsidRPr="004C7127" w:rsidRDefault="00366287" w:rsidP="00BA1299">
            <w:pPr>
              <w:pStyle w:val="Ruller41"/>
              <w:jc w:val="right"/>
              <w:rPr>
                <w:rtl/>
              </w:rPr>
            </w:pPr>
            <w:r>
              <w:rPr>
                <w:rFonts w:hint="cs"/>
                <w:rtl/>
              </w:rPr>
              <w:t>ה נ ש י א ה</w:t>
            </w:r>
          </w:p>
        </w:tc>
      </w:tr>
    </w:tbl>
    <w:p w:rsidR="00366287" w:rsidRDefault="00366287" w:rsidP="004C7127">
      <w:pPr>
        <w:pStyle w:val="Ruller41"/>
        <w:rPr>
          <w:rFonts w:ascii="Century" w:hAnsi="Century"/>
          <w:rtl/>
        </w:rPr>
      </w:pPr>
    </w:p>
    <w:p w:rsidR="00E20051" w:rsidRDefault="00E20051">
      <w:pPr>
        <w:overflowPunct/>
        <w:autoSpaceDE/>
        <w:autoSpaceDN/>
        <w:bidi w:val="0"/>
        <w:adjustRightInd/>
        <w:textAlignment w:val="auto"/>
        <w:rPr>
          <w:rFonts w:ascii="Century" w:hAnsi="Century" w:cs="Miriam"/>
          <w:b/>
          <w:sz w:val="22"/>
          <w:rtl/>
        </w:rPr>
      </w:pPr>
      <w:r>
        <w:rPr>
          <w:rFonts w:ascii="Century" w:hAnsi="Century" w:cs="Miriam"/>
          <w:b/>
          <w:sz w:val="22"/>
          <w:rtl/>
        </w:rPr>
        <w:br w:type="page"/>
      </w:r>
    </w:p>
    <w:p w:rsidR="00A71B15" w:rsidRPr="00A71B15" w:rsidRDefault="00A71B15" w:rsidP="00A71B15">
      <w:pPr>
        <w:pStyle w:val="Ruller4"/>
        <w:numPr>
          <w:ilvl w:val="0"/>
          <w:numId w:val="0"/>
        </w:numPr>
        <w:tabs>
          <w:tab w:val="left" w:pos="720"/>
        </w:tabs>
        <w:rPr>
          <w:rFonts w:ascii="Century" w:hAnsi="Century" w:cs="Miriam"/>
          <w:b/>
          <w:spacing w:val="0"/>
          <w:sz w:val="22"/>
          <w:szCs w:val="24"/>
        </w:rPr>
      </w:pPr>
      <w:r w:rsidRPr="00A71B15">
        <w:rPr>
          <w:rFonts w:ascii="Century" w:hAnsi="Century" w:cs="Miriam"/>
          <w:b/>
          <w:spacing w:val="0"/>
          <w:sz w:val="22"/>
          <w:szCs w:val="24"/>
          <w:rtl/>
        </w:rPr>
        <w:lastRenderedPageBreak/>
        <w:t>תוצאת פסק הדין</w:t>
      </w:r>
    </w:p>
    <w:p w:rsidR="00A71B15" w:rsidRPr="005C28E9" w:rsidRDefault="00A71B15" w:rsidP="00A71B15">
      <w:pPr>
        <w:pStyle w:val="Ruller41"/>
        <w:rPr>
          <w:rFonts w:ascii="FrankRuehl" w:hAnsi="FrankRuehl"/>
          <w:sz w:val="16"/>
          <w:szCs w:val="16"/>
          <w:rtl/>
        </w:rPr>
      </w:pPr>
    </w:p>
    <w:p w:rsidR="00A71B15" w:rsidRDefault="00A71B15" w:rsidP="008372BE">
      <w:pPr>
        <w:pStyle w:val="Ruller4"/>
        <w:numPr>
          <w:ilvl w:val="0"/>
          <w:numId w:val="0"/>
        </w:numPr>
        <w:tabs>
          <w:tab w:val="left" w:pos="720"/>
        </w:tabs>
        <w:rPr>
          <w:rFonts w:ascii="FrankRuehl" w:hAnsi="FrankRuehl"/>
          <w:sz w:val="28"/>
        </w:rPr>
      </w:pPr>
      <w:r>
        <w:rPr>
          <w:rFonts w:ascii="FrankRuehl" w:hAnsi="FrankRuehl"/>
          <w:sz w:val="28"/>
          <w:rtl/>
        </w:rPr>
        <w:t xml:space="preserve">           במישור העקרוני, הוחלט ברוב דעות (הנשיאה </w:t>
      </w:r>
      <w:r w:rsidRPr="00183C43">
        <w:rPr>
          <w:rFonts w:ascii="Century" w:hAnsi="Century" w:cs="Miriam"/>
          <w:b/>
          <w:spacing w:val="0"/>
          <w:sz w:val="22"/>
          <w:szCs w:val="24"/>
          <w:rtl/>
        </w:rPr>
        <w:t>א' חיות</w:t>
      </w:r>
      <w:r>
        <w:rPr>
          <w:rFonts w:ascii="FrankRuehl" w:hAnsi="FrankRuehl"/>
          <w:sz w:val="28"/>
          <w:rtl/>
        </w:rPr>
        <w:t xml:space="preserve">, המשנה לנשיאה </w:t>
      </w:r>
      <w:r w:rsidRPr="00183C43">
        <w:rPr>
          <w:rFonts w:ascii="Century" w:hAnsi="Century" w:cs="Miriam"/>
          <w:b/>
          <w:spacing w:val="0"/>
          <w:sz w:val="22"/>
          <w:szCs w:val="24"/>
          <w:rtl/>
        </w:rPr>
        <w:t xml:space="preserve">ע' פוגלמן </w:t>
      </w:r>
      <w:r>
        <w:rPr>
          <w:rFonts w:ascii="FrankRuehl" w:hAnsi="FrankRuehl"/>
          <w:sz w:val="28"/>
          <w:rtl/>
        </w:rPr>
        <w:t xml:space="preserve">והשופטים </w:t>
      </w:r>
      <w:r w:rsidRPr="00183C43">
        <w:rPr>
          <w:rFonts w:ascii="Century" w:hAnsi="Century" w:cs="Miriam"/>
          <w:b/>
          <w:spacing w:val="0"/>
          <w:sz w:val="22"/>
          <w:szCs w:val="24"/>
          <w:rtl/>
        </w:rPr>
        <w:t>י' עמית</w:t>
      </w:r>
      <w:r w:rsidRPr="00A13592">
        <w:rPr>
          <w:rFonts w:ascii="Century" w:hAnsi="Century"/>
          <w:sz w:val="22"/>
          <w:rtl/>
        </w:rPr>
        <w:t>,</w:t>
      </w:r>
      <w:r w:rsidRPr="00183C43">
        <w:rPr>
          <w:rFonts w:ascii="Century" w:hAnsi="Century" w:cs="Miriam"/>
          <w:b/>
          <w:spacing w:val="0"/>
          <w:sz w:val="22"/>
          <w:szCs w:val="24"/>
          <w:rtl/>
        </w:rPr>
        <w:t xml:space="preserve"> ד' ברק-ארז</w:t>
      </w:r>
      <w:r w:rsidRPr="00183C43">
        <w:rPr>
          <w:rFonts w:ascii="Miriam" w:hAnsi="Miriam" w:cs="Miriam"/>
          <w:spacing w:val="0"/>
          <w:rtl/>
        </w:rPr>
        <w:t xml:space="preserve"> </w:t>
      </w:r>
      <w:r>
        <w:rPr>
          <w:rFonts w:ascii="FrankRuehl" w:hAnsi="FrankRuehl"/>
          <w:sz w:val="28"/>
          <w:rtl/>
        </w:rPr>
        <w:t>ו</w:t>
      </w:r>
      <w:r>
        <w:rPr>
          <w:rFonts w:ascii="Miriam" w:hAnsi="Miriam" w:cs="Miriam" w:hint="cs"/>
          <w:spacing w:val="0"/>
          <w:rtl/>
        </w:rPr>
        <w:t>-</w:t>
      </w:r>
      <w:r w:rsidRPr="00183C43">
        <w:rPr>
          <w:rFonts w:ascii="Century" w:hAnsi="Century" w:cs="Miriam"/>
          <w:b/>
          <w:spacing w:val="0"/>
          <w:sz w:val="22"/>
          <w:szCs w:val="24"/>
          <w:rtl/>
        </w:rPr>
        <w:t>ע' ברון</w:t>
      </w:r>
      <w:r>
        <w:rPr>
          <w:rFonts w:ascii="FrankRuehl" w:hAnsi="FrankRuehl"/>
          <w:sz w:val="28"/>
          <w:rtl/>
        </w:rPr>
        <w:t xml:space="preserve">) כי תום הלב שנדרש מהממונה על הרכוש הממשלתי (להלן: </w:t>
      </w:r>
      <w:r w:rsidRPr="00772EEB">
        <w:rPr>
          <w:rFonts w:ascii="Century" w:hAnsi="Century" w:cs="Miriam"/>
          <w:b/>
          <w:spacing w:val="0"/>
          <w:sz w:val="22"/>
          <w:szCs w:val="24"/>
          <w:rtl/>
        </w:rPr>
        <w:t>הממונה</w:t>
      </w:r>
      <w:r>
        <w:rPr>
          <w:rFonts w:ascii="FrankRuehl" w:hAnsi="FrankRuehl"/>
          <w:sz w:val="28"/>
          <w:rtl/>
        </w:rPr>
        <w:t>) לפי סעיף 5 לצו בדבר רכוש ממשלתי (</w:t>
      </w:r>
      <w:r w:rsidR="008372BE">
        <w:rPr>
          <w:rFonts w:ascii="FrankRuehl" w:hAnsi="FrankRuehl" w:hint="cs"/>
          <w:sz w:val="28"/>
          <w:rtl/>
        </w:rPr>
        <w:t>יהודה והשומרון</w:t>
      </w:r>
      <w:r>
        <w:rPr>
          <w:rFonts w:ascii="FrankRuehl" w:hAnsi="FrankRuehl"/>
          <w:sz w:val="28"/>
          <w:rtl/>
        </w:rPr>
        <w:t xml:space="preserve">) (מס' 59), התשכ"ז-1967 (להלן: </w:t>
      </w:r>
      <w:r w:rsidRPr="00183C43">
        <w:rPr>
          <w:rFonts w:ascii="Century" w:hAnsi="Century" w:cs="Miriam"/>
          <w:b/>
          <w:spacing w:val="0"/>
          <w:sz w:val="22"/>
          <w:szCs w:val="24"/>
          <w:rtl/>
        </w:rPr>
        <w:t>הצו בדבר רכוש ממשלתי</w:t>
      </w:r>
      <w:r>
        <w:rPr>
          <w:rFonts w:ascii="FrankRuehl" w:hAnsi="FrankRuehl"/>
          <w:sz w:val="28"/>
          <w:rtl/>
        </w:rPr>
        <w:t>) הוא תום לב סובייקטיבי "ברף הגבוה", שיש לבחון אותו באמת מידה קפדנית.</w:t>
      </w:r>
    </w:p>
    <w:p w:rsidR="00A71B15" w:rsidRDefault="00A71B15" w:rsidP="00A71B15">
      <w:pPr>
        <w:pStyle w:val="Ruller4"/>
        <w:numPr>
          <w:ilvl w:val="0"/>
          <w:numId w:val="0"/>
        </w:numPr>
        <w:tabs>
          <w:tab w:val="left" w:pos="720"/>
        </w:tabs>
        <w:rPr>
          <w:rFonts w:cs="Times New Roman"/>
          <w:szCs w:val="24"/>
          <w:rtl/>
        </w:rPr>
      </w:pPr>
    </w:p>
    <w:p w:rsidR="00A71B15" w:rsidRDefault="001C7F82" w:rsidP="00302DA9">
      <w:pPr>
        <w:pStyle w:val="Ruller4"/>
        <w:numPr>
          <w:ilvl w:val="0"/>
          <w:numId w:val="0"/>
        </w:numPr>
        <w:rPr>
          <w:rFonts w:ascii="Miriam" w:hAnsi="Miriam" w:cs="Miriam"/>
          <w:spacing w:val="0"/>
          <w:rtl/>
        </w:rPr>
      </w:pPr>
      <w:r>
        <w:rPr>
          <w:rFonts w:ascii="FrankRuehl" w:hAnsi="FrankRuehl"/>
          <w:sz w:val="28"/>
          <w:rtl/>
        </w:rPr>
        <w:tab/>
      </w:r>
      <w:r w:rsidR="00A71B15">
        <w:rPr>
          <w:rFonts w:ascii="FrankRuehl" w:hAnsi="FrankRuehl"/>
          <w:sz w:val="28"/>
          <w:rtl/>
        </w:rPr>
        <w:t xml:space="preserve">במישור היישומי, </w:t>
      </w:r>
      <w:r w:rsidR="00A71B15">
        <w:rPr>
          <w:rFonts w:ascii="FrankRuehl" w:hAnsi="FrankRuehl" w:hint="cs"/>
          <w:sz w:val="28"/>
          <w:rtl/>
        </w:rPr>
        <w:t xml:space="preserve">הוחלט בדעת רוב </w:t>
      </w:r>
      <w:r w:rsidR="00A71B15">
        <w:rPr>
          <w:rFonts w:ascii="FrankRuehl" w:hAnsi="FrankRuehl"/>
          <w:sz w:val="28"/>
          <w:rtl/>
        </w:rPr>
        <w:t>השופטים</w:t>
      </w:r>
      <w:r w:rsidR="00A71B15">
        <w:rPr>
          <w:rFonts w:ascii="FrankRuehl" w:hAnsi="FrankRuehl" w:hint="cs"/>
          <w:sz w:val="28"/>
          <w:rtl/>
        </w:rPr>
        <w:t xml:space="preserve"> (</w:t>
      </w:r>
      <w:r w:rsidR="00A71B15">
        <w:rPr>
          <w:rFonts w:ascii="FrankRuehl" w:hAnsi="FrankRuehl"/>
          <w:sz w:val="28"/>
          <w:rtl/>
        </w:rPr>
        <w:t xml:space="preserve">המשנה לנשיאה (בדימ') </w:t>
      </w:r>
      <w:r w:rsidR="00A71B15" w:rsidRPr="00183C43">
        <w:rPr>
          <w:rFonts w:ascii="Century" w:hAnsi="Century" w:cs="Miriam"/>
          <w:b/>
          <w:spacing w:val="0"/>
          <w:sz w:val="22"/>
          <w:szCs w:val="24"/>
          <w:rtl/>
        </w:rPr>
        <w:t>נ' הנדל</w:t>
      </w:r>
      <w:r w:rsidR="00A71B15" w:rsidRPr="00D57A14">
        <w:rPr>
          <w:rFonts w:ascii="Century" w:hAnsi="Century" w:hint="cs"/>
          <w:sz w:val="22"/>
          <w:rtl/>
        </w:rPr>
        <w:t>;</w:t>
      </w:r>
      <w:r w:rsidR="00A71B15">
        <w:rPr>
          <w:rFonts w:ascii="FrankRuehl" w:hAnsi="FrankRuehl"/>
          <w:sz w:val="28"/>
          <w:rtl/>
        </w:rPr>
        <w:t xml:space="preserve"> השופט </w:t>
      </w:r>
      <w:r w:rsidR="00A71B15" w:rsidRPr="00183C43">
        <w:rPr>
          <w:rFonts w:ascii="Century" w:hAnsi="Century" w:cs="Miriam"/>
          <w:b/>
          <w:spacing w:val="0"/>
          <w:sz w:val="22"/>
          <w:szCs w:val="24"/>
          <w:rtl/>
        </w:rPr>
        <w:t>י' עמית</w:t>
      </w:r>
      <w:r w:rsidR="00A71B15" w:rsidRPr="00680F83">
        <w:rPr>
          <w:rFonts w:ascii="Century" w:hAnsi="Century" w:hint="cs"/>
          <w:sz w:val="22"/>
          <w:rtl/>
        </w:rPr>
        <w:t>;</w:t>
      </w:r>
      <w:r w:rsidR="00A71B15">
        <w:rPr>
          <w:rFonts w:ascii="Miriam" w:hAnsi="Miriam" w:cs="Miriam" w:hint="cs"/>
          <w:spacing w:val="0"/>
          <w:rtl/>
        </w:rPr>
        <w:t xml:space="preserve"> </w:t>
      </w:r>
      <w:r w:rsidR="00A71B15">
        <w:rPr>
          <w:rFonts w:ascii="FrankRuehl" w:hAnsi="FrankRuehl"/>
          <w:sz w:val="28"/>
          <w:rtl/>
        </w:rPr>
        <w:t xml:space="preserve">השופט </w:t>
      </w:r>
      <w:r w:rsidR="00A71B15" w:rsidRPr="00183C43">
        <w:rPr>
          <w:rFonts w:ascii="Century" w:hAnsi="Century" w:cs="Miriam"/>
          <w:b/>
          <w:spacing w:val="0"/>
          <w:sz w:val="22"/>
          <w:szCs w:val="24"/>
          <w:rtl/>
        </w:rPr>
        <w:t>נ' סולברג</w:t>
      </w:r>
      <w:r w:rsidR="00A71B15" w:rsidRPr="00EB514E">
        <w:rPr>
          <w:rFonts w:ascii="Miriam" w:hAnsi="Miriam" w:cs="Miriam"/>
          <w:spacing w:val="0"/>
          <w:rtl/>
        </w:rPr>
        <w:t xml:space="preserve"> </w:t>
      </w:r>
      <w:r w:rsidR="00A71B15">
        <w:rPr>
          <w:rFonts w:ascii="FrankRuehl" w:hAnsi="FrankRuehl"/>
          <w:sz w:val="28"/>
          <w:rtl/>
        </w:rPr>
        <w:t>ו</w:t>
      </w:r>
      <w:r w:rsidR="00A71B15">
        <w:rPr>
          <w:rFonts w:ascii="FrankRuehl" w:hAnsi="FrankRuehl" w:hint="cs"/>
          <w:sz w:val="28"/>
          <w:rtl/>
        </w:rPr>
        <w:t xml:space="preserve">השופטת </w:t>
      </w:r>
      <w:r w:rsidR="00A71B15" w:rsidRPr="00183C43">
        <w:rPr>
          <w:rFonts w:ascii="Century" w:hAnsi="Century" w:cs="Miriam"/>
          <w:b/>
          <w:spacing w:val="0"/>
          <w:sz w:val="22"/>
          <w:szCs w:val="24"/>
          <w:rtl/>
        </w:rPr>
        <w:t>ד' ברק-ארז</w:t>
      </w:r>
      <w:r w:rsidR="00BA1F2C" w:rsidRPr="00BA1F2C">
        <w:rPr>
          <w:rFonts w:ascii="Century" w:hAnsi="Century" w:hint="cs"/>
          <w:sz w:val="22"/>
          <w:rtl/>
        </w:rPr>
        <w:t>)</w:t>
      </w:r>
      <w:r w:rsidR="00A71B15" w:rsidRPr="00EB514E">
        <w:rPr>
          <w:rFonts w:ascii="Miriam" w:hAnsi="Miriam" w:cs="Miriam"/>
          <w:spacing w:val="0"/>
          <w:rtl/>
        </w:rPr>
        <w:t xml:space="preserve"> </w:t>
      </w:r>
      <w:r w:rsidR="00A71B15">
        <w:rPr>
          <w:rFonts w:ascii="FrankRuehl" w:hAnsi="FrankRuehl" w:hint="cs"/>
          <w:sz w:val="28"/>
          <w:rtl/>
        </w:rPr>
        <w:t>כי העתירה ל</w:t>
      </w:r>
      <w:r w:rsidR="00A71B15">
        <w:rPr>
          <w:rFonts w:ascii="FrankRuehl" w:hAnsi="FrankRuehl"/>
          <w:sz w:val="28"/>
          <w:rtl/>
        </w:rPr>
        <w:t>דיון נוסף</w:t>
      </w:r>
      <w:r w:rsidR="00A71B15">
        <w:rPr>
          <w:rFonts w:ascii="FrankRuehl" w:hAnsi="FrankRuehl" w:hint="cs"/>
          <w:sz w:val="28"/>
          <w:rtl/>
        </w:rPr>
        <w:t xml:space="preserve"> מתקבלת כלהלן: </w:t>
      </w:r>
      <w:r w:rsidR="00A71B15">
        <w:rPr>
          <w:rFonts w:ascii="FrankRuehl" w:hAnsi="FrankRuehl"/>
          <w:sz w:val="28"/>
          <w:rtl/>
        </w:rPr>
        <w:t xml:space="preserve">השופטים </w:t>
      </w:r>
      <w:r w:rsidR="00A71B15" w:rsidRPr="00183C43">
        <w:rPr>
          <w:rFonts w:ascii="Century" w:hAnsi="Century" w:cs="Miriam"/>
          <w:b/>
          <w:spacing w:val="0"/>
          <w:sz w:val="22"/>
          <w:szCs w:val="24"/>
          <w:rtl/>
        </w:rPr>
        <w:t>י' עמית</w:t>
      </w:r>
      <w:r w:rsidR="00A71B15" w:rsidRPr="00EB514E">
        <w:rPr>
          <w:rFonts w:ascii="Miriam" w:hAnsi="Miriam" w:cs="Miriam"/>
          <w:spacing w:val="0"/>
          <w:rtl/>
        </w:rPr>
        <w:t xml:space="preserve"> </w:t>
      </w:r>
      <w:r w:rsidR="00A71B15">
        <w:rPr>
          <w:rFonts w:ascii="FrankRuehl" w:hAnsi="FrankRuehl"/>
          <w:sz w:val="28"/>
          <w:rtl/>
        </w:rPr>
        <w:t>ו</w:t>
      </w:r>
      <w:r w:rsidR="00A71B15">
        <w:rPr>
          <w:rFonts w:ascii="Miriam" w:hAnsi="Miriam" w:cs="Miriam" w:hint="cs"/>
          <w:spacing w:val="0"/>
          <w:rtl/>
        </w:rPr>
        <w:t>-</w:t>
      </w:r>
      <w:r w:rsidR="00A71B15" w:rsidRPr="00183C43">
        <w:rPr>
          <w:rFonts w:ascii="Century" w:hAnsi="Century" w:cs="Miriam"/>
          <w:b/>
          <w:spacing w:val="0"/>
          <w:sz w:val="22"/>
          <w:szCs w:val="24"/>
          <w:rtl/>
        </w:rPr>
        <w:t>ד' ברק-ארז</w:t>
      </w:r>
      <w:r w:rsidR="00A71B15" w:rsidRPr="00EB514E">
        <w:rPr>
          <w:rFonts w:ascii="Miriam" w:hAnsi="Miriam" w:cs="Miriam"/>
          <w:spacing w:val="0"/>
          <w:rtl/>
        </w:rPr>
        <w:t xml:space="preserve"> </w:t>
      </w:r>
      <w:r w:rsidR="00A71B15">
        <w:rPr>
          <w:rFonts w:ascii="FrankRuehl" w:hAnsi="FrankRuehl"/>
          <w:sz w:val="28"/>
          <w:rtl/>
        </w:rPr>
        <w:t xml:space="preserve">סברו כי סעיף 5 חל רק ביחס </w:t>
      </w:r>
      <w:r w:rsidR="00A71B15">
        <w:rPr>
          <w:rFonts w:ascii="FrankRuehl" w:hAnsi="FrankRuehl" w:hint="cs"/>
          <w:sz w:val="28"/>
          <w:rtl/>
        </w:rPr>
        <w:t>לגבולות היישוב הקיים (חלקות 12,</w:t>
      </w:r>
      <w:r w:rsidR="00A13592">
        <w:rPr>
          <w:rFonts w:ascii="FrankRuehl" w:hAnsi="FrankRuehl" w:hint="cs"/>
          <w:sz w:val="28"/>
          <w:rtl/>
        </w:rPr>
        <w:t xml:space="preserve"> </w:t>
      </w:r>
      <w:r w:rsidR="00A71B15">
        <w:rPr>
          <w:rFonts w:ascii="FrankRuehl" w:hAnsi="FrankRuehl" w:hint="cs"/>
          <w:sz w:val="28"/>
          <w:rtl/>
        </w:rPr>
        <w:t xml:space="preserve">13 ו-23 בגוש 19 במלואן וחלקות 14 ו-15 בשטחן הבנוי) כמפורט בפסקה 57 לפסק דינה של השופטת </w:t>
      </w:r>
      <w:r w:rsidR="00A71B15" w:rsidRPr="00183C43">
        <w:rPr>
          <w:rFonts w:ascii="Century" w:hAnsi="Century" w:cs="Miriam" w:hint="eastAsia"/>
          <w:b/>
          <w:spacing w:val="0"/>
          <w:sz w:val="22"/>
          <w:szCs w:val="24"/>
          <w:rtl/>
        </w:rPr>
        <w:t>ד</w:t>
      </w:r>
      <w:r w:rsidR="00A71B15" w:rsidRPr="00183C43">
        <w:rPr>
          <w:rFonts w:ascii="Century" w:hAnsi="Century" w:cs="Miriam"/>
          <w:b/>
          <w:spacing w:val="0"/>
          <w:sz w:val="22"/>
          <w:szCs w:val="24"/>
          <w:rtl/>
        </w:rPr>
        <w:t xml:space="preserve">' </w:t>
      </w:r>
      <w:r w:rsidR="00A71B15" w:rsidRPr="00183C43">
        <w:rPr>
          <w:rFonts w:ascii="Century" w:hAnsi="Century" w:cs="Miriam" w:hint="eastAsia"/>
          <w:b/>
          <w:spacing w:val="0"/>
          <w:sz w:val="22"/>
          <w:szCs w:val="24"/>
          <w:rtl/>
        </w:rPr>
        <w:t>ברק</w:t>
      </w:r>
      <w:r w:rsidR="00A71B15" w:rsidRPr="00183C43">
        <w:rPr>
          <w:rFonts w:ascii="Century" w:hAnsi="Century" w:cs="Miriam"/>
          <w:b/>
          <w:spacing w:val="0"/>
          <w:sz w:val="22"/>
          <w:szCs w:val="24"/>
          <w:rtl/>
        </w:rPr>
        <w:t>-א</w:t>
      </w:r>
      <w:r w:rsidR="00A71B15" w:rsidRPr="00183C43">
        <w:rPr>
          <w:rFonts w:ascii="Century" w:hAnsi="Century" w:cs="Miriam" w:hint="eastAsia"/>
          <w:b/>
          <w:spacing w:val="0"/>
          <w:sz w:val="22"/>
          <w:szCs w:val="24"/>
          <w:rtl/>
        </w:rPr>
        <w:t>רז</w:t>
      </w:r>
      <w:r w:rsidR="00A71B15" w:rsidRPr="007A7DCC">
        <w:rPr>
          <w:rFonts w:ascii="Century" w:hAnsi="Century" w:hint="cs"/>
          <w:sz w:val="22"/>
          <w:rtl/>
        </w:rPr>
        <w:t>,</w:t>
      </w:r>
      <w:r w:rsidR="00A71B15">
        <w:rPr>
          <w:rFonts w:ascii="Century" w:hAnsi="Century" w:cs="Miriam" w:hint="cs"/>
          <w:b/>
          <w:spacing w:val="0"/>
          <w:sz w:val="22"/>
          <w:szCs w:val="24"/>
          <w:rtl/>
        </w:rPr>
        <w:t xml:space="preserve"> </w:t>
      </w:r>
      <w:r w:rsidR="00A71B15" w:rsidRPr="00183C43">
        <w:rPr>
          <w:rFonts w:ascii="Century" w:hAnsi="Century" w:hint="eastAsia"/>
          <w:sz w:val="22"/>
          <w:rtl/>
        </w:rPr>
        <w:t>ו</w:t>
      </w:r>
      <w:r w:rsidR="00302DA9">
        <w:rPr>
          <w:rFonts w:ascii="Century" w:hAnsi="Century" w:hint="cs"/>
          <w:sz w:val="22"/>
          <w:rtl/>
        </w:rPr>
        <w:t xml:space="preserve">תוך </w:t>
      </w:r>
      <w:r w:rsidR="00A71B15" w:rsidRPr="00183C43">
        <w:rPr>
          <w:rFonts w:ascii="Century" w:hAnsi="Century" w:hint="eastAsia"/>
          <w:sz w:val="22"/>
          <w:rtl/>
        </w:rPr>
        <w:t>מתן</w:t>
      </w:r>
      <w:r w:rsidR="00A71B15" w:rsidRPr="00183C43">
        <w:rPr>
          <w:rFonts w:ascii="Century" w:hAnsi="Century"/>
          <w:sz w:val="22"/>
          <w:rtl/>
        </w:rPr>
        <w:t xml:space="preserve"> </w:t>
      </w:r>
      <w:r w:rsidR="00A71B15" w:rsidRPr="00183C43">
        <w:rPr>
          <w:rFonts w:ascii="Century" w:hAnsi="Century" w:hint="eastAsia"/>
          <w:sz w:val="22"/>
          <w:rtl/>
        </w:rPr>
        <w:t>פיצוי</w:t>
      </w:r>
      <w:r w:rsidR="00A71B15" w:rsidRPr="00183C43">
        <w:rPr>
          <w:rFonts w:ascii="Century" w:hAnsi="Century"/>
          <w:sz w:val="22"/>
          <w:rtl/>
        </w:rPr>
        <w:t xml:space="preserve"> </w:t>
      </w:r>
      <w:r w:rsidR="00A71B15" w:rsidRPr="00183C43">
        <w:rPr>
          <w:rFonts w:ascii="Century" w:hAnsi="Century" w:hint="eastAsia"/>
          <w:sz w:val="22"/>
          <w:rtl/>
        </w:rPr>
        <w:t>בעין</w:t>
      </w:r>
      <w:r w:rsidR="00A71B15" w:rsidRPr="00183C43">
        <w:rPr>
          <w:rFonts w:ascii="Century" w:hAnsi="Century"/>
          <w:sz w:val="22"/>
          <w:rtl/>
        </w:rPr>
        <w:t xml:space="preserve"> </w:t>
      </w:r>
      <w:r w:rsidR="00A71B15" w:rsidRPr="00183C43">
        <w:rPr>
          <w:rFonts w:ascii="Century" w:hAnsi="Century" w:hint="eastAsia"/>
          <w:sz w:val="22"/>
          <w:rtl/>
        </w:rPr>
        <w:t>לבעלים</w:t>
      </w:r>
      <w:r w:rsidR="00A71B15" w:rsidRPr="00183C43">
        <w:rPr>
          <w:rFonts w:ascii="Century" w:hAnsi="Century"/>
          <w:sz w:val="22"/>
          <w:rtl/>
        </w:rPr>
        <w:t xml:space="preserve"> </w:t>
      </w:r>
      <w:r w:rsidR="00A71B15" w:rsidRPr="00183C43">
        <w:rPr>
          <w:rFonts w:ascii="Century" w:hAnsi="Century" w:hint="eastAsia"/>
          <w:sz w:val="22"/>
          <w:rtl/>
        </w:rPr>
        <w:t>הרשומים</w:t>
      </w:r>
      <w:r w:rsidR="00A71B15" w:rsidRPr="00183C43">
        <w:rPr>
          <w:rFonts w:ascii="Century" w:hAnsi="Century"/>
          <w:sz w:val="22"/>
          <w:rtl/>
        </w:rPr>
        <w:t xml:space="preserve"> </w:t>
      </w:r>
      <w:r w:rsidR="00A71B15" w:rsidRPr="00183C43">
        <w:rPr>
          <w:rFonts w:ascii="Century" w:hAnsi="Century" w:hint="eastAsia"/>
          <w:sz w:val="22"/>
          <w:rtl/>
        </w:rPr>
        <w:t>או</w:t>
      </w:r>
      <w:r w:rsidR="00A71B15" w:rsidRPr="00183C43">
        <w:rPr>
          <w:rFonts w:ascii="Century" w:hAnsi="Century"/>
          <w:sz w:val="22"/>
          <w:rtl/>
        </w:rPr>
        <w:t xml:space="preserve"> </w:t>
      </w:r>
      <w:r w:rsidR="00A71B15" w:rsidRPr="00183C43">
        <w:rPr>
          <w:rFonts w:ascii="Century" w:hAnsi="Century" w:hint="eastAsia"/>
          <w:sz w:val="22"/>
          <w:rtl/>
        </w:rPr>
        <w:t>למי</w:t>
      </w:r>
      <w:r w:rsidR="00A71B15" w:rsidRPr="00183C43">
        <w:rPr>
          <w:rFonts w:ascii="Century" w:hAnsi="Century"/>
          <w:sz w:val="22"/>
          <w:rtl/>
        </w:rPr>
        <w:t xml:space="preserve"> </w:t>
      </w:r>
      <w:r w:rsidR="00A71B15" w:rsidRPr="00183C43">
        <w:rPr>
          <w:rFonts w:ascii="Century" w:hAnsi="Century" w:hint="eastAsia"/>
          <w:sz w:val="22"/>
          <w:rtl/>
        </w:rPr>
        <w:t>שיוכיחו</w:t>
      </w:r>
      <w:r w:rsidR="00A71B15" w:rsidRPr="00183C43">
        <w:rPr>
          <w:rFonts w:ascii="Century" w:hAnsi="Century"/>
          <w:sz w:val="22"/>
          <w:rtl/>
        </w:rPr>
        <w:t xml:space="preserve"> </w:t>
      </w:r>
      <w:r w:rsidR="00A71B15" w:rsidRPr="00183C43">
        <w:rPr>
          <w:rFonts w:ascii="Century" w:hAnsi="Century" w:hint="eastAsia"/>
          <w:sz w:val="22"/>
          <w:rtl/>
        </w:rPr>
        <w:t>בעלותם</w:t>
      </w:r>
      <w:r w:rsidR="00A71B15">
        <w:rPr>
          <w:rFonts w:ascii="FrankRuehl" w:hAnsi="FrankRuehl" w:hint="cs"/>
          <w:sz w:val="28"/>
          <w:rtl/>
        </w:rPr>
        <w:t xml:space="preserve">. </w:t>
      </w:r>
      <w:r w:rsidR="00A71B15">
        <w:rPr>
          <w:rFonts w:ascii="FrankRuehl" w:hAnsi="FrankRuehl"/>
          <w:sz w:val="28"/>
          <w:rtl/>
        </w:rPr>
        <w:t xml:space="preserve">המשנה לנשיאה (בדימ') </w:t>
      </w:r>
      <w:r w:rsidR="00A71B15" w:rsidRPr="00183C43">
        <w:rPr>
          <w:rFonts w:ascii="Century" w:hAnsi="Century" w:cs="Miriam"/>
          <w:b/>
          <w:spacing w:val="0"/>
          <w:sz w:val="22"/>
          <w:szCs w:val="24"/>
          <w:rtl/>
        </w:rPr>
        <w:t>נ' הנדל</w:t>
      </w:r>
      <w:r w:rsidR="00A71B15" w:rsidRPr="00EB514E">
        <w:rPr>
          <w:rFonts w:ascii="FrankRuehl" w:hAnsi="FrankRuehl" w:hint="cs"/>
          <w:sz w:val="28"/>
          <w:rtl/>
        </w:rPr>
        <w:t xml:space="preserve"> </w:t>
      </w:r>
      <w:r w:rsidR="00A71B15">
        <w:rPr>
          <w:rFonts w:ascii="FrankRuehl" w:hAnsi="FrankRuehl" w:hint="cs"/>
          <w:sz w:val="28"/>
          <w:rtl/>
        </w:rPr>
        <w:t>ו</w:t>
      </w:r>
      <w:r w:rsidR="00A71B15">
        <w:rPr>
          <w:rFonts w:ascii="FrankRuehl" w:hAnsi="FrankRuehl"/>
          <w:sz w:val="28"/>
          <w:rtl/>
        </w:rPr>
        <w:t xml:space="preserve">השופט </w:t>
      </w:r>
      <w:r w:rsidR="00A71B15" w:rsidRPr="00183C43">
        <w:rPr>
          <w:rFonts w:ascii="Century" w:hAnsi="Century" w:cs="Miriam"/>
          <w:b/>
          <w:spacing w:val="0"/>
          <w:sz w:val="22"/>
          <w:szCs w:val="24"/>
          <w:rtl/>
        </w:rPr>
        <w:t>נ' סולברג</w:t>
      </w:r>
      <w:r w:rsidR="00A71B15" w:rsidRPr="00EB514E">
        <w:rPr>
          <w:rFonts w:ascii="FrankRuehl" w:hAnsi="FrankRuehl" w:hint="cs"/>
          <w:sz w:val="28"/>
          <w:rtl/>
        </w:rPr>
        <w:t xml:space="preserve"> </w:t>
      </w:r>
      <w:r w:rsidR="00A71B15">
        <w:rPr>
          <w:rFonts w:ascii="FrankRuehl" w:hAnsi="FrankRuehl" w:hint="cs"/>
          <w:sz w:val="28"/>
          <w:rtl/>
        </w:rPr>
        <w:t xml:space="preserve">סברו כי סעיף 5 חל גם על יתרת השטח שבחלקות 14 ו-15, אך לצורך גיבוש רוב דעות במצב שבו יש שלוש דעות בקרב שופטי ההרכב ומטעמים מעשיים, החליטו להצטרף לדעתם של השופטים </w:t>
      </w:r>
      <w:r w:rsidR="00A71B15" w:rsidRPr="00183C43">
        <w:rPr>
          <w:rFonts w:ascii="Century" w:hAnsi="Century" w:cs="Miriam"/>
          <w:b/>
          <w:spacing w:val="0"/>
          <w:sz w:val="22"/>
          <w:szCs w:val="24"/>
          <w:rtl/>
        </w:rPr>
        <w:t>י' עמית</w:t>
      </w:r>
      <w:r w:rsidR="00A71B15" w:rsidRPr="00EB514E">
        <w:rPr>
          <w:rFonts w:ascii="Miriam" w:hAnsi="Miriam" w:cs="Miriam"/>
          <w:spacing w:val="0"/>
          <w:rtl/>
        </w:rPr>
        <w:t xml:space="preserve"> </w:t>
      </w:r>
      <w:r w:rsidR="00A71B15">
        <w:rPr>
          <w:rFonts w:ascii="FrankRuehl" w:hAnsi="FrankRuehl"/>
          <w:sz w:val="28"/>
          <w:rtl/>
        </w:rPr>
        <w:t>ו</w:t>
      </w:r>
      <w:r w:rsidR="00A71B15">
        <w:rPr>
          <w:rFonts w:ascii="FrankRuehl" w:hAnsi="FrankRuehl" w:hint="cs"/>
          <w:sz w:val="28"/>
          <w:rtl/>
        </w:rPr>
        <w:t>-</w:t>
      </w:r>
      <w:r w:rsidR="00A71B15" w:rsidRPr="00183C43">
        <w:rPr>
          <w:rFonts w:ascii="Century" w:hAnsi="Century" w:cs="Miriam"/>
          <w:b/>
          <w:spacing w:val="0"/>
          <w:sz w:val="22"/>
          <w:szCs w:val="24"/>
          <w:rtl/>
        </w:rPr>
        <w:t>ד' ברק-ארז</w:t>
      </w:r>
      <w:r w:rsidR="00A71B15" w:rsidRPr="00A13592">
        <w:rPr>
          <w:rFonts w:ascii="Century" w:hAnsi="Century" w:hint="cs"/>
          <w:sz w:val="22"/>
          <w:rtl/>
        </w:rPr>
        <w:t>.</w:t>
      </w:r>
    </w:p>
    <w:p w:rsidR="00A71B15" w:rsidRDefault="00A71B15" w:rsidP="00A71B15">
      <w:pPr>
        <w:pStyle w:val="Ruller41"/>
        <w:rPr>
          <w:rtl/>
        </w:rPr>
      </w:pPr>
    </w:p>
    <w:p w:rsidR="00A71B15" w:rsidRDefault="00A71B15" w:rsidP="001C7F82">
      <w:pPr>
        <w:pStyle w:val="Ruller4"/>
        <w:numPr>
          <w:ilvl w:val="0"/>
          <w:numId w:val="0"/>
        </w:numPr>
      </w:pPr>
      <w:r>
        <w:rPr>
          <w:rtl/>
        </w:rPr>
        <w:tab/>
      </w:r>
      <w:r>
        <w:rPr>
          <w:rFonts w:hint="cs"/>
          <w:rtl/>
        </w:rPr>
        <w:t xml:space="preserve">זאת, כנגד דעתם החולקת של הנשיאה </w:t>
      </w:r>
      <w:r w:rsidR="00FC4185">
        <w:rPr>
          <w:rFonts w:ascii="Century" w:hAnsi="Century" w:cs="Miriam" w:hint="cs"/>
          <w:b/>
          <w:spacing w:val="0"/>
          <w:sz w:val="22"/>
          <w:szCs w:val="24"/>
          <w:rtl/>
        </w:rPr>
        <w:t xml:space="preserve">א' </w:t>
      </w:r>
      <w:r>
        <w:rPr>
          <w:rFonts w:ascii="Century" w:hAnsi="Century" w:cs="Miriam" w:hint="cs"/>
          <w:b/>
          <w:spacing w:val="0"/>
          <w:sz w:val="22"/>
          <w:szCs w:val="24"/>
          <w:rtl/>
        </w:rPr>
        <w:t>חיות</w:t>
      </w:r>
      <w:r>
        <w:rPr>
          <w:rFonts w:ascii="Century" w:hAnsi="Century" w:hint="cs"/>
          <w:sz w:val="22"/>
          <w:rtl/>
        </w:rPr>
        <w:t xml:space="preserve">, המשנה לנשיאה </w:t>
      </w:r>
      <w:r>
        <w:rPr>
          <w:rFonts w:ascii="Century" w:hAnsi="Century" w:cs="Miriam" w:hint="cs"/>
          <w:b/>
          <w:spacing w:val="0"/>
          <w:sz w:val="22"/>
          <w:szCs w:val="24"/>
          <w:rtl/>
        </w:rPr>
        <w:t>ע' פוגלמן</w:t>
      </w:r>
      <w:r>
        <w:rPr>
          <w:rFonts w:ascii="Century" w:hAnsi="Century" w:hint="cs"/>
          <w:sz w:val="22"/>
          <w:rtl/>
        </w:rPr>
        <w:t xml:space="preserve"> והשופטת </w:t>
      </w:r>
      <w:r>
        <w:rPr>
          <w:rFonts w:ascii="Century" w:hAnsi="Century" w:cs="Miriam" w:hint="cs"/>
          <w:b/>
          <w:spacing w:val="0"/>
          <w:sz w:val="22"/>
          <w:szCs w:val="24"/>
          <w:rtl/>
        </w:rPr>
        <w:t>ע' ברון</w:t>
      </w:r>
      <w:r>
        <w:rPr>
          <w:rFonts w:ascii="Century" w:hAnsi="Century" w:hint="cs"/>
          <w:sz w:val="22"/>
          <w:rtl/>
        </w:rPr>
        <w:t xml:space="preserve"> שסברו כי יש להותיר את תוצאת פסק הדין נושא הדיון הנוסף על כנה. </w:t>
      </w:r>
      <w:r>
        <w:rPr>
          <w:rFonts w:hint="cs"/>
          <w:rtl/>
        </w:rPr>
        <w:t xml:space="preserve"> </w:t>
      </w:r>
    </w:p>
    <w:p w:rsidR="00A71B15" w:rsidRDefault="00A71B15" w:rsidP="00A71B15">
      <w:pPr>
        <w:pStyle w:val="af0"/>
      </w:pPr>
    </w:p>
    <w:p w:rsidR="00A71B15" w:rsidRDefault="00A71B15" w:rsidP="001C7F82">
      <w:pPr>
        <w:pStyle w:val="Ruller41"/>
        <w:tabs>
          <w:tab w:val="clear" w:pos="800"/>
        </w:tabs>
        <w:adjustRightInd/>
        <w:ind w:left="-52" w:firstLine="851"/>
        <w:textAlignment w:val="auto"/>
        <w:rPr>
          <w:rFonts w:ascii="FrankRuehl" w:hAnsi="FrankRuehl"/>
          <w:sz w:val="28"/>
        </w:rPr>
      </w:pPr>
      <w:r w:rsidRPr="001C7F82">
        <w:rPr>
          <w:rFonts w:ascii="Garamond" w:hAnsi="Garamond"/>
          <w:sz w:val="24"/>
          <w:rtl/>
        </w:rPr>
        <w:t>אשר להוצאות משפט, הוחלט בדעת רוב כי ההוצאות שהוטלו על המשיבים 3-1 בבית המשפט המחוזי יבוטלו וכי ההסתדרות הציונית תישא בהוצאותיהם ביחס לכל</w:t>
      </w:r>
      <w:r>
        <w:rPr>
          <w:rFonts w:ascii="FrankRuehl" w:hAnsi="FrankRuehl"/>
          <w:sz w:val="28"/>
          <w:rtl/>
        </w:rPr>
        <w:t xml:space="preserve"> ההליכים בבית משפט זה בסך כולל של 25,000 ש"ח.</w:t>
      </w:r>
    </w:p>
    <w:p w:rsidR="00366287" w:rsidRDefault="00366287" w:rsidP="001C7F82">
      <w:pPr>
        <w:pStyle w:val="Ruller41"/>
        <w:rPr>
          <w:rFonts w:ascii="Century" w:hAnsi="Century"/>
          <w:rtl/>
        </w:rPr>
      </w:pPr>
    </w:p>
    <w:p w:rsidR="008D55D5" w:rsidRDefault="008D55D5" w:rsidP="008D55D5">
      <w:pPr>
        <w:pStyle w:val="Ruller41"/>
        <w:rPr>
          <w:rFonts w:ascii="Century" w:hAnsi="Century"/>
          <w:rtl/>
        </w:rPr>
      </w:pPr>
      <w:r>
        <w:rPr>
          <w:rFonts w:ascii="Century" w:hAnsi="Century"/>
          <w:rtl/>
        </w:rPr>
        <w:tab/>
      </w:r>
      <w:r>
        <w:rPr>
          <w:rFonts w:ascii="Century" w:hAnsi="Century" w:hint="eastAsia"/>
          <w:rtl/>
        </w:rPr>
        <w:t>נית</w:t>
      </w:r>
      <w:r>
        <w:rPr>
          <w:rFonts w:ascii="Century" w:hAnsi="Century" w:hint="cs"/>
          <w:rtl/>
        </w:rPr>
        <w:t>ן</w:t>
      </w:r>
      <w:r>
        <w:rPr>
          <w:rFonts w:ascii="Century" w:hAnsi="Century"/>
          <w:rtl/>
        </w:rPr>
        <w:t xml:space="preserve"> </w:t>
      </w:r>
      <w:r>
        <w:rPr>
          <w:rFonts w:ascii="Century" w:hAnsi="Century" w:hint="eastAsia"/>
          <w:rtl/>
        </w:rPr>
        <w:t>היום</w:t>
      </w:r>
      <w:r>
        <w:rPr>
          <w:rFonts w:ascii="Century" w:hAnsi="Century"/>
          <w:rtl/>
        </w:rPr>
        <w:t xml:space="preserve">, </w:t>
      </w:r>
      <w:r>
        <w:rPr>
          <w:rFonts w:ascii="Century" w:hAnsi="Century" w:hint="eastAsia"/>
          <w:rtl/>
        </w:rPr>
        <w:t>‏כ</w:t>
      </w:r>
      <w:r>
        <w:rPr>
          <w:rFonts w:ascii="Century" w:hAnsi="Century"/>
          <w:rtl/>
        </w:rPr>
        <w:t>"</w:t>
      </w:r>
      <w:r>
        <w:rPr>
          <w:rFonts w:ascii="Century" w:hAnsi="Century" w:hint="eastAsia"/>
          <w:rtl/>
        </w:rPr>
        <w:t>ח</w:t>
      </w:r>
      <w:r>
        <w:rPr>
          <w:rFonts w:ascii="Century" w:hAnsi="Century"/>
          <w:rtl/>
        </w:rPr>
        <w:t xml:space="preserve"> </w:t>
      </w:r>
      <w:r>
        <w:rPr>
          <w:rFonts w:ascii="Century" w:hAnsi="Century" w:hint="eastAsia"/>
          <w:rtl/>
        </w:rPr>
        <w:t>בתמוז</w:t>
      </w:r>
      <w:r>
        <w:rPr>
          <w:rFonts w:ascii="Century" w:hAnsi="Century"/>
          <w:rtl/>
        </w:rPr>
        <w:t xml:space="preserve"> </w:t>
      </w:r>
      <w:r>
        <w:rPr>
          <w:rFonts w:ascii="Century" w:hAnsi="Century" w:hint="eastAsia"/>
          <w:rtl/>
        </w:rPr>
        <w:t>התשפ</w:t>
      </w:r>
      <w:r>
        <w:rPr>
          <w:rFonts w:ascii="Century" w:hAnsi="Century"/>
          <w:rtl/>
        </w:rPr>
        <w:t>"</w:t>
      </w:r>
      <w:r>
        <w:rPr>
          <w:rFonts w:ascii="Century" w:hAnsi="Century" w:hint="eastAsia"/>
          <w:rtl/>
        </w:rPr>
        <w:t>ב</w:t>
      </w:r>
      <w:r>
        <w:rPr>
          <w:rFonts w:ascii="Century" w:hAnsi="Century"/>
          <w:rtl/>
        </w:rPr>
        <w:t xml:space="preserve"> (</w:t>
      </w:r>
      <w:r>
        <w:rPr>
          <w:rFonts w:ascii="Century" w:hAnsi="Century" w:hint="eastAsia"/>
          <w:rtl/>
        </w:rPr>
        <w:t>‏</w:t>
      </w:r>
      <w:r>
        <w:rPr>
          <w:rFonts w:ascii="Century" w:hAnsi="Century"/>
          <w:rtl/>
        </w:rPr>
        <w:t>27.7.2022).</w:t>
      </w:r>
    </w:p>
    <w:p w:rsidR="008D55D5" w:rsidRPr="005C28E9" w:rsidRDefault="008D55D5" w:rsidP="001C7F82">
      <w:pPr>
        <w:pStyle w:val="Ruller41"/>
        <w:rPr>
          <w:rFonts w:ascii="Century" w:hAnsi="Century"/>
          <w:sz w:val="20"/>
          <w:szCs w:val="26"/>
        </w:rPr>
      </w:pPr>
    </w:p>
    <w:tbl>
      <w:tblPr>
        <w:bidiVisual/>
        <w:tblW w:w="8363" w:type="dxa"/>
        <w:tblLook w:val="01E0" w:firstRow="1" w:lastRow="1" w:firstColumn="1" w:lastColumn="1" w:noHBand="0" w:noVBand="0"/>
      </w:tblPr>
      <w:tblGrid>
        <w:gridCol w:w="2777"/>
        <w:gridCol w:w="2793"/>
        <w:gridCol w:w="2793"/>
      </w:tblGrid>
      <w:tr w:rsidR="004C7127" w:rsidRPr="004C7127" w:rsidTr="005C28E9">
        <w:tc>
          <w:tcPr>
            <w:tcW w:w="2777" w:type="dxa"/>
            <w:shd w:val="clear" w:color="auto" w:fill="auto"/>
          </w:tcPr>
          <w:p w:rsidR="004C7127" w:rsidRPr="004C7127" w:rsidRDefault="004C7127" w:rsidP="00BA1299">
            <w:pPr>
              <w:pStyle w:val="Ruller41"/>
              <w:rPr>
                <w:rtl/>
              </w:rPr>
            </w:pPr>
            <w:r w:rsidRPr="004C7127">
              <w:rPr>
                <w:rtl/>
              </w:rPr>
              <w:t xml:space="preserve"> ה נ ש י א ה</w:t>
            </w:r>
          </w:p>
        </w:tc>
        <w:tc>
          <w:tcPr>
            <w:tcW w:w="2793" w:type="dxa"/>
            <w:shd w:val="clear" w:color="auto" w:fill="auto"/>
          </w:tcPr>
          <w:p w:rsidR="004C7127" w:rsidRPr="004C7127" w:rsidRDefault="004C7127" w:rsidP="00BA1299">
            <w:pPr>
              <w:pStyle w:val="Ruller41"/>
              <w:jc w:val="center"/>
              <w:rPr>
                <w:rtl/>
              </w:rPr>
            </w:pPr>
            <w:r w:rsidRPr="004C7127">
              <w:rPr>
                <w:rtl/>
              </w:rPr>
              <w:t>המשנה לנשיאה</w:t>
            </w:r>
            <w:r>
              <w:rPr>
                <w:rFonts w:hint="cs"/>
                <w:rtl/>
              </w:rPr>
              <w:t xml:space="preserve"> (בדימ')</w:t>
            </w:r>
          </w:p>
        </w:tc>
        <w:tc>
          <w:tcPr>
            <w:tcW w:w="2793" w:type="dxa"/>
            <w:shd w:val="clear" w:color="auto" w:fill="auto"/>
          </w:tcPr>
          <w:p w:rsidR="004C7127" w:rsidRPr="004C7127" w:rsidRDefault="004C7127" w:rsidP="004C7127">
            <w:pPr>
              <w:pStyle w:val="Ruller41"/>
              <w:jc w:val="right"/>
              <w:rPr>
                <w:rtl/>
              </w:rPr>
            </w:pPr>
            <w:r>
              <w:rPr>
                <w:rFonts w:hint="cs"/>
                <w:rtl/>
              </w:rPr>
              <w:t>המשנה לנשיאה</w:t>
            </w:r>
          </w:p>
        </w:tc>
      </w:tr>
    </w:tbl>
    <w:p w:rsidR="004C7127" w:rsidRPr="005C28E9" w:rsidRDefault="004C7127" w:rsidP="004C7127">
      <w:pPr>
        <w:pStyle w:val="Ruller41"/>
        <w:rPr>
          <w:sz w:val="14"/>
          <w:szCs w:val="20"/>
          <w:rtl/>
        </w:rPr>
      </w:pPr>
    </w:p>
    <w:p w:rsidR="005C28E9" w:rsidRPr="005C28E9" w:rsidRDefault="005C28E9" w:rsidP="004C7127">
      <w:pPr>
        <w:pStyle w:val="Ruller41"/>
        <w:rPr>
          <w:sz w:val="14"/>
          <w:szCs w:val="20"/>
          <w:rtl/>
        </w:rPr>
      </w:pPr>
    </w:p>
    <w:tbl>
      <w:tblPr>
        <w:bidiVisual/>
        <w:tblW w:w="8363" w:type="dxa"/>
        <w:tblLook w:val="01E0" w:firstRow="1" w:lastRow="1" w:firstColumn="1" w:lastColumn="1" w:noHBand="0" w:noVBand="0"/>
      </w:tblPr>
      <w:tblGrid>
        <w:gridCol w:w="2787"/>
        <w:gridCol w:w="2788"/>
        <w:gridCol w:w="2788"/>
      </w:tblGrid>
      <w:tr w:rsidR="004C7127" w:rsidRPr="004C7127" w:rsidTr="00BA1299">
        <w:tc>
          <w:tcPr>
            <w:tcW w:w="2842" w:type="dxa"/>
            <w:shd w:val="clear" w:color="auto" w:fill="auto"/>
          </w:tcPr>
          <w:p w:rsidR="004C7127" w:rsidRPr="004C7127" w:rsidRDefault="004C7127" w:rsidP="00BA1299">
            <w:pPr>
              <w:pStyle w:val="Ruller41"/>
              <w:rPr>
                <w:rtl/>
              </w:rPr>
            </w:pPr>
            <w:r>
              <w:rPr>
                <w:rFonts w:hint="cs"/>
                <w:rtl/>
              </w:rPr>
              <w:t>ש ו פ ט</w:t>
            </w:r>
          </w:p>
        </w:tc>
        <w:tc>
          <w:tcPr>
            <w:tcW w:w="2843" w:type="dxa"/>
            <w:shd w:val="clear" w:color="auto" w:fill="auto"/>
          </w:tcPr>
          <w:p w:rsidR="004C7127" w:rsidRPr="004C7127" w:rsidRDefault="004C7127" w:rsidP="00BA1299">
            <w:pPr>
              <w:pStyle w:val="Ruller41"/>
              <w:jc w:val="center"/>
              <w:rPr>
                <w:rtl/>
              </w:rPr>
            </w:pPr>
            <w:r>
              <w:rPr>
                <w:rFonts w:hint="cs"/>
                <w:rtl/>
              </w:rPr>
              <w:t>ש ו פ ט</w:t>
            </w:r>
          </w:p>
        </w:tc>
        <w:tc>
          <w:tcPr>
            <w:tcW w:w="2843" w:type="dxa"/>
            <w:shd w:val="clear" w:color="auto" w:fill="auto"/>
          </w:tcPr>
          <w:p w:rsidR="004C7127" w:rsidRPr="004C7127" w:rsidRDefault="004C7127" w:rsidP="00BA1299">
            <w:pPr>
              <w:pStyle w:val="Ruller41"/>
              <w:jc w:val="right"/>
              <w:rPr>
                <w:rtl/>
              </w:rPr>
            </w:pPr>
            <w:r>
              <w:rPr>
                <w:rFonts w:hint="cs"/>
                <w:rtl/>
              </w:rPr>
              <w:t>ש ו פ ט ת</w:t>
            </w:r>
          </w:p>
        </w:tc>
      </w:tr>
    </w:tbl>
    <w:p w:rsidR="004C7127" w:rsidRPr="005C28E9" w:rsidRDefault="004C7127" w:rsidP="004C7127">
      <w:pPr>
        <w:pStyle w:val="Ruller41"/>
        <w:rPr>
          <w:sz w:val="14"/>
          <w:szCs w:val="20"/>
          <w:rtl/>
        </w:rPr>
      </w:pPr>
    </w:p>
    <w:p w:rsidR="004C7127" w:rsidRPr="005C28E9" w:rsidRDefault="004C7127" w:rsidP="004C7127">
      <w:pPr>
        <w:pStyle w:val="Ruller41"/>
        <w:rPr>
          <w:sz w:val="14"/>
          <w:szCs w:val="20"/>
          <w:rtl/>
        </w:rPr>
      </w:pPr>
    </w:p>
    <w:tbl>
      <w:tblPr>
        <w:bidiVisual/>
        <w:tblW w:w="8363" w:type="dxa"/>
        <w:tblLook w:val="01E0" w:firstRow="1" w:lastRow="1" w:firstColumn="1" w:lastColumn="1" w:noHBand="0" w:noVBand="0"/>
      </w:tblPr>
      <w:tblGrid>
        <w:gridCol w:w="2789"/>
        <w:gridCol w:w="2787"/>
        <w:gridCol w:w="2787"/>
      </w:tblGrid>
      <w:tr w:rsidR="004C7127" w:rsidRPr="004C7127" w:rsidTr="00BA1299">
        <w:tc>
          <w:tcPr>
            <w:tcW w:w="2842" w:type="dxa"/>
            <w:shd w:val="clear" w:color="auto" w:fill="auto"/>
          </w:tcPr>
          <w:p w:rsidR="004C7127" w:rsidRPr="004C7127" w:rsidRDefault="004C7127" w:rsidP="00BA1299">
            <w:pPr>
              <w:pStyle w:val="Ruller41"/>
              <w:rPr>
                <w:rtl/>
              </w:rPr>
            </w:pPr>
            <w:r>
              <w:rPr>
                <w:rFonts w:hint="cs"/>
                <w:rtl/>
              </w:rPr>
              <w:t>ש ו פ ט ת</w:t>
            </w:r>
          </w:p>
        </w:tc>
        <w:tc>
          <w:tcPr>
            <w:tcW w:w="2843" w:type="dxa"/>
            <w:shd w:val="clear" w:color="auto" w:fill="auto"/>
          </w:tcPr>
          <w:p w:rsidR="004C7127" w:rsidRPr="004C7127" w:rsidRDefault="004C7127" w:rsidP="00BA1299">
            <w:pPr>
              <w:pStyle w:val="Ruller41"/>
              <w:jc w:val="center"/>
              <w:rPr>
                <w:rtl/>
              </w:rPr>
            </w:pPr>
          </w:p>
        </w:tc>
        <w:tc>
          <w:tcPr>
            <w:tcW w:w="2843" w:type="dxa"/>
            <w:shd w:val="clear" w:color="auto" w:fill="auto"/>
          </w:tcPr>
          <w:p w:rsidR="004C7127" w:rsidRPr="004C7127" w:rsidRDefault="004C7127" w:rsidP="00BA1299">
            <w:pPr>
              <w:pStyle w:val="Ruller41"/>
              <w:jc w:val="right"/>
              <w:rPr>
                <w:rtl/>
              </w:rPr>
            </w:pPr>
          </w:p>
        </w:tc>
      </w:tr>
    </w:tbl>
    <w:p w:rsidR="004C7127" w:rsidRPr="004C7127" w:rsidRDefault="004C7127" w:rsidP="004C7127">
      <w:pPr>
        <w:rPr>
          <w:szCs w:val="16"/>
          <w:rtl/>
        </w:rPr>
      </w:pPr>
      <w:r w:rsidRPr="004C7127">
        <w:rPr>
          <w:szCs w:val="16"/>
          <w:rtl/>
        </w:rPr>
        <w:t>_________________</w:t>
      </w:r>
      <w:r w:rsidRPr="004C7127">
        <w:rPr>
          <w:rFonts w:hint="cs"/>
          <w:szCs w:val="16"/>
          <w:rtl/>
        </w:rPr>
        <w:t>________</w:t>
      </w:r>
    </w:p>
    <w:p w:rsidR="004C7127" w:rsidRPr="004C7127" w:rsidRDefault="004C7127" w:rsidP="004C7127">
      <w:pPr>
        <w:pStyle w:val="Ruller38"/>
        <w:rPr>
          <w:rtl/>
        </w:rPr>
      </w:pPr>
      <w:r w:rsidRPr="004C7127">
        <w:rPr>
          <w:sz w:val="16"/>
        </w:rPr>
        <w:t xml:space="preserve">   20063640_M13.docx   </w:t>
      </w:r>
      <w:r w:rsidRPr="004C7127">
        <w:rPr>
          <w:sz w:val="16"/>
          <w:rtl/>
        </w:rPr>
        <w:t>דפ</w:t>
      </w:r>
    </w:p>
    <w:p w:rsidR="003F1F97" w:rsidRPr="004C7127" w:rsidRDefault="004C7127" w:rsidP="00DA7BCD">
      <w:pPr>
        <w:pStyle w:val="Ruller38"/>
        <w:rPr>
          <w:szCs w:val="20"/>
          <w:rtl/>
        </w:rPr>
      </w:pPr>
      <w:r w:rsidRPr="004C7127">
        <w:rPr>
          <w:rtl/>
        </w:rPr>
        <w:t>מרכז מידע, טל'</w:t>
      </w:r>
      <w:r w:rsidRPr="004C7127">
        <w:rPr>
          <w:rFonts w:hint="cs"/>
          <w:rtl/>
        </w:rPr>
        <w:t xml:space="preserve"> 077-2703333, 3852* ; אתר אינטרנט,  </w:t>
      </w:r>
      <w:hyperlink r:id="rId9" w:history="1">
        <w:r>
          <w:rPr>
            <w:rStyle w:val="Hyperlink"/>
            <w:sz w:val="16"/>
          </w:rPr>
          <w:t>https://supreme.court.gov.il</w:t>
        </w:r>
      </w:hyperlink>
    </w:p>
    <w:sectPr w:rsidR="003F1F97" w:rsidRPr="004C7127" w:rsidSect="00591983">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A2B" w:rsidRDefault="00EE1A2B">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20" w:name="footer_line"/>
    <w:bookmarkEnd w:id="20"/>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6"/>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346C8E">
      <w:rPr>
        <w:rStyle w:val="a5"/>
        <w:noProof/>
        <w:rtl/>
      </w:rPr>
      <w:t>2</w:t>
    </w:r>
    <w:r>
      <w:rPr>
        <w:rStyle w:val="a5"/>
        <w:rtl/>
      </w:rPr>
      <w:fldChar w:fldCharType="end"/>
    </w:r>
  </w:p>
  <w:p w:rsidR="00377102" w:rsidRDefault="00377102">
    <w:pPr>
      <w:pStyle w:val="a6"/>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6"/>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F46E7"/>
    <w:multiLevelType w:val="hybridMultilevel"/>
    <w:tmpl w:val="C04E2C10"/>
    <w:lvl w:ilvl="0" w:tplc="44B0864A">
      <w:start w:val="27"/>
      <w:numFmt w:val="bullet"/>
      <w:lvlText w:val="-"/>
      <w:lvlJc w:val="left"/>
      <w:pPr>
        <w:ind w:left="720" w:hanging="360"/>
      </w:pPr>
      <w:rPr>
        <w:rFonts w:asciiTheme="minorHAnsi" w:eastAsiaTheme="minorHAnsi" w:hAnsiTheme="minorHAnsi" w:cs="FrankRuehl" w:hint="default"/>
        <w:b w:val="0"/>
        <w:sz w:val="28"/>
      </w:rPr>
    </w:lvl>
    <w:lvl w:ilvl="1" w:tplc="5C5E0884" w:tentative="1">
      <w:start w:val="1"/>
      <w:numFmt w:val="bullet"/>
      <w:lvlText w:val="o"/>
      <w:lvlJc w:val="left"/>
      <w:pPr>
        <w:ind w:left="1440" w:hanging="360"/>
      </w:pPr>
      <w:rPr>
        <w:rFonts w:ascii="Courier New" w:hAnsi="Courier New" w:cs="Courier New" w:hint="default"/>
      </w:rPr>
    </w:lvl>
    <w:lvl w:ilvl="2" w:tplc="04CA0628" w:tentative="1">
      <w:start w:val="1"/>
      <w:numFmt w:val="bullet"/>
      <w:lvlText w:val=""/>
      <w:lvlJc w:val="left"/>
      <w:pPr>
        <w:ind w:left="2160" w:hanging="360"/>
      </w:pPr>
      <w:rPr>
        <w:rFonts w:ascii="Wingdings" w:hAnsi="Wingdings" w:hint="default"/>
      </w:rPr>
    </w:lvl>
    <w:lvl w:ilvl="3" w:tplc="A89CFAD8" w:tentative="1">
      <w:start w:val="1"/>
      <w:numFmt w:val="bullet"/>
      <w:lvlText w:val=""/>
      <w:lvlJc w:val="left"/>
      <w:pPr>
        <w:ind w:left="2880" w:hanging="360"/>
      </w:pPr>
      <w:rPr>
        <w:rFonts w:ascii="Symbol" w:hAnsi="Symbol" w:hint="default"/>
      </w:rPr>
    </w:lvl>
    <w:lvl w:ilvl="4" w:tplc="DAE6462E" w:tentative="1">
      <w:start w:val="1"/>
      <w:numFmt w:val="bullet"/>
      <w:lvlText w:val="o"/>
      <w:lvlJc w:val="left"/>
      <w:pPr>
        <w:ind w:left="3600" w:hanging="360"/>
      </w:pPr>
      <w:rPr>
        <w:rFonts w:ascii="Courier New" w:hAnsi="Courier New" w:cs="Courier New" w:hint="default"/>
      </w:rPr>
    </w:lvl>
    <w:lvl w:ilvl="5" w:tplc="AE22E72E" w:tentative="1">
      <w:start w:val="1"/>
      <w:numFmt w:val="bullet"/>
      <w:lvlText w:val=""/>
      <w:lvlJc w:val="left"/>
      <w:pPr>
        <w:ind w:left="4320" w:hanging="360"/>
      </w:pPr>
      <w:rPr>
        <w:rFonts w:ascii="Wingdings" w:hAnsi="Wingdings" w:hint="default"/>
      </w:rPr>
    </w:lvl>
    <w:lvl w:ilvl="6" w:tplc="7DA836B2" w:tentative="1">
      <w:start w:val="1"/>
      <w:numFmt w:val="bullet"/>
      <w:lvlText w:val=""/>
      <w:lvlJc w:val="left"/>
      <w:pPr>
        <w:ind w:left="5040" w:hanging="360"/>
      </w:pPr>
      <w:rPr>
        <w:rFonts w:ascii="Symbol" w:hAnsi="Symbol" w:hint="default"/>
      </w:rPr>
    </w:lvl>
    <w:lvl w:ilvl="7" w:tplc="A31E269C" w:tentative="1">
      <w:start w:val="1"/>
      <w:numFmt w:val="bullet"/>
      <w:lvlText w:val="o"/>
      <w:lvlJc w:val="left"/>
      <w:pPr>
        <w:ind w:left="5760" w:hanging="360"/>
      </w:pPr>
      <w:rPr>
        <w:rFonts w:ascii="Courier New" w:hAnsi="Courier New" w:cs="Courier New" w:hint="default"/>
      </w:rPr>
    </w:lvl>
    <w:lvl w:ilvl="8" w:tplc="757EEAF2" w:tentative="1">
      <w:start w:val="1"/>
      <w:numFmt w:val="bullet"/>
      <w:lvlText w:val=""/>
      <w:lvlJc w:val="left"/>
      <w:pPr>
        <w:ind w:left="6480" w:hanging="360"/>
      </w:pPr>
      <w:rPr>
        <w:rFonts w:ascii="Wingdings" w:hAnsi="Wingdings" w:hint="default"/>
      </w:rPr>
    </w:lvl>
  </w:abstractNum>
  <w:abstractNum w:abstractNumId="11" w15:restartNumberingAfterBreak="0">
    <w:nsid w:val="08A6001B"/>
    <w:multiLevelType w:val="hybridMultilevel"/>
    <w:tmpl w:val="E47C07EE"/>
    <w:lvl w:ilvl="0" w:tplc="89BC61B2">
      <w:start w:val="1"/>
      <w:numFmt w:val="decimal"/>
      <w:pStyle w:val="Ruller4"/>
      <w:lvlText w:val="%1."/>
      <w:lvlJc w:val="left"/>
      <w:pPr>
        <w:tabs>
          <w:tab w:val="num" w:pos="907"/>
        </w:tabs>
        <w:ind w:left="0" w:firstLine="0"/>
      </w:pPr>
      <w:rPr>
        <w:rFonts w:ascii="Century" w:hAnsi="Century" w:cs="FrankRuehl" w:hint="default"/>
        <w:b w:val="0"/>
        <w:bCs w:val="0"/>
        <w:i w:val="0"/>
        <w:iCs w:val="0"/>
        <w:caps w:val="0"/>
        <w:smallCaps w:val="0"/>
        <w:strike w:val="0"/>
        <w:dstrike w:val="0"/>
        <w:outline w:val="0"/>
        <w:shadow w:val="0"/>
        <w:emboss w:val="0"/>
        <w:imprint w:val="0"/>
        <w:vanish w:val="0"/>
        <w:color w:val="auto"/>
        <w:spacing w:val="10"/>
        <w:w w:val="100"/>
        <w:kern w:val="0"/>
        <w:position w:val="0"/>
        <w:sz w:val="22"/>
        <w:szCs w:val="28"/>
        <w:u w:val="none"/>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2D015B"/>
    <w:multiLevelType w:val="hybridMultilevel"/>
    <w:tmpl w:val="6172DD10"/>
    <w:lvl w:ilvl="0" w:tplc="AABC84E2">
      <w:start w:val="1"/>
      <w:numFmt w:val="decimal"/>
      <w:lvlText w:val="%1."/>
      <w:lvlJc w:val="left"/>
      <w:pPr>
        <w:ind w:left="720" w:hanging="360"/>
      </w:pPr>
      <w:rPr>
        <w:rFonts w:hint="default"/>
      </w:rPr>
    </w:lvl>
    <w:lvl w:ilvl="1" w:tplc="67104EC6" w:tentative="1">
      <w:start w:val="1"/>
      <w:numFmt w:val="lowerLetter"/>
      <w:lvlText w:val="%2."/>
      <w:lvlJc w:val="left"/>
      <w:pPr>
        <w:ind w:left="1440" w:hanging="360"/>
      </w:pPr>
    </w:lvl>
    <w:lvl w:ilvl="2" w:tplc="8B5A9442" w:tentative="1">
      <w:start w:val="1"/>
      <w:numFmt w:val="lowerRoman"/>
      <w:lvlText w:val="%3."/>
      <w:lvlJc w:val="right"/>
      <w:pPr>
        <w:ind w:left="2160" w:hanging="180"/>
      </w:pPr>
    </w:lvl>
    <w:lvl w:ilvl="3" w:tplc="53AA36A6" w:tentative="1">
      <w:start w:val="1"/>
      <w:numFmt w:val="decimal"/>
      <w:lvlText w:val="%4."/>
      <w:lvlJc w:val="left"/>
      <w:pPr>
        <w:ind w:left="2880" w:hanging="360"/>
      </w:pPr>
    </w:lvl>
    <w:lvl w:ilvl="4" w:tplc="0AE69B7E" w:tentative="1">
      <w:start w:val="1"/>
      <w:numFmt w:val="lowerLetter"/>
      <w:lvlText w:val="%5."/>
      <w:lvlJc w:val="left"/>
      <w:pPr>
        <w:ind w:left="3600" w:hanging="360"/>
      </w:pPr>
    </w:lvl>
    <w:lvl w:ilvl="5" w:tplc="A34C4518" w:tentative="1">
      <w:start w:val="1"/>
      <w:numFmt w:val="lowerRoman"/>
      <w:lvlText w:val="%6."/>
      <w:lvlJc w:val="right"/>
      <w:pPr>
        <w:ind w:left="4320" w:hanging="180"/>
      </w:pPr>
    </w:lvl>
    <w:lvl w:ilvl="6" w:tplc="F4AE4C8A" w:tentative="1">
      <w:start w:val="1"/>
      <w:numFmt w:val="decimal"/>
      <w:lvlText w:val="%7."/>
      <w:lvlJc w:val="left"/>
      <w:pPr>
        <w:ind w:left="5040" w:hanging="360"/>
      </w:pPr>
    </w:lvl>
    <w:lvl w:ilvl="7" w:tplc="C834E936" w:tentative="1">
      <w:start w:val="1"/>
      <w:numFmt w:val="lowerLetter"/>
      <w:lvlText w:val="%8."/>
      <w:lvlJc w:val="left"/>
      <w:pPr>
        <w:ind w:left="5760" w:hanging="360"/>
      </w:pPr>
    </w:lvl>
    <w:lvl w:ilvl="8" w:tplc="7CC050D4" w:tentative="1">
      <w:start w:val="1"/>
      <w:numFmt w:val="lowerRoman"/>
      <w:lvlText w:val="%9."/>
      <w:lvlJc w:val="right"/>
      <w:pPr>
        <w:ind w:left="6480" w:hanging="180"/>
      </w:pPr>
    </w:lvl>
  </w:abstractNum>
  <w:abstractNum w:abstractNumId="13" w15:restartNumberingAfterBreak="0">
    <w:nsid w:val="0CCB72A7"/>
    <w:multiLevelType w:val="hybridMultilevel"/>
    <w:tmpl w:val="3598997E"/>
    <w:lvl w:ilvl="0" w:tplc="9F04F64A">
      <w:start w:val="1"/>
      <w:numFmt w:val="decimal"/>
      <w:lvlText w:val="%1."/>
      <w:lvlJc w:val="left"/>
      <w:pPr>
        <w:ind w:left="720" w:hanging="360"/>
      </w:pPr>
      <w:rPr>
        <w:rFonts w:cs="FrankRueh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60280D"/>
    <w:multiLevelType w:val="hybridMultilevel"/>
    <w:tmpl w:val="99F24B50"/>
    <w:lvl w:ilvl="0" w:tplc="585412F4">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5" w15:restartNumberingAfterBreak="0">
    <w:nsid w:val="13944339"/>
    <w:multiLevelType w:val="hybridMultilevel"/>
    <w:tmpl w:val="7CEAAA5E"/>
    <w:lvl w:ilvl="0" w:tplc="9F8AEFEA">
      <w:start w:val="29"/>
      <w:numFmt w:val="bullet"/>
      <w:lvlText w:val="-"/>
      <w:lvlJc w:val="left"/>
      <w:pPr>
        <w:ind w:left="720" w:hanging="360"/>
      </w:pPr>
      <w:rPr>
        <w:rFonts w:ascii="Century" w:eastAsiaTheme="minorHAnsi" w:hAnsi="Century" w:cs="Miriam" w:hint="default"/>
      </w:rPr>
    </w:lvl>
    <w:lvl w:ilvl="1" w:tplc="A440A052" w:tentative="1">
      <w:start w:val="1"/>
      <w:numFmt w:val="bullet"/>
      <w:lvlText w:val="o"/>
      <w:lvlJc w:val="left"/>
      <w:pPr>
        <w:ind w:left="1440" w:hanging="360"/>
      </w:pPr>
      <w:rPr>
        <w:rFonts w:ascii="Courier New" w:hAnsi="Courier New" w:cs="Courier New" w:hint="default"/>
      </w:rPr>
    </w:lvl>
    <w:lvl w:ilvl="2" w:tplc="EE4C757E" w:tentative="1">
      <w:start w:val="1"/>
      <w:numFmt w:val="bullet"/>
      <w:lvlText w:val=""/>
      <w:lvlJc w:val="left"/>
      <w:pPr>
        <w:ind w:left="2160" w:hanging="360"/>
      </w:pPr>
      <w:rPr>
        <w:rFonts w:ascii="Wingdings" w:hAnsi="Wingdings" w:hint="default"/>
      </w:rPr>
    </w:lvl>
    <w:lvl w:ilvl="3" w:tplc="DAC8DC88" w:tentative="1">
      <w:start w:val="1"/>
      <w:numFmt w:val="bullet"/>
      <w:lvlText w:val=""/>
      <w:lvlJc w:val="left"/>
      <w:pPr>
        <w:ind w:left="2880" w:hanging="360"/>
      </w:pPr>
      <w:rPr>
        <w:rFonts w:ascii="Symbol" w:hAnsi="Symbol" w:hint="default"/>
      </w:rPr>
    </w:lvl>
    <w:lvl w:ilvl="4" w:tplc="FCDC4532" w:tentative="1">
      <w:start w:val="1"/>
      <w:numFmt w:val="bullet"/>
      <w:lvlText w:val="o"/>
      <w:lvlJc w:val="left"/>
      <w:pPr>
        <w:ind w:left="3600" w:hanging="360"/>
      </w:pPr>
      <w:rPr>
        <w:rFonts w:ascii="Courier New" w:hAnsi="Courier New" w:cs="Courier New" w:hint="default"/>
      </w:rPr>
    </w:lvl>
    <w:lvl w:ilvl="5" w:tplc="F3128BDC" w:tentative="1">
      <w:start w:val="1"/>
      <w:numFmt w:val="bullet"/>
      <w:lvlText w:val=""/>
      <w:lvlJc w:val="left"/>
      <w:pPr>
        <w:ind w:left="4320" w:hanging="360"/>
      </w:pPr>
      <w:rPr>
        <w:rFonts w:ascii="Wingdings" w:hAnsi="Wingdings" w:hint="default"/>
      </w:rPr>
    </w:lvl>
    <w:lvl w:ilvl="6" w:tplc="FBDCE85A" w:tentative="1">
      <w:start w:val="1"/>
      <w:numFmt w:val="bullet"/>
      <w:lvlText w:val=""/>
      <w:lvlJc w:val="left"/>
      <w:pPr>
        <w:ind w:left="5040" w:hanging="360"/>
      </w:pPr>
      <w:rPr>
        <w:rFonts w:ascii="Symbol" w:hAnsi="Symbol" w:hint="default"/>
      </w:rPr>
    </w:lvl>
    <w:lvl w:ilvl="7" w:tplc="446E9A58" w:tentative="1">
      <w:start w:val="1"/>
      <w:numFmt w:val="bullet"/>
      <w:lvlText w:val="o"/>
      <w:lvlJc w:val="left"/>
      <w:pPr>
        <w:ind w:left="5760" w:hanging="360"/>
      </w:pPr>
      <w:rPr>
        <w:rFonts w:ascii="Courier New" w:hAnsi="Courier New" w:cs="Courier New" w:hint="default"/>
      </w:rPr>
    </w:lvl>
    <w:lvl w:ilvl="8" w:tplc="9F807F76" w:tentative="1">
      <w:start w:val="1"/>
      <w:numFmt w:val="bullet"/>
      <w:lvlText w:val=""/>
      <w:lvlJc w:val="left"/>
      <w:pPr>
        <w:ind w:left="6480" w:hanging="360"/>
      </w:pPr>
      <w:rPr>
        <w:rFonts w:ascii="Wingdings" w:hAnsi="Wingdings" w:hint="default"/>
      </w:rPr>
    </w:lvl>
  </w:abstractNum>
  <w:abstractNum w:abstractNumId="16" w15:restartNumberingAfterBreak="0">
    <w:nsid w:val="16447377"/>
    <w:multiLevelType w:val="hybridMultilevel"/>
    <w:tmpl w:val="F962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B24F17"/>
    <w:multiLevelType w:val="hybridMultilevel"/>
    <w:tmpl w:val="953463AA"/>
    <w:lvl w:ilvl="0" w:tplc="E5382C7E">
      <w:numFmt w:val="bullet"/>
      <w:lvlText w:val="-"/>
      <w:lvlJc w:val="left"/>
      <w:pPr>
        <w:ind w:left="1080" w:hanging="360"/>
      </w:pPr>
      <w:rPr>
        <w:rFonts w:ascii="FrankRuehl" w:eastAsia="Times New Roman" w:hAnsi="FrankRuehl" w:cs="FrankRuehl" w:hint="default"/>
        <w:sz w:val="28"/>
      </w:rPr>
    </w:lvl>
    <w:lvl w:ilvl="1" w:tplc="62B89E72" w:tentative="1">
      <w:start w:val="1"/>
      <w:numFmt w:val="bullet"/>
      <w:lvlText w:val="o"/>
      <w:lvlJc w:val="left"/>
      <w:pPr>
        <w:ind w:left="1800" w:hanging="360"/>
      </w:pPr>
      <w:rPr>
        <w:rFonts w:ascii="Courier New" w:hAnsi="Courier New" w:cs="Courier New" w:hint="default"/>
      </w:rPr>
    </w:lvl>
    <w:lvl w:ilvl="2" w:tplc="13AE5E48" w:tentative="1">
      <w:start w:val="1"/>
      <w:numFmt w:val="bullet"/>
      <w:lvlText w:val=""/>
      <w:lvlJc w:val="left"/>
      <w:pPr>
        <w:ind w:left="2520" w:hanging="360"/>
      </w:pPr>
      <w:rPr>
        <w:rFonts w:ascii="Wingdings" w:hAnsi="Wingdings" w:hint="default"/>
      </w:rPr>
    </w:lvl>
    <w:lvl w:ilvl="3" w:tplc="6EF2D74A" w:tentative="1">
      <w:start w:val="1"/>
      <w:numFmt w:val="bullet"/>
      <w:lvlText w:val=""/>
      <w:lvlJc w:val="left"/>
      <w:pPr>
        <w:ind w:left="3240" w:hanging="360"/>
      </w:pPr>
      <w:rPr>
        <w:rFonts w:ascii="Symbol" w:hAnsi="Symbol" w:hint="default"/>
      </w:rPr>
    </w:lvl>
    <w:lvl w:ilvl="4" w:tplc="AB6E20BC" w:tentative="1">
      <w:start w:val="1"/>
      <w:numFmt w:val="bullet"/>
      <w:lvlText w:val="o"/>
      <w:lvlJc w:val="left"/>
      <w:pPr>
        <w:ind w:left="3960" w:hanging="360"/>
      </w:pPr>
      <w:rPr>
        <w:rFonts w:ascii="Courier New" w:hAnsi="Courier New" w:cs="Courier New" w:hint="default"/>
      </w:rPr>
    </w:lvl>
    <w:lvl w:ilvl="5" w:tplc="19AA0914" w:tentative="1">
      <w:start w:val="1"/>
      <w:numFmt w:val="bullet"/>
      <w:lvlText w:val=""/>
      <w:lvlJc w:val="left"/>
      <w:pPr>
        <w:ind w:left="4680" w:hanging="360"/>
      </w:pPr>
      <w:rPr>
        <w:rFonts w:ascii="Wingdings" w:hAnsi="Wingdings" w:hint="default"/>
      </w:rPr>
    </w:lvl>
    <w:lvl w:ilvl="6" w:tplc="88E08756" w:tentative="1">
      <w:start w:val="1"/>
      <w:numFmt w:val="bullet"/>
      <w:lvlText w:val=""/>
      <w:lvlJc w:val="left"/>
      <w:pPr>
        <w:ind w:left="5400" w:hanging="360"/>
      </w:pPr>
      <w:rPr>
        <w:rFonts w:ascii="Symbol" w:hAnsi="Symbol" w:hint="default"/>
      </w:rPr>
    </w:lvl>
    <w:lvl w:ilvl="7" w:tplc="8AFEA2B4" w:tentative="1">
      <w:start w:val="1"/>
      <w:numFmt w:val="bullet"/>
      <w:lvlText w:val="o"/>
      <w:lvlJc w:val="left"/>
      <w:pPr>
        <w:ind w:left="6120" w:hanging="360"/>
      </w:pPr>
      <w:rPr>
        <w:rFonts w:ascii="Courier New" w:hAnsi="Courier New" w:cs="Courier New" w:hint="default"/>
      </w:rPr>
    </w:lvl>
    <w:lvl w:ilvl="8" w:tplc="5BD21BBC" w:tentative="1">
      <w:start w:val="1"/>
      <w:numFmt w:val="bullet"/>
      <w:lvlText w:val=""/>
      <w:lvlJc w:val="left"/>
      <w:pPr>
        <w:ind w:left="6840" w:hanging="360"/>
      </w:pPr>
      <w:rPr>
        <w:rFonts w:ascii="Wingdings" w:hAnsi="Wingdings" w:hint="default"/>
      </w:rPr>
    </w:lvl>
  </w:abstractNum>
  <w:abstractNum w:abstractNumId="18" w15:restartNumberingAfterBreak="0">
    <w:nsid w:val="217D77A8"/>
    <w:multiLevelType w:val="hybridMultilevel"/>
    <w:tmpl w:val="2788F002"/>
    <w:lvl w:ilvl="0" w:tplc="3BD24F74">
      <w:start w:val="1"/>
      <w:numFmt w:val="bullet"/>
      <w:lvlText w:val="-"/>
      <w:lvlJc w:val="left"/>
      <w:pPr>
        <w:ind w:left="720" w:hanging="360"/>
      </w:pPr>
      <w:rPr>
        <w:rFonts w:ascii="FrankRuehl" w:eastAsiaTheme="minorHAnsi" w:hAnsi="FrankRuehl" w:cs="FrankRuehl" w:hint="default"/>
      </w:rPr>
    </w:lvl>
    <w:lvl w:ilvl="1" w:tplc="9FCCED9C" w:tentative="1">
      <w:start w:val="1"/>
      <w:numFmt w:val="bullet"/>
      <w:lvlText w:val="o"/>
      <w:lvlJc w:val="left"/>
      <w:pPr>
        <w:ind w:left="1440" w:hanging="360"/>
      </w:pPr>
      <w:rPr>
        <w:rFonts w:ascii="Courier New" w:hAnsi="Courier New" w:cs="Courier New" w:hint="default"/>
      </w:rPr>
    </w:lvl>
    <w:lvl w:ilvl="2" w:tplc="1592FE16" w:tentative="1">
      <w:start w:val="1"/>
      <w:numFmt w:val="bullet"/>
      <w:lvlText w:val=""/>
      <w:lvlJc w:val="left"/>
      <w:pPr>
        <w:ind w:left="2160" w:hanging="360"/>
      </w:pPr>
      <w:rPr>
        <w:rFonts w:ascii="Wingdings" w:hAnsi="Wingdings" w:hint="default"/>
      </w:rPr>
    </w:lvl>
    <w:lvl w:ilvl="3" w:tplc="37062CDE" w:tentative="1">
      <w:start w:val="1"/>
      <w:numFmt w:val="bullet"/>
      <w:lvlText w:val=""/>
      <w:lvlJc w:val="left"/>
      <w:pPr>
        <w:ind w:left="2880" w:hanging="360"/>
      </w:pPr>
      <w:rPr>
        <w:rFonts w:ascii="Symbol" w:hAnsi="Symbol" w:hint="default"/>
      </w:rPr>
    </w:lvl>
    <w:lvl w:ilvl="4" w:tplc="913E5B06" w:tentative="1">
      <w:start w:val="1"/>
      <w:numFmt w:val="bullet"/>
      <w:lvlText w:val="o"/>
      <w:lvlJc w:val="left"/>
      <w:pPr>
        <w:ind w:left="3600" w:hanging="360"/>
      </w:pPr>
      <w:rPr>
        <w:rFonts w:ascii="Courier New" w:hAnsi="Courier New" w:cs="Courier New" w:hint="default"/>
      </w:rPr>
    </w:lvl>
    <w:lvl w:ilvl="5" w:tplc="6DC0C38C" w:tentative="1">
      <w:start w:val="1"/>
      <w:numFmt w:val="bullet"/>
      <w:lvlText w:val=""/>
      <w:lvlJc w:val="left"/>
      <w:pPr>
        <w:ind w:left="4320" w:hanging="360"/>
      </w:pPr>
      <w:rPr>
        <w:rFonts w:ascii="Wingdings" w:hAnsi="Wingdings" w:hint="default"/>
      </w:rPr>
    </w:lvl>
    <w:lvl w:ilvl="6" w:tplc="88025AB4" w:tentative="1">
      <w:start w:val="1"/>
      <w:numFmt w:val="bullet"/>
      <w:lvlText w:val=""/>
      <w:lvlJc w:val="left"/>
      <w:pPr>
        <w:ind w:left="5040" w:hanging="360"/>
      </w:pPr>
      <w:rPr>
        <w:rFonts w:ascii="Symbol" w:hAnsi="Symbol" w:hint="default"/>
      </w:rPr>
    </w:lvl>
    <w:lvl w:ilvl="7" w:tplc="13F6453C" w:tentative="1">
      <w:start w:val="1"/>
      <w:numFmt w:val="bullet"/>
      <w:lvlText w:val="o"/>
      <w:lvlJc w:val="left"/>
      <w:pPr>
        <w:ind w:left="5760" w:hanging="360"/>
      </w:pPr>
      <w:rPr>
        <w:rFonts w:ascii="Courier New" w:hAnsi="Courier New" w:cs="Courier New" w:hint="default"/>
      </w:rPr>
    </w:lvl>
    <w:lvl w:ilvl="8" w:tplc="61C2BA62" w:tentative="1">
      <w:start w:val="1"/>
      <w:numFmt w:val="bullet"/>
      <w:lvlText w:val=""/>
      <w:lvlJc w:val="left"/>
      <w:pPr>
        <w:ind w:left="6480" w:hanging="360"/>
      </w:pPr>
      <w:rPr>
        <w:rFonts w:ascii="Wingdings" w:hAnsi="Wingdings" w:hint="default"/>
      </w:rPr>
    </w:lvl>
  </w:abstractNum>
  <w:abstractNum w:abstractNumId="19" w15:restartNumberingAfterBreak="0">
    <w:nsid w:val="36761DC6"/>
    <w:multiLevelType w:val="hybridMultilevel"/>
    <w:tmpl w:val="4FAAB6D6"/>
    <w:lvl w:ilvl="0" w:tplc="BA26BA54">
      <w:start w:val="1"/>
      <w:numFmt w:val="decimal"/>
      <w:lvlText w:val="%1."/>
      <w:lvlJc w:val="left"/>
      <w:pPr>
        <w:ind w:left="720" w:hanging="360"/>
      </w:pPr>
      <w:rPr>
        <w:rFonts w:hint="default"/>
        <w:sz w:val="24"/>
      </w:rPr>
    </w:lvl>
    <w:lvl w:ilvl="1" w:tplc="CB646CD4" w:tentative="1">
      <w:start w:val="1"/>
      <w:numFmt w:val="lowerLetter"/>
      <w:lvlText w:val="%2."/>
      <w:lvlJc w:val="left"/>
      <w:pPr>
        <w:ind w:left="1440" w:hanging="360"/>
      </w:pPr>
    </w:lvl>
    <w:lvl w:ilvl="2" w:tplc="580AD618" w:tentative="1">
      <w:start w:val="1"/>
      <w:numFmt w:val="lowerRoman"/>
      <w:lvlText w:val="%3."/>
      <w:lvlJc w:val="right"/>
      <w:pPr>
        <w:ind w:left="2160" w:hanging="180"/>
      </w:pPr>
    </w:lvl>
    <w:lvl w:ilvl="3" w:tplc="11F8BD32" w:tentative="1">
      <w:start w:val="1"/>
      <w:numFmt w:val="decimal"/>
      <w:lvlText w:val="%4."/>
      <w:lvlJc w:val="left"/>
      <w:pPr>
        <w:ind w:left="2880" w:hanging="360"/>
      </w:pPr>
    </w:lvl>
    <w:lvl w:ilvl="4" w:tplc="D1E60BBA" w:tentative="1">
      <w:start w:val="1"/>
      <w:numFmt w:val="lowerLetter"/>
      <w:lvlText w:val="%5."/>
      <w:lvlJc w:val="left"/>
      <w:pPr>
        <w:ind w:left="3600" w:hanging="360"/>
      </w:pPr>
    </w:lvl>
    <w:lvl w:ilvl="5" w:tplc="2C7853D8" w:tentative="1">
      <w:start w:val="1"/>
      <w:numFmt w:val="lowerRoman"/>
      <w:lvlText w:val="%6."/>
      <w:lvlJc w:val="right"/>
      <w:pPr>
        <w:ind w:left="4320" w:hanging="180"/>
      </w:pPr>
    </w:lvl>
    <w:lvl w:ilvl="6" w:tplc="F4F05A64" w:tentative="1">
      <w:start w:val="1"/>
      <w:numFmt w:val="decimal"/>
      <w:lvlText w:val="%7."/>
      <w:lvlJc w:val="left"/>
      <w:pPr>
        <w:ind w:left="5040" w:hanging="360"/>
      </w:pPr>
    </w:lvl>
    <w:lvl w:ilvl="7" w:tplc="17D6B354" w:tentative="1">
      <w:start w:val="1"/>
      <w:numFmt w:val="lowerLetter"/>
      <w:lvlText w:val="%8."/>
      <w:lvlJc w:val="left"/>
      <w:pPr>
        <w:ind w:left="5760" w:hanging="360"/>
      </w:pPr>
    </w:lvl>
    <w:lvl w:ilvl="8" w:tplc="1BF27030" w:tentative="1">
      <w:start w:val="1"/>
      <w:numFmt w:val="lowerRoman"/>
      <w:lvlText w:val="%9."/>
      <w:lvlJc w:val="right"/>
      <w:pPr>
        <w:ind w:left="6480" w:hanging="180"/>
      </w:pPr>
    </w:lvl>
  </w:abstractNum>
  <w:abstractNum w:abstractNumId="20" w15:restartNumberingAfterBreak="0">
    <w:nsid w:val="36C152B7"/>
    <w:multiLevelType w:val="hybridMultilevel"/>
    <w:tmpl w:val="88803466"/>
    <w:lvl w:ilvl="0" w:tplc="074C5A36">
      <w:start w:val="29"/>
      <w:numFmt w:val="bullet"/>
      <w:lvlText w:val="-"/>
      <w:lvlJc w:val="left"/>
      <w:pPr>
        <w:ind w:left="720" w:hanging="360"/>
      </w:pPr>
      <w:rPr>
        <w:rFonts w:ascii="Century" w:eastAsiaTheme="minorHAnsi" w:hAnsi="Century" w:cs="Miriam" w:hint="default"/>
      </w:rPr>
    </w:lvl>
    <w:lvl w:ilvl="1" w:tplc="2918C27A" w:tentative="1">
      <w:start w:val="1"/>
      <w:numFmt w:val="bullet"/>
      <w:lvlText w:val="o"/>
      <w:lvlJc w:val="left"/>
      <w:pPr>
        <w:ind w:left="1440" w:hanging="360"/>
      </w:pPr>
      <w:rPr>
        <w:rFonts w:ascii="Courier New" w:hAnsi="Courier New" w:cs="Courier New" w:hint="default"/>
      </w:rPr>
    </w:lvl>
    <w:lvl w:ilvl="2" w:tplc="77EAB42C" w:tentative="1">
      <w:start w:val="1"/>
      <w:numFmt w:val="bullet"/>
      <w:lvlText w:val=""/>
      <w:lvlJc w:val="left"/>
      <w:pPr>
        <w:ind w:left="2160" w:hanging="360"/>
      </w:pPr>
      <w:rPr>
        <w:rFonts w:ascii="Wingdings" w:hAnsi="Wingdings" w:hint="default"/>
      </w:rPr>
    </w:lvl>
    <w:lvl w:ilvl="3" w:tplc="7C6CDBC8" w:tentative="1">
      <w:start w:val="1"/>
      <w:numFmt w:val="bullet"/>
      <w:lvlText w:val=""/>
      <w:lvlJc w:val="left"/>
      <w:pPr>
        <w:ind w:left="2880" w:hanging="360"/>
      </w:pPr>
      <w:rPr>
        <w:rFonts w:ascii="Symbol" w:hAnsi="Symbol" w:hint="default"/>
      </w:rPr>
    </w:lvl>
    <w:lvl w:ilvl="4" w:tplc="13E6B090" w:tentative="1">
      <w:start w:val="1"/>
      <w:numFmt w:val="bullet"/>
      <w:lvlText w:val="o"/>
      <w:lvlJc w:val="left"/>
      <w:pPr>
        <w:ind w:left="3600" w:hanging="360"/>
      </w:pPr>
      <w:rPr>
        <w:rFonts w:ascii="Courier New" w:hAnsi="Courier New" w:cs="Courier New" w:hint="default"/>
      </w:rPr>
    </w:lvl>
    <w:lvl w:ilvl="5" w:tplc="39D62286" w:tentative="1">
      <w:start w:val="1"/>
      <w:numFmt w:val="bullet"/>
      <w:lvlText w:val=""/>
      <w:lvlJc w:val="left"/>
      <w:pPr>
        <w:ind w:left="4320" w:hanging="360"/>
      </w:pPr>
      <w:rPr>
        <w:rFonts w:ascii="Wingdings" w:hAnsi="Wingdings" w:hint="default"/>
      </w:rPr>
    </w:lvl>
    <w:lvl w:ilvl="6" w:tplc="C3F8922A" w:tentative="1">
      <w:start w:val="1"/>
      <w:numFmt w:val="bullet"/>
      <w:lvlText w:val=""/>
      <w:lvlJc w:val="left"/>
      <w:pPr>
        <w:ind w:left="5040" w:hanging="360"/>
      </w:pPr>
      <w:rPr>
        <w:rFonts w:ascii="Symbol" w:hAnsi="Symbol" w:hint="default"/>
      </w:rPr>
    </w:lvl>
    <w:lvl w:ilvl="7" w:tplc="C64851D2" w:tentative="1">
      <w:start w:val="1"/>
      <w:numFmt w:val="bullet"/>
      <w:lvlText w:val="o"/>
      <w:lvlJc w:val="left"/>
      <w:pPr>
        <w:ind w:left="5760" w:hanging="360"/>
      </w:pPr>
      <w:rPr>
        <w:rFonts w:ascii="Courier New" w:hAnsi="Courier New" w:cs="Courier New" w:hint="default"/>
      </w:rPr>
    </w:lvl>
    <w:lvl w:ilvl="8" w:tplc="6B482A8A" w:tentative="1">
      <w:start w:val="1"/>
      <w:numFmt w:val="bullet"/>
      <w:lvlText w:val=""/>
      <w:lvlJc w:val="left"/>
      <w:pPr>
        <w:ind w:left="6480" w:hanging="360"/>
      </w:pPr>
      <w:rPr>
        <w:rFonts w:ascii="Wingdings" w:hAnsi="Wingdings" w:hint="default"/>
      </w:rPr>
    </w:lvl>
  </w:abstractNum>
  <w:abstractNum w:abstractNumId="21" w15:restartNumberingAfterBreak="0">
    <w:nsid w:val="4E7B1197"/>
    <w:multiLevelType w:val="hybridMultilevel"/>
    <w:tmpl w:val="BF387DDE"/>
    <w:lvl w:ilvl="0" w:tplc="CE26216E">
      <w:start w:val="1"/>
      <w:numFmt w:val="decimal"/>
      <w:lvlText w:val="%1."/>
      <w:lvlJc w:val="left"/>
      <w:pPr>
        <w:ind w:left="720" w:hanging="360"/>
      </w:pPr>
      <w:rPr>
        <w:rFonts w:hint="default"/>
        <w:sz w:val="16"/>
      </w:rPr>
    </w:lvl>
    <w:lvl w:ilvl="1" w:tplc="CF02FDEC" w:tentative="1">
      <w:start w:val="1"/>
      <w:numFmt w:val="lowerLetter"/>
      <w:lvlText w:val="%2."/>
      <w:lvlJc w:val="left"/>
      <w:pPr>
        <w:ind w:left="1440" w:hanging="360"/>
      </w:pPr>
    </w:lvl>
    <w:lvl w:ilvl="2" w:tplc="F1865E44" w:tentative="1">
      <w:start w:val="1"/>
      <w:numFmt w:val="lowerRoman"/>
      <w:lvlText w:val="%3."/>
      <w:lvlJc w:val="right"/>
      <w:pPr>
        <w:ind w:left="2160" w:hanging="180"/>
      </w:pPr>
    </w:lvl>
    <w:lvl w:ilvl="3" w:tplc="D93ED126" w:tentative="1">
      <w:start w:val="1"/>
      <w:numFmt w:val="decimal"/>
      <w:lvlText w:val="%4."/>
      <w:lvlJc w:val="left"/>
      <w:pPr>
        <w:ind w:left="2880" w:hanging="360"/>
      </w:pPr>
    </w:lvl>
    <w:lvl w:ilvl="4" w:tplc="30A6D040" w:tentative="1">
      <w:start w:val="1"/>
      <w:numFmt w:val="lowerLetter"/>
      <w:lvlText w:val="%5."/>
      <w:lvlJc w:val="left"/>
      <w:pPr>
        <w:ind w:left="3600" w:hanging="360"/>
      </w:pPr>
    </w:lvl>
    <w:lvl w:ilvl="5" w:tplc="D7381FFA" w:tentative="1">
      <w:start w:val="1"/>
      <w:numFmt w:val="lowerRoman"/>
      <w:lvlText w:val="%6."/>
      <w:lvlJc w:val="right"/>
      <w:pPr>
        <w:ind w:left="4320" w:hanging="180"/>
      </w:pPr>
    </w:lvl>
    <w:lvl w:ilvl="6" w:tplc="FC9C71CE" w:tentative="1">
      <w:start w:val="1"/>
      <w:numFmt w:val="decimal"/>
      <w:lvlText w:val="%7."/>
      <w:lvlJc w:val="left"/>
      <w:pPr>
        <w:ind w:left="5040" w:hanging="360"/>
      </w:pPr>
    </w:lvl>
    <w:lvl w:ilvl="7" w:tplc="8716F062" w:tentative="1">
      <w:start w:val="1"/>
      <w:numFmt w:val="lowerLetter"/>
      <w:lvlText w:val="%8."/>
      <w:lvlJc w:val="left"/>
      <w:pPr>
        <w:ind w:left="5760" w:hanging="360"/>
      </w:pPr>
    </w:lvl>
    <w:lvl w:ilvl="8" w:tplc="A8D4634A" w:tentative="1">
      <w:start w:val="1"/>
      <w:numFmt w:val="lowerRoman"/>
      <w:lvlText w:val="%9."/>
      <w:lvlJc w:val="right"/>
      <w:pPr>
        <w:ind w:left="6480" w:hanging="180"/>
      </w:pPr>
    </w:lvl>
  </w:abstractNum>
  <w:abstractNum w:abstractNumId="22" w15:restartNumberingAfterBreak="0">
    <w:nsid w:val="4F651035"/>
    <w:multiLevelType w:val="hybridMultilevel"/>
    <w:tmpl w:val="715C75EC"/>
    <w:lvl w:ilvl="0" w:tplc="7EBECF98">
      <w:start w:val="1"/>
      <w:numFmt w:val="hebrew1"/>
      <w:lvlText w:val="%1."/>
      <w:lvlJc w:val="left"/>
      <w:pPr>
        <w:ind w:left="2004" w:hanging="360"/>
      </w:pPr>
      <w:rPr>
        <w:rFonts w:hint="default"/>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23" w15:restartNumberingAfterBreak="0">
    <w:nsid w:val="4F897D8C"/>
    <w:multiLevelType w:val="hybridMultilevel"/>
    <w:tmpl w:val="867E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E70B62"/>
    <w:multiLevelType w:val="hybridMultilevel"/>
    <w:tmpl w:val="ADA8711E"/>
    <w:lvl w:ilvl="0" w:tplc="DBB0A036">
      <w:start w:val="1"/>
      <w:numFmt w:val="hebrew1"/>
      <w:pStyle w:val="Ruller40"/>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2630BB"/>
    <w:multiLevelType w:val="hybridMultilevel"/>
    <w:tmpl w:val="F1D891E0"/>
    <w:lvl w:ilvl="0" w:tplc="5BCC19E8">
      <w:start w:val="1"/>
      <w:numFmt w:val="decimal"/>
      <w:lvlText w:val="%1."/>
      <w:lvlJc w:val="left"/>
      <w:pPr>
        <w:ind w:left="1080" w:hanging="720"/>
      </w:pPr>
      <w:rPr>
        <w:rFonts w:hint="default"/>
      </w:rPr>
    </w:lvl>
    <w:lvl w:ilvl="1" w:tplc="3C26C9AC" w:tentative="1">
      <w:start w:val="1"/>
      <w:numFmt w:val="lowerLetter"/>
      <w:lvlText w:val="%2."/>
      <w:lvlJc w:val="left"/>
      <w:pPr>
        <w:ind w:left="1440" w:hanging="360"/>
      </w:pPr>
    </w:lvl>
    <w:lvl w:ilvl="2" w:tplc="64EE81AA" w:tentative="1">
      <w:start w:val="1"/>
      <w:numFmt w:val="lowerRoman"/>
      <w:lvlText w:val="%3."/>
      <w:lvlJc w:val="right"/>
      <w:pPr>
        <w:ind w:left="2160" w:hanging="180"/>
      </w:pPr>
    </w:lvl>
    <w:lvl w:ilvl="3" w:tplc="D9563E7C" w:tentative="1">
      <w:start w:val="1"/>
      <w:numFmt w:val="decimal"/>
      <w:lvlText w:val="%4."/>
      <w:lvlJc w:val="left"/>
      <w:pPr>
        <w:ind w:left="2880" w:hanging="360"/>
      </w:pPr>
    </w:lvl>
    <w:lvl w:ilvl="4" w:tplc="844E2380" w:tentative="1">
      <w:start w:val="1"/>
      <w:numFmt w:val="lowerLetter"/>
      <w:lvlText w:val="%5."/>
      <w:lvlJc w:val="left"/>
      <w:pPr>
        <w:ind w:left="3600" w:hanging="360"/>
      </w:pPr>
    </w:lvl>
    <w:lvl w:ilvl="5" w:tplc="3A7026BA" w:tentative="1">
      <w:start w:val="1"/>
      <w:numFmt w:val="lowerRoman"/>
      <w:lvlText w:val="%6."/>
      <w:lvlJc w:val="right"/>
      <w:pPr>
        <w:ind w:left="4320" w:hanging="180"/>
      </w:pPr>
    </w:lvl>
    <w:lvl w:ilvl="6" w:tplc="12EAFD9E" w:tentative="1">
      <w:start w:val="1"/>
      <w:numFmt w:val="decimal"/>
      <w:lvlText w:val="%7."/>
      <w:lvlJc w:val="left"/>
      <w:pPr>
        <w:ind w:left="5040" w:hanging="360"/>
      </w:pPr>
    </w:lvl>
    <w:lvl w:ilvl="7" w:tplc="2DC42C04" w:tentative="1">
      <w:start w:val="1"/>
      <w:numFmt w:val="lowerLetter"/>
      <w:lvlText w:val="%8."/>
      <w:lvlJc w:val="left"/>
      <w:pPr>
        <w:ind w:left="5760" w:hanging="360"/>
      </w:pPr>
    </w:lvl>
    <w:lvl w:ilvl="8" w:tplc="1EA6514C" w:tentative="1">
      <w:start w:val="1"/>
      <w:numFmt w:val="lowerRoman"/>
      <w:lvlText w:val="%9."/>
      <w:lvlJc w:val="right"/>
      <w:pPr>
        <w:ind w:left="6480" w:hanging="180"/>
      </w:pPr>
    </w:lvl>
  </w:abstractNum>
  <w:abstractNum w:abstractNumId="26" w15:restartNumberingAfterBreak="0">
    <w:nsid w:val="52263CD1"/>
    <w:multiLevelType w:val="hybridMultilevel"/>
    <w:tmpl w:val="2AD804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46010"/>
    <w:multiLevelType w:val="hybridMultilevel"/>
    <w:tmpl w:val="3AB2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C5E92"/>
    <w:multiLevelType w:val="hybridMultilevel"/>
    <w:tmpl w:val="C3E83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45032"/>
    <w:multiLevelType w:val="hybridMultilevel"/>
    <w:tmpl w:val="8A30C492"/>
    <w:lvl w:ilvl="0" w:tplc="4E9C1DBA">
      <w:start w:val="29"/>
      <w:numFmt w:val="bullet"/>
      <w:lvlText w:val="-"/>
      <w:lvlJc w:val="left"/>
      <w:pPr>
        <w:ind w:left="720" w:hanging="360"/>
      </w:pPr>
      <w:rPr>
        <w:rFonts w:ascii="Century" w:eastAsiaTheme="minorHAnsi" w:hAnsi="Century" w:cs="Miriam" w:hint="default"/>
      </w:rPr>
    </w:lvl>
    <w:lvl w:ilvl="1" w:tplc="C6E24512" w:tentative="1">
      <w:start w:val="1"/>
      <w:numFmt w:val="bullet"/>
      <w:lvlText w:val="o"/>
      <w:lvlJc w:val="left"/>
      <w:pPr>
        <w:ind w:left="1440" w:hanging="360"/>
      </w:pPr>
      <w:rPr>
        <w:rFonts w:ascii="Courier New" w:hAnsi="Courier New" w:cs="Courier New" w:hint="default"/>
      </w:rPr>
    </w:lvl>
    <w:lvl w:ilvl="2" w:tplc="0F905668" w:tentative="1">
      <w:start w:val="1"/>
      <w:numFmt w:val="bullet"/>
      <w:lvlText w:val=""/>
      <w:lvlJc w:val="left"/>
      <w:pPr>
        <w:ind w:left="2160" w:hanging="360"/>
      </w:pPr>
      <w:rPr>
        <w:rFonts w:ascii="Wingdings" w:hAnsi="Wingdings" w:hint="default"/>
      </w:rPr>
    </w:lvl>
    <w:lvl w:ilvl="3" w:tplc="32C07160" w:tentative="1">
      <w:start w:val="1"/>
      <w:numFmt w:val="bullet"/>
      <w:lvlText w:val=""/>
      <w:lvlJc w:val="left"/>
      <w:pPr>
        <w:ind w:left="2880" w:hanging="360"/>
      </w:pPr>
      <w:rPr>
        <w:rFonts w:ascii="Symbol" w:hAnsi="Symbol" w:hint="default"/>
      </w:rPr>
    </w:lvl>
    <w:lvl w:ilvl="4" w:tplc="D4925DBA" w:tentative="1">
      <w:start w:val="1"/>
      <w:numFmt w:val="bullet"/>
      <w:lvlText w:val="o"/>
      <w:lvlJc w:val="left"/>
      <w:pPr>
        <w:ind w:left="3600" w:hanging="360"/>
      </w:pPr>
      <w:rPr>
        <w:rFonts w:ascii="Courier New" w:hAnsi="Courier New" w:cs="Courier New" w:hint="default"/>
      </w:rPr>
    </w:lvl>
    <w:lvl w:ilvl="5" w:tplc="FDA67314" w:tentative="1">
      <w:start w:val="1"/>
      <w:numFmt w:val="bullet"/>
      <w:lvlText w:val=""/>
      <w:lvlJc w:val="left"/>
      <w:pPr>
        <w:ind w:left="4320" w:hanging="360"/>
      </w:pPr>
      <w:rPr>
        <w:rFonts w:ascii="Wingdings" w:hAnsi="Wingdings" w:hint="default"/>
      </w:rPr>
    </w:lvl>
    <w:lvl w:ilvl="6" w:tplc="61300514" w:tentative="1">
      <w:start w:val="1"/>
      <w:numFmt w:val="bullet"/>
      <w:lvlText w:val=""/>
      <w:lvlJc w:val="left"/>
      <w:pPr>
        <w:ind w:left="5040" w:hanging="360"/>
      </w:pPr>
      <w:rPr>
        <w:rFonts w:ascii="Symbol" w:hAnsi="Symbol" w:hint="default"/>
      </w:rPr>
    </w:lvl>
    <w:lvl w:ilvl="7" w:tplc="50E6058C" w:tentative="1">
      <w:start w:val="1"/>
      <w:numFmt w:val="bullet"/>
      <w:lvlText w:val="o"/>
      <w:lvlJc w:val="left"/>
      <w:pPr>
        <w:ind w:left="5760" w:hanging="360"/>
      </w:pPr>
      <w:rPr>
        <w:rFonts w:ascii="Courier New" w:hAnsi="Courier New" w:cs="Courier New" w:hint="default"/>
      </w:rPr>
    </w:lvl>
    <w:lvl w:ilvl="8" w:tplc="152A4B8A" w:tentative="1">
      <w:start w:val="1"/>
      <w:numFmt w:val="bullet"/>
      <w:lvlText w:val=""/>
      <w:lvlJc w:val="left"/>
      <w:pPr>
        <w:ind w:left="6480" w:hanging="360"/>
      </w:pPr>
      <w:rPr>
        <w:rFonts w:ascii="Wingdings" w:hAnsi="Wingdings" w:hint="default"/>
      </w:rPr>
    </w:lvl>
  </w:abstractNum>
  <w:abstractNum w:abstractNumId="30" w15:restartNumberingAfterBreak="0">
    <w:nsid w:val="6C781081"/>
    <w:multiLevelType w:val="hybridMultilevel"/>
    <w:tmpl w:val="FE106322"/>
    <w:lvl w:ilvl="0" w:tplc="F4F867B4">
      <w:start w:val="1"/>
      <w:numFmt w:val="decimal"/>
      <w:lvlText w:val="%1."/>
      <w:lvlJc w:val="left"/>
      <w:pPr>
        <w:ind w:left="1080" w:hanging="720"/>
      </w:pPr>
      <w:rPr>
        <w:rFonts w:hint="default"/>
      </w:rPr>
    </w:lvl>
    <w:lvl w:ilvl="1" w:tplc="F98AE6F2" w:tentative="1">
      <w:start w:val="1"/>
      <w:numFmt w:val="lowerLetter"/>
      <w:lvlText w:val="%2."/>
      <w:lvlJc w:val="left"/>
      <w:pPr>
        <w:ind w:left="1440" w:hanging="360"/>
      </w:pPr>
    </w:lvl>
    <w:lvl w:ilvl="2" w:tplc="7878338A" w:tentative="1">
      <w:start w:val="1"/>
      <w:numFmt w:val="lowerRoman"/>
      <w:lvlText w:val="%3."/>
      <w:lvlJc w:val="right"/>
      <w:pPr>
        <w:ind w:left="2160" w:hanging="180"/>
      </w:pPr>
    </w:lvl>
    <w:lvl w:ilvl="3" w:tplc="7ED651EA" w:tentative="1">
      <w:start w:val="1"/>
      <w:numFmt w:val="decimal"/>
      <w:lvlText w:val="%4."/>
      <w:lvlJc w:val="left"/>
      <w:pPr>
        <w:ind w:left="2880" w:hanging="360"/>
      </w:pPr>
    </w:lvl>
    <w:lvl w:ilvl="4" w:tplc="E89AE542" w:tentative="1">
      <w:start w:val="1"/>
      <w:numFmt w:val="lowerLetter"/>
      <w:lvlText w:val="%5."/>
      <w:lvlJc w:val="left"/>
      <w:pPr>
        <w:ind w:left="3600" w:hanging="360"/>
      </w:pPr>
    </w:lvl>
    <w:lvl w:ilvl="5" w:tplc="C9EAA6EA" w:tentative="1">
      <w:start w:val="1"/>
      <w:numFmt w:val="lowerRoman"/>
      <w:lvlText w:val="%6."/>
      <w:lvlJc w:val="right"/>
      <w:pPr>
        <w:ind w:left="4320" w:hanging="180"/>
      </w:pPr>
    </w:lvl>
    <w:lvl w:ilvl="6" w:tplc="0AFA85FC" w:tentative="1">
      <w:start w:val="1"/>
      <w:numFmt w:val="decimal"/>
      <w:lvlText w:val="%7."/>
      <w:lvlJc w:val="left"/>
      <w:pPr>
        <w:ind w:left="5040" w:hanging="360"/>
      </w:pPr>
    </w:lvl>
    <w:lvl w:ilvl="7" w:tplc="904AE840" w:tentative="1">
      <w:start w:val="1"/>
      <w:numFmt w:val="lowerLetter"/>
      <w:lvlText w:val="%8."/>
      <w:lvlJc w:val="left"/>
      <w:pPr>
        <w:ind w:left="5760" w:hanging="360"/>
      </w:pPr>
    </w:lvl>
    <w:lvl w:ilvl="8" w:tplc="9D52C76E" w:tentative="1">
      <w:start w:val="1"/>
      <w:numFmt w:val="lowerRoman"/>
      <w:lvlText w:val="%9."/>
      <w:lvlJc w:val="right"/>
      <w:pPr>
        <w:ind w:left="6480" w:hanging="180"/>
      </w:pPr>
    </w:lvl>
  </w:abstractNum>
  <w:abstractNum w:abstractNumId="31" w15:restartNumberingAfterBreak="0">
    <w:nsid w:val="6FF55CF3"/>
    <w:multiLevelType w:val="hybridMultilevel"/>
    <w:tmpl w:val="4CDE5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373EF3"/>
    <w:multiLevelType w:val="hybridMultilevel"/>
    <w:tmpl w:val="5BBCA426"/>
    <w:lvl w:ilvl="0" w:tplc="40464110">
      <w:start w:val="29"/>
      <w:numFmt w:val="bullet"/>
      <w:lvlText w:val="-"/>
      <w:lvlJc w:val="left"/>
      <w:pPr>
        <w:ind w:left="720" w:hanging="360"/>
      </w:pPr>
      <w:rPr>
        <w:rFonts w:ascii="Century" w:eastAsiaTheme="minorHAnsi" w:hAnsi="Century" w:cs="Miriam" w:hint="default"/>
      </w:rPr>
    </w:lvl>
    <w:lvl w:ilvl="1" w:tplc="917E2BE0" w:tentative="1">
      <w:start w:val="1"/>
      <w:numFmt w:val="bullet"/>
      <w:lvlText w:val="o"/>
      <w:lvlJc w:val="left"/>
      <w:pPr>
        <w:ind w:left="1440" w:hanging="360"/>
      </w:pPr>
      <w:rPr>
        <w:rFonts w:ascii="Courier New" w:hAnsi="Courier New" w:cs="Courier New" w:hint="default"/>
      </w:rPr>
    </w:lvl>
    <w:lvl w:ilvl="2" w:tplc="B9C6878C" w:tentative="1">
      <w:start w:val="1"/>
      <w:numFmt w:val="bullet"/>
      <w:lvlText w:val=""/>
      <w:lvlJc w:val="left"/>
      <w:pPr>
        <w:ind w:left="2160" w:hanging="360"/>
      </w:pPr>
      <w:rPr>
        <w:rFonts w:ascii="Wingdings" w:hAnsi="Wingdings" w:hint="default"/>
      </w:rPr>
    </w:lvl>
    <w:lvl w:ilvl="3" w:tplc="A6F23512" w:tentative="1">
      <w:start w:val="1"/>
      <w:numFmt w:val="bullet"/>
      <w:lvlText w:val=""/>
      <w:lvlJc w:val="left"/>
      <w:pPr>
        <w:ind w:left="2880" w:hanging="360"/>
      </w:pPr>
      <w:rPr>
        <w:rFonts w:ascii="Symbol" w:hAnsi="Symbol" w:hint="default"/>
      </w:rPr>
    </w:lvl>
    <w:lvl w:ilvl="4" w:tplc="76B6CA40" w:tentative="1">
      <w:start w:val="1"/>
      <w:numFmt w:val="bullet"/>
      <w:lvlText w:val="o"/>
      <w:lvlJc w:val="left"/>
      <w:pPr>
        <w:ind w:left="3600" w:hanging="360"/>
      </w:pPr>
      <w:rPr>
        <w:rFonts w:ascii="Courier New" w:hAnsi="Courier New" w:cs="Courier New" w:hint="default"/>
      </w:rPr>
    </w:lvl>
    <w:lvl w:ilvl="5" w:tplc="A44097D6" w:tentative="1">
      <w:start w:val="1"/>
      <w:numFmt w:val="bullet"/>
      <w:lvlText w:val=""/>
      <w:lvlJc w:val="left"/>
      <w:pPr>
        <w:ind w:left="4320" w:hanging="360"/>
      </w:pPr>
      <w:rPr>
        <w:rFonts w:ascii="Wingdings" w:hAnsi="Wingdings" w:hint="default"/>
      </w:rPr>
    </w:lvl>
    <w:lvl w:ilvl="6" w:tplc="91A28C16" w:tentative="1">
      <w:start w:val="1"/>
      <w:numFmt w:val="bullet"/>
      <w:lvlText w:val=""/>
      <w:lvlJc w:val="left"/>
      <w:pPr>
        <w:ind w:left="5040" w:hanging="360"/>
      </w:pPr>
      <w:rPr>
        <w:rFonts w:ascii="Symbol" w:hAnsi="Symbol" w:hint="default"/>
      </w:rPr>
    </w:lvl>
    <w:lvl w:ilvl="7" w:tplc="A642A28E" w:tentative="1">
      <w:start w:val="1"/>
      <w:numFmt w:val="bullet"/>
      <w:lvlText w:val="o"/>
      <w:lvlJc w:val="left"/>
      <w:pPr>
        <w:ind w:left="5760" w:hanging="360"/>
      </w:pPr>
      <w:rPr>
        <w:rFonts w:ascii="Courier New" w:hAnsi="Courier New" w:cs="Courier New" w:hint="default"/>
      </w:rPr>
    </w:lvl>
    <w:lvl w:ilvl="8" w:tplc="9D02C3B6" w:tentative="1">
      <w:start w:val="1"/>
      <w:numFmt w:val="bullet"/>
      <w:lvlText w:val=""/>
      <w:lvlJc w:val="left"/>
      <w:pPr>
        <w:ind w:left="6480" w:hanging="360"/>
      </w:pPr>
      <w:rPr>
        <w:rFonts w:ascii="Wingdings" w:hAnsi="Wingdings" w:hint="default"/>
      </w:rPr>
    </w:lvl>
  </w:abstractNum>
  <w:abstractNum w:abstractNumId="33" w15:restartNumberingAfterBreak="0">
    <w:nsid w:val="77595382"/>
    <w:multiLevelType w:val="hybridMultilevel"/>
    <w:tmpl w:val="CED67292"/>
    <w:lvl w:ilvl="0" w:tplc="6AE690AE">
      <w:start w:val="41"/>
      <w:numFmt w:val="bullet"/>
      <w:lvlText w:val="-"/>
      <w:lvlJc w:val="left"/>
      <w:pPr>
        <w:ind w:left="4290" w:hanging="360"/>
      </w:pPr>
      <w:rPr>
        <w:rFonts w:ascii="Arial" w:eastAsiaTheme="minorHAnsi" w:hAnsi="Arial" w:cs="Arial" w:hint="default"/>
      </w:rPr>
    </w:lvl>
    <w:lvl w:ilvl="1" w:tplc="F80C81B4" w:tentative="1">
      <w:start w:val="1"/>
      <w:numFmt w:val="bullet"/>
      <w:lvlText w:val="o"/>
      <w:lvlJc w:val="left"/>
      <w:pPr>
        <w:ind w:left="5010" w:hanging="360"/>
      </w:pPr>
      <w:rPr>
        <w:rFonts w:ascii="Courier New" w:hAnsi="Courier New" w:cs="Courier New" w:hint="default"/>
      </w:rPr>
    </w:lvl>
    <w:lvl w:ilvl="2" w:tplc="7F44C394" w:tentative="1">
      <w:start w:val="1"/>
      <w:numFmt w:val="bullet"/>
      <w:lvlText w:val=""/>
      <w:lvlJc w:val="left"/>
      <w:pPr>
        <w:ind w:left="5730" w:hanging="360"/>
      </w:pPr>
      <w:rPr>
        <w:rFonts w:ascii="Wingdings" w:hAnsi="Wingdings" w:hint="default"/>
      </w:rPr>
    </w:lvl>
    <w:lvl w:ilvl="3" w:tplc="84F8A778" w:tentative="1">
      <w:start w:val="1"/>
      <w:numFmt w:val="bullet"/>
      <w:lvlText w:val=""/>
      <w:lvlJc w:val="left"/>
      <w:pPr>
        <w:ind w:left="6450" w:hanging="360"/>
      </w:pPr>
      <w:rPr>
        <w:rFonts w:ascii="Symbol" w:hAnsi="Symbol" w:hint="default"/>
      </w:rPr>
    </w:lvl>
    <w:lvl w:ilvl="4" w:tplc="10668424" w:tentative="1">
      <w:start w:val="1"/>
      <w:numFmt w:val="bullet"/>
      <w:lvlText w:val="o"/>
      <w:lvlJc w:val="left"/>
      <w:pPr>
        <w:ind w:left="7170" w:hanging="360"/>
      </w:pPr>
      <w:rPr>
        <w:rFonts w:ascii="Courier New" w:hAnsi="Courier New" w:cs="Courier New" w:hint="default"/>
      </w:rPr>
    </w:lvl>
    <w:lvl w:ilvl="5" w:tplc="B8228F44" w:tentative="1">
      <w:start w:val="1"/>
      <w:numFmt w:val="bullet"/>
      <w:lvlText w:val=""/>
      <w:lvlJc w:val="left"/>
      <w:pPr>
        <w:ind w:left="7890" w:hanging="360"/>
      </w:pPr>
      <w:rPr>
        <w:rFonts w:ascii="Wingdings" w:hAnsi="Wingdings" w:hint="default"/>
      </w:rPr>
    </w:lvl>
    <w:lvl w:ilvl="6" w:tplc="AD3C528C" w:tentative="1">
      <w:start w:val="1"/>
      <w:numFmt w:val="bullet"/>
      <w:lvlText w:val=""/>
      <w:lvlJc w:val="left"/>
      <w:pPr>
        <w:ind w:left="8610" w:hanging="360"/>
      </w:pPr>
      <w:rPr>
        <w:rFonts w:ascii="Symbol" w:hAnsi="Symbol" w:hint="default"/>
      </w:rPr>
    </w:lvl>
    <w:lvl w:ilvl="7" w:tplc="190AF5EA" w:tentative="1">
      <w:start w:val="1"/>
      <w:numFmt w:val="bullet"/>
      <w:lvlText w:val="o"/>
      <w:lvlJc w:val="left"/>
      <w:pPr>
        <w:ind w:left="9330" w:hanging="360"/>
      </w:pPr>
      <w:rPr>
        <w:rFonts w:ascii="Courier New" w:hAnsi="Courier New" w:cs="Courier New" w:hint="default"/>
      </w:rPr>
    </w:lvl>
    <w:lvl w:ilvl="8" w:tplc="BFBE5C94" w:tentative="1">
      <w:start w:val="1"/>
      <w:numFmt w:val="bullet"/>
      <w:lvlText w:val=""/>
      <w:lvlJc w:val="left"/>
      <w:pPr>
        <w:ind w:left="10050" w:hanging="360"/>
      </w:pPr>
      <w:rPr>
        <w:rFonts w:ascii="Wingdings" w:hAnsi="Wingdings" w:hint="default"/>
      </w:rPr>
    </w:lvl>
  </w:abstractNum>
  <w:abstractNum w:abstractNumId="34" w15:restartNumberingAfterBreak="0">
    <w:nsid w:val="7D1A3308"/>
    <w:multiLevelType w:val="hybridMultilevel"/>
    <w:tmpl w:val="F358F7CC"/>
    <w:lvl w:ilvl="0" w:tplc="3056E264">
      <w:start w:val="29"/>
      <w:numFmt w:val="bullet"/>
      <w:lvlText w:val="-"/>
      <w:lvlJc w:val="left"/>
      <w:pPr>
        <w:ind w:left="720" w:hanging="360"/>
      </w:pPr>
      <w:rPr>
        <w:rFonts w:ascii="Century" w:eastAsiaTheme="minorHAnsi" w:hAnsi="Century" w:cs="Miriam" w:hint="default"/>
      </w:rPr>
    </w:lvl>
    <w:lvl w:ilvl="1" w:tplc="D910F1C2" w:tentative="1">
      <w:start w:val="1"/>
      <w:numFmt w:val="bullet"/>
      <w:lvlText w:val="o"/>
      <w:lvlJc w:val="left"/>
      <w:pPr>
        <w:ind w:left="1440" w:hanging="360"/>
      </w:pPr>
      <w:rPr>
        <w:rFonts w:ascii="Courier New" w:hAnsi="Courier New" w:cs="Courier New" w:hint="default"/>
      </w:rPr>
    </w:lvl>
    <w:lvl w:ilvl="2" w:tplc="3B12A1B0" w:tentative="1">
      <w:start w:val="1"/>
      <w:numFmt w:val="bullet"/>
      <w:lvlText w:val=""/>
      <w:lvlJc w:val="left"/>
      <w:pPr>
        <w:ind w:left="2160" w:hanging="360"/>
      </w:pPr>
      <w:rPr>
        <w:rFonts w:ascii="Wingdings" w:hAnsi="Wingdings" w:hint="default"/>
      </w:rPr>
    </w:lvl>
    <w:lvl w:ilvl="3" w:tplc="4FD0624E" w:tentative="1">
      <w:start w:val="1"/>
      <w:numFmt w:val="bullet"/>
      <w:lvlText w:val=""/>
      <w:lvlJc w:val="left"/>
      <w:pPr>
        <w:ind w:left="2880" w:hanging="360"/>
      </w:pPr>
      <w:rPr>
        <w:rFonts w:ascii="Symbol" w:hAnsi="Symbol" w:hint="default"/>
      </w:rPr>
    </w:lvl>
    <w:lvl w:ilvl="4" w:tplc="B7F48882" w:tentative="1">
      <w:start w:val="1"/>
      <w:numFmt w:val="bullet"/>
      <w:lvlText w:val="o"/>
      <w:lvlJc w:val="left"/>
      <w:pPr>
        <w:ind w:left="3600" w:hanging="360"/>
      </w:pPr>
      <w:rPr>
        <w:rFonts w:ascii="Courier New" w:hAnsi="Courier New" w:cs="Courier New" w:hint="default"/>
      </w:rPr>
    </w:lvl>
    <w:lvl w:ilvl="5" w:tplc="772AF102" w:tentative="1">
      <w:start w:val="1"/>
      <w:numFmt w:val="bullet"/>
      <w:lvlText w:val=""/>
      <w:lvlJc w:val="left"/>
      <w:pPr>
        <w:ind w:left="4320" w:hanging="360"/>
      </w:pPr>
      <w:rPr>
        <w:rFonts w:ascii="Wingdings" w:hAnsi="Wingdings" w:hint="default"/>
      </w:rPr>
    </w:lvl>
    <w:lvl w:ilvl="6" w:tplc="79367D00" w:tentative="1">
      <w:start w:val="1"/>
      <w:numFmt w:val="bullet"/>
      <w:lvlText w:val=""/>
      <w:lvlJc w:val="left"/>
      <w:pPr>
        <w:ind w:left="5040" w:hanging="360"/>
      </w:pPr>
      <w:rPr>
        <w:rFonts w:ascii="Symbol" w:hAnsi="Symbol" w:hint="default"/>
      </w:rPr>
    </w:lvl>
    <w:lvl w:ilvl="7" w:tplc="EA02F81A" w:tentative="1">
      <w:start w:val="1"/>
      <w:numFmt w:val="bullet"/>
      <w:lvlText w:val="o"/>
      <w:lvlJc w:val="left"/>
      <w:pPr>
        <w:ind w:left="5760" w:hanging="360"/>
      </w:pPr>
      <w:rPr>
        <w:rFonts w:ascii="Courier New" w:hAnsi="Courier New" w:cs="Courier New" w:hint="default"/>
      </w:rPr>
    </w:lvl>
    <w:lvl w:ilvl="8" w:tplc="976484CE" w:tentative="1">
      <w:start w:val="1"/>
      <w:numFmt w:val="bullet"/>
      <w:lvlText w:val=""/>
      <w:lvlJc w:val="left"/>
      <w:pPr>
        <w:ind w:left="6480" w:hanging="360"/>
      </w:pPr>
      <w:rPr>
        <w:rFonts w:ascii="Wingdings" w:hAnsi="Wingdings" w:hint="default"/>
      </w:rPr>
    </w:lvl>
  </w:abstractNum>
  <w:abstractNum w:abstractNumId="35" w15:restartNumberingAfterBreak="0">
    <w:nsid w:val="7E6832C3"/>
    <w:multiLevelType w:val="multilevel"/>
    <w:tmpl w:val="7764C840"/>
    <w:lvl w:ilvl="0">
      <w:start w:val="1"/>
      <w:numFmt w:val="decimal"/>
      <w:pStyle w:val="3"/>
      <w:lvlText w:val="%1."/>
      <w:lvlJc w:val="left"/>
      <w:pPr>
        <w:tabs>
          <w:tab w:val="num" w:pos="720"/>
        </w:tabs>
        <w:ind w:left="720" w:hanging="720"/>
      </w:pPr>
      <w:rPr>
        <w:rFonts w:ascii="Century" w:hAnsi="Century" w:cs="FrankRuehl"/>
        <w:b w:val="0"/>
        <w:bCs w:val="0"/>
        <w:i w:val="0"/>
        <w:iCs w:val="0"/>
        <w:caps w:val="0"/>
        <w:smallCaps w:val="0"/>
        <w:strike w:val="0"/>
        <w:dstrike w:val="0"/>
        <w:outline w:val="0"/>
        <w:shadow w:val="0"/>
        <w:emboss w:val="0"/>
        <w:imprint w:val="0"/>
        <w:vanish w:val="0"/>
        <w:color w:val="auto"/>
        <w:spacing w:val="10"/>
        <w:w w:val="100"/>
        <w:kern w:val="0"/>
        <w:position w:val="0"/>
        <w:sz w:val="22"/>
        <w:szCs w:val="28"/>
        <w:u w:val="none"/>
        <w:effect w:val="none"/>
        <w:vertAlign w:val="baseli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24"/>
  </w:num>
  <w:num w:numId="13">
    <w:abstractNumId w:val="28"/>
  </w:num>
  <w:num w:numId="14">
    <w:abstractNumId w:val="31"/>
  </w:num>
  <w:num w:numId="15">
    <w:abstractNumId w:val="27"/>
  </w:num>
  <w:num w:numId="16">
    <w:abstractNumId w:val="26"/>
  </w:num>
  <w:num w:numId="17">
    <w:abstractNumId w:val="13"/>
  </w:num>
  <w:num w:numId="18">
    <w:abstractNumId w:val="16"/>
  </w:num>
  <w:num w:numId="19">
    <w:abstractNumId w:val="23"/>
  </w:num>
  <w:num w:numId="20">
    <w:abstractNumId w:val="11"/>
    <w:lvlOverride w:ilvl="0">
      <w:startOverride w:val="1"/>
    </w:lvlOverride>
  </w:num>
  <w:num w:numId="21">
    <w:abstractNumId w:val="14"/>
  </w:num>
  <w:num w:numId="22">
    <w:abstractNumId w:val="22"/>
  </w:num>
  <w:num w:numId="23">
    <w:abstractNumId w:val="19"/>
  </w:num>
  <w:num w:numId="24">
    <w:abstractNumId w:val="17"/>
  </w:num>
  <w:num w:numId="25">
    <w:abstractNumId w:val="11"/>
    <w:lvlOverride w:ilvl="0">
      <w:startOverride w:val="15"/>
    </w:lvlOverride>
  </w:num>
  <w:num w:numId="26">
    <w:abstractNumId w:val="11"/>
    <w:lvlOverride w:ilvl="0">
      <w:startOverride w:val="24"/>
    </w:lvlOverride>
  </w:num>
  <w:num w:numId="27">
    <w:abstractNumId w:val="11"/>
    <w:lvlOverride w:ilvl="0">
      <w:startOverride w:val="28"/>
    </w:lvlOverride>
  </w:num>
  <w:num w:numId="28">
    <w:abstractNumId w:val="11"/>
    <w:lvlOverride w:ilvl="0">
      <w:startOverride w:val="56"/>
    </w:lvlOverride>
  </w:num>
  <w:num w:numId="29">
    <w:abstractNumId w:val="11"/>
    <w:lvlOverride w:ilvl="0">
      <w:startOverride w:val="57"/>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num>
  <w:num w:numId="32">
    <w:abstractNumId w:val="11"/>
    <w:lvlOverride w:ilvl="0">
      <w:startOverride w:val="1"/>
    </w:lvlOverride>
  </w:num>
  <w:num w:numId="33">
    <w:abstractNumId w:val="12"/>
  </w:num>
  <w:num w:numId="34">
    <w:abstractNumId w:val="18"/>
  </w:num>
  <w:num w:numId="35">
    <w:abstractNumId w:val="30"/>
  </w:num>
  <w:num w:numId="36">
    <w:abstractNumId w:val="25"/>
  </w:num>
  <w:num w:numId="37">
    <w:abstractNumId w:val="10"/>
  </w:num>
  <w:num w:numId="38">
    <w:abstractNumId w:val="33"/>
  </w:num>
  <w:num w:numId="39">
    <w:abstractNumId w:val="32"/>
  </w:num>
  <w:num w:numId="40">
    <w:abstractNumId w:val="15"/>
  </w:num>
  <w:num w:numId="41">
    <w:abstractNumId w:val="20"/>
  </w:num>
  <w:num w:numId="42">
    <w:abstractNumId w:val="29"/>
  </w:num>
  <w:num w:numId="43">
    <w:abstractNumId w:val="34"/>
  </w:num>
  <w:num w:numId="44">
    <w:abstractNumId w:val="2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0468E"/>
    <w:rsid w:val="00016EF1"/>
    <w:rsid w:val="00032036"/>
    <w:rsid w:val="00036227"/>
    <w:rsid w:val="00037B32"/>
    <w:rsid w:val="00044953"/>
    <w:rsid w:val="00045B4D"/>
    <w:rsid w:val="000474A9"/>
    <w:rsid w:val="000660A1"/>
    <w:rsid w:val="000725F5"/>
    <w:rsid w:val="00072AD2"/>
    <w:rsid w:val="00095103"/>
    <w:rsid w:val="000B1478"/>
    <w:rsid w:val="000C4690"/>
    <w:rsid w:val="000D25C4"/>
    <w:rsid w:val="000E692D"/>
    <w:rsid w:val="001122EF"/>
    <w:rsid w:val="00134A67"/>
    <w:rsid w:val="001401FC"/>
    <w:rsid w:val="001446DB"/>
    <w:rsid w:val="00167D0B"/>
    <w:rsid w:val="001A0164"/>
    <w:rsid w:val="001C7F82"/>
    <w:rsid w:val="001D2596"/>
    <w:rsid w:val="001D4967"/>
    <w:rsid w:val="001E3384"/>
    <w:rsid w:val="001E561C"/>
    <w:rsid w:val="001F5F48"/>
    <w:rsid w:val="00200D6B"/>
    <w:rsid w:val="00207478"/>
    <w:rsid w:val="00220066"/>
    <w:rsid w:val="002376DB"/>
    <w:rsid w:val="00243F96"/>
    <w:rsid w:val="002508EB"/>
    <w:rsid w:val="00251CC4"/>
    <w:rsid w:val="0026123C"/>
    <w:rsid w:val="00265F6E"/>
    <w:rsid w:val="0026776A"/>
    <w:rsid w:val="002876BF"/>
    <w:rsid w:val="00295623"/>
    <w:rsid w:val="002A4A7A"/>
    <w:rsid w:val="002A4BF3"/>
    <w:rsid w:val="002F6BA8"/>
    <w:rsid w:val="002F7BB6"/>
    <w:rsid w:val="00301EB9"/>
    <w:rsid w:val="00302DA9"/>
    <w:rsid w:val="003112ED"/>
    <w:rsid w:val="00330A6D"/>
    <w:rsid w:val="003448B2"/>
    <w:rsid w:val="00346C8E"/>
    <w:rsid w:val="003516B4"/>
    <w:rsid w:val="00355174"/>
    <w:rsid w:val="00361DB2"/>
    <w:rsid w:val="00366287"/>
    <w:rsid w:val="00366892"/>
    <w:rsid w:val="00373062"/>
    <w:rsid w:val="0037622E"/>
    <w:rsid w:val="00377102"/>
    <w:rsid w:val="0039709B"/>
    <w:rsid w:val="003D5EDD"/>
    <w:rsid w:val="003D72DA"/>
    <w:rsid w:val="003F1F97"/>
    <w:rsid w:val="003F2F37"/>
    <w:rsid w:val="0041048F"/>
    <w:rsid w:val="00420FF4"/>
    <w:rsid w:val="00424283"/>
    <w:rsid w:val="00430175"/>
    <w:rsid w:val="00437D59"/>
    <w:rsid w:val="004610A4"/>
    <w:rsid w:val="00462244"/>
    <w:rsid w:val="004708B3"/>
    <w:rsid w:val="004B29FF"/>
    <w:rsid w:val="004B7416"/>
    <w:rsid w:val="004C7127"/>
    <w:rsid w:val="004C7868"/>
    <w:rsid w:val="004E7CF4"/>
    <w:rsid w:val="004F12C4"/>
    <w:rsid w:val="00501A84"/>
    <w:rsid w:val="00503A3E"/>
    <w:rsid w:val="00527F02"/>
    <w:rsid w:val="005803E2"/>
    <w:rsid w:val="0058440A"/>
    <w:rsid w:val="00591983"/>
    <w:rsid w:val="005B1A77"/>
    <w:rsid w:val="005C28E9"/>
    <w:rsid w:val="005D0CFA"/>
    <w:rsid w:val="005D5524"/>
    <w:rsid w:val="005E0E5C"/>
    <w:rsid w:val="005E0EC8"/>
    <w:rsid w:val="00624A42"/>
    <w:rsid w:val="006350A0"/>
    <w:rsid w:val="00642895"/>
    <w:rsid w:val="0065522F"/>
    <w:rsid w:val="0066750B"/>
    <w:rsid w:val="006764B7"/>
    <w:rsid w:val="00680F83"/>
    <w:rsid w:val="00681CFD"/>
    <w:rsid w:val="006A30F7"/>
    <w:rsid w:val="006B0825"/>
    <w:rsid w:val="006C42AD"/>
    <w:rsid w:val="006F3CE0"/>
    <w:rsid w:val="00701EB8"/>
    <w:rsid w:val="00725345"/>
    <w:rsid w:val="00731132"/>
    <w:rsid w:val="00737EFD"/>
    <w:rsid w:val="00741CC0"/>
    <w:rsid w:val="007605C6"/>
    <w:rsid w:val="00772EEB"/>
    <w:rsid w:val="007765DC"/>
    <w:rsid w:val="00792566"/>
    <w:rsid w:val="0079463A"/>
    <w:rsid w:val="00796E3C"/>
    <w:rsid w:val="007A498F"/>
    <w:rsid w:val="007A7DCC"/>
    <w:rsid w:val="007B512F"/>
    <w:rsid w:val="007D7F0E"/>
    <w:rsid w:val="007E4987"/>
    <w:rsid w:val="007E6A55"/>
    <w:rsid w:val="007F7512"/>
    <w:rsid w:val="00810894"/>
    <w:rsid w:val="008143AB"/>
    <w:rsid w:val="00822EAD"/>
    <w:rsid w:val="0083345F"/>
    <w:rsid w:val="00836667"/>
    <w:rsid w:val="008372BE"/>
    <w:rsid w:val="00861362"/>
    <w:rsid w:val="00866D0F"/>
    <w:rsid w:val="008841C7"/>
    <w:rsid w:val="008C2F11"/>
    <w:rsid w:val="008D4043"/>
    <w:rsid w:val="008D55D5"/>
    <w:rsid w:val="008D78B9"/>
    <w:rsid w:val="008E3F85"/>
    <w:rsid w:val="00902956"/>
    <w:rsid w:val="009051E8"/>
    <w:rsid w:val="00914156"/>
    <w:rsid w:val="00916FF8"/>
    <w:rsid w:val="00922093"/>
    <w:rsid w:val="00930C85"/>
    <w:rsid w:val="00932632"/>
    <w:rsid w:val="0099170A"/>
    <w:rsid w:val="009A7F1B"/>
    <w:rsid w:val="009B38DA"/>
    <w:rsid w:val="009E335C"/>
    <w:rsid w:val="009F1641"/>
    <w:rsid w:val="009F2F53"/>
    <w:rsid w:val="009F4187"/>
    <w:rsid w:val="00A04F45"/>
    <w:rsid w:val="00A05CF0"/>
    <w:rsid w:val="00A12E0F"/>
    <w:rsid w:val="00A13592"/>
    <w:rsid w:val="00A30FB9"/>
    <w:rsid w:val="00A31671"/>
    <w:rsid w:val="00A51FAE"/>
    <w:rsid w:val="00A56E77"/>
    <w:rsid w:val="00A648B1"/>
    <w:rsid w:val="00A70D3A"/>
    <w:rsid w:val="00A71B15"/>
    <w:rsid w:val="00A80845"/>
    <w:rsid w:val="00AB69F7"/>
    <w:rsid w:val="00AD097B"/>
    <w:rsid w:val="00AD64B9"/>
    <w:rsid w:val="00AE022B"/>
    <w:rsid w:val="00B009CC"/>
    <w:rsid w:val="00B0782A"/>
    <w:rsid w:val="00B175F4"/>
    <w:rsid w:val="00B20B22"/>
    <w:rsid w:val="00B2332E"/>
    <w:rsid w:val="00B25254"/>
    <w:rsid w:val="00B61275"/>
    <w:rsid w:val="00B62B8C"/>
    <w:rsid w:val="00B63343"/>
    <w:rsid w:val="00B82F1D"/>
    <w:rsid w:val="00B85548"/>
    <w:rsid w:val="00B87FF7"/>
    <w:rsid w:val="00BA0B08"/>
    <w:rsid w:val="00BA1F2C"/>
    <w:rsid w:val="00BC0E82"/>
    <w:rsid w:val="00BD40F9"/>
    <w:rsid w:val="00C41523"/>
    <w:rsid w:val="00C41C86"/>
    <w:rsid w:val="00C63A6C"/>
    <w:rsid w:val="00CA13AF"/>
    <w:rsid w:val="00CA1444"/>
    <w:rsid w:val="00CB1590"/>
    <w:rsid w:val="00CB7600"/>
    <w:rsid w:val="00CC01F4"/>
    <w:rsid w:val="00CC0E9D"/>
    <w:rsid w:val="00CC3639"/>
    <w:rsid w:val="00CF4F73"/>
    <w:rsid w:val="00D00B1D"/>
    <w:rsid w:val="00D00CB7"/>
    <w:rsid w:val="00D25F16"/>
    <w:rsid w:val="00D57A14"/>
    <w:rsid w:val="00D7000E"/>
    <w:rsid w:val="00D921C5"/>
    <w:rsid w:val="00DA7BCD"/>
    <w:rsid w:val="00DB19B0"/>
    <w:rsid w:val="00DC2E9B"/>
    <w:rsid w:val="00DC6E80"/>
    <w:rsid w:val="00DE21D0"/>
    <w:rsid w:val="00E1515E"/>
    <w:rsid w:val="00E20051"/>
    <w:rsid w:val="00E21CA9"/>
    <w:rsid w:val="00E31063"/>
    <w:rsid w:val="00E36FE9"/>
    <w:rsid w:val="00E46CF7"/>
    <w:rsid w:val="00E73E98"/>
    <w:rsid w:val="00E75223"/>
    <w:rsid w:val="00E90D72"/>
    <w:rsid w:val="00E915F5"/>
    <w:rsid w:val="00EA0BE1"/>
    <w:rsid w:val="00EB270D"/>
    <w:rsid w:val="00EC23AC"/>
    <w:rsid w:val="00EC2992"/>
    <w:rsid w:val="00EC7656"/>
    <w:rsid w:val="00ED46A4"/>
    <w:rsid w:val="00ED6FD9"/>
    <w:rsid w:val="00EE1A2B"/>
    <w:rsid w:val="00EE3810"/>
    <w:rsid w:val="00EE5DC3"/>
    <w:rsid w:val="00EF1D9F"/>
    <w:rsid w:val="00F2717A"/>
    <w:rsid w:val="00F27BCE"/>
    <w:rsid w:val="00F30392"/>
    <w:rsid w:val="00F63C3B"/>
    <w:rsid w:val="00F83F79"/>
    <w:rsid w:val="00F959DB"/>
    <w:rsid w:val="00FC0252"/>
    <w:rsid w:val="00FC4185"/>
    <w:rsid w:val="00FC744A"/>
    <w:rsid w:val="00FC77BF"/>
    <w:rsid w:val="00FD31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93B0E"/>
  <w15:chartTrackingRefBased/>
  <w15:docId w15:val="{BB4BA0B7-50AC-43DC-8D2A-02F04D3A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paragraph" w:styleId="1">
    <w:name w:val="heading 1"/>
    <w:basedOn w:val="a"/>
    <w:next w:val="a"/>
    <w:link w:val="10"/>
    <w:uiPriority w:val="9"/>
    <w:qFormat/>
    <w:rsid w:val="00932632"/>
    <w:pPr>
      <w:keepNext/>
      <w:keepLines/>
      <w:spacing w:before="240" w:line="360" w:lineRule="auto"/>
      <w:outlineLvl w:val="0"/>
    </w:pPr>
    <w:rPr>
      <w:rFonts w:asciiTheme="majorHAnsi" w:eastAsiaTheme="majorEastAsia" w:hAnsiTheme="majorHAnsi" w:cstheme="majorBidi"/>
      <w:color w:val="2E74B5" w:themeColor="accent1" w:themeShade="BF"/>
      <w:spacing w:val="10"/>
      <w:sz w:val="32"/>
      <w:szCs w:val="32"/>
    </w:rPr>
  </w:style>
  <w:style w:type="paragraph" w:styleId="2">
    <w:name w:val="heading 2"/>
    <w:basedOn w:val="a"/>
    <w:next w:val="a"/>
    <w:link w:val="20"/>
    <w:unhideWhenUsed/>
    <w:qFormat/>
    <w:rsid w:val="00932632"/>
    <w:pPr>
      <w:keepNext/>
      <w:keepLines/>
      <w:spacing w:before="40" w:line="360" w:lineRule="auto"/>
      <w:outlineLvl w:val="1"/>
    </w:pPr>
    <w:rPr>
      <w:rFonts w:asciiTheme="majorHAnsi" w:eastAsiaTheme="majorEastAsia" w:hAnsiTheme="majorHAnsi" w:cstheme="majorBidi"/>
      <w:color w:val="2E74B5" w:themeColor="accent1" w:themeShade="BF"/>
      <w:spacing w:val="10"/>
      <w:sz w:val="26"/>
      <w:szCs w:val="26"/>
    </w:rPr>
  </w:style>
  <w:style w:type="paragraph" w:styleId="30">
    <w:name w:val="heading 3"/>
    <w:basedOn w:val="a"/>
    <w:next w:val="a"/>
    <w:link w:val="31"/>
    <w:unhideWhenUsed/>
    <w:qFormat/>
    <w:rsid w:val="00932632"/>
    <w:pPr>
      <w:keepNext/>
      <w:keepLines/>
      <w:spacing w:before="40" w:line="360" w:lineRule="auto"/>
      <w:outlineLvl w:val="2"/>
    </w:pPr>
    <w:rPr>
      <w:rFonts w:asciiTheme="majorHAnsi" w:eastAsiaTheme="majorEastAsia" w:hAnsiTheme="majorHAnsi" w:cstheme="majorBidi"/>
      <w:color w:val="1F4D78" w:themeColor="accent1" w:themeShade="7F"/>
      <w:spacing w:val="10"/>
      <w:sz w:val="24"/>
    </w:rPr>
  </w:style>
  <w:style w:type="paragraph" w:styleId="4">
    <w:name w:val="heading 4"/>
    <w:basedOn w:val="a"/>
    <w:next w:val="a"/>
    <w:link w:val="40"/>
    <w:unhideWhenUsed/>
    <w:qFormat/>
    <w:rsid w:val="00932632"/>
    <w:pPr>
      <w:keepNext/>
      <w:keepLines/>
      <w:spacing w:before="40" w:line="360" w:lineRule="auto"/>
      <w:outlineLvl w:val="3"/>
    </w:pPr>
    <w:rPr>
      <w:rFonts w:asciiTheme="majorHAnsi" w:eastAsiaTheme="majorEastAsia" w:hAnsiTheme="majorHAnsi" w:cstheme="majorBidi"/>
      <w:i/>
      <w:iCs/>
      <w:color w:val="2E74B5" w:themeColor="accent1" w:themeShade="BF"/>
      <w:spacing w:val="1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link w:val="Ruller50"/>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link w:val="a4"/>
    <w:pPr>
      <w:tabs>
        <w:tab w:val="center" w:pos="4153"/>
        <w:tab w:val="right" w:pos="8306"/>
      </w:tabs>
    </w:pPr>
  </w:style>
  <w:style w:type="character" w:styleId="a5">
    <w:name w:val="page number"/>
    <w:basedOn w:val="a0"/>
  </w:style>
  <w:style w:type="paragraph" w:styleId="a6">
    <w:name w:val="header"/>
    <w:basedOn w:val="a"/>
    <w:link w:val="a7"/>
    <w:pPr>
      <w:tabs>
        <w:tab w:val="center" w:pos="4153"/>
        <w:tab w:val="right" w:pos="8306"/>
      </w:tabs>
    </w:pPr>
  </w:style>
  <w:style w:type="paragraph" w:customStyle="1" w:styleId="21">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uiPriority w:val="99"/>
    <w:rsid w:val="003F1F97"/>
    <w:rPr>
      <w:color w:val="0000FF"/>
      <w:u w:val="single"/>
    </w:rPr>
  </w:style>
  <w:style w:type="table" w:styleId="a8">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9">
    <w:name w:val="annotation reference"/>
    <w:basedOn w:val="a0"/>
    <w:rsid w:val="00D00B1D"/>
    <w:rPr>
      <w:sz w:val="16"/>
      <w:szCs w:val="16"/>
    </w:rPr>
  </w:style>
  <w:style w:type="paragraph" w:styleId="aa">
    <w:name w:val="annotation text"/>
    <w:basedOn w:val="a"/>
    <w:link w:val="ab"/>
    <w:rsid w:val="00D00B1D"/>
    <w:rPr>
      <w:szCs w:val="20"/>
    </w:rPr>
  </w:style>
  <w:style w:type="character" w:customStyle="1" w:styleId="ab">
    <w:name w:val="טקסט הערה תו"/>
    <w:basedOn w:val="a0"/>
    <w:link w:val="aa"/>
    <w:rsid w:val="00D00B1D"/>
    <w:rPr>
      <w:rFonts w:cs="David"/>
    </w:rPr>
  </w:style>
  <w:style w:type="paragraph" w:styleId="ac">
    <w:name w:val="annotation subject"/>
    <w:basedOn w:val="aa"/>
    <w:next w:val="aa"/>
    <w:link w:val="ad"/>
    <w:rsid w:val="00D00B1D"/>
    <w:rPr>
      <w:b/>
      <w:bCs/>
    </w:rPr>
  </w:style>
  <w:style w:type="character" w:customStyle="1" w:styleId="ad">
    <w:name w:val="נושא הערה תו"/>
    <w:basedOn w:val="ab"/>
    <w:link w:val="ac"/>
    <w:rsid w:val="00D00B1D"/>
    <w:rPr>
      <w:rFonts w:cs="David"/>
      <w:b/>
      <w:bCs/>
    </w:rPr>
  </w:style>
  <w:style w:type="paragraph" w:styleId="ae">
    <w:name w:val="Balloon Text"/>
    <w:basedOn w:val="a"/>
    <w:link w:val="af"/>
    <w:rsid w:val="00D00B1D"/>
    <w:rPr>
      <w:rFonts w:ascii="Tahoma" w:hAnsi="Tahoma" w:cs="Tahoma"/>
      <w:sz w:val="18"/>
      <w:szCs w:val="18"/>
    </w:rPr>
  </w:style>
  <w:style w:type="character" w:customStyle="1" w:styleId="af">
    <w:name w:val="טקסט בלונים תו"/>
    <w:basedOn w:val="a0"/>
    <w:link w:val="ae"/>
    <w:rsid w:val="00D00B1D"/>
    <w:rPr>
      <w:rFonts w:ascii="Tahoma" w:hAnsi="Tahoma" w:cs="Tahoma"/>
      <w:sz w:val="18"/>
      <w:szCs w:val="18"/>
    </w:rPr>
  </w:style>
  <w:style w:type="character" w:customStyle="1" w:styleId="10">
    <w:name w:val="כותרת 1 תו"/>
    <w:basedOn w:val="a0"/>
    <w:link w:val="1"/>
    <w:uiPriority w:val="9"/>
    <w:rsid w:val="00932632"/>
    <w:rPr>
      <w:rFonts w:asciiTheme="majorHAnsi" w:eastAsiaTheme="majorEastAsia" w:hAnsiTheme="majorHAnsi" w:cstheme="majorBidi"/>
      <w:color w:val="2E74B5" w:themeColor="accent1" w:themeShade="BF"/>
      <w:spacing w:val="10"/>
      <w:sz w:val="32"/>
      <w:szCs w:val="32"/>
    </w:rPr>
  </w:style>
  <w:style w:type="character" w:customStyle="1" w:styleId="20">
    <w:name w:val="כותרת 2 תו"/>
    <w:basedOn w:val="a0"/>
    <w:link w:val="2"/>
    <w:rsid w:val="00932632"/>
    <w:rPr>
      <w:rFonts w:asciiTheme="majorHAnsi" w:eastAsiaTheme="majorEastAsia" w:hAnsiTheme="majorHAnsi" w:cstheme="majorBidi"/>
      <w:color w:val="2E74B5" w:themeColor="accent1" w:themeShade="BF"/>
      <w:spacing w:val="10"/>
      <w:sz w:val="26"/>
      <w:szCs w:val="26"/>
    </w:rPr>
  </w:style>
  <w:style w:type="character" w:customStyle="1" w:styleId="31">
    <w:name w:val="כותרת 3 תו"/>
    <w:basedOn w:val="a0"/>
    <w:link w:val="30"/>
    <w:rsid w:val="00932632"/>
    <w:rPr>
      <w:rFonts w:asciiTheme="majorHAnsi" w:eastAsiaTheme="majorEastAsia" w:hAnsiTheme="majorHAnsi" w:cstheme="majorBidi"/>
      <w:color w:val="1F4D78" w:themeColor="accent1" w:themeShade="7F"/>
      <w:spacing w:val="10"/>
      <w:sz w:val="24"/>
      <w:szCs w:val="24"/>
    </w:rPr>
  </w:style>
  <w:style w:type="character" w:customStyle="1" w:styleId="40">
    <w:name w:val="כותרת 4 תו"/>
    <w:basedOn w:val="a0"/>
    <w:link w:val="4"/>
    <w:rsid w:val="00932632"/>
    <w:rPr>
      <w:rFonts w:asciiTheme="majorHAnsi" w:eastAsiaTheme="majorEastAsia" w:hAnsiTheme="majorHAnsi" w:cstheme="majorBidi"/>
      <w:i/>
      <w:iCs/>
      <w:color w:val="2E74B5" w:themeColor="accent1" w:themeShade="BF"/>
      <w:spacing w:val="10"/>
      <w:szCs w:val="28"/>
    </w:rPr>
  </w:style>
  <w:style w:type="paragraph" w:customStyle="1" w:styleId="Ruller4">
    <w:name w:val="Ruller 4 ממוספר"/>
    <w:basedOn w:val="Ruller41"/>
    <w:next w:val="Ruller41"/>
    <w:link w:val="Ruller43"/>
    <w:rsid w:val="00932632"/>
    <w:pPr>
      <w:numPr>
        <w:numId w:val="11"/>
      </w:numPr>
    </w:pPr>
    <w:rPr>
      <w:rFonts w:ascii="Garamond" w:hAnsi="Garamond"/>
      <w:sz w:val="24"/>
    </w:rPr>
  </w:style>
  <w:style w:type="paragraph" w:customStyle="1" w:styleId="Ruller40">
    <w:name w:val="Ruller4 אלפביתי"/>
    <w:basedOn w:val="Ruller41"/>
    <w:next w:val="Ruller41"/>
    <w:rsid w:val="00932632"/>
    <w:pPr>
      <w:numPr>
        <w:numId w:val="12"/>
      </w:numPr>
    </w:pPr>
  </w:style>
  <w:style w:type="character" w:customStyle="1" w:styleId="Ruller42">
    <w:name w:val="Ruller4 תו"/>
    <w:link w:val="Ruller41"/>
    <w:rsid w:val="00932632"/>
    <w:rPr>
      <w:rFonts w:ascii="Arial TUR" w:hAnsi="Arial TUR" w:cs="FrankRuehl"/>
      <w:spacing w:val="10"/>
      <w:sz w:val="22"/>
      <w:szCs w:val="28"/>
    </w:rPr>
  </w:style>
  <w:style w:type="paragraph" w:styleId="af0">
    <w:name w:val="List Paragraph"/>
    <w:basedOn w:val="a"/>
    <w:uiPriority w:val="34"/>
    <w:qFormat/>
    <w:rsid w:val="00932632"/>
    <w:pPr>
      <w:spacing w:line="360" w:lineRule="auto"/>
      <w:ind w:left="720"/>
      <w:contextualSpacing/>
    </w:pPr>
    <w:rPr>
      <w:rFonts w:ascii="Century" w:hAnsi="Century" w:cs="FrankRuehl"/>
      <w:spacing w:val="10"/>
      <w:szCs w:val="28"/>
    </w:rPr>
  </w:style>
  <w:style w:type="character" w:customStyle="1" w:styleId="default">
    <w:name w:val="default"/>
    <w:rsid w:val="00932632"/>
    <w:rPr>
      <w:rFonts w:ascii="Times New Roman" w:hAnsi="Times New Roman" w:cs="Times New Roman"/>
      <w:sz w:val="26"/>
      <w:szCs w:val="26"/>
    </w:rPr>
  </w:style>
  <w:style w:type="paragraph" w:customStyle="1" w:styleId="P00">
    <w:name w:val="P00"/>
    <w:rsid w:val="0093263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character" w:customStyle="1" w:styleId="big-number">
    <w:name w:val="big-number"/>
    <w:rsid w:val="00932632"/>
    <w:rPr>
      <w:rFonts w:ascii="Times New Roman" w:hAnsi="Times New Roman" w:cs="Times New Roman"/>
      <w:sz w:val="32"/>
      <w:szCs w:val="32"/>
    </w:rPr>
  </w:style>
  <w:style w:type="paragraph" w:styleId="af1">
    <w:name w:val="Body Text"/>
    <w:basedOn w:val="a"/>
    <w:link w:val="af2"/>
    <w:rsid w:val="00932632"/>
    <w:pPr>
      <w:overflowPunct/>
      <w:autoSpaceDE/>
      <w:autoSpaceDN/>
      <w:adjustRightInd/>
      <w:textAlignment w:val="auto"/>
    </w:pPr>
    <w:rPr>
      <w:rFonts w:cs="Miriam"/>
      <w:sz w:val="18"/>
      <w:szCs w:val="18"/>
      <w:lang w:eastAsia="he-IL"/>
    </w:rPr>
  </w:style>
  <w:style w:type="character" w:customStyle="1" w:styleId="af2">
    <w:name w:val="גוף טקסט תו"/>
    <w:basedOn w:val="a0"/>
    <w:link w:val="af1"/>
    <w:rsid w:val="00932632"/>
    <w:rPr>
      <w:rFonts w:cs="Miriam"/>
      <w:sz w:val="18"/>
      <w:szCs w:val="18"/>
      <w:lang w:eastAsia="he-IL"/>
    </w:rPr>
  </w:style>
  <w:style w:type="character" w:styleId="af3">
    <w:name w:val="Strong"/>
    <w:basedOn w:val="a0"/>
    <w:qFormat/>
    <w:rsid w:val="00932632"/>
    <w:rPr>
      <w:b/>
      <w:bCs/>
    </w:rPr>
  </w:style>
  <w:style w:type="character" w:styleId="af4">
    <w:name w:val="Emphasis"/>
    <w:basedOn w:val="a0"/>
    <w:qFormat/>
    <w:rsid w:val="004C7127"/>
    <w:rPr>
      <w:i/>
      <w:iCs/>
    </w:rPr>
  </w:style>
  <w:style w:type="character" w:customStyle="1" w:styleId="a4">
    <w:name w:val="כותרת תחתונה תו"/>
    <w:basedOn w:val="a0"/>
    <w:link w:val="a3"/>
    <w:rsid w:val="00C41523"/>
    <w:rPr>
      <w:rFonts w:cs="David"/>
      <w:szCs w:val="24"/>
    </w:rPr>
  </w:style>
  <w:style w:type="character" w:customStyle="1" w:styleId="a7">
    <w:name w:val="כותרת עליונה תו"/>
    <w:basedOn w:val="a0"/>
    <w:link w:val="a6"/>
    <w:rsid w:val="00C41523"/>
    <w:rPr>
      <w:rFonts w:cs="David"/>
      <w:szCs w:val="24"/>
    </w:rPr>
  </w:style>
  <w:style w:type="paragraph" w:customStyle="1" w:styleId="p000">
    <w:name w:val="p00"/>
    <w:basedOn w:val="a"/>
    <w:rsid w:val="00C41523"/>
    <w:pPr>
      <w:overflowPunct/>
      <w:autoSpaceDE/>
      <w:autoSpaceDN/>
      <w:bidi w:val="0"/>
      <w:adjustRightInd/>
      <w:spacing w:before="100" w:beforeAutospacing="1" w:after="100" w:afterAutospacing="1"/>
      <w:textAlignment w:val="auto"/>
    </w:pPr>
    <w:rPr>
      <w:rFonts w:cs="Times New Roman"/>
      <w:sz w:val="24"/>
    </w:rPr>
  </w:style>
  <w:style w:type="paragraph" w:styleId="af5">
    <w:name w:val="footnote text"/>
    <w:basedOn w:val="a"/>
    <w:link w:val="af6"/>
    <w:unhideWhenUsed/>
    <w:rsid w:val="00C41523"/>
    <w:rPr>
      <w:rFonts w:ascii="Century" w:hAnsi="Century" w:cs="FrankRuehl"/>
      <w:spacing w:val="10"/>
      <w:szCs w:val="20"/>
    </w:rPr>
  </w:style>
  <w:style w:type="character" w:customStyle="1" w:styleId="af6">
    <w:name w:val="טקסט הערת שוליים תו"/>
    <w:basedOn w:val="a0"/>
    <w:link w:val="af5"/>
    <w:rsid w:val="00C41523"/>
    <w:rPr>
      <w:rFonts w:ascii="Century" w:hAnsi="Century" w:cs="FrankRuehl"/>
      <w:spacing w:val="10"/>
    </w:rPr>
  </w:style>
  <w:style w:type="character" w:styleId="af7">
    <w:name w:val="footnote reference"/>
    <w:basedOn w:val="a0"/>
    <w:unhideWhenUsed/>
    <w:rsid w:val="00C41523"/>
    <w:rPr>
      <w:vertAlign w:val="superscript"/>
    </w:rPr>
  </w:style>
  <w:style w:type="paragraph" w:styleId="af8">
    <w:name w:val="endnote text"/>
    <w:basedOn w:val="a"/>
    <w:link w:val="af9"/>
    <w:rsid w:val="00C41523"/>
    <w:rPr>
      <w:szCs w:val="20"/>
    </w:rPr>
  </w:style>
  <w:style w:type="character" w:customStyle="1" w:styleId="af9">
    <w:name w:val="טקסט הערת סיום תו"/>
    <w:basedOn w:val="a0"/>
    <w:link w:val="af8"/>
    <w:rsid w:val="00C41523"/>
    <w:rPr>
      <w:rFonts w:cs="David"/>
    </w:rPr>
  </w:style>
  <w:style w:type="character" w:styleId="afa">
    <w:name w:val="endnote reference"/>
    <w:basedOn w:val="a0"/>
    <w:rsid w:val="00C41523"/>
    <w:rPr>
      <w:vertAlign w:val="superscript"/>
    </w:rPr>
  </w:style>
  <w:style w:type="character" w:customStyle="1" w:styleId="Ruller43">
    <w:name w:val="Ruller 4 ממוספר תו"/>
    <w:link w:val="Ruller4"/>
    <w:rsid w:val="00B20B22"/>
    <w:rPr>
      <w:rFonts w:ascii="Garamond" w:hAnsi="Garamond" w:cs="FrankRuehl"/>
      <w:spacing w:val="10"/>
      <w:sz w:val="24"/>
      <w:szCs w:val="28"/>
    </w:rPr>
  </w:style>
  <w:style w:type="character" w:customStyle="1" w:styleId="Ruller50">
    <w:name w:val="Ruller5 תו"/>
    <w:link w:val="Ruller5"/>
    <w:locked/>
    <w:rsid w:val="00B20B22"/>
    <w:rPr>
      <w:rFonts w:ascii="Arial TUR" w:hAnsi="Arial TUR" w:cs="FrankRuehl"/>
      <w:spacing w:val="10"/>
      <w:sz w:val="22"/>
      <w:szCs w:val="28"/>
    </w:rPr>
  </w:style>
  <w:style w:type="character" w:customStyle="1" w:styleId="13">
    <w:name w:val="סגנון ‏13 נק'"/>
    <w:rsid w:val="005E0EC8"/>
    <w:rPr>
      <w:rFonts w:ascii="Times New Roman" w:hAnsi="Times New Roman" w:cs="Times New Roman" w:hint="default"/>
      <w:sz w:val="26"/>
      <w:szCs w:val="26"/>
    </w:rPr>
  </w:style>
  <w:style w:type="character" w:customStyle="1" w:styleId="charchar4">
    <w:name w:val="charchar4"/>
    <w:basedOn w:val="a0"/>
    <w:rsid w:val="005B1A77"/>
  </w:style>
  <w:style w:type="paragraph" w:customStyle="1" w:styleId="afb">
    <w:name w:val="a"/>
    <w:basedOn w:val="a"/>
    <w:rsid w:val="005B1A77"/>
    <w:pPr>
      <w:overflowPunct/>
      <w:autoSpaceDE/>
      <w:autoSpaceDN/>
      <w:bidi w:val="0"/>
      <w:adjustRightInd/>
      <w:spacing w:before="100" w:beforeAutospacing="1" w:after="100" w:afterAutospacing="1"/>
      <w:textAlignment w:val="auto"/>
    </w:pPr>
    <w:rPr>
      <w:rFonts w:cs="Times New Roman"/>
      <w:sz w:val="24"/>
    </w:rPr>
  </w:style>
  <w:style w:type="paragraph" w:customStyle="1" w:styleId="ruller400">
    <w:name w:val="ruller40"/>
    <w:basedOn w:val="a"/>
    <w:rsid w:val="005B1A77"/>
    <w:pPr>
      <w:overflowPunct/>
      <w:autoSpaceDE/>
      <w:autoSpaceDN/>
      <w:bidi w:val="0"/>
      <w:adjustRightInd/>
      <w:spacing w:before="100" w:beforeAutospacing="1" w:after="100" w:afterAutospacing="1"/>
      <w:textAlignment w:val="auto"/>
    </w:pPr>
    <w:rPr>
      <w:rFonts w:cs="Times New Roman"/>
      <w:sz w:val="24"/>
    </w:rPr>
  </w:style>
  <w:style w:type="paragraph" w:customStyle="1" w:styleId="11">
    <w:name w:val="1"/>
    <w:basedOn w:val="a"/>
    <w:rsid w:val="005B1A77"/>
    <w:pPr>
      <w:overflowPunct/>
      <w:autoSpaceDE/>
      <w:autoSpaceDN/>
      <w:bidi w:val="0"/>
      <w:adjustRightInd/>
      <w:spacing w:before="100" w:beforeAutospacing="1" w:after="100" w:afterAutospacing="1"/>
      <w:textAlignment w:val="auto"/>
    </w:pPr>
    <w:rPr>
      <w:rFonts w:cs="Times New Roman"/>
      <w:sz w:val="24"/>
    </w:rPr>
  </w:style>
  <w:style w:type="paragraph" w:styleId="afc">
    <w:name w:val="Revision"/>
    <w:hidden/>
    <w:uiPriority w:val="99"/>
    <w:semiHidden/>
    <w:rsid w:val="005B1A77"/>
    <w:rPr>
      <w:rFonts w:asciiTheme="minorHAnsi" w:eastAsiaTheme="minorHAnsi" w:hAnsiTheme="minorHAnsi" w:cstheme="minorBidi"/>
      <w:sz w:val="22"/>
      <w:szCs w:val="22"/>
    </w:rPr>
  </w:style>
  <w:style w:type="character" w:customStyle="1" w:styleId="highlight">
    <w:name w:val="highlight"/>
    <w:basedOn w:val="a0"/>
    <w:rsid w:val="005B1A77"/>
  </w:style>
  <w:style w:type="paragraph" w:customStyle="1" w:styleId="afd">
    <w:name w:val="גוף פסק דין"/>
    <w:basedOn w:val="a"/>
    <w:link w:val="afe"/>
    <w:autoRedefine/>
    <w:qFormat/>
    <w:rsid w:val="00373062"/>
    <w:pPr>
      <w:tabs>
        <w:tab w:val="left" w:pos="720"/>
        <w:tab w:val="left" w:pos="800"/>
      </w:tabs>
      <w:spacing w:line="360" w:lineRule="auto"/>
      <w:ind w:firstLine="720"/>
      <w:jc w:val="both"/>
      <w:textAlignment w:val="auto"/>
    </w:pPr>
    <w:rPr>
      <w:rFonts w:eastAsiaTheme="minorHAnsi" w:cs="FrankRuehl"/>
      <w:spacing w:val="10"/>
      <w:sz w:val="24"/>
      <w:szCs w:val="28"/>
    </w:rPr>
  </w:style>
  <w:style w:type="character" w:customStyle="1" w:styleId="afe">
    <w:name w:val="גוף פסק דין תו"/>
    <w:link w:val="afd"/>
    <w:rsid w:val="00373062"/>
    <w:rPr>
      <w:rFonts w:eastAsiaTheme="minorHAnsi" w:cs="FrankRuehl"/>
      <w:spacing w:val="10"/>
      <w:sz w:val="24"/>
      <w:szCs w:val="28"/>
    </w:rPr>
  </w:style>
  <w:style w:type="paragraph" w:customStyle="1" w:styleId="22">
    <w:name w:val="סגנון2"/>
    <w:basedOn w:val="1"/>
    <w:link w:val="23"/>
    <w:autoRedefine/>
    <w:qFormat/>
    <w:rsid w:val="00373062"/>
    <w:pPr>
      <w:overflowPunct/>
      <w:autoSpaceDE/>
      <w:autoSpaceDN/>
      <w:adjustRightInd/>
      <w:spacing w:before="300" w:after="300" w:line="480" w:lineRule="auto"/>
      <w:jc w:val="both"/>
      <w:textAlignment w:val="auto"/>
    </w:pPr>
    <w:rPr>
      <w:rFonts w:ascii="Cambria" w:eastAsiaTheme="minorHAnsi" w:hAnsi="Cambria" w:cs="Miriam"/>
      <w:b/>
      <w:sz w:val="28"/>
      <w:szCs w:val="24"/>
    </w:rPr>
  </w:style>
  <w:style w:type="character" w:customStyle="1" w:styleId="23">
    <w:name w:val="סגנון2 תו"/>
    <w:basedOn w:val="10"/>
    <w:link w:val="22"/>
    <w:rsid w:val="00373062"/>
    <w:rPr>
      <w:rFonts w:ascii="Cambria" w:eastAsiaTheme="minorHAnsi" w:hAnsi="Cambria" w:cs="Miriam"/>
      <w:b/>
      <w:color w:val="2E74B5" w:themeColor="accent1" w:themeShade="BF"/>
      <w:spacing w:val="10"/>
      <w:sz w:val="28"/>
      <w:szCs w:val="24"/>
    </w:rPr>
  </w:style>
  <w:style w:type="paragraph" w:customStyle="1" w:styleId="3">
    <w:name w:val="סגנון3"/>
    <w:basedOn w:val="22"/>
    <w:link w:val="32"/>
    <w:autoRedefine/>
    <w:qFormat/>
    <w:rsid w:val="00373062"/>
    <w:pPr>
      <w:keepNext w:val="0"/>
      <w:keepLines w:val="0"/>
      <w:numPr>
        <w:numId w:val="45"/>
      </w:numPr>
      <w:tabs>
        <w:tab w:val="left" w:pos="720"/>
        <w:tab w:val="left" w:pos="800"/>
        <w:tab w:val="num" w:pos="1049"/>
      </w:tabs>
      <w:overflowPunct w:val="0"/>
      <w:autoSpaceDE w:val="0"/>
      <w:autoSpaceDN w:val="0"/>
      <w:adjustRightInd w:val="0"/>
      <w:spacing w:before="0" w:after="0" w:line="360" w:lineRule="auto"/>
      <w:ind w:left="0" w:firstLine="0"/>
      <w:textAlignment w:val="baseline"/>
      <w:outlineLvl w:val="9"/>
    </w:pPr>
    <w:rPr>
      <w:rFonts w:ascii="Calibri" w:eastAsia="Calibri" w:hAnsi="Calibri" w:cs="FrankRuehl"/>
      <w:b w:val="0"/>
      <w:sz w:val="24"/>
      <w:szCs w:val="28"/>
    </w:rPr>
  </w:style>
  <w:style w:type="character" w:customStyle="1" w:styleId="32">
    <w:name w:val="סגנון3 תו"/>
    <w:basedOn w:val="23"/>
    <w:link w:val="3"/>
    <w:rsid w:val="00373062"/>
    <w:rPr>
      <w:rFonts w:ascii="Calibri" w:eastAsia="Calibri" w:hAnsi="Calibri" w:cs="FrankRuehl"/>
      <w:b w:val="0"/>
      <w:color w:val="2E74B5" w:themeColor="accent1" w:themeShade="BF"/>
      <w:spacing w:val="1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upreme.court.gov.i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D3D5D-361E-4879-B582-6E8F396A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177</Pages>
  <Words>66082</Words>
  <Characters>310783</Characters>
  <Application>Microsoft Office Word</Application>
  <DocSecurity>0</DocSecurity>
  <Lines>2589</Lines>
  <Paragraphs>752</Paragraphs>
  <ScaleCrop>false</ScaleCrop>
  <HeadingPairs>
    <vt:vector size="2" baseType="variant">
      <vt:variant>
        <vt:lpstr>שם</vt:lpstr>
      </vt:variant>
      <vt:variant>
        <vt:i4>1</vt:i4>
      </vt:variant>
    </vt:vector>
  </HeadingPairs>
  <TitlesOfParts>
    <vt:vector size="1" baseType="lpstr">
      <vt:lpstr>החלטה בתיק דנ"א  6364/20</vt:lpstr>
    </vt:vector>
  </TitlesOfParts>
  <Company/>
  <LinksUpToDate>false</LinksUpToDate>
  <CharactersWithSpaces>376113</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2022-08-03T07:00:12Z</cp:lastPrinted>
  <dcterms:created xsi:type="dcterms:W3CDTF">2022-08-03T07:00:12Z</dcterms:created>
  <dcterms:modified xsi:type="dcterms:W3CDTF">2022-08-03T07:00:12Z</dcterms:modified>
</cp:coreProperties>
</file>