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377102" w:rsidRDefault="00916FF8">
      <w:pPr>
        <w:jc w:val="right"/>
        <w:rPr>
          <w:rFonts w:cs="Miriam" w:hint="cs"/>
          <w:b/>
          <w:bCs/>
          <w:sz w:val="16"/>
          <w:szCs w:val="16"/>
          <w:u w:val="single"/>
        </w:rPr>
      </w:pPr>
    </w:p>
    <w:p w:rsidR="00916FF8" w:rsidRPr="00377102" w:rsidRDefault="00916FF8">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583266"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Default="00583266">
            <w:pPr>
              <w:pStyle w:val="FileNumber"/>
              <w:rPr>
                <w:sz w:val="28"/>
                <w:szCs w:val="28"/>
                <w:rtl/>
              </w:rPr>
            </w:pPr>
            <w:bookmarkStart w:id="0" w:name="casename_body"/>
            <w:r>
              <w:rPr>
                <w:sz w:val="28"/>
                <w:szCs w:val="28"/>
                <w:rtl/>
              </w:rPr>
              <w:t>ע"א  9308/20</w:t>
            </w:r>
          </w:p>
          <w:p w:rsidR="000F14D9" w:rsidRPr="00810894" w:rsidRDefault="000F14D9">
            <w:pPr>
              <w:pStyle w:val="FileNumber"/>
              <w:rPr>
                <w:sz w:val="28"/>
                <w:szCs w:val="28"/>
              </w:rPr>
            </w:pPr>
            <w:r>
              <w:rPr>
                <w:rFonts w:hint="cs"/>
                <w:sz w:val="28"/>
                <w:szCs w:val="28"/>
                <w:rtl/>
              </w:rPr>
              <w:t>ע"א  8116/21</w:t>
            </w:r>
          </w:p>
        </w:tc>
      </w:tr>
      <w:bookmarkEnd w:id="0"/>
    </w:tbl>
    <w:p w:rsidR="00916FF8" w:rsidRDefault="00916FF8">
      <w:pPr>
        <w:jc w:val="right"/>
        <w:rPr>
          <w:rFonts w:cs="Miriam"/>
          <w:b/>
          <w:bCs/>
          <w:u w:val="single"/>
          <w:rtl/>
        </w:rPr>
      </w:pPr>
    </w:p>
    <w:p w:rsidR="000F14D9" w:rsidRDefault="000F14D9">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583266">
            <w:pPr>
              <w:pStyle w:val="BodyRuller"/>
            </w:pPr>
            <w:r>
              <w:rPr>
                <w:rtl/>
              </w:rPr>
              <w:t>כבוד המשנה לנשיאה ע' פוגלמן</w:t>
            </w:r>
          </w:p>
        </w:tc>
      </w:tr>
      <w:tr w:rsidR="00583266" w:rsidTr="00EC23AC">
        <w:trPr>
          <w:trHeight w:val="287"/>
        </w:trPr>
        <w:tc>
          <w:tcPr>
            <w:tcW w:w="3261" w:type="dxa"/>
          </w:tcPr>
          <w:p w:rsidR="00583266" w:rsidRDefault="00583266">
            <w:pPr>
              <w:pStyle w:val="BodyRuller"/>
              <w:rPr>
                <w:rtl/>
              </w:rPr>
            </w:pPr>
          </w:p>
        </w:tc>
        <w:tc>
          <w:tcPr>
            <w:tcW w:w="5239" w:type="dxa"/>
          </w:tcPr>
          <w:p w:rsidR="00583266" w:rsidRDefault="00583266">
            <w:pPr>
              <w:pStyle w:val="BodyRuller"/>
              <w:rPr>
                <w:rtl/>
              </w:rPr>
            </w:pPr>
            <w:r>
              <w:rPr>
                <w:rtl/>
              </w:rPr>
              <w:t>כבוד השופט א' שטיין</w:t>
            </w:r>
          </w:p>
        </w:tc>
      </w:tr>
      <w:tr w:rsidR="00583266" w:rsidTr="00EC23AC">
        <w:trPr>
          <w:trHeight w:val="287"/>
        </w:trPr>
        <w:tc>
          <w:tcPr>
            <w:tcW w:w="3261" w:type="dxa"/>
          </w:tcPr>
          <w:p w:rsidR="00583266" w:rsidRDefault="00583266">
            <w:pPr>
              <w:pStyle w:val="BodyRuller"/>
              <w:rPr>
                <w:rtl/>
              </w:rPr>
            </w:pPr>
          </w:p>
        </w:tc>
        <w:tc>
          <w:tcPr>
            <w:tcW w:w="5239" w:type="dxa"/>
          </w:tcPr>
          <w:p w:rsidR="00583266" w:rsidRDefault="00583266">
            <w:pPr>
              <w:pStyle w:val="BodyRuller"/>
              <w:rPr>
                <w:rtl/>
              </w:rPr>
            </w:pPr>
            <w:r>
              <w:rPr>
                <w:rtl/>
              </w:rPr>
              <w:t>כבוד השופטת ר' רונן</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3E4E8E">
        <w:trPr>
          <w:trHeight w:val="287"/>
        </w:trPr>
        <w:tc>
          <w:tcPr>
            <w:tcW w:w="3261" w:type="dxa"/>
          </w:tcPr>
          <w:p w:rsidR="00D00CB7" w:rsidRDefault="00583266" w:rsidP="003E4E8E">
            <w:pPr>
              <w:pStyle w:val="BodyRuller"/>
              <w:rPr>
                <w:rFonts w:ascii="David" w:hAnsi="David"/>
                <w:rtl/>
              </w:rPr>
            </w:pPr>
            <w:r>
              <w:rPr>
                <w:rFonts w:ascii="David" w:hAnsi="David"/>
                <w:rtl/>
              </w:rPr>
              <w:t>המערער</w:t>
            </w:r>
            <w:r w:rsidR="000F14D9">
              <w:rPr>
                <w:rFonts w:ascii="David" w:hAnsi="David" w:hint="cs"/>
                <w:rtl/>
              </w:rPr>
              <w:t xml:space="preserve"> בע"א 9308/20</w:t>
            </w:r>
            <w:r>
              <w:rPr>
                <w:rFonts w:ascii="David" w:hAnsi="David"/>
                <w:rtl/>
              </w:rPr>
              <w:t>:</w:t>
            </w:r>
          </w:p>
          <w:p w:rsidR="000F14D9" w:rsidRDefault="000F14D9" w:rsidP="003E4E8E">
            <w:pPr>
              <w:pStyle w:val="BodyRuller"/>
              <w:rPr>
                <w:rFonts w:ascii="David" w:hAnsi="David"/>
                <w:rtl/>
              </w:rPr>
            </w:pPr>
          </w:p>
          <w:p w:rsidR="000F14D9" w:rsidRPr="00E75223" w:rsidRDefault="000F14D9" w:rsidP="003E4E8E">
            <w:pPr>
              <w:pStyle w:val="BodyRuller"/>
              <w:rPr>
                <w:rFonts w:ascii="David" w:hAnsi="David"/>
              </w:rPr>
            </w:pPr>
            <w:r>
              <w:rPr>
                <w:rFonts w:ascii="David" w:hAnsi="David" w:hint="cs"/>
                <w:rtl/>
              </w:rPr>
              <w:t>המערער בע"א 8116/21:</w:t>
            </w:r>
          </w:p>
        </w:tc>
        <w:tc>
          <w:tcPr>
            <w:tcW w:w="5239" w:type="dxa"/>
          </w:tcPr>
          <w:p w:rsidR="00D00CB7" w:rsidRDefault="00583266" w:rsidP="003E4E8E">
            <w:pPr>
              <w:pStyle w:val="BodyRuller"/>
              <w:rPr>
                <w:rtl/>
              </w:rPr>
            </w:pPr>
            <w:r>
              <w:rPr>
                <w:rtl/>
              </w:rPr>
              <w:t>פקיד שומה עכו</w:t>
            </w:r>
          </w:p>
          <w:p w:rsidR="000F14D9" w:rsidRDefault="000F14D9" w:rsidP="003E4E8E">
            <w:pPr>
              <w:pStyle w:val="BodyRuller"/>
              <w:rPr>
                <w:rtl/>
              </w:rPr>
            </w:pPr>
          </w:p>
          <w:p w:rsidR="000F14D9" w:rsidRDefault="000F14D9" w:rsidP="003E4E8E">
            <w:pPr>
              <w:pStyle w:val="BodyRuller"/>
            </w:pPr>
            <w:r>
              <w:rPr>
                <w:rFonts w:hint="cs"/>
                <w:rtl/>
              </w:rPr>
              <w:t>מאיר סיידה</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0F14D9">
        <w:trPr>
          <w:trHeight w:val="287"/>
        </w:trPr>
        <w:tc>
          <w:tcPr>
            <w:tcW w:w="3210" w:type="dxa"/>
          </w:tcPr>
          <w:p w:rsidR="0083345F" w:rsidRPr="00E75223" w:rsidRDefault="00583266" w:rsidP="003E4E8E">
            <w:pPr>
              <w:pStyle w:val="BodyRuller"/>
              <w:rPr>
                <w:rFonts w:ascii="David" w:hAnsi="David"/>
              </w:rPr>
            </w:pPr>
            <w:r>
              <w:rPr>
                <w:rFonts w:ascii="David" w:hAnsi="David"/>
                <w:rtl/>
              </w:rPr>
              <w:t>המשיבים</w:t>
            </w:r>
            <w:r w:rsidR="000F14D9">
              <w:rPr>
                <w:rFonts w:ascii="David" w:hAnsi="David" w:hint="cs"/>
                <w:rtl/>
              </w:rPr>
              <w:t xml:space="preserve"> בע"א 9308/20</w:t>
            </w:r>
            <w:r>
              <w:rPr>
                <w:rFonts w:ascii="David" w:hAnsi="David"/>
                <w:rtl/>
              </w:rPr>
              <w:t>:</w:t>
            </w:r>
          </w:p>
        </w:tc>
        <w:tc>
          <w:tcPr>
            <w:tcW w:w="5154" w:type="dxa"/>
          </w:tcPr>
          <w:p w:rsidR="0083345F" w:rsidRDefault="00583266" w:rsidP="003E4E8E">
            <w:pPr>
              <w:pStyle w:val="BodyRuller"/>
            </w:pPr>
            <w:r>
              <w:rPr>
                <w:rtl/>
              </w:rPr>
              <w:t>1. בית חוסן בע"מ</w:t>
            </w:r>
          </w:p>
        </w:tc>
      </w:tr>
      <w:tr w:rsidR="00583266" w:rsidTr="000F14D9">
        <w:trPr>
          <w:trHeight w:val="287"/>
        </w:trPr>
        <w:tc>
          <w:tcPr>
            <w:tcW w:w="3210" w:type="dxa"/>
          </w:tcPr>
          <w:p w:rsidR="00583266" w:rsidRDefault="00583266" w:rsidP="003E4E8E">
            <w:pPr>
              <w:pStyle w:val="BodyRuller"/>
              <w:rPr>
                <w:rFonts w:ascii="David" w:hAnsi="David"/>
                <w:rtl/>
              </w:rPr>
            </w:pPr>
          </w:p>
        </w:tc>
        <w:tc>
          <w:tcPr>
            <w:tcW w:w="5154" w:type="dxa"/>
          </w:tcPr>
          <w:p w:rsidR="00583266" w:rsidRDefault="00583266" w:rsidP="003E4E8E">
            <w:pPr>
              <w:pStyle w:val="BodyRuller"/>
              <w:rPr>
                <w:rtl/>
              </w:rPr>
            </w:pPr>
            <w:r>
              <w:rPr>
                <w:rtl/>
              </w:rPr>
              <w:t xml:space="preserve">2. אבירם נחום </w:t>
            </w:r>
            <w:proofErr w:type="spellStart"/>
            <w:r>
              <w:rPr>
                <w:rtl/>
              </w:rPr>
              <w:t>ורסנוב</w:t>
            </w:r>
            <w:proofErr w:type="spellEnd"/>
          </w:p>
        </w:tc>
      </w:tr>
      <w:tr w:rsidR="00583266" w:rsidTr="000F14D9">
        <w:trPr>
          <w:trHeight w:val="287"/>
        </w:trPr>
        <w:tc>
          <w:tcPr>
            <w:tcW w:w="3210" w:type="dxa"/>
          </w:tcPr>
          <w:p w:rsidR="00583266" w:rsidRDefault="00583266" w:rsidP="003E4E8E">
            <w:pPr>
              <w:pStyle w:val="BodyRuller"/>
              <w:rPr>
                <w:rFonts w:ascii="David" w:hAnsi="David"/>
                <w:rtl/>
              </w:rPr>
            </w:pPr>
          </w:p>
        </w:tc>
        <w:tc>
          <w:tcPr>
            <w:tcW w:w="5154" w:type="dxa"/>
          </w:tcPr>
          <w:p w:rsidR="00583266" w:rsidRDefault="00583266" w:rsidP="003E4E8E">
            <w:pPr>
              <w:pStyle w:val="BodyRuller"/>
              <w:rPr>
                <w:rtl/>
              </w:rPr>
            </w:pPr>
            <w:r>
              <w:rPr>
                <w:rtl/>
              </w:rPr>
              <w:t>3. רוי עמנואל שרון</w:t>
            </w:r>
          </w:p>
        </w:tc>
      </w:tr>
      <w:tr w:rsidR="00583266" w:rsidTr="000F14D9">
        <w:trPr>
          <w:trHeight w:val="287"/>
        </w:trPr>
        <w:tc>
          <w:tcPr>
            <w:tcW w:w="3210" w:type="dxa"/>
          </w:tcPr>
          <w:p w:rsidR="00583266" w:rsidRDefault="00583266" w:rsidP="003E4E8E">
            <w:pPr>
              <w:pStyle w:val="BodyRuller"/>
              <w:rPr>
                <w:rFonts w:ascii="David" w:hAnsi="David"/>
                <w:rtl/>
              </w:rPr>
            </w:pPr>
          </w:p>
        </w:tc>
        <w:tc>
          <w:tcPr>
            <w:tcW w:w="5154" w:type="dxa"/>
          </w:tcPr>
          <w:p w:rsidR="00583266" w:rsidRDefault="00583266" w:rsidP="003E4E8E">
            <w:pPr>
              <w:pStyle w:val="BodyRuller"/>
              <w:rPr>
                <w:rtl/>
              </w:rPr>
            </w:pPr>
            <w:r>
              <w:rPr>
                <w:rtl/>
              </w:rPr>
              <w:t>4. ענת רחל שרון</w:t>
            </w:r>
          </w:p>
        </w:tc>
      </w:tr>
      <w:tr w:rsidR="00583266" w:rsidTr="000F14D9">
        <w:trPr>
          <w:trHeight w:val="287"/>
        </w:trPr>
        <w:tc>
          <w:tcPr>
            <w:tcW w:w="3210" w:type="dxa"/>
          </w:tcPr>
          <w:p w:rsidR="00583266" w:rsidRDefault="00583266" w:rsidP="003E4E8E">
            <w:pPr>
              <w:pStyle w:val="BodyRuller"/>
              <w:rPr>
                <w:rFonts w:ascii="David" w:hAnsi="David"/>
                <w:rtl/>
              </w:rPr>
            </w:pPr>
          </w:p>
        </w:tc>
        <w:tc>
          <w:tcPr>
            <w:tcW w:w="5154" w:type="dxa"/>
          </w:tcPr>
          <w:p w:rsidR="00583266" w:rsidRDefault="00583266" w:rsidP="003E4E8E">
            <w:pPr>
              <w:pStyle w:val="BodyRuller"/>
              <w:rPr>
                <w:rtl/>
              </w:rPr>
            </w:pPr>
            <w:r>
              <w:rPr>
                <w:rtl/>
              </w:rPr>
              <w:t>5. אורלי שרון</w:t>
            </w:r>
          </w:p>
          <w:p w:rsidR="000F14D9" w:rsidRDefault="000F14D9" w:rsidP="003E4E8E">
            <w:pPr>
              <w:pStyle w:val="BodyRuller"/>
              <w:rPr>
                <w:rtl/>
              </w:rPr>
            </w:pPr>
          </w:p>
        </w:tc>
      </w:tr>
      <w:tr w:rsidR="000F14D9" w:rsidTr="000F14D9">
        <w:trPr>
          <w:trHeight w:val="287"/>
        </w:trPr>
        <w:tc>
          <w:tcPr>
            <w:tcW w:w="3210" w:type="dxa"/>
          </w:tcPr>
          <w:p w:rsidR="000F14D9" w:rsidRPr="00E75223" w:rsidRDefault="000F14D9" w:rsidP="000F14D9">
            <w:pPr>
              <w:pStyle w:val="BodyRuller"/>
              <w:rPr>
                <w:rFonts w:ascii="David" w:hAnsi="David"/>
              </w:rPr>
            </w:pPr>
            <w:r>
              <w:rPr>
                <w:rFonts w:ascii="David" w:hAnsi="David"/>
                <w:rtl/>
              </w:rPr>
              <w:t>המשיב</w:t>
            </w:r>
            <w:r>
              <w:rPr>
                <w:rFonts w:ascii="David" w:hAnsi="David" w:hint="cs"/>
                <w:rtl/>
              </w:rPr>
              <w:t xml:space="preserve"> בע"א 8116/20/20</w:t>
            </w:r>
            <w:r>
              <w:rPr>
                <w:rFonts w:ascii="David" w:hAnsi="David"/>
                <w:rtl/>
              </w:rPr>
              <w:t>:</w:t>
            </w:r>
          </w:p>
        </w:tc>
        <w:tc>
          <w:tcPr>
            <w:tcW w:w="5154" w:type="dxa"/>
          </w:tcPr>
          <w:p w:rsidR="000F14D9" w:rsidRDefault="000F14D9" w:rsidP="003E4E8E">
            <w:pPr>
              <w:pStyle w:val="BodyRuller"/>
            </w:pPr>
            <w:r>
              <w:rPr>
                <w:rFonts w:hint="cs"/>
                <w:rtl/>
              </w:rPr>
              <w:t>פקיד שומה באר שבע</w:t>
            </w:r>
          </w:p>
        </w:tc>
      </w:tr>
    </w:tbl>
    <w:p w:rsidR="000F14D9" w:rsidRDefault="000F14D9">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tbl>
            <w:tblPr>
              <w:bidiVisual/>
              <w:tblW w:w="0" w:type="auto"/>
              <w:tblInd w:w="27" w:type="dxa"/>
              <w:tblLook w:val="0000" w:firstRow="0" w:lastRow="0" w:firstColumn="0" w:lastColumn="0" w:noHBand="0" w:noVBand="0"/>
            </w:tblPr>
            <w:tblGrid>
              <w:gridCol w:w="4860"/>
            </w:tblGrid>
            <w:tr w:rsidR="00E96DD9" w:rsidRPr="00E874EC" w:rsidTr="003E4E8E">
              <w:trPr>
                <w:trHeight w:val="261"/>
              </w:trPr>
              <w:tc>
                <w:tcPr>
                  <w:tcW w:w="8028" w:type="dxa"/>
                </w:tcPr>
                <w:p w:rsidR="00E96DD9" w:rsidRPr="00E96DD9" w:rsidRDefault="00E96DD9" w:rsidP="00E96DD9">
                  <w:pPr>
                    <w:tabs>
                      <w:tab w:val="left" w:pos="2552"/>
                    </w:tabs>
                    <w:jc w:val="both"/>
                    <w:rPr>
                      <w:sz w:val="24"/>
                    </w:rPr>
                  </w:pPr>
                  <w:r w:rsidRPr="00E96DD9">
                    <w:rPr>
                      <w:sz w:val="24"/>
                      <w:rtl/>
                    </w:rPr>
                    <w:t xml:space="preserve">ערעור על פסק </w:t>
                  </w:r>
                  <w:r w:rsidRPr="00E96DD9">
                    <w:rPr>
                      <w:rFonts w:hint="cs"/>
                      <w:sz w:val="24"/>
                      <w:rtl/>
                    </w:rPr>
                    <w:t>הדין</w:t>
                  </w:r>
                  <w:r w:rsidRPr="00E96DD9">
                    <w:rPr>
                      <w:sz w:val="24"/>
                      <w:rtl/>
                    </w:rPr>
                    <w:t xml:space="preserve"> של בית המשפט</w:t>
                  </w:r>
                  <w:r w:rsidR="00973522">
                    <w:rPr>
                      <w:rFonts w:hint="cs"/>
                      <w:sz w:val="24"/>
                      <w:rtl/>
                    </w:rPr>
                    <w:t xml:space="preserve"> המחוזי </w:t>
                  </w:r>
                  <w:r w:rsidRPr="00E96DD9">
                    <w:rPr>
                      <w:rFonts w:hint="cs"/>
                      <w:sz w:val="24"/>
                      <w:rtl/>
                    </w:rPr>
                    <w:t xml:space="preserve">חיפה (השופטת א' </w:t>
                  </w:r>
                  <w:proofErr w:type="spellStart"/>
                  <w:r w:rsidRPr="00E96DD9">
                    <w:rPr>
                      <w:rFonts w:hint="cs"/>
                      <w:sz w:val="24"/>
                      <w:rtl/>
                    </w:rPr>
                    <w:t>וינשטיין</w:t>
                  </w:r>
                  <w:proofErr w:type="spellEnd"/>
                  <w:r w:rsidRPr="00E96DD9">
                    <w:rPr>
                      <w:rFonts w:hint="cs"/>
                      <w:sz w:val="24"/>
                      <w:rtl/>
                    </w:rPr>
                    <w:t>)</w:t>
                  </w:r>
                  <w:r>
                    <w:rPr>
                      <w:rFonts w:hint="cs"/>
                      <w:sz w:val="24"/>
                      <w:rtl/>
                    </w:rPr>
                    <w:t xml:space="preserve"> שניתן ביום 1.11.2020 בע"מ</w:t>
                  </w:r>
                  <w:r w:rsidRPr="00E96DD9">
                    <w:rPr>
                      <w:rFonts w:hint="cs"/>
                      <w:sz w:val="24"/>
                      <w:rtl/>
                    </w:rPr>
                    <w:t xml:space="preserve"> </w:t>
                  </w:r>
                  <w:r>
                    <w:rPr>
                      <w:rFonts w:hint="cs"/>
                      <w:sz w:val="24"/>
                      <w:rtl/>
                    </w:rPr>
                    <w:t>71445-12-18</w:t>
                  </w:r>
                  <w:r w:rsidRPr="00E96DD9">
                    <w:rPr>
                      <w:rFonts w:hint="cs"/>
                      <w:sz w:val="24"/>
                      <w:rtl/>
                    </w:rPr>
                    <w:t xml:space="preserve">; </w:t>
                  </w:r>
                  <w:r w:rsidRPr="00E96DD9">
                    <w:rPr>
                      <w:sz w:val="24"/>
                      <w:rtl/>
                    </w:rPr>
                    <w:t xml:space="preserve">ערעור על פסק </w:t>
                  </w:r>
                  <w:r w:rsidRPr="00E96DD9">
                    <w:rPr>
                      <w:rFonts w:hint="cs"/>
                      <w:sz w:val="24"/>
                      <w:rtl/>
                    </w:rPr>
                    <w:t>הדין</w:t>
                  </w:r>
                  <w:r w:rsidRPr="00E96DD9">
                    <w:rPr>
                      <w:sz w:val="24"/>
                      <w:rtl/>
                    </w:rPr>
                    <w:t xml:space="preserve"> של בית המשפט</w:t>
                  </w:r>
                  <w:r w:rsidR="00973522">
                    <w:rPr>
                      <w:rFonts w:hint="cs"/>
                      <w:sz w:val="24"/>
                      <w:rtl/>
                    </w:rPr>
                    <w:t xml:space="preserve"> המחוזי </w:t>
                  </w:r>
                  <w:r w:rsidRPr="00E96DD9">
                    <w:rPr>
                      <w:rFonts w:hint="cs"/>
                      <w:sz w:val="24"/>
                      <w:rtl/>
                    </w:rPr>
                    <w:t xml:space="preserve">באר שבע (השופטת </w:t>
                  </w:r>
                  <w:r w:rsidRPr="00E96DD9">
                    <w:rPr>
                      <w:sz w:val="24"/>
                      <w:rtl/>
                    </w:rPr>
                    <w:t>י' ייטב</w:t>
                  </w:r>
                  <w:r w:rsidRPr="00E96DD9">
                    <w:rPr>
                      <w:rFonts w:hint="cs"/>
                      <w:sz w:val="24"/>
                      <w:rtl/>
                    </w:rPr>
                    <w:t xml:space="preserve">) </w:t>
                  </w:r>
                  <w:r>
                    <w:rPr>
                      <w:rFonts w:hint="cs"/>
                      <w:sz w:val="24"/>
                      <w:rtl/>
                    </w:rPr>
                    <w:t xml:space="preserve">שניתן ביום 26.9.2021 </w:t>
                  </w:r>
                  <w:r w:rsidRPr="00E96DD9">
                    <w:rPr>
                      <w:rFonts w:hint="cs"/>
                      <w:sz w:val="24"/>
                      <w:rtl/>
                    </w:rPr>
                    <w:t>בע"</w:t>
                  </w:r>
                  <w:r>
                    <w:rPr>
                      <w:rFonts w:hint="cs"/>
                      <w:sz w:val="24"/>
                      <w:rtl/>
                    </w:rPr>
                    <w:t>מ</w:t>
                  </w:r>
                  <w:r w:rsidRPr="00E96DD9">
                    <w:rPr>
                      <w:rFonts w:hint="cs"/>
                      <w:sz w:val="24"/>
                      <w:rtl/>
                    </w:rPr>
                    <w:t xml:space="preserve"> </w:t>
                  </w:r>
                  <w:r>
                    <w:rPr>
                      <w:rFonts w:hint="cs"/>
                      <w:sz w:val="24"/>
                      <w:rtl/>
                    </w:rPr>
                    <w:t>38294-02-19</w:t>
                  </w:r>
                  <w:r w:rsidRPr="00E96DD9">
                    <w:rPr>
                      <w:rFonts w:hint="cs"/>
                      <w:sz w:val="24"/>
                      <w:rtl/>
                    </w:rPr>
                    <w:t xml:space="preserve"> </w:t>
                  </w:r>
                </w:p>
              </w:tc>
            </w:tr>
          </w:tbl>
          <w:p w:rsidR="00916FF8" w:rsidRPr="00E96DD9" w:rsidRDefault="00916FF8">
            <w:pPr>
              <w:pStyle w:val="BodyRuller"/>
              <w:rPr>
                <w:sz w:val="24"/>
                <w:szCs w:val="24"/>
              </w:rPr>
            </w:pPr>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8C2F11" w:rsidTr="00E96DD9">
        <w:tc>
          <w:tcPr>
            <w:tcW w:w="3230" w:type="dxa"/>
            <w:tcBorders>
              <w:top w:val="nil"/>
              <w:left w:val="nil"/>
              <w:bottom w:val="nil"/>
              <w:right w:val="nil"/>
            </w:tcBorders>
          </w:tcPr>
          <w:p w:rsidR="008C2F11" w:rsidRPr="00265F6E" w:rsidRDefault="008C2F11">
            <w:pPr>
              <w:pStyle w:val="BodyRuller"/>
              <w:rPr>
                <w:sz w:val="24"/>
                <w:szCs w:val="24"/>
              </w:rPr>
            </w:pPr>
            <w:r w:rsidRPr="00265F6E">
              <w:rPr>
                <w:sz w:val="24"/>
                <w:szCs w:val="24"/>
                <w:rtl/>
              </w:rPr>
              <w:t>תאריך הישיבה:</w:t>
            </w:r>
          </w:p>
        </w:tc>
        <w:tc>
          <w:tcPr>
            <w:tcW w:w="2423" w:type="dxa"/>
            <w:tcBorders>
              <w:top w:val="nil"/>
              <w:left w:val="nil"/>
              <w:bottom w:val="nil"/>
              <w:right w:val="nil"/>
            </w:tcBorders>
          </w:tcPr>
          <w:p w:rsidR="008C2F11" w:rsidRDefault="00E96DD9" w:rsidP="00E96DD9">
            <w:pPr>
              <w:pStyle w:val="BodyRuller"/>
              <w:rPr>
                <w:rtl/>
              </w:rPr>
            </w:pPr>
            <w:r>
              <w:rPr>
                <w:rFonts w:hint="cs"/>
                <w:sz w:val="24"/>
                <w:szCs w:val="24"/>
                <w:rtl/>
              </w:rPr>
              <w:t xml:space="preserve">ט"ז </w:t>
            </w:r>
            <w:r w:rsidR="00583266">
              <w:rPr>
                <w:sz w:val="24"/>
                <w:szCs w:val="24"/>
                <w:rtl/>
              </w:rPr>
              <w:t>ב</w:t>
            </w:r>
            <w:r>
              <w:rPr>
                <w:rFonts w:hint="cs"/>
                <w:sz w:val="24"/>
                <w:szCs w:val="24"/>
                <w:rtl/>
              </w:rPr>
              <w:t>אלול</w:t>
            </w:r>
            <w:r w:rsidR="00583266">
              <w:rPr>
                <w:sz w:val="24"/>
                <w:szCs w:val="24"/>
                <w:rtl/>
              </w:rPr>
              <w:t xml:space="preserve"> </w:t>
            </w:r>
            <w:proofErr w:type="spellStart"/>
            <w:r w:rsidR="00583266">
              <w:rPr>
                <w:sz w:val="24"/>
                <w:szCs w:val="24"/>
                <w:rtl/>
              </w:rPr>
              <w:t>ה</w:t>
            </w:r>
            <w:r>
              <w:rPr>
                <w:rFonts w:hint="cs"/>
                <w:sz w:val="24"/>
                <w:szCs w:val="24"/>
                <w:rtl/>
              </w:rPr>
              <w:t>תשפ"ב</w:t>
            </w:r>
            <w:proofErr w:type="spellEnd"/>
            <w:r w:rsidR="008C2F11">
              <w:t xml:space="preserve">       </w:t>
            </w:r>
          </w:p>
        </w:tc>
        <w:tc>
          <w:tcPr>
            <w:tcW w:w="2710" w:type="dxa"/>
            <w:tcBorders>
              <w:top w:val="nil"/>
              <w:left w:val="nil"/>
              <w:bottom w:val="nil"/>
              <w:right w:val="nil"/>
            </w:tcBorders>
          </w:tcPr>
          <w:p w:rsidR="008C2F11" w:rsidRDefault="00583266" w:rsidP="00E96DD9">
            <w:pPr>
              <w:pStyle w:val="BodyRuller"/>
              <w:rPr>
                <w:sz w:val="24"/>
                <w:szCs w:val="24"/>
              </w:rPr>
            </w:pPr>
            <w:r>
              <w:t>(</w:t>
            </w:r>
            <w:r w:rsidR="00E96DD9">
              <w:t>12</w:t>
            </w:r>
            <w:r>
              <w:t>.</w:t>
            </w:r>
            <w:r w:rsidR="00E96DD9">
              <w:t>9</w:t>
            </w:r>
            <w:r>
              <w:t>.</w:t>
            </w:r>
            <w:r w:rsidR="00E96DD9">
              <w:t>2</w:t>
            </w:r>
            <w:r>
              <w:t>0</w:t>
            </w:r>
            <w:r w:rsidR="00E96DD9">
              <w:t>22</w:t>
            </w:r>
            <w:r>
              <w:t>)</w:t>
            </w:r>
            <w:r w:rsidR="00200D6B">
              <w:t xml:space="preserve"> </w:t>
            </w:r>
          </w:p>
        </w:tc>
      </w:tr>
    </w:tbl>
    <w:p w:rsidR="00E96DD9" w:rsidRDefault="00E96DD9">
      <w:pPr>
        <w:pStyle w:val="Ruller3"/>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5150"/>
      </w:tblGrid>
      <w:tr w:rsidR="00036227" w:rsidTr="00D00B1D">
        <w:tc>
          <w:tcPr>
            <w:tcW w:w="3257" w:type="dxa"/>
            <w:tcBorders>
              <w:top w:val="nil"/>
              <w:left w:val="nil"/>
              <w:bottom w:val="nil"/>
              <w:right w:val="nil"/>
            </w:tcBorders>
          </w:tcPr>
          <w:p w:rsidR="00036227" w:rsidRDefault="00583266">
            <w:pPr>
              <w:pStyle w:val="BodyRuller"/>
            </w:pPr>
            <w:r>
              <w:rPr>
                <w:rtl/>
              </w:rPr>
              <w:t>בשם המערער</w:t>
            </w:r>
            <w:r w:rsidR="000F14D9">
              <w:rPr>
                <w:rFonts w:hint="cs"/>
                <w:rtl/>
              </w:rPr>
              <w:t xml:space="preserve"> בע"א  9308/20 והמשיב בע"א 8116/20</w:t>
            </w:r>
            <w:r>
              <w:rPr>
                <w:rtl/>
              </w:rPr>
              <w:t>:</w:t>
            </w:r>
          </w:p>
        </w:tc>
        <w:tc>
          <w:tcPr>
            <w:tcW w:w="5238" w:type="dxa"/>
            <w:tcBorders>
              <w:top w:val="nil"/>
              <w:left w:val="nil"/>
              <w:bottom w:val="nil"/>
              <w:right w:val="nil"/>
            </w:tcBorders>
          </w:tcPr>
          <w:p w:rsidR="00036227" w:rsidRDefault="000F14D9">
            <w:pPr>
              <w:pStyle w:val="BodyRuller"/>
            </w:pPr>
            <w:r>
              <w:rPr>
                <w:rFonts w:hint="cs"/>
                <w:rtl/>
              </w:rPr>
              <w:t xml:space="preserve">עו"ד יורם </w:t>
            </w:r>
            <w:proofErr w:type="spellStart"/>
            <w:r>
              <w:rPr>
                <w:rFonts w:hint="cs"/>
                <w:rtl/>
              </w:rPr>
              <w:t>הירשברג</w:t>
            </w:r>
            <w:proofErr w:type="spellEnd"/>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5"/>
        <w:gridCol w:w="5148"/>
      </w:tblGrid>
      <w:tr w:rsidR="000F14D9" w:rsidTr="003E4E8E">
        <w:tc>
          <w:tcPr>
            <w:tcW w:w="3257" w:type="dxa"/>
            <w:tcBorders>
              <w:top w:val="nil"/>
              <w:left w:val="nil"/>
              <w:bottom w:val="nil"/>
              <w:right w:val="nil"/>
            </w:tcBorders>
          </w:tcPr>
          <w:p w:rsidR="000F14D9" w:rsidRDefault="000F14D9" w:rsidP="003E4E8E">
            <w:pPr>
              <w:pStyle w:val="BodyRuller"/>
            </w:pPr>
            <w:r>
              <w:rPr>
                <w:rtl/>
              </w:rPr>
              <w:t>בשם המערער</w:t>
            </w:r>
            <w:r>
              <w:rPr>
                <w:rFonts w:hint="cs"/>
                <w:rtl/>
              </w:rPr>
              <w:t xml:space="preserve"> בע"א 8116/21</w:t>
            </w:r>
            <w:r>
              <w:rPr>
                <w:rtl/>
              </w:rPr>
              <w:t>:</w:t>
            </w:r>
          </w:p>
        </w:tc>
        <w:tc>
          <w:tcPr>
            <w:tcW w:w="5238" w:type="dxa"/>
            <w:tcBorders>
              <w:top w:val="nil"/>
              <w:left w:val="nil"/>
              <w:bottom w:val="nil"/>
              <w:right w:val="nil"/>
            </w:tcBorders>
          </w:tcPr>
          <w:p w:rsidR="000F14D9" w:rsidRDefault="000F14D9" w:rsidP="003E4E8E">
            <w:pPr>
              <w:pStyle w:val="BodyRuller"/>
            </w:pPr>
            <w:r>
              <w:rPr>
                <w:rFonts w:hint="cs"/>
                <w:rtl/>
              </w:rPr>
              <w:t>עו"ד יניב שקל; עו"ד לינור בוני</w:t>
            </w:r>
          </w:p>
        </w:tc>
      </w:tr>
    </w:tbl>
    <w:p w:rsidR="000F14D9" w:rsidRPr="000F14D9" w:rsidRDefault="000F14D9">
      <w:pPr>
        <w:pStyle w:val="Ruller3"/>
        <w:rPr>
          <w:rtl/>
        </w:rPr>
      </w:pPr>
    </w:p>
    <w:tbl>
      <w:tblPr>
        <w:bidiVisual/>
        <w:tblW w:w="8364" w:type="dxa"/>
        <w:tblLayout w:type="fixed"/>
        <w:tblLook w:val="0000" w:firstRow="0" w:lastRow="0" w:firstColumn="0" w:lastColumn="0" w:noHBand="0" w:noVBand="0"/>
      </w:tblPr>
      <w:tblGrid>
        <w:gridCol w:w="3210"/>
        <w:gridCol w:w="5154"/>
      </w:tblGrid>
      <w:tr w:rsidR="000F14D9" w:rsidTr="003E4E8E">
        <w:trPr>
          <w:trHeight w:val="287"/>
        </w:trPr>
        <w:tc>
          <w:tcPr>
            <w:tcW w:w="3210" w:type="dxa"/>
          </w:tcPr>
          <w:p w:rsidR="000F14D9" w:rsidRPr="00E75223" w:rsidRDefault="000F14D9" w:rsidP="000F14D9">
            <w:pPr>
              <w:pStyle w:val="BodyRuller"/>
              <w:rPr>
                <w:rFonts w:ascii="David" w:hAnsi="David"/>
              </w:rPr>
            </w:pPr>
            <w:r>
              <w:rPr>
                <w:rFonts w:ascii="David" w:hAnsi="David" w:hint="cs"/>
                <w:rtl/>
              </w:rPr>
              <w:t xml:space="preserve">בשם </w:t>
            </w:r>
            <w:r>
              <w:rPr>
                <w:rFonts w:ascii="David" w:hAnsi="David"/>
                <w:rtl/>
              </w:rPr>
              <w:t>המשיב</w:t>
            </w:r>
            <w:r>
              <w:rPr>
                <w:rFonts w:ascii="David" w:hAnsi="David" w:hint="cs"/>
                <w:rtl/>
              </w:rPr>
              <w:t>ה 1 בע"א 9308/20</w:t>
            </w:r>
            <w:r>
              <w:rPr>
                <w:rFonts w:ascii="David" w:hAnsi="David"/>
                <w:rtl/>
              </w:rPr>
              <w:t>:</w:t>
            </w:r>
          </w:p>
        </w:tc>
        <w:tc>
          <w:tcPr>
            <w:tcW w:w="5154" w:type="dxa"/>
          </w:tcPr>
          <w:p w:rsidR="000F14D9" w:rsidRDefault="000F14D9" w:rsidP="000F14D9">
            <w:pPr>
              <w:pStyle w:val="BodyRuller"/>
            </w:pPr>
            <w:r>
              <w:rPr>
                <w:rFonts w:hint="cs"/>
                <w:rtl/>
              </w:rPr>
              <w:t>עו"ד אורן אוזן; עו"ד אוהד איציק</w:t>
            </w:r>
          </w:p>
        </w:tc>
      </w:tr>
    </w:tbl>
    <w:p w:rsidR="000F14D9" w:rsidRDefault="000F14D9">
      <w:pPr>
        <w:pStyle w:val="Ruller3"/>
        <w:rPr>
          <w:rtl/>
        </w:rPr>
      </w:pPr>
    </w:p>
    <w:tbl>
      <w:tblPr>
        <w:bidiVisual/>
        <w:tblW w:w="8390" w:type="dxa"/>
        <w:tblLayout w:type="fixed"/>
        <w:tblLook w:val="0000" w:firstRow="0" w:lastRow="0" w:firstColumn="0" w:lastColumn="0" w:noHBand="0" w:noVBand="0"/>
      </w:tblPr>
      <w:tblGrid>
        <w:gridCol w:w="27"/>
        <w:gridCol w:w="3183"/>
        <w:gridCol w:w="34"/>
        <w:gridCol w:w="5119"/>
        <w:gridCol w:w="27"/>
      </w:tblGrid>
      <w:tr w:rsidR="000F14D9" w:rsidTr="000F14D9">
        <w:trPr>
          <w:gridAfter w:val="1"/>
          <w:wAfter w:w="26" w:type="dxa"/>
          <w:trHeight w:val="287"/>
        </w:trPr>
        <w:tc>
          <w:tcPr>
            <w:tcW w:w="3210" w:type="dxa"/>
            <w:gridSpan w:val="2"/>
          </w:tcPr>
          <w:p w:rsidR="000F14D9" w:rsidRPr="00E75223" w:rsidRDefault="000F14D9" w:rsidP="000F14D9">
            <w:pPr>
              <w:pStyle w:val="BodyRuller"/>
              <w:rPr>
                <w:rFonts w:ascii="David" w:hAnsi="David"/>
              </w:rPr>
            </w:pPr>
            <w:r>
              <w:rPr>
                <w:rFonts w:ascii="David" w:hAnsi="David" w:hint="cs"/>
                <w:rtl/>
              </w:rPr>
              <w:t xml:space="preserve">בשם </w:t>
            </w:r>
            <w:r>
              <w:rPr>
                <w:rFonts w:ascii="David" w:hAnsi="David"/>
                <w:rtl/>
              </w:rPr>
              <w:t>המשיב</w:t>
            </w:r>
            <w:r>
              <w:rPr>
                <w:rFonts w:ascii="David" w:hAnsi="David" w:hint="cs"/>
                <w:rtl/>
              </w:rPr>
              <w:t>ים 2-5 בע"א 9308/20</w:t>
            </w:r>
            <w:r>
              <w:rPr>
                <w:rFonts w:ascii="David" w:hAnsi="David"/>
                <w:rtl/>
              </w:rPr>
              <w:t>:</w:t>
            </w:r>
          </w:p>
        </w:tc>
        <w:tc>
          <w:tcPr>
            <w:tcW w:w="5154" w:type="dxa"/>
            <w:gridSpan w:val="2"/>
          </w:tcPr>
          <w:p w:rsidR="000F14D9" w:rsidRDefault="000F14D9" w:rsidP="000F14D9">
            <w:pPr>
              <w:pStyle w:val="BodyRuller"/>
              <w:rPr>
                <w:rtl/>
              </w:rPr>
            </w:pPr>
            <w:r>
              <w:rPr>
                <w:rFonts w:hint="cs"/>
                <w:rtl/>
              </w:rPr>
              <w:t xml:space="preserve">עו"ד יהושע גבעון </w:t>
            </w:r>
          </w:p>
          <w:p w:rsidR="000F14D9" w:rsidRDefault="000F14D9" w:rsidP="003E4E8E">
            <w:pPr>
              <w:pStyle w:val="BodyRuller"/>
            </w:pPr>
          </w:p>
        </w:tc>
      </w:tr>
      <w:tr w:rsidR="00583266" w:rsidTr="000F14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Pr>
        <w:tc>
          <w:tcPr>
            <w:tcW w:w="3217" w:type="dxa"/>
            <w:gridSpan w:val="2"/>
            <w:tcBorders>
              <w:top w:val="nil"/>
              <w:left w:val="nil"/>
              <w:bottom w:val="nil"/>
              <w:right w:val="nil"/>
            </w:tcBorders>
          </w:tcPr>
          <w:p w:rsidR="00583266" w:rsidRDefault="00583266" w:rsidP="000F14D9">
            <w:pPr>
              <w:overflowPunct/>
              <w:autoSpaceDE/>
              <w:autoSpaceDN/>
              <w:bidi w:val="0"/>
              <w:adjustRightInd/>
              <w:textAlignment w:val="auto"/>
            </w:pPr>
          </w:p>
        </w:tc>
        <w:tc>
          <w:tcPr>
            <w:tcW w:w="5146" w:type="dxa"/>
            <w:gridSpan w:val="2"/>
            <w:tcBorders>
              <w:top w:val="nil"/>
              <w:left w:val="nil"/>
              <w:bottom w:val="nil"/>
              <w:right w:val="nil"/>
            </w:tcBorders>
          </w:tcPr>
          <w:p w:rsidR="00583266" w:rsidRDefault="00583266">
            <w:pPr>
              <w:pStyle w:val="BodyRuller"/>
              <w:rPr>
                <w:rtl/>
              </w:rPr>
            </w:pPr>
          </w:p>
        </w:tc>
      </w:tr>
      <w:tr w:rsidR="00583266" w:rsidTr="000F14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Pr>
        <w:tc>
          <w:tcPr>
            <w:tcW w:w="3217" w:type="dxa"/>
            <w:gridSpan w:val="2"/>
            <w:tcBorders>
              <w:top w:val="nil"/>
              <w:left w:val="nil"/>
              <w:bottom w:val="nil"/>
              <w:right w:val="nil"/>
            </w:tcBorders>
          </w:tcPr>
          <w:p w:rsidR="00583266" w:rsidRDefault="00583266">
            <w:pPr>
              <w:pStyle w:val="BodyRuller"/>
            </w:pPr>
          </w:p>
        </w:tc>
        <w:tc>
          <w:tcPr>
            <w:tcW w:w="5146" w:type="dxa"/>
            <w:gridSpan w:val="2"/>
            <w:tcBorders>
              <w:top w:val="nil"/>
              <w:left w:val="nil"/>
              <w:bottom w:val="nil"/>
              <w:right w:val="nil"/>
            </w:tcBorders>
          </w:tcPr>
          <w:p w:rsidR="00583266" w:rsidRDefault="00583266">
            <w:pPr>
              <w:pStyle w:val="BodyRuller"/>
              <w:rPr>
                <w:rtl/>
              </w:rPr>
            </w:pPr>
          </w:p>
        </w:tc>
      </w:tr>
      <w:tr w:rsidR="00036227" w:rsidTr="000F14D9">
        <w:trPr>
          <w:gridAfter w:val="1"/>
          <w:wAfter w:w="27" w:type="dxa"/>
        </w:trPr>
        <w:tc>
          <w:tcPr>
            <w:tcW w:w="8363" w:type="dxa"/>
            <w:gridSpan w:val="4"/>
          </w:tcPr>
          <w:p w:rsidR="00916FF8" w:rsidRDefault="00583266">
            <w:pPr>
              <w:pStyle w:val="DocumentHead"/>
            </w:pPr>
            <w:bookmarkStart w:id="1" w:name="secretary"/>
            <w:bookmarkStart w:id="2" w:name="BeginProtocol"/>
            <w:bookmarkEnd w:id="1"/>
            <w:bookmarkEnd w:id="2"/>
            <w:r>
              <w:rPr>
                <w:rtl/>
              </w:rPr>
              <w:t>פסק-דין</w:t>
            </w:r>
          </w:p>
        </w:tc>
      </w:tr>
    </w:tbl>
    <w:p w:rsidR="0065522F" w:rsidRDefault="0065522F">
      <w:pPr>
        <w:pStyle w:val="BODYVERDICT"/>
      </w:pPr>
    </w:p>
    <w:p w:rsidR="00916FF8" w:rsidRPr="00503A3E" w:rsidRDefault="00583266">
      <w:pPr>
        <w:pStyle w:val="BODYVERDICT"/>
        <w:rPr>
          <w:rFonts w:cs="Miriam"/>
          <w:sz w:val="24"/>
          <w:szCs w:val="24"/>
          <w:u w:val="single"/>
          <w:rtl/>
        </w:rPr>
      </w:pPr>
      <w:bookmarkStart w:id="3" w:name="Writer_Name"/>
      <w:bookmarkEnd w:id="3"/>
      <w:r>
        <w:rPr>
          <w:rFonts w:cs="Miriam"/>
          <w:sz w:val="24"/>
          <w:szCs w:val="24"/>
          <w:u w:val="single"/>
          <w:rtl/>
        </w:rPr>
        <w:t>השופט א' שטיין:</w:t>
      </w:r>
    </w:p>
    <w:p w:rsidR="000B1478" w:rsidRDefault="000B1478" w:rsidP="00A51FAE">
      <w:pPr>
        <w:pStyle w:val="Ruller41"/>
        <w:rPr>
          <w:rtl/>
        </w:rPr>
      </w:pPr>
      <w:bookmarkStart w:id="4" w:name="Start_Write"/>
      <w:bookmarkEnd w:id="4"/>
    </w:p>
    <w:p w:rsidR="00F05533" w:rsidRPr="00CE0744" w:rsidRDefault="00F05533" w:rsidP="00F05533">
      <w:pPr>
        <w:pStyle w:val="Ruller4"/>
        <w:rPr>
          <w:rFonts w:ascii="Century" w:hAnsi="Century"/>
          <w:sz w:val="22"/>
        </w:rPr>
      </w:pPr>
      <w:r>
        <w:rPr>
          <w:rFonts w:hint="cs"/>
          <w:rtl/>
        </w:rPr>
        <w:t xml:space="preserve">הערעורים שלפנינו נסובים על תוצאות המס של </w:t>
      </w:r>
      <w:r w:rsidRPr="00F911DC">
        <w:rPr>
          <w:rFonts w:ascii="Century" w:hAnsi="Century" w:cs="Miriam" w:hint="cs"/>
          <w:b/>
          <w:spacing w:val="0"/>
          <w:sz w:val="22"/>
          <w:szCs w:val="24"/>
          <w:rtl/>
        </w:rPr>
        <w:t>רכישה עצמית דיספרופורציונית</w:t>
      </w:r>
      <w:r>
        <w:rPr>
          <w:rFonts w:ascii="Century" w:hAnsi="Century" w:hint="cs"/>
          <w:sz w:val="22"/>
          <w:rtl/>
        </w:rPr>
        <w:t xml:space="preserve">: עסקה שבמסגרתה חברה רוכשת את מניותיה שלה מבעליהן, שלא בהתאם לחלקם היחסי בהון המניות הכולל. </w:t>
      </w:r>
      <w:r>
        <w:rPr>
          <w:rFonts w:hint="cs"/>
          <w:rtl/>
        </w:rPr>
        <w:t xml:space="preserve">ובפרט </w:t>
      </w:r>
      <w:r>
        <w:rPr>
          <w:rtl/>
        </w:rPr>
        <w:t>–</w:t>
      </w:r>
      <w:r>
        <w:rPr>
          <w:rFonts w:hint="cs"/>
          <w:rtl/>
        </w:rPr>
        <w:t xml:space="preserve"> האם רכישה עצמית דיספרופורציונית, אשר מתבצעת בגדרו של סעיף 308 לחוק החברות, התשנ"ט-1999 (להלן: </w:t>
      </w:r>
      <w:r w:rsidRPr="00094A2A">
        <w:rPr>
          <w:rFonts w:ascii="Century" w:hAnsi="Century" w:cs="Miriam" w:hint="cs"/>
          <w:b/>
          <w:spacing w:val="0"/>
          <w:sz w:val="22"/>
          <w:szCs w:val="24"/>
          <w:rtl/>
        </w:rPr>
        <w:t>חוק החברות</w:t>
      </w:r>
      <w:r w:rsidRPr="00094A2A">
        <w:rPr>
          <w:rFonts w:ascii="Century" w:hAnsi="Century" w:hint="cs"/>
          <w:sz w:val="22"/>
          <w:rtl/>
        </w:rPr>
        <w:t xml:space="preserve">), מחוללת אירוע מס </w:t>
      </w:r>
      <w:r>
        <w:rPr>
          <w:rFonts w:ascii="Century" w:hAnsi="Century" w:hint="cs"/>
          <w:sz w:val="22"/>
          <w:rtl/>
        </w:rPr>
        <w:t xml:space="preserve">אצל </w:t>
      </w:r>
      <w:r w:rsidRPr="00094A2A">
        <w:rPr>
          <w:rFonts w:ascii="Century" w:hAnsi="Century" w:hint="cs"/>
          <w:sz w:val="22"/>
          <w:rtl/>
        </w:rPr>
        <w:t>בעלי המניות אשר נמנעו ממכירת מניותיהם</w:t>
      </w:r>
      <w:r>
        <w:rPr>
          <w:rFonts w:ascii="Century" w:hAnsi="Century" w:hint="cs"/>
          <w:sz w:val="22"/>
          <w:rtl/>
        </w:rPr>
        <w:t xml:space="preserve"> </w:t>
      </w:r>
      <w:r>
        <w:rPr>
          <w:rFonts w:ascii="Century" w:hAnsi="Century"/>
          <w:sz w:val="22"/>
          <w:rtl/>
        </w:rPr>
        <w:t>–</w:t>
      </w:r>
      <w:r>
        <w:rPr>
          <w:rFonts w:ascii="Century" w:hAnsi="Century" w:hint="cs"/>
          <w:sz w:val="22"/>
          <w:rtl/>
        </w:rPr>
        <w:t xml:space="preserve"> או מכרו פחות מניות בהשוואה למוכרים אחרים </w:t>
      </w:r>
      <w:r>
        <w:rPr>
          <w:rFonts w:ascii="Century" w:hAnsi="Century"/>
          <w:sz w:val="22"/>
          <w:rtl/>
        </w:rPr>
        <w:t>–</w:t>
      </w:r>
      <w:r>
        <w:rPr>
          <w:rFonts w:ascii="Century" w:hAnsi="Century" w:hint="cs"/>
          <w:sz w:val="22"/>
          <w:rtl/>
        </w:rPr>
        <w:t xml:space="preserve"> בשל העלייה ב</w:t>
      </w:r>
      <w:r w:rsidRPr="00CE0744">
        <w:rPr>
          <w:rFonts w:ascii="Century" w:hAnsi="Century" w:hint="cs"/>
          <w:sz w:val="22"/>
          <w:rtl/>
        </w:rPr>
        <w:t xml:space="preserve">חלקם היחסי בהון המניות של החברה, בהשוואה למצב הקודם? </w:t>
      </w:r>
    </w:p>
    <w:p w:rsidR="00F05533" w:rsidRDefault="00F05533" w:rsidP="00F05533">
      <w:pPr>
        <w:pStyle w:val="Ruller4"/>
        <w:numPr>
          <w:ilvl w:val="0"/>
          <w:numId w:val="0"/>
        </w:numPr>
        <w:rPr>
          <w:rFonts w:ascii="Century" w:hAnsi="Century"/>
          <w:sz w:val="22"/>
          <w:rtl/>
        </w:rPr>
      </w:pPr>
    </w:p>
    <w:p w:rsidR="00F05533" w:rsidRPr="00094A2A" w:rsidRDefault="00F05533" w:rsidP="00F05533">
      <w:pPr>
        <w:pStyle w:val="Ruller4"/>
        <w:numPr>
          <w:ilvl w:val="0"/>
          <w:numId w:val="0"/>
        </w:numPr>
        <w:rPr>
          <w:rFonts w:ascii="Century" w:hAnsi="Century"/>
          <w:sz w:val="22"/>
          <w:rtl/>
        </w:rPr>
      </w:pPr>
      <w:r>
        <w:rPr>
          <w:rFonts w:ascii="Century" w:hAnsi="Century"/>
          <w:sz w:val="22"/>
          <w:rtl/>
        </w:rPr>
        <w:tab/>
      </w:r>
      <w:r>
        <w:rPr>
          <w:rFonts w:ascii="Century" w:hAnsi="Century" w:hint="cs"/>
          <w:sz w:val="22"/>
          <w:rtl/>
        </w:rPr>
        <w:t>ב</w:t>
      </w:r>
      <w:r w:rsidRPr="00094A2A">
        <w:rPr>
          <w:rFonts w:ascii="Century" w:hAnsi="Century" w:hint="cs"/>
          <w:sz w:val="22"/>
          <w:rtl/>
        </w:rPr>
        <w:t xml:space="preserve">שאלה </w:t>
      </w:r>
      <w:r>
        <w:rPr>
          <w:rFonts w:ascii="Century" w:hAnsi="Century" w:hint="cs"/>
          <w:sz w:val="22"/>
          <w:rtl/>
        </w:rPr>
        <w:t xml:space="preserve">חשובה </w:t>
      </w:r>
      <w:r w:rsidRPr="00094A2A">
        <w:rPr>
          <w:rFonts w:ascii="Century" w:hAnsi="Century" w:hint="cs"/>
          <w:sz w:val="22"/>
          <w:rtl/>
        </w:rPr>
        <w:t xml:space="preserve">זו </w:t>
      </w:r>
      <w:r>
        <w:rPr>
          <w:rFonts w:ascii="Century" w:hAnsi="Century" w:hint="cs"/>
          <w:sz w:val="22"/>
          <w:rtl/>
        </w:rPr>
        <w:t>נעסוק כאן</w:t>
      </w:r>
      <w:r w:rsidRPr="00094A2A">
        <w:rPr>
          <w:rFonts w:ascii="Century" w:hAnsi="Century" w:hint="cs"/>
          <w:sz w:val="22"/>
          <w:rtl/>
        </w:rPr>
        <w:t xml:space="preserve">. </w:t>
      </w:r>
    </w:p>
    <w:p w:rsidR="00F05533" w:rsidRDefault="00F05533" w:rsidP="00F05533">
      <w:pPr>
        <w:pStyle w:val="Ruller41"/>
        <w:rPr>
          <w:rtl/>
        </w:rPr>
      </w:pPr>
    </w:p>
    <w:p w:rsidR="00F05533" w:rsidRDefault="00F05533" w:rsidP="00F05533">
      <w:pPr>
        <w:pStyle w:val="Ruller4"/>
        <w:rPr>
          <w:rtl/>
        </w:rPr>
      </w:pPr>
      <w:r>
        <w:rPr>
          <w:rFonts w:hint="cs"/>
          <w:rtl/>
        </w:rPr>
        <w:t xml:space="preserve">במסגרתו של ע"א 9308/20 נידון ערעורו של פקיד שומה עכו על פסק דינו של בית המשפט המחוזי חיפה (השופטת </w:t>
      </w:r>
      <w:r w:rsidRPr="0005200F">
        <w:rPr>
          <w:rFonts w:ascii="Century" w:hAnsi="Century" w:cs="Miriam" w:hint="cs"/>
          <w:b/>
          <w:spacing w:val="0"/>
          <w:szCs w:val="24"/>
          <w:rtl/>
        </w:rPr>
        <w:t xml:space="preserve">א' </w:t>
      </w:r>
      <w:proofErr w:type="spellStart"/>
      <w:r w:rsidRPr="0005200F">
        <w:rPr>
          <w:rFonts w:ascii="Century" w:hAnsi="Century" w:cs="Miriam" w:hint="cs"/>
          <w:b/>
          <w:spacing w:val="0"/>
          <w:szCs w:val="24"/>
          <w:rtl/>
        </w:rPr>
        <w:t>וינשטיין</w:t>
      </w:r>
      <w:proofErr w:type="spellEnd"/>
      <w:r>
        <w:rPr>
          <w:rFonts w:hint="cs"/>
          <w:rtl/>
        </w:rPr>
        <w:t xml:space="preserve">) (להלן: </w:t>
      </w:r>
      <w:r w:rsidRPr="000828F4">
        <w:rPr>
          <w:rFonts w:ascii="Century" w:hAnsi="Century" w:cs="Miriam" w:hint="cs"/>
          <w:b/>
          <w:spacing w:val="0"/>
          <w:sz w:val="22"/>
          <w:szCs w:val="24"/>
          <w:rtl/>
        </w:rPr>
        <w:t>בית משפט קמא</w:t>
      </w:r>
      <w:r>
        <w:rPr>
          <w:rFonts w:ascii="Century" w:hAnsi="Century" w:cs="Miriam" w:hint="cs"/>
          <w:b/>
          <w:spacing w:val="0"/>
          <w:sz w:val="22"/>
          <w:szCs w:val="24"/>
          <w:rtl/>
        </w:rPr>
        <w:t>-</w:t>
      </w:r>
      <w:r w:rsidRPr="000828F4">
        <w:rPr>
          <w:rFonts w:ascii="Century" w:hAnsi="Century" w:cs="Miriam" w:hint="cs"/>
          <w:b/>
          <w:spacing w:val="0"/>
          <w:sz w:val="22"/>
          <w:szCs w:val="24"/>
          <w:rtl/>
        </w:rPr>
        <w:t>חיפה</w:t>
      </w:r>
      <w:r>
        <w:rPr>
          <w:rFonts w:hint="cs"/>
          <w:rtl/>
        </w:rPr>
        <w:t>) אשר ניתן ביום 1.11.2020 בע"מ 71455-12-18. בפסק דין זה דחה בית משפט קמא-חיפה את עמדתו של פקיד השומה וקבע כי אין לייחס</w:t>
      </w:r>
      <w:r w:rsidRPr="005E0797">
        <w:rPr>
          <w:rFonts w:hint="cs"/>
          <w:rtl/>
        </w:rPr>
        <w:t xml:space="preserve"> </w:t>
      </w:r>
      <w:r>
        <w:rPr>
          <w:rFonts w:hint="cs"/>
          <w:rtl/>
        </w:rPr>
        <w:t xml:space="preserve">לבעלי המניות אשר נמנעו ממכירת מניותיהם, במסגרת הרכישה העצמית </w:t>
      </w:r>
      <w:proofErr w:type="spellStart"/>
      <w:r>
        <w:rPr>
          <w:rFonts w:hint="cs"/>
          <w:rtl/>
        </w:rPr>
        <w:t>דשם</w:t>
      </w:r>
      <w:proofErr w:type="spellEnd"/>
      <w:r>
        <w:rPr>
          <w:rFonts w:hint="cs"/>
          <w:rtl/>
        </w:rPr>
        <w:t xml:space="preserve">, הפקת הכנסה בדמות דיבידנד רעיוני. עמדה זו שנדחתה נסמכה על סיווגה מחדש של עסקת הרכישה העצמית כעסקה דו-שלבית עם קיזוז תמורה </w:t>
      </w:r>
      <w:r>
        <w:rPr>
          <w:rtl/>
        </w:rPr>
        <w:t>–</w:t>
      </w:r>
      <w:r>
        <w:rPr>
          <w:rFonts w:hint="cs"/>
          <w:rtl/>
        </w:rPr>
        <w:t xml:space="preserve"> דהיינו: רכישת מלוא מניותיה של בעלת המניות המוכרת על ידי</w:t>
      </w:r>
      <w:r w:rsidRPr="00B07385">
        <w:rPr>
          <w:rFonts w:hint="cs"/>
          <w:rtl/>
        </w:rPr>
        <w:t xml:space="preserve"> </w:t>
      </w:r>
      <w:r>
        <w:rPr>
          <w:rFonts w:hint="cs"/>
          <w:rtl/>
        </w:rPr>
        <w:t xml:space="preserve">יתר בעלי המניות בחברה, בהתאם לשיעור </w:t>
      </w:r>
      <w:proofErr w:type="spellStart"/>
      <w:r>
        <w:rPr>
          <w:rFonts w:hint="cs"/>
          <w:rtl/>
        </w:rPr>
        <w:t>החזקותיהם</w:t>
      </w:r>
      <w:proofErr w:type="spellEnd"/>
      <w:r>
        <w:rPr>
          <w:rFonts w:hint="cs"/>
          <w:rtl/>
        </w:rPr>
        <w:t xml:space="preserve"> בחברה, ומכירתן הסימולטנית לידי החברה בעבור דמי-הרכישה המשולמים על ידי החברה ישירות למוכרת (להלן: עניין </w:t>
      </w:r>
      <w:r w:rsidRPr="000C7418">
        <w:rPr>
          <w:rFonts w:ascii="Century" w:hAnsi="Century" w:cs="Miriam" w:hint="cs"/>
          <w:b/>
          <w:spacing w:val="0"/>
          <w:sz w:val="22"/>
          <w:szCs w:val="24"/>
          <w:rtl/>
        </w:rPr>
        <w:t>בית חוסן</w:t>
      </w:r>
      <w:r>
        <w:rPr>
          <w:rFonts w:hint="cs"/>
          <w:rtl/>
        </w:rPr>
        <w:t xml:space="preserve">).  </w:t>
      </w:r>
    </w:p>
    <w:p w:rsidR="00F05533" w:rsidRDefault="00F05533" w:rsidP="00F05533">
      <w:pPr>
        <w:pStyle w:val="Ruller41"/>
        <w:rPr>
          <w:rtl/>
        </w:rPr>
      </w:pPr>
    </w:p>
    <w:p w:rsidR="00F05533" w:rsidRDefault="00F05533" w:rsidP="00F05533">
      <w:pPr>
        <w:pStyle w:val="Ruller4"/>
        <w:rPr>
          <w:rtl/>
        </w:rPr>
      </w:pPr>
      <w:r>
        <w:rPr>
          <w:rFonts w:hint="cs"/>
          <w:rtl/>
        </w:rPr>
        <w:t xml:space="preserve">במסגרתו של ע"א 8116/21 נידון ערעור על פסק דינו של בית המשפט המחוזי באר-שבע (השופטת </w:t>
      </w:r>
      <w:r w:rsidRPr="00CC1FFE">
        <w:rPr>
          <w:rFonts w:ascii="Century" w:hAnsi="Century" w:cs="Miriam" w:hint="cs"/>
          <w:b/>
          <w:spacing w:val="0"/>
          <w:szCs w:val="24"/>
          <w:rtl/>
        </w:rPr>
        <w:t>י' ייטב</w:t>
      </w:r>
      <w:r>
        <w:rPr>
          <w:rFonts w:hint="cs"/>
          <w:rtl/>
        </w:rPr>
        <w:t xml:space="preserve">) (להלן: </w:t>
      </w:r>
      <w:r w:rsidRPr="001838B1">
        <w:rPr>
          <w:rFonts w:ascii="Century" w:hAnsi="Century" w:cs="Miriam" w:hint="cs"/>
          <w:b/>
          <w:spacing w:val="0"/>
          <w:sz w:val="22"/>
          <w:szCs w:val="24"/>
          <w:rtl/>
        </w:rPr>
        <w:t>בית משפט קמא</w:t>
      </w:r>
      <w:r>
        <w:rPr>
          <w:rFonts w:ascii="Century" w:hAnsi="Century" w:cs="Miriam" w:hint="cs"/>
          <w:b/>
          <w:spacing w:val="0"/>
          <w:sz w:val="22"/>
          <w:szCs w:val="24"/>
          <w:rtl/>
        </w:rPr>
        <w:t>-</w:t>
      </w:r>
      <w:r w:rsidRPr="001838B1">
        <w:rPr>
          <w:rFonts w:ascii="Century" w:hAnsi="Century" w:cs="Miriam" w:hint="cs"/>
          <w:b/>
          <w:spacing w:val="0"/>
          <w:sz w:val="22"/>
          <w:szCs w:val="24"/>
          <w:rtl/>
        </w:rPr>
        <w:t>ב"ש</w:t>
      </w:r>
      <w:r>
        <w:rPr>
          <w:rFonts w:hint="cs"/>
          <w:rtl/>
        </w:rPr>
        <w:t xml:space="preserve">) אשר ניתן ביום 26.9.2021 בע"מ 38294-02-19. בפסק דין זה דחה בית משפט קמא-ב"ש את ערעורו של המערער הניצב לפנינו, מר מאיר סיידה (להלן: </w:t>
      </w:r>
      <w:r>
        <w:rPr>
          <w:rFonts w:ascii="Century" w:hAnsi="Century" w:cs="Miriam" w:hint="cs"/>
          <w:b/>
          <w:spacing w:val="0"/>
          <w:sz w:val="22"/>
          <w:szCs w:val="24"/>
          <w:rtl/>
        </w:rPr>
        <w:t xml:space="preserve">מאיר </w:t>
      </w:r>
      <w:r>
        <w:rPr>
          <w:rFonts w:ascii="Century" w:hAnsi="Century" w:hint="cs"/>
          <w:sz w:val="22"/>
          <w:rtl/>
        </w:rPr>
        <w:t xml:space="preserve">או </w:t>
      </w:r>
      <w:r w:rsidRPr="00C11C63">
        <w:rPr>
          <w:rFonts w:ascii="Century" w:hAnsi="Century" w:cs="Miriam" w:hint="cs"/>
          <w:b/>
          <w:spacing w:val="0"/>
          <w:sz w:val="22"/>
          <w:szCs w:val="24"/>
          <w:rtl/>
        </w:rPr>
        <w:t>סיידה</w:t>
      </w:r>
      <w:r>
        <w:rPr>
          <w:rFonts w:ascii="Century" w:hAnsi="Century" w:hint="cs"/>
          <w:sz w:val="22"/>
          <w:rtl/>
        </w:rPr>
        <w:t>, לפי העניין</w:t>
      </w:r>
      <w:r>
        <w:rPr>
          <w:rFonts w:hint="cs"/>
          <w:rtl/>
        </w:rPr>
        <w:t xml:space="preserve">) בקבעו כי מהותה הכלכלית של עסקת הרכישה העצמית </w:t>
      </w:r>
      <w:proofErr w:type="spellStart"/>
      <w:r>
        <w:rPr>
          <w:rFonts w:hint="cs"/>
          <w:rtl/>
        </w:rPr>
        <w:t>דשם</w:t>
      </w:r>
      <w:proofErr w:type="spellEnd"/>
      <w:r>
        <w:rPr>
          <w:rFonts w:hint="cs"/>
          <w:rtl/>
        </w:rPr>
        <w:t xml:space="preserve"> לא </w:t>
      </w:r>
      <w:proofErr w:type="spellStart"/>
      <w:r>
        <w:rPr>
          <w:rFonts w:hint="cs"/>
          <w:rtl/>
        </w:rPr>
        <w:t>היתה</w:t>
      </w:r>
      <w:proofErr w:type="spellEnd"/>
      <w:r>
        <w:rPr>
          <w:rFonts w:hint="cs"/>
          <w:rtl/>
        </w:rPr>
        <w:t xml:space="preserve"> אלא זאת: מאיר סיידה </w:t>
      </w:r>
      <w:r>
        <w:rPr>
          <w:rtl/>
        </w:rPr>
        <w:t>–</w:t>
      </w:r>
      <w:r>
        <w:rPr>
          <w:rFonts w:hint="cs"/>
          <w:rtl/>
        </w:rPr>
        <w:t xml:space="preserve"> ולא החברה </w:t>
      </w:r>
      <w:r>
        <w:rPr>
          <w:rtl/>
        </w:rPr>
        <w:t>–</w:t>
      </w:r>
      <w:r>
        <w:rPr>
          <w:rFonts w:hint="cs"/>
          <w:rtl/>
        </w:rPr>
        <w:t xml:space="preserve"> הוא זה שרכש את מניותיו של אחיו, בעל המניות הפורש, תוך עשיית שימוש בכספי החברה. בהתבסס על קביעה זו, אשר תאמה את עמדתו של פקיד השומה, חייב בית המשפט את סיידה בתשלום מס בגין דיבידנד רעיוני בסך של 6,750,000 ש"ח </w:t>
      </w:r>
      <w:r>
        <w:rPr>
          <w:rtl/>
        </w:rPr>
        <w:t>–</w:t>
      </w:r>
      <w:r>
        <w:rPr>
          <w:rFonts w:hint="cs"/>
          <w:rtl/>
        </w:rPr>
        <w:t xml:space="preserve"> מחצית התמורה ששולמה לבעל המניות הפורש בעד מניותיו (להלן: עניין </w:t>
      </w:r>
      <w:r w:rsidRPr="00512FD6">
        <w:rPr>
          <w:rFonts w:ascii="Century" w:hAnsi="Century" w:cs="Miriam" w:hint="cs"/>
          <w:b/>
          <w:spacing w:val="0"/>
          <w:sz w:val="22"/>
          <w:szCs w:val="24"/>
          <w:rtl/>
        </w:rPr>
        <w:t>סיידה</w:t>
      </w:r>
      <w:r>
        <w:rPr>
          <w:rFonts w:hint="cs"/>
          <w:rtl/>
        </w:rPr>
        <w:t>).</w:t>
      </w:r>
    </w:p>
    <w:p w:rsidR="00F05533" w:rsidRPr="00304F69" w:rsidRDefault="00F05533" w:rsidP="00F05533">
      <w:pPr>
        <w:pStyle w:val="Ruller41"/>
        <w:rPr>
          <w:rFonts w:ascii="Century" w:hAnsi="Century" w:cs="Miriam"/>
          <w:b/>
          <w:spacing w:val="0"/>
          <w:szCs w:val="24"/>
          <w:rtl/>
        </w:rPr>
      </w:pPr>
      <w:r>
        <w:rPr>
          <w:rFonts w:ascii="Century" w:hAnsi="Century" w:cs="Miriam" w:hint="cs"/>
          <w:b/>
          <w:spacing w:val="0"/>
          <w:szCs w:val="24"/>
          <w:rtl/>
        </w:rPr>
        <w:lastRenderedPageBreak/>
        <w:t>הערעורים</w:t>
      </w:r>
    </w:p>
    <w:p w:rsidR="00F05533" w:rsidRDefault="00F05533" w:rsidP="00F05533">
      <w:pPr>
        <w:pStyle w:val="Ruller41"/>
        <w:rPr>
          <w:rtl/>
        </w:rPr>
      </w:pPr>
    </w:p>
    <w:p w:rsidR="00F05533" w:rsidRPr="00304F69" w:rsidRDefault="00F05533" w:rsidP="00F05533">
      <w:pPr>
        <w:pStyle w:val="Ruller41"/>
        <w:rPr>
          <w:rFonts w:ascii="Century" w:hAnsi="Century" w:cs="Miriam"/>
          <w:b/>
          <w:spacing w:val="0"/>
          <w:szCs w:val="24"/>
          <w:rtl/>
        </w:rPr>
      </w:pPr>
      <w:r w:rsidRPr="00C60E21">
        <w:rPr>
          <w:rFonts w:ascii="Century" w:hAnsi="Century" w:cs="Miriam" w:hint="cs"/>
          <w:b/>
          <w:spacing w:val="0"/>
          <w:szCs w:val="24"/>
          <w:rtl/>
        </w:rPr>
        <w:t xml:space="preserve">ע"א 9308/20 </w:t>
      </w:r>
      <w:r w:rsidRPr="00C60E21">
        <w:rPr>
          <w:rFonts w:ascii="Century" w:hAnsi="Century" w:cs="Miriam"/>
          <w:b/>
          <w:spacing w:val="0"/>
          <w:szCs w:val="24"/>
          <w:rtl/>
        </w:rPr>
        <w:t>–</w:t>
      </w:r>
      <w:r w:rsidRPr="00C60E21">
        <w:rPr>
          <w:rFonts w:ascii="Century" w:hAnsi="Century" w:cs="Miriam" w:hint="cs"/>
          <w:b/>
          <w:spacing w:val="0"/>
          <w:szCs w:val="24"/>
          <w:rtl/>
        </w:rPr>
        <w:t xml:space="preserve"> </w:t>
      </w:r>
      <w:r w:rsidRPr="00304F69">
        <w:rPr>
          <w:rFonts w:ascii="Century" w:hAnsi="Century" w:cs="Miriam" w:hint="cs"/>
          <w:b/>
          <w:spacing w:val="0"/>
          <w:szCs w:val="24"/>
          <w:rtl/>
        </w:rPr>
        <w:t>עניין בית חוסן</w:t>
      </w:r>
    </w:p>
    <w:p w:rsidR="00F05533" w:rsidRDefault="00F05533" w:rsidP="00F05533">
      <w:pPr>
        <w:pStyle w:val="Ruller41"/>
        <w:rPr>
          <w:rtl/>
        </w:rPr>
      </w:pPr>
    </w:p>
    <w:p w:rsidR="00F05533" w:rsidRDefault="00F05533" w:rsidP="00F05533">
      <w:pPr>
        <w:pStyle w:val="Ruller4"/>
        <w:rPr>
          <w:rtl/>
        </w:rPr>
      </w:pPr>
      <w:r>
        <w:rPr>
          <w:rFonts w:hint="cs"/>
          <w:rtl/>
        </w:rPr>
        <w:t xml:space="preserve">חברת בית חוסן (להלן: </w:t>
      </w:r>
      <w:r w:rsidRPr="00520574">
        <w:rPr>
          <w:rFonts w:ascii="Century" w:hAnsi="Century" w:cs="Miriam" w:hint="cs"/>
          <w:b/>
          <w:spacing w:val="0"/>
          <w:sz w:val="22"/>
          <w:szCs w:val="24"/>
          <w:rtl/>
        </w:rPr>
        <w:t>בית חוסן</w:t>
      </w:r>
      <w:r>
        <w:rPr>
          <w:rFonts w:hint="cs"/>
          <w:rtl/>
        </w:rPr>
        <w:t xml:space="preserve">) היא איגוד מקרקעין, כמשמעו בסעיף 1 לחוק מיסוי מקרקעין (שבח ורכישה), התשכ"ג-1963. בית חוסן מחזיקה בנכס מקרקעין בנהריה המשמש בית אבות. לחברה הכנסות שמקורן בהשכרת הנכס לחברה שמפעילה את בית האבות וכן הכנסות שמקורן במכירת דירות בחלק מהמקרקעין שבבעלותה. </w:t>
      </w:r>
    </w:p>
    <w:p w:rsidR="00F05533" w:rsidRPr="00520574" w:rsidRDefault="00F05533" w:rsidP="00F05533">
      <w:pPr>
        <w:pStyle w:val="Ruller41"/>
      </w:pPr>
    </w:p>
    <w:p w:rsidR="00F05533" w:rsidRDefault="00F05533" w:rsidP="00F05533">
      <w:pPr>
        <w:pStyle w:val="Ruller4"/>
        <w:rPr>
          <w:rtl/>
        </w:rPr>
      </w:pPr>
      <w:r>
        <w:rPr>
          <w:rFonts w:hint="cs"/>
          <w:rtl/>
        </w:rPr>
        <w:t xml:space="preserve">בשנת 2013 נטלה בית חוסן הלוואה לצורך ביצוע רכישה עצמית דיספרופורציונית, במסגרתה נרכשו מלוא מניותיה (18.75% ממניות החברה) של גב' ציפורה </w:t>
      </w:r>
      <w:proofErr w:type="spellStart"/>
      <w:r>
        <w:rPr>
          <w:rFonts w:hint="cs"/>
          <w:rtl/>
        </w:rPr>
        <w:t>נוישטאט</w:t>
      </w:r>
      <w:proofErr w:type="spellEnd"/>
      <w:r>
        <w:rPr>
          <w:rFonts w:hint="cs"/>
          <w:rtl/>
        </w:rPr>
        <w:t xml:space="preserve"> (להלן: </w:t>
      </w:r>
      <w:r w:rsidRPr="00520574">
        <w:rPr>
          <w:rFonts w:ascii="Century" w:hAnsi="Century" w:cs="Miriam" w:hint="cs"/>
          <w:b/>
          <w:spacing w:val="0"/>
          <w:sz w:val="22"/>
          <w:szCs w:val="24"/>
          <w:rtl/>
        </w:rPr>
        <w:t>ציפורה</w:t>
      </w:r>
      <w:r>
        <w:rPr>
          <w:rFonts w:hint="cs"/>
          <w:rtl/>
        </w:rPr>
        <w:t xml:space="preserve">) </w:t>
      </w:r>
      <w:r>
        <w:rPr>
          <w:rtl/>
        </w:rPr>
        <w:t>–</w:t>
      </w:r>
      <w:r>
        <w:rPr>
          <w:rFonts w:hint="cs"/>
          <w:rtl/>
        </w:rPr>
        <w:t xml:space="preserve"> אשתו לשעבר של מייסד בית חוסן, מר משה שרון (להלן: </w:t>
      </w:r>
      <w:r w:rsidRPr="00520574">
        <w:rPr>
          <w:rFonts w:ascii="Century" w:hAnsi="Century" w:cs="Miriam" w:hint="cs"/>
          <w:b/>
          <w:spacing w:val="0"/>
          <w:sz w:val="22"/>
          <w:szCs w:val="24"/>
          <w:rtl/>
        </w:rPr>
        <w:t>משה</w:t>
      </w:r>
      <w:r>
        <w:rPr>
          <w:rFonts w:hint="cs"/>
          <w:rtl/>
        </w:rPr>
        <w:t xml:space="preserve">) </w:t>
      </w:r>
      <w:r>
        <w:rPr>
          <w:rtl/>
        </w:rPr>
        <w:t>–</w:t>
      </w:r>
      <w:r>
        <w:rPr>
          <w:rFonts w:hint="cs"/>
          <w:rtl/>
        </w:rPr>
        <w:t xml:space="preserve"> תמורת 2,486,000 ש"ח. רכישה זו בוצעה במסגרת הסכם הפשרה ליישוב תביעתה של ציפורה להסרת קיפוחה כבעלת מניות, אשר הוגשה נגד בית חוסן ונושאי המשרה בחברה </w:t>
      </w:r>
      <w:r>
        <w:rPr>
          <w:rtl/>
        </w:rPr>
        <w:t>–</w:t>
      </w:r>
      <w:r>
        <w:rPr>
          <w:rFonts w:hint="cs"/>
          <w:rtl/>
        </w:rPr>
        <w:t xml:space="preserve"> גב' אורלי שרון, דירקטורית בחברה ואשתו הנוכחית של משה (להלן: </w:t>
      </w:r>
      <w:r w:rsidRPr="000C7418">
        <w:rPr>
          <w:rFonts w:ascii="Century" w:hAnsi="Century" w:cs="Miriam" w:hint="cs"/>
          <w:b/>
          <w:spacing w:val="0"/>
          <w:sz w:val="22"/>
          <w:szCs w:val="24"/>
          <w:rtl/>
        </w:rPr>
        <w:t>אורלי</w:t>
      </w:r>
      <w:r w:rsidRPr="000C7418">
        <w:rPr>
          <w:rFonts w:ascii="Century" w:hAnsi="Century" w:hint="cs"/>
          <w:sz w:val="22"/>
          <w:rtl/>
        </w:rPr>
        <w:t>),</w:t>
      </w:r>
      <w:r w:rsidRPr="000C7418">
        <w:rPr>
          <w:rFonts w:ascii="Century" w:hAnsi="Century" w:cs="Miriam" w:hint="cs"/>
          <w:b/>
          <w:spacing w:val="0"/>
          <w:sz w:val="22"/>
          <w:szCs w:val="24"/>
          <w:rtl/>
        </w:rPr>
        <w:t xml:space="preserve"> </w:t>
      </w:r>
      <w:r>
        <w:rPr>
          <w:rFonts w:hint="cs"/>
          <w:rtl/>
        </w:rPr>
        <w:t xml:space="preserve">ומר אבירם </w:t>
      </w:r>
      <w:proofErr w:type="spellStart"/>
      <w:r>
        <w:rPr>
          <w:rFonts w:hint="cs"/>
          <w:rtl/>
        </w:rPr>
        <w:t>ורסנוב</w:t>
      </w:r>
      <w:proofErr w:type="spellEnd"/>
      <w:r>
        <w:rPr>
          <w:rFonts w:hint="cs"/>
          <w:rtl/>
        </w:rPr>
        <w:t xml:space="preserve">, בעל מניות בחברה ומנהלה על-פי הרישומים. בין בעלי המניות בחברה מצויים גם ילדיו של משה מנישואיו לאורלי </w:t>
      </w:r>
      <w:r>
        <w:rPr>
          <w:rtl/>
        </w:rPr>
        <w:t>–</w:t>
      </w:r>
      <w:r>
        <w:rPr>
          <w:rFonts w:hint="cs"/>
          <w:rtl/>
        </w:rPr>
        <w:t xml:space="preserve"> המשיבים 4-3 בערעור דכאן, אשר לא נתבעו באופן ישיר על ידי ציפורה. במסגרת תביעתה, העלתה ציפורה טענות בדבר ליקויים בהתנהלות החברה, כאשר היא מביעה את רצונה למכור את חלקה בחברה. לשם כך, דרשה ציפורה, במסגרת התביעה, לקבל לעיונה מסמכים ופרוטוקולים שונים הקשורים לפועלה של בית חוסן. דרישה זו הוסרה בעקבות הגעת הצדדים להסכם הפשרה שמכוחו בוצעה הרכישה העצמית הדיספרופורציונית נושא דיוננו.</w:t>
      </w:r>
    </w:p>
    <w:p w:rsidR="00F05533" w:rsidRDefault="00F05533" w:rsidP="00F05533">
      <w:pPr>
        <w:pStyle w:val="Ruller41"/>
        <w:rPr>
          <w:rtl/>
        </w:rPr>
      </w:pPr>
    </w:p>
    <w:p w:rsidR="00F05533" w:rsidRDefault="00F05533" w:rsidP="00F05533">
      <w:pPr>
        <w:pStyle w:val="Ruller4"/>
        <w:rPr>
          <w:rtl/>
        </w:rPr>
      </w:pPr>
      <w:r>
        <w:rPr>
          <w:rFonts w:hint="cs"/>
          <w:rtl/>
        </w:rPr>
        <w:t xml:space="preserve">ביום 10.12.2018 קבע פקיד שומה עכו שומות באמצעות צווים לבית חוסן וליתר המשיבים. במסגרת זו, קבע פקיד השומה כי עסקת הרכישה העצמית של מניותיה של ציפורה הצמיחה תקבול בידיהם של בעלי המניות הנותרים בחברה, אותו יש לסווג כדיבידנד </w:t>
      </w:r>
      <w:proofErr w:type="spellStart"/>
      <w:r>
        <w:rPr>
          <w:rFonts w:hint="cs"/>
          <w:rtl/>
        </w:rPr>
        <w:t>ולמסותו</w:t>
      </w:r>
      <w:proofErr w:type="spellEnd"/>
      <w:r>
        <w:rPr>
          <w:rFonts w:hint="cs"/>
          <w:rtl/>
        </w:rPr>
        <w:t xml:space="preserve"> בהתאם. בד-בבד, דחה פקיד השומה את בקשותיהם של בית חוסן ויתר המשיבים להתיר בניכוי, כהוצאה מוכרת, ריבית אשר שולמה בגין ההלוואה ששימשה לרכישה העצמית, לצד הוצאות נוספות </w:t>
      </w:r>
      <w:proofErr w:type="spellStart"/>
      <w:r>
        <w:rPr>
          <w:rFonts w:hint="cs"/>
          <w:rtl/>
        </w:rPr>
        <w:t>שניכויין</w:t>
      </w:r>
      <w:proofErr w:type="spellEnd"/>
      <w:r>
        <w:rPr>
          <w:rFonts w:hint="cs"/>
          <w:rtl/>
        </w:rPr>
        <w:t xml:space="preserve"> נתבקש. המשיבים הגישו ערעור על שומות אלה לבית משפט קמא-חיפה. </w:t>
      </w:r>
    </w:p>
    <w:p w:rsidR="00F05533" w:rsidRDefault="00F05533" w:rsidP="00F05533">
      <w:pPr>
        <w:pStyle w:val="Ruller41"/>
        <w:rPr>
          <w:rtl/>
        </w:rPr>
      </w:pPr>
    </w:p>
    <w:p w:rsidR="00F05533" w:rsidRDefault="00F05533" w:rsidP="00F05533">
      <w:pPr>
        <w:pStyle w:val="Ruller4"/>
        <w:rPr>
          <w:rtl/>
        </w:rPr>
      </w:pPr>
      <w:r>
        <w:rPr>
          <w:rFonts w:hint="cs"/>
          <w:rtl/>
        </w:rPr>
        <w:t xml:space="preserve">בית משפט קמא-חיפה דחה את עמדתו של פקיד השומה לפיה רכישה עצמית דיספרופורציונית </w:t>
      </w:r>
      <w:r>
        <w:rPr>
          <w:rtl/>
        </w:rPr>
        <w:t>–</w:t>
      </w:r>
      <w:r>
        <w:rPr>
          <w:rFonts w:hint="cs"/>
          <w:rtl/>
        </w:rPr>
        <w:t xml:space="preserve"> עסקה שבמסגרתה רוכשת החברה את מניותיה שלה מבעליהן באופן </w:t>
      </w:r>
      <w:r>
        <w:rPr>
          <w:rFonts w:hint="cs"/>
          <w:rtl/>
        </w:rPr>
        <w:lastRenderedPageBreak/>
        <w:t xml:space="preserve">שאינו תואם את </w:t>
      </w:r>
      <w:proofErr w:type="spellStart"/>
      <w:r>
        <w:rPr>
          <w:rFonts w:hint="cs"/>
          <w:rtl/>
        </w:rPr>
        <w:t>החזקותיהם</w:t>
      </w:r>
      <w:proofErr w:type="spellEnd"/>
      <w:r>
        <w:rPr>
          <w:rFonts w:hint="cs"/>
          <w:rtl/>
        </w:rPr>
        <w:t xml:space="preserve"> היחסיות (</w:t>
      </w:r>
      <w:r w:rsidRPr="00000738">
        <w:rPr>
          <w:rFonts w:asciiTheme="majorBidi" w:hAnsiTheme="majorBidi" w:cstheme="majorBidi"/>
        </w:rPr>
        <w:t>pro-rata</w:t>
      </w:r>
      <w:r>
        <w:rPr>
          <w:rFonts w:hint="cs"/>
          <w:rtl/>
        </w:rPr>
        <w:t xml:space="preserve">) </w:t>
      </w:r>
      <w:r>
        <w:rPr>
          <w:rtl/>
        </w:rPr>
        <w:t>–</w:t>
      </w:r>
      <w:r>
        <w:rPr>
          <w:rFonts w:hint="cs"/>
          <w:rtl/>
        </w:rPr>
        <w:t xml:space="preserve"> מהווה בהכרח עסקה מלאכותית</w:t>
      </w:r>
      <w:r>
        <w:rPr>
          <w:rtl/>
        </w:rPr>
        <w:t xml:space="preserve"> </w:t>
      </w:r>
      <w:r>
        <w:rPr>
          <w:rFonts w:hint="cs"/>
          <w:rtl/>
        </w:rPr>
        <w:t xml:space="preserve">(ראו: סעיף 3.2 לחוזר מס הכנסה 2/2018 "רכישה עצמית של מניות בהתאם לחוק החברות" (11.1.2018) (להלן: </w:t>
      </w:r>
      <w:r w:rsidRPr="00000738">
        <w:rPr>
          <w:rFonts w:ascii="Century" w:hAnsi="Century" w:cs="Miriam" w:hint="cs"/>
          <w:b/>
          <w:spacing w:val="0"/>
          <w:szCs w:val="24"/>
          <w:rtl/>
        </w:rPr>
        <w:t>חוזר המס 2/2018</w:t>
      </w:r>
      <w:r>
        <w:rPr>
          <w:rFonts w:hint="cs"/>
          <w:rtl/>
        </w:rPr>
        <w:t xml:space="preserve">)). קביעתו זו של בית המשפט התבססה על עקרון המימוש </w:t>
      </w:r>
      <w:r>
        <w:rPr>
          <w:rtl/>
        </w:rPr>
        <w:t>–</w:t>
      </w:r>
      <w:r>
        <w:rPr>
          <w:rFonts w:hint="cs"/>
          <w:rtl/>
        </w:rPr>
        <w:t xml:space="preserve"> עקרון יסודי של דיני המס אשר קובע כי התעשרות </w:t>
      </w:r>
      <w:proofErr w:type="spellStart"/>
      <w:r>
        <w:rPr>
          <w:rFonts w:hint="cs"/>
          <w:rtl/>
        </w:rPr>
        <w:t>תמוסה</w:t>
      </w:r>
      <w:proofErr w:type="spellEnd"/>
      <w:r>
        <w:rPr>
          <w:rFonts w:hint="cs"/>
          <w:rtl/>
        </w:rPr>
        <w:t xml:space="preserve"> רק בהתקיים ודאות לגבי שוויה, מועדה ונזילותה. בהקשר זה, הוסיף בית המשפט וקבע כי קיים ספק של ממש באשר להתעשרות שניתן לייחס לבעלי המניות הנותרים בבית חוסן: אלה אשר נמנעו ממכירת מניותיהם. במצב דברים זה, ובהעדר הסדרה מפורשת בפקודת מס הכנסה [נוסח חדש] (להלן: </w:t>
      </w:r>
      <w:r w:rsidRPr="00E2122A">
        <w:rPr>
          <w:rFonts w:ascii="Century" w:hAnsi="Century" w:cs="Miriam" w:hint="cs"/>
          <w:b/>
          <w:spacing w:val="0"/>
          <w:sz w:val="22"/>
          <w:szCs w:val="24"/>
          <w:rtl/>
        </w:rPr>
        <w:t>פקודת מס הכנסה</w:t>
      </w:r>
      <w:r>
        <w:rPr>
          <w:rFonts w:hint="cs"/>
          <w:rtl/>
        </w:rPr>
        <w:t xml:space="preserve"> או </w:t>
      </w:r>
      <w:r w:rsidRPr="00E2122A">
        <w:rPr>
          <w:rFonts w:ascii="Century" w:hAnsi="Century" w:cs="Miriam" w:hint="cs"/>
          <w:b/>
          <w:spacing w:val="0"/>
          <w:sz w:val="22"/>
          <w:szCs w:val="24"/>
          <w:rtl/>
        </w:rPr>
        <w:t>הפקודה</w:t>
      </w:r>
      <w:r>
        <w:rPr>
          <w:rFonts w:hint="cs"/>
          <w:rtl/>
        </w:rPr>
        <w:t xml:space="preserve">) באשר לאופן מיסויה של רכישה עצמית, קבע בית המשפט כי לא התקיים אירוע מס אצל בעלי המניות הנותרים בחברה, וקיבל את ערעורם. </w:t>
      </w:r>
    </w:p>
    <w:p w:rsidR="00F05533" w:rsidRDefault="00F05533" w:rsidP="00F05533">
      <w:pPr>
        <w:pStyle w:val="Ruller4"/>
        <w:spacing w:before="240"/>
        <w:rPr>
          <w:rtl/>
        </w:rPr>
      </w:pPr>
      <w:r>
        <w:rPr>
          <w:rFonts w:hint="cs"/>
          <w:rtl/>
        </w:rPr>
        <w:t xml:space="preserve">בשולי </w:t>
      </w:r>
      <w:r w:rsidRPr="00CE23AA">
        <w:rPr>
          <w:rFonts w:hint="cs"/>
          <w:rtl/>
        </w:rPr>
        <w:t>הדברים</w:t>
      </w:r>
      <w:r>
        <w:rPr>
          <w:rFonts w:hint="cs"/>
          <w:rtl/>
        </w:rPr>
        <w:t>,</w:t>
      </w:r>
      <w:r w:rsidRPr="00CE23AA">
        <w:rPr>
          <w:rFonts w:hint="cs"/>
          <w:rtl/>
        </w:rPr>
        <w:t xml:space="preserve"> </w:t>
      </w:r>
      <w:r>
        <w:rPr>
          <w:rFonts w:hint="cs"/>
          <w:rtl/>
        </w:rPr>
        <w:t xml:space="preserve">הביע בית משפט קמא-חיפה </w:t>
      </w:r>
      <w:r w:rsidRPr="00CE23AA">
        <w:rPr>
          <w:rFonts w:hint="cs"/>
          <w:rtl/>
        </w:rPr>
        <w:t>את עמדתו לפיה אין כל פסול בבחירת</w:t>
      </w:r>
      <w:r>
        <w:rPr>
          <w:rFonts w:hint="cs"/>
          <w:rtl/>
        </w:rPr>
        <w:t>ו של</w:t>
      </w:r>
      <w:r w:rsidRPr="00CE23AA">
        <w:rPr>
          <w:rFonts w:hint="cs"/>
          <w:rtl/>
        </w:rPr>
        <w:t xml:space="preserve"> מתווה עסקה חוקי שתכליתו חסכון במס</w:t>
      </w:r>
      <w:r>
        <w:rPr>
          <w:rFonts w:hint="cs"/>
          <w:rtl/>
        </w:rPr>
        <w:t xml:space="preserve"> </w:t>
      </w:r>
      <w:r>
        <w:rPr>
          <w:rtl/>
        </w:rPr>
        <w:t>–</w:t>
      </w:r>
      <w:r>
        <w:rPr>
          <w:rFonts w:hint="cs"/>
          <w:rtl/>
        </w:rPr>
        <w:t xml:space="preserve"> </w:t>
      </w:r>
      <w:r w:rsidRPr="00CE23AA">
        <w:rPr>
          <w:rFonts w:hint="cs"/>
          <w:rtl/>
        </w:rPr>
        <w:t>זאת</w:t>
      </w:r>
      <w:r>
        <w:rPr>
          <w:rFonts w:hint="cs"/>
          <w:rtl/>
        </w:rPr>
        <w:t>,</w:t>
      </w:r>
      <w:r w:rsidRPr="00CE23AA">
        <w:rPr>
          <w:rFonts w:hint="cs"/>
          <w:rtl/>
        </w:rPr>
        <w:t xml:space="preserve"> במיוחד כאשר קיים טעם </w:t>
      </w:r>
      <w:r>
        <w:rPr>
          <w:rFonts w:hint="cs"/>
          <w:rtl/>
        </w:rPr>
        <w:t>עסקי-מסחרי</w:t>
      </w:r>
      <w:r w:rsidRPr="00CE23AA">
        <w:rPr>
          <w:rFonts w:hint="cs"/>
          <w:rtl/>
        </w:rPr>
        <w:t xml:space="preserve"> לביצוע הרכישה העצמית בידי החברה</w:t>
      </w:r>
      <w:r>
        <w:rPr>
          <w:rFonts w:hint="cs"/>
          <w:rtl/>
        </w:rPr>
        <w:t xml:space="preserve">, כדוגמת היפרדות מבעל מניות שמשבש את פועלה. </w:t>
      </w:r>
      <w:r w:rsidRPr="00CE23AA">
        <w:rPr>
          <w:rFonts w:hint="cs"/>
          <w:rtl/>
        </w:rPr>
        <w:t xml:space="preserve">בהקשר זה </w:t>
      </w:r>
      <w:r>
        <w:rPr>
          <w:rFonts w:hint="cs"/>
          <w:rtl/>
        </w:rPr>
        <w:t xml:space="preserve">פירט </w:t>
      </w:r>
      <w:r w:rsidRPr="00CE23AA">
        <w:rPr>
          <w:rFonts w:hint="cs"/>
          <w:rtl/>
        </w:rPr>
        <w:t xml:space="preserve">בית </w:t>
      </w:r>
      <w:r>
        <w:rPr>
          <w:rFonts w:hint="cs"/>
          <w:rtl/>
        </w:rPr>
        <w:t>ה</w:t>
      </w:r>
      <w:r w:rsidRPr="00CE23AA">
        <w:rPr>
          <w:rFonts w:hint="cs"/>
          <w:rtl/>
        </w:rPr>
        <w:t xml:space="preserve">משפט </w:t>
      </w:r>
      <w:r>
        <w:rPr>
          <w:rFonts w:hint="cs"/>
          <w:rtl/>
        </w:rPr>
        <w:t>ו</w:t>
      </w:r>
      <w:r w:rsidRPr="00CE23AA">
        <w:rPr>
          <w:rFonts w:hint="cs"/>
          <w:rtl/>
        </w:rPr>
        <w:t xml:space="preserve">קבע כי הוכח </w:t>
      </w:r>
      <w:r>
        <w:rPr>
          <w:rFonts w:hint="cs"/>
          <w:rtl/>
        </w:rPr>
        <w:t>בפניו ש</w:t>
      </w:r>
      <w:r w:rsidRPr="00CE23AA">
        <w:rPr>
          <w:rFonts w:hint="cs"/>
          <w:rtl/>
        </w:rPr>
        <w:t xml:space="preserve">לבית חוסן </w:t>
      </w:r>
      <w:r w:rsidRPr="00CE23AA">
        <w:rPr>
          <w:rtl/>
        </w:rPr>
        <w:t>–</w:t>
      </w:r>
      <w:r w:rsidRPr="00CE23AA">
        <w:rPr>
          <w:rFonts w:hint="cs"/>
          <w:rtl/>
        </w:rPr>
        <w:t xml:space="preserve"> כישות עצמאית ונפרדת </w:t>
      </w:r>
      <w:r>
        <w:rPr>
          <w:rFonts w:hint="cs"/>
          <w:rtl/>
        </w:rPr>
        <w:t xml:space="preserve">מבעלי מניותיה </w:t>
      </w:r>
      <w:r w:rsidRPr="00CE23AA">
        <w:rPr>
          <w:rtl/>
        </w:rPr>
        <w:t>–</w:t>
      </w:r>
      <w:r w:rsidRPr="00CE23AA">
        <w:rPr>
          <w:rFonts w:hint="cs"/>
          <w:rtl/>
        </w:rPr>
        <w:t xml:space="preserve"> היה אינטרס לגיטימי</w:t>
      </w:r>
      <w:r>
        <w:rPr>
          <w:rFonts w:hint="cs"/>
          <w:rtl/>
        </w:rPr>
        <w:t xml:space="preserve"> מובן בפתרון הסכסוך בין ציפורה לבין יתר מקבלי ההחלטות בחברה. קביעתו זו של בית המשפט התבססה על ראיות שהוכיחו </w:t>
      </w:r>
      <w:r w:rsidRPr="00CE23AA">
        <w:rPr>
          <w:rFonts w:hint="cs"/>
          <w:rtl/>
        </w:rPr>
        <w:t>כי</w:t>
      </w:r>
      <w:r>
        <w:rPr>
          <w:rFonts w:hint="cs"/>
          <w:rtl/>
        </w:rPr>
        <w:t xml:space="preserve"> עקב סכסוך אשר נתגלע בין ציפורה לבין החברה ולמנהליה בלמה ציפורה את קידום ענייני החברה, סירבה לחתום</w:t>
      </w:r>
      <w:r w:rsidRPr="00CE23AA">
        <w:rPr>
          <w:rFonts w:hint="cs"/>
          <w:rtl/>
        </w:rPr>
        <w:t xml:space="preserve"> על מסמכים </w:t>
      </w:r>
      <w:r>
        <w:rPr>
          <w:rFonts w:hint="cs"/>
          <w:rtl/>
        </w:rPr>
        <w:t xml:space="preserve">שהיו נחוצים לפעילותה העסקית של החברה </w:t>
      </w:r>
      <w:r w:rsidRPr="00CE23AA">
        <w:rPr>
          <w:rFonts w:hint="cs"/>
          <w:rtl/>
        </w:rPr>
        <w:t>ו</w:t>
      </w:r>
      <w:r>
        <w:rPr>
          <w:rFonts w:hint="cs"/>
          <w:rtl/>
        </w:rPr>
        <w:t xml:space="preserve">אף נמנעה </w:t>
      </w:r>
      <w:r w:rsidRPr="00CE23AA">
        <w:rPr>
          <w:rFonts w:hint="cs"/>
          <w:rtl/>
        </w:rPr>
        <w:t xml:space="preserve">מהשקעת </w:t>
      </w:r>
      <w:r>
        <w:rPr>
          <w:rFonts w:hint="cs"/>
          <w:rtl/>
        </w:rPr>
        <w:t xml:space="preserve">כספים בחברה </w:t>
      </w:r>
      <w:r>
        <w:rPr>
          <w:rtl/>
        </w:rPr>
        <w:t>–</w:t>
      </w:r>
      <w:r>
        <w:rPr>
          <w:rFonts w:hint="cs"/>
          <w:rtl/>
        </w:rPr>
        <w:t xml:space="preserve"> </w:t>
      </w:r>
      <w:r w:rsidRPr="00CE23AA">
        <w:rPr>
          <w:rFonts w:hint="cs"/>
          <w:rtl/>
        </w:rPr>
        <w:t xml:space="preserve">באופן </w:t>
      </w:r>
      <w:r>
        <w:rPr>
          <w:rFonts w:hint="cs"/>
          <w:rtl/>
        </w:rPr>
        <w:t xml:space="preserve">שחשף </w:t>
      </w:r>
      <w:r w:rsidRPr="00CE23AA">
        <w:rPr>
          <w:rFonts w:hint="cs"/>
          <w:rtl/>
        </w:rPr>
        <w:t xml:space="preserve">את החברה </w:t>
      </w:r>
      <w:r>
        <w:rPr>
          <w:rFonts w:hint="cs"/>
          <w:rtl/>
        </w:rPr>
        <w:t xml:space="preserve">לסיכון של חדלות פירעון. נקבע, כי </w:t>
      </w:r>
      <w:r w:rsidRPr="00CE23AA">
        <w:rPr>
          <w:rFonts w:hint="cs"/>
          <w:rtl/>
        </w:rPr>
        <w:t xml:space="preserve">כל אלו </w:t>
      </w:r>
      <w:r>
        <w:rPr>
          <w:rFonts w:hint="cs"/>
          <w:rtl/>
        </w:rPr>
        <w:t xml:space="preserve">יצרו אצל </w:t>
      </w:r>
      <w:r w:rsidRPr="00CE23AA">
        <w:rPr>
          <w:rFonts w:hint="cs"/>
          <w:rtl/>
        </w:rPr>
        <w:t xml:space="preserve">בית חוסן אינטרס </w:t>
      </w:r>
      <w:r>
        <w:rPr>
          <w:rFonts w:hint="cs"/>
          <w:rtl/>
        </w:rPr>
        <w:t xml:space="preserve">עסקי ייחודי </w:t>
      </w:r>
      <w:r>
        <w:rPr>
          <w:rtl/>
        </w:rPr>
        <w:t>–</w:t>
      </w:r>
      <w:r>
        <w:rPr>
          <w:rFonts w:hint="cs"/>
          <w:rtl/>
        </w:rPr>
        <w:t xml:space="preserve"> ה</w:t>
      </w:r>
      <w:r w:rsidRPr="00CE23AA">
        <w:rPr>
          <w:rFonts w:hint="cs"/>
          <w:rtl/>
        </w:rPr>
        <w:t>מנותק ו</w:t>
      </w:r>
      <w:r>
        <w:rPr>
          <w:rFonts w:hint="cs"/>
          <w:rtl/>
        </w:rPr>
        <w:t xml:space="preserve">המובחן </w:t>
      </w:r>
      <w:r w:rsidRPr="00CE23AA">
        <w:rPr>
          <w:rFonts w:hint="cs"/>
          <w:rtl/>
        </w:rPr>
        <w:t>מהאינטרס</w:t>
      </w:r>
      <w:r>
        <w:rPr>
          <w:rFonts w:hint="cs"/>
          <w:rtl/>
        </w:rPr>
        <w:t>ים</w:t>
      </w:r>
      <w:r w:rsidRPr="00CE23AA">
        <w:rPr>
          <w:rFonts w:hint="cs"/>
          <w:rtl/>
        </w:rPr>
        <w:t xml:space="preserve"> האישי</w:t>
      </w:r>
      <w:r>
        <w:rPr>
          <w:rFonts w:hint="cs"/>
          <w:rtl/>
        </w:rPr>
        <w:t>ים</w:t>
      </w:r>
      <w:r w:rsidRPr="00CE23AA">
        <w:rPr>
          <w:rFonts w:hint="cs"/>
          <w:rtl/>
        </w:rPr>
        <w:t xml:space="preserve"> </w:t>
      </w:r>
      <w:r>
        <w:rPr>
          <w:rFonts w:hint="cs"/>
          <w:rtl/>
        </w:rPr>
        <w:t xml:space="preserve">אשר </w:t>
      </w:r>
      <w:r w:rsidRPr="00CE23AA">
        <w:rPr>
          <w:rFonts w:hint="cs"/>
          <w:rtl/>
        </w:rPr>
        <w:t xml:space="preserve">יכול </w:t>
      </w:r>
      <w:r>
        <w:rPr>
          <w:rFonts w:hint="cs"/>
          <w:rtl/>
        </w:rPr>
        <w:t>ש</w:t>
      </w:r>
      <w:r w:rsidRPr="00CE23AA">
        <w:rPr>
          <w:rFonts w:hint="cs"/>
          <w:rtl/>
        </w:rPr>
        <w:t>הי</w:t>
      </w:r>
      <w:r>
        <w:rPr>
          <w:rFonts w:hint="cs"/>
          <w:rtl/>
        </w:rPr>
        <w:t>ו</w:t>
      </w:r>
      <w:r w:rsidRPr="00CE23AA">
        <w:rPr>
          <w:rFonts w:hint="cs"/>
          <w:rtl/>
        </w:rPr>
        <w:t xml:space="preserve"> לבעלי מניות</w:t>
      </w:r>
      <w:r>
        <w:rPr>
          <w:rFonts w:hint="cs"/>
          <w:rtl/>
        </w:rPr>
        <w:t>י</w:t>
      </w:r>
      <w:r w:rsidRPr="00CE23AA">
        <w:rPr>
          <w:rFonts w:hint="cs"/>
          <w:rtl/>
        </w:rPr>
        <w:t>ה</w:t>
      </w:r>
      <w:r>
        <w:rPr>
          <w:rFonts w:hint="cs"/>
          <w:rtl/>
        </w:rPr>
        <w:t xml:space="preserve"> </w:t>
      </w:r>
      <w:r>
        <w:rPr>
          <w:rtl/>
        </w:rPr>
        <w:t>–</w:t>
      </w:r>
      <w:r>
        <w:rPr>
          <w:rFonts w:hint="cs"/>
          <w:rtl/>
        </w:rPr>
        <w:t xml:space="preserve"> </w:t>
      </w:r>
      <w:r w:rsidRPr="00CE23AA">
        <w:rPr>
          <w:rFonts w:hint="cs"/>
          <w:rtl/>
        </w:rPr>
        <w:t>לביצועה של הרכישה העצמית. ב</w:t>
      </w:r>
      <w:r>
        <w:rPr>
          <w:rFonts w:hint="cs"/>
          <w:rtl/>
        </w:rPr>
        <w:t xml:space="preserve">הקשר זה, הסביר בית המשפט כי די בקיומו של סכסוך ממשי בין החברה ככזאת לבין בעל המניות המוֹכר, אשר נפתר באמצעות הרכישה העצמית, על-מנת לקבוע כי לחברה היה אינטרס תאגידי משל עצמה בדבר, וכי קיומו של אינטרס משותף לחברה ולבעלי מניותיה בביצוע הרכישה העצמית אין בו, כשלעצמו, כדי להצדיק את סיווג העסקה כתשלום דיבידנד לבעלי המניות הנותרים. </w:t>
      </w:r>
    </w:p>
    <w:p w:rsidR="00F05533" w:rsidRDefault="00F05533" w:rsidP="00F05533">
      <w:pPr>
        <w:pStyle w:val="Ruller41"/>
        <w:rPr>
          <w:rtl/>
        </w:rPr>
      </w:pPr>
    </w:p>
    <w:p w:rsidR="00F05533" w:rsidRDefault="00F05533" w:rsidP="00F05533">
      <w:pPr>
        <w:pStyle w:val="Ruller4"/>
        <w:rPr>
          <w:rtl/>
        </w:rPr>
      </w:pPr>
      <w:r>
        <w:rPr>
          <w:rFonts w:hint="cs"/>
          <w:rtl/>
        </w:rPr>
        <w:t xml:space="preserve">לאור האמור, קיבל בית משפט קמא-חיפה את עמדת המשיבים וביטל את השומות שהוצאו להם.  </w:t>
      </w:r>
    </w:p>
    <w:p w:rsidR="00F05533" w:rsidRDefault="00F05533" w:rsidP="00F05533">
      <w:pPr>
        <w:pStyle w:val="Ruller41"/>
        <w:rPr>
          <w:rtl/>
        </w:rPr>
      </w:pPr>
    </w:p>
    <w:p w:rsidR="00F05533" w:rsidRDefault="00F05533" w:rsidP="00F05533">
      <w:pPr>
        <w:pStyle w:val="Ruller41"/>
        <w:rPr>
          <w:rFonts w:ascii="Century" w:hAnsi="Century" w:cs="Miriam"/>
          <w:b/>
          <w:spacing w:val="0"/>
          <w:sz w:val="26"/>
          <w:rtl/>
        </w:rPr>
      </w:pPr>
      <w:r w:rsidRPr="00C60E21">
        <w:rPr>
          <w:rFonts w:ascii="Century" w:hAnsi="Century" w:cs="Miriam" w:hint="cs"/>
          <w:b/>
          <w:spacing w:val="0"/>
          <w:szCs w:val="24"/>
          <w:rtl/>
        </w:rPr>
        <w:t xml:space="preserve">ע"א 8116/21 </w:t>
      </w:r>
      <w:r w:rsidRPr="00C60E21">
        <w:rPr>
          <w:rFonts w:ascii="Century" w:hAnsi="Century" w:cs="Miriam"/>
          <w:b/>
          <w:spacing w:val="0"/>
          <w:szCs w:val="24"/>
          <w:rtl/>
        </w:rPr>
        <w:t>–</w:t>
      </w:r>
      <w:r w:rsidRPr="00C60E21">
        <w:rPr>
          <w:rFonts w:ascii="Century" w:hAnsi="Century" w:cs="Miriam" w:hint="cs"/>
          <w:b/>
          <w:spacing w:val="0"/>
          <w:szCs w:val="24"/>
          <w:rtl/>
        </w:rPr>
        <w:t xml:space="preserve"> </w:t>
      </w:r>
      <w:r w:rsidRPr="0027414A">
        <w:rPr>
          <w:rFonts w:ascii="Century" w:hAnsi="Century" w:cs="Miriam" w:hint="cs"/>
          <w:b/>
          <w:spacing w:val="0"/>
          <w:szCs w:val="24"/>
          <w:rtl/>
        </w:rPr>
        <w:t>עניין סיידה</w:t>
      </w:r>
    </w:p>
    <w:p w:rsidR="00DE3007" w:rsidRPr="00DE3007" w:rsidRDefault="00DE3007" w:rsidP="00F05533">
      <w:pPr>
        <w:pStyle w:val="Ruller41"/>
        <w:rPr>
          <w:rFonts w:ascii="Century" w:hAnsi="Century" w:cs="Miriam"/>
          <w:b/>
          <w:spacing w:val="0"/>
          <w:sz w:val="6"/>
          <w:szCs w:val="8"/>
          <w:rtl/>
        </w:rPr>
      </w:pPr>
    </w:p>
    <w:p w:rsidR="00F05533" w:rsidRDefault="00F05533" w:rsidP="00F05533">
      <w:pPr>
        <w:pStyle w:val="Ruller4"/>
        <w:rPr>
          <w:rtl/>
        </w:rPr>
      </w:pPr>
      <w:r>
        <w:rPr>
          <w:rFonts w:hint="cs"/>
          <w:rtl/>
        </w:rPr>
        <w:t xml:space="preserve">חברת השתיל (תדהר) בע"מ (להלן: </w:t>
      </w:r>
      <w:r w:rsidRPr="006D04B7">
        <w:rPr>
          <w:rFonts w:ascii="Century" w:hAnsi="Century" w:cs="Miriam" w:hint="cs"/>
          <w:b/>
          <w:spacing w:val="0"/>
          <w:sz w:val="22"/>
          <w:szCs w:val="24"/>
          <w:rtl/>
        </w:rPr>
        <w:t>חברת השתיל</w:t>
      </w:r>
      <w:r>
        <w:rPr>
          <w:rFonts w:hint="cs"/>
          <w:rtl/>
        </w:rPr>
        <w:t xml:space="preserve">) ניהלה עסק מצליח לגידול ולייצור שתילים מאז הקמתה בשנות </w:t>
      </w:r>
      <w:r w:rsidRPr="004A1560">
        <w:rPr>
          <w:rFonts w:hint="cs"/>
          <w:rtl/>
        </w:rPr>
        <w:t xml:space="preserve">ה-80 </w:t>
      </w:r>
      <w:r>
        <w:rPr>
          <w:rFonts w:hint="cs"/>
          <w:rtl/>
        </w:rPr>
        <w:t xml:space="preserve">של המאה הקודמת על ידי המערער, מר מאיר </w:t>
      </w:r>
      <w:r>
        <w:rPr>
          <w:rFonts w:hint="cs"/>
          <w:rtl/>
        </w:rPr>
        <w:lastRenderedPageBreak/>
        <w:t xml:space="preserve">סיידה, ואחיו, מר יוחנן סיידה. בזמנים הרלבנטיים לענייננו-שלנו, הוחזקו מניותיה של </w:t>
      </w:r>
      <w:r w:rsidRPr="00013B75">
        <w:rPr>
          <w:rFonts w:hint="cs"/>
          <w:rtl/>
        </w:rPr>
        <w:t xml:space="preserve">חברת השתיל בחלקים שווים על ידי כל אחד משני האחים </w:t>
      </w:r>
      <w:r w:rsidRPr="00013B75">
        <w:rPr>
          <w:rtl/>
        </w:rPr>
        <w:t>–</w:t>
      </w:r>
      <w:r w:rsidRPr="00013B75">
        <w:rPr>
          <w:rFonts w:hint="cs"/>
          <w:rtl/>
        </w:rPr>
        <w:t xml:space="preserve"> וזאת, באופן הבא: </w:t>
      </w:r>
      <w:r w:rsidRPr="00CF2E9D">
        <w:rPr>
          <w:rFonts w:hint="cs"/>
          <w:rtl/>
        </w:rPr>
        <w:t xml:space="preserve">כל אח </w:t>
      </w:r>
      <w:r w:rsidRPr="00291B12">
        <w:rPr>
          <w:rFonts w:hint="cs"/>
          <w:rtl/>
        </w:rPr>
        <w:t xml:space="preserve">החזיק במחצית ממניותיה של חברת "השתיל ניהול והחזקות בע"מ" (להלן: </w:t>
      </w:r>
      <w:r w:rsidRPr="00291B12">
        <w:rPr>
          <w:rFonts w:ascii="Century" w:hAnsi="Century" w:cs="Miriam" w:hint="cs"/>
          <w:b/>
          <w:spacing w:val="0"/>
          <w:sz w:val="22"/>
          <w:szCs w:val="24"/>
          <w:rtl/>
        </w:rPr>
        <w:t>החברה</w:t>
      </w:r>
      <w:r w:rsidRPr="00291B12">
        <w:rPr>
          <w:rFonts w:hint="cs"/>
          <w:rtl/>
        </w:rPr>
        <w:t>)</w:t>
      </w:r>
      <w:r w:rsidRPr="00013B75">
        <w:rPr>
          <w:rFonts w:hint="cs"/>
          <w:rtl/>
        </w:rPr>
        <w:t xml:space="preserve"> אשר החזיקה במלוא מניותיה של חברת השתיל. במרוצת השנים</w:t>
      </w:r>
      <w:r>
        <w:rPr>
          <w:rFonts w:hint="cs"/>
          <w:rtl/>
        </w:rPr>
        <w:t xml:space="preserve">, גדלה פעילותה העסקית של חברת השתיל, כך שבשנת 2015 </w:t>
      </w:r>
      <w:r>
        <w:rPr>
          <w:rtl/>
        </w:rPr>
        <w:t>–</w:t>
      </w:r>
      <w:r>
        <w:rPr>
          <w:rFonts w:hint="cs"/>
          <w:rtl/>
        </w:rPr>
        <w:t xml:space="preserve"> שנת המס מושא הערעור </w:t>
      </w:r>
      <w:r>
        <w:rPr>
          <w:rtl/>
        </w:rPr>
        <w:t>–</w:t>
      </w:r>
      <w:r>
        <w:rPr>
          <w:rFonts w:hint="cs"/>
          <w:rtl/>
        </w:rPr>
        <w:t xml:space="preserve"> ניהלה החברה כ-80 חממות והעסיקה כ-100 עובדים. </w:t>
      </w:r>
    </w:p>
    <w:p w:rsidR="00F05533" w:rsidRDefault="00F05533" w:rsidP="00F05533">
      <w:pPr>
        <w:pStyle w:val="Ruller41"/>
        <w:rPr>
          <w:rtl/>
        </w:rPr>
      </w:pPr>
    </w:p>
    <w:p w:rsidR="00F05533" w:rsidRPr="00CE23AA" w:rsidRDefault="00F05533" w:rsidP="00F05533">
      <w:pPr>
        <w:pStyle w:val="Ruller4"/>
        <w:rPr>
          <w:rtl/>
        </w:rPr>
      </w:pPr>
      <w:r>
        <w:rPr>
          <w:rFonts w:hint="cs"/>
          <w:rtl/>
        </w:rPr>
        <w:t xml:space="preserve">בחלוף הזמן, החלו להתעורר בין האחים מחלוקות באשר לניהול החברה ופעילותה. בשל מחלוקות אלו, החליטו האחים כי מוטב יהיה אם יפעלו לפירוק שותפותם העסקית </w:t>
      </w:r>
      <w:r>
        <w:rPr>
          <w:rtl/>
        </w:rPr>
        <w:t>–</w:t>
      </w:r>
      <w:r>
        <w:rPr>
          <w:rFonts w:hint="cs"/>
          <w:rtl/>
        </w:rPr>
        <w:t xml:space="preserve"> וזאת, כפי שעולה מפסק הדין קמא </w:t>
      </w:r>
      <w:r>
        <w:rPr>
          <w:rtl/>
        </w:rPr>
        <w:t>–</w:t>
      </w:r>
      <w:r>
        <w:rPr>
          <w:rFonts w:hint="cs"/>
          <w:rtl/>
        </w:rPr>
        <w:t xml:space="preserve"> מבלי לפגוע בעסק או בפעילותו. לצורך כך בחנו האחים מספר חלופות פירוד אפשרויות, ובהן: (1) צירוף שותף נוסף; (2) מכירת כלל מניותיהם בחברה לצד ג' המרבה במחיר; וכן (3) רכישת מניותיו של אחד האחים על ידי משנהו. שתי החלופות הראשונות לא יצאו אל הפועל מסיבות שונות, והאחים החליטו כי היפרדותם תבוצע בהתאם לחלופה השלישית. לצורך כך ביצעו האחים מספר הערכות שווי של החברה כאשר באחרונה </w:t>
      </w:r>
      <w:proofErr w:type="spellStart"/>
      <w:r>
        <w:rPr>
          <w:rFonts w:hint="cs"/>
          <w:rtl/>
        </w:rPr>
        <w:t>מביניהן</w:t>
      </w:r>
      <w:proofErr w:type="spellEnd"/>
      <w:r>
        <w:rPr>
          <w:rFonts w:hint="cs"/>
          <w:rtl/>
        </w:rPr>
        <w:t xml:space="preserve"> נקבע שוויה: 26,125,000 ש"ח </w:t>
      </w:r>
      <w:r>
        <w:rPr>
          <w:rtl/>
        </w:rPr>
        <w:t>–</w:t>
      </w:r>
      <w:r>
        <w:rPr>
          <w:rFonts w:hint="cs"/>
          <w:rtl/>
        </w:rPr>
        <w:t xml:space="preserve"> וזאת באם יהא זה מאיר סיידה שירכוש את מניותיו של אחיו. אולם, בסופו של יום, בניגוד לכוונתם המקורית של שני האחים, </w:t>
      </w:r>
      <w:proofErr w:type="spellStart"/>
      <w:r>
        <w:rPr>
          <w:rFonts w:hint="cs"/>
          <w:rtl/>
        </w:rPr>
        <w:t>היתה</w:t>
      </w:r>
      <w:proofErr w:type="spellEnd"/>
      <w:r>
        <w:rPr>
          <w:rFonts w:hint="cs"/>
          <w:rtl/>
        </w:rPr>
        <w:t xml:space="preserve"> זו החברה אשר רכשה את מניותיו של האח הפורש תמורת 13,500,000 ש"ח, בדרך של רכישה עצמית. תמורה </w:t>
      </w:r>
      <w:r w:rsidRPr="00E407A6">
        <w:rPr>
          <w:rFonts w:hint="cs"/>
          <w:rtl/>
        </w:rPr>
        <w:t xml:space="preserve">כאמור שולמה לאח הפורש מעודפי החברה </w:t>
      </w:r>
      <w:r w:rsidRPr="00E407A6">
        <w:rPr>
          <w:rtl/>
        </w:rPr>
        <w:t>–</w:t>
      </w:r>
      <w:r w:rsidRPr="00E407A6">
        <w:rPr>
          <w:rFonts w:hint="cs"/>
          <w:rtl/>
        </w:rPr>
        <w:t xml:space="preserve"> זאת, אחרי שחברת </w:t>
      </w:r>
      <w:r>
        <w:rPr>
          <w:rFonts w:hint="cs"/>
          <w:rtl/>
        </w:rPr>
        <w:t>ה</w:t>
      </w:r>
      <w:r w:rsidRPr="00E407A6">
        <w:rPr>
          <w:rFonts w:hint="cs"/>
          <w:rtl/>
        </w:rPr>
        <w:t>שתיל נטלה הלוואה בסך</w:t>
      </w:r>
      <w:r>
        <w:rPr>
          <w:rFonts w:hint="cs"/>
          <w:rtl/>
        </w:rPr>
        <w:t xml:space="preserve"> של 8,</w:t>
      </w:r>
      <w:r w:rsidRPr="00CE23AA">
        <w:rPr>
          <w:rFonts w:hint="cs"/>
          <w:rtl/>
        </w:rPr>
        <w:t>000,000 ש"ח והעביר</w:t>
      </w:r>
      <w:r w:rsidRPr="00930D1E">
        <w:rPr>
          <w:rFonts w:ascii="FrankRuehl" w:hAnsi="FrankRuehl" w:hint="cs"/>
          <w:rtl/>
        </w:rPr>
        <w:t>ה</w:t>
      </w:r>
      <w:r>
        <w:rPr>
          <w:rFonts w:hint="cs"/>
          <w:rtl/>
        </w:rPr>
        <w:t xml:space="preserve"> סכום זה לחברה כדיבידנד.</w:t>
      </w:r>
    </w:p>
    <w:p w:rsidR="00F05533" w:rsidRPr="00CE23AA" w:rsidRDefault="00F05533" w:rsidP="00F05533">
      <w:pPr>
        <w:pStyle w:val="Ruller41"/>
      </w:pPr>
    </w:p>
    <w:p w:rsidR="00F05533" w:rsidRPr="00CE23AA" w:rsidRDefault="00F05533" w:rsidP="00F05533">
      <w:pPr>
        <w:pStyle w:val="Ruller4"/>
        <w:rPr>
          <w:rtl/>
        </w:rPr>
      </w:pPr>
      <w:r w:rsidRPr="00CE23AA">
        <w:rPr>
          <w:rFonts w:hint="cs"/>
          <w:rtl/>
        </w:rPr>
        <w:t xml:space="preserve">כעולה מחקירתו הנגדית של </w:t>
      </w:r>
      <w:r>
        <w:rPr>
          <w:rFonts w:hint="cs"/>
          <w:rtl/>
        </w:rPr>
        <w:t xml:space="preserve">מאיר </w:t>
      </w:r>
      <w:r w:rsidRPr="00CE23AA">
        <w:rPr>
          <w:rFonts w:hint="cs"/>
          <w:rtl/>
        </w:rPr>
        <w:t>סיידה בפני בית משפט קמא-ב"ש</w:t>
      </w:r>
      <w:r>
        <w:rPr>
          <w:rFonts w:hint="cs"/>
          <w:rtl/>
        </w:rPr>
        <w:t>,</w:t>
      </w:r>
      <w:r w:rsidRPr="00CE23AA">
        <w:rPr>
          <w:rFonts w:hint="cs"/>
          <w:rtl/>
        </w:rPr>
        <w:t xml:space="preserve"> </w:t>
      </w:r>
      <w:r>
        <w:rPr>
          <w:rFonts w:hint="cs"/>
          <w:rtl/>
        </w:rPr>
        <w:t>ה</w:t>
      </w:r>
      <w:r w:rsidRPr="00CE23AA">
        <w:rPr>
          <w:rFonts w:hint="cs"/>
          <w:rtl/>
        </w:rPr>
        <w:t xml:space="preserve">החלטה </w:t>
      </w:r>
      <w:r>
        <w:rPr>
          <w:rFonts w:hint="cs"/>
          <w:rtl/>
        </w:rPr>
        <w:t xml:space="preserve">בדבר </w:t>
      </w:r>
      <w:r w:rsidRPr="00CE23AA">
        <w:rPr>
          <w:rFonts w:hint="cs"/>
          <w:rtl/>
        </w:rPr>
        <w:t>רכישה עצ</w:t>
      </w:r>
      <w:r>
        <w:rPr>
          <w:rFonts w:hint="cs"/>
          <w:rtl/>
        </w:rPr>
        <w:t>מית כאמור התקבלה פה-</w:t>
      </w:r>
      <w:r w:rsidRPr="00CE23AA">
        <w:rPr>
          <w:rFonts w:hint="cs"/>
          <w:rtl/>
        </w:rPr>
        <w:t xml:space="preserve">אחד </w:t>
      </w:r>
      <w:r w:rsidRPr="00CE23AA">
        <w:rPr>
          <w:rtl/>
        </w:rPr>
        <w:t>–</w:t>
      </w:r>
      <w:r w:rsidRPr="00CE23AA">
        <w:rPr>
          <w:rFonts w:hint="cs"/>
          <w:rtl/>
        </w:rPr>
        <w:t xml:space="preserve"> על ידי שני האחים </w:t>
      </w:r>
      <w:r>
        <w:rPr>
          <w:rFonts w:hint="cs"/>
          <w:rtl/>
        </w:rPr>
        <w:t xml:space="preserve">יחדיו </w:t>
      </w:r>
      <w:r w:rsidRPr="00CE23AA">
        <w:rPr>
          <w:rtl/>
        </w:rPr>
        <w:t>–</w:t>
      </w:r>
      <w:r>
        <w:rPr>
          <w:rFonts w:hint="cs"/>
          <w:rtl/>
        </w:rPr>
        <w:t xml:space="preserve"> </w:t>
      </w:r>
      <w:r w:rsidRPr="00CE23AA">
        <w:rPr>
          <w:rFonts w:hint="cs"/>
          <w:rtl/>
        </w:rPr>
        <w:t>זאת</w:t>
      </w:r>
      <w:r>
        <w:rPr>
          <w:rFonts w:hint="cs"/>
          <w:rtl/>
        </w:rPr>
        <w:t>,</w:t>
      </w:r>
      <w:r w:rsidRPr="00CE23AA">
        <w:rPr>
          <w:rFonts w:hint="cs"/>
          <w:rtl/>
        </w:rPr>
        <w:t xml:space="preserve"> ל</w:t>
      </w:r>
      <w:r>
        <w:rPr>
          <w:rFonts w:hint="cs"/>
          <w:rtl/>
        </w:rPr>
        <w:t xml:space="preserve">נוכח </w:t>
      </w:r>
      <w:r w:rsidRPr="00CE23AA">
        <w:rPr>
          <w:rFonts w:hint="cs"/>
          <w:rtl/>
        </w:rPr>
        <w:t xml:space="preserve">העובדה כי לא היה באפשרותו </w:t>
      </w:r>
      <w:r>
        <w:rPr>
          <w:rFonts w:hint="cs"/>
          <w:rtl/>
        </w:rPr>
        <w:t>של מאיר לשלם מכספו את ה</w:t>
      </w:r>
      <w:r w:rsidRPr="00CE23AA">
        <w:rPr>
          <w:rFonts w:hint="cs"/>
          <w:rtl/>
        </w:rPr>
        <w:t>תמורה שדרש אח</w:t>
      </w:r>
      <w:r>
        <w:rPr>
          <w:rFonts w:hint="cs"/>
          <w:rtl/>
        </w:rPr>
        <w:t>יו</w:t>
      </w:r>
      <w:r w:rsidRPr="00CE23AA">
        <w:rPr>
          <w:rFonts w:hint="cs"/>
          <w:rtl/>
        </w:rPr>
        <w:t xml:space="preserve"> </w:t>
      </w:r>
      <w:r>
        <w:rPr>
          <w:rFonts w:hint="cs"/>
          <w:rtl/>
        </w:rPr>
        <w:t xml:space="preserve">הפורש </w:t>
      </w:r>
      <w:r w:rsidRPr="00CE23AA">
        <w:rPr>
          <w:rFonts w:hint="cs"/>
          <w:rtl/>
        </w:rPr>
        <w:t>ב</w:t>
      </w:r>
      <w:r>
        <w:rPr>
          <w:rFonts w:hint="cs"/>
          <w:rtl/>
        </w:rPr>
        <w:t>עד</w:t>
      </w:r>
      <w:r w:rsidRPr="00CE23AA">
        <w:rPr>
          <w:rFonts w:hint="cs"/>
          <w:rtl/>
        </w:rPr>
        <w:t xml:space="preserve"> מניותיו. לצורך ביצוע הרכישה העצמית ערכו </w:t>
      </w:r>
      <w:r>
        <w:rPr>
          <w:rFonts w:hint="cs"/>
          <w:rtl/>
        </w:rPr>
        <w:t>מאיר,</w:t>
      </w:r>
      <w:r w:rsidRPr="00CE23AA">
        <w:rPr>
          <w:rFonts w:hint="cs"/>
          <w:rtl/>
        </w:rPr>
        <w:t xml:space="preserve"> אחיו והחברה </w:t>
      </w:r>
      <w:r w:rsidRPr="00CE23AA">
        <w:rPr>
          <w:rFonts w:ascii="Century" w:hAnsi="Century" w:cs="Miriam" w:hint="cs"/>
          <w:b/>
          <w:spacing w:val="0"/>
          <w:sz w:val="22"/>
          <w:szCs w:val="24"/>
          <w:rtl/>
        </w:rPr>
        <w:t>הסכם משולש</w:t>
      </w:r>
      <w:r>
        <w:rPr>
          <w:rFonts w:hint="cs"/>
          <w:rtl/>
        </w:rPr>
        <w:t>. לצד תשלום התמורה לאח הפורש בעד מניותיו בחברה, הסדיר ההסכם</w:t>
      </w:r>
      <w:r w:rsidRPr="00CE23AA">
        <w:rPr>
          <w:rFonts w:hint="cs"/>
          <w:rtl/>
        </w:rPr>
        <w:t xml:space="preserve"> את סיום תפקידיו </w:t>
      </w:r>
      <w:r>
        <w:rPr>
          <w:rFonts w:hint="cs"/>
          <w:rtl/>
        </w:rPr>
        <w:t xml:space="preserve">של האח בחברה ובחברות </w:t>
      </w:r>
      <w:r w:rsidRPr="00CE23AA">
        <w:rPr>
          <w:rFonts w:hint="cs"/>
          <w:rtl/>
        </w:rPr>
        <w:t>קשורות</w:t>
      </w:r>
      <w:r>
        <w:rPr>
          <w:rFonts w:hint="cs"/>
          <w:rtl/>
        </w:rPr>
        <w:t xml:space="preserve">; פתר והוריד מסדר היום את </w:t>
      </w:r>
      <w:r w:rsidRPr="00CE23AA">
        <w:rPr>
          <w:rFonts w:hint="cs"/>
          <w:rtl/>
        </w:rPr>
        <w:t xml:space="preserve">כל </w:t>
      </w:r>
      <w:r>
        <w:rPr>
          <w:rFonts w:hint="cs"/>
          <w:rtl/>
        </w:rPr>
        <w:t>ה</w:t>
      </w:r>
      <w:r w:rsidRPr="00CE23AA">
        <w:rPr>
          <w:rFonts w:hint="cs"/>
          <w:rtl/>
        </w:rPr>
        <w:t>מחלוק</w:t>
      </w:r>
      <w:r>
        <w:rPr>
          <w:rFonts w:hint="cs"/>
          <w:rtl/>
        </w:rPr>
        <w:t>ו</w:t>
      </w:r>
      <w:r w:rsidRPr="00CE23AA">
        <w:rPr>
          <w:rFonts w:hint="cs"/>
          <w:rtl/>
        </w:rPr>
        <w:t xml:space="preserve">ת </w:t>
      </w:r>
      <w:r>
        <w:rPr>
          <w:rFonts w:hint="cs"/>
          <w:rtl/>
        </w:rPr>
        <w:t>שהיו בין האחים; ושם קץ ליחסי ה</w:t>
      </w:r>
      <w:r w:rsidRPr="00CE23AA">
        <w:rPr>
          <w:rFonts w:hint="cs"/>
          <w:rtl/>
        </w:rPr>
        <w:t xml:space="preserve">שותפות </w:t>
      </w:r>
      <w:r>
        <w:rPr>
          <w:rFonts w:hint="cs"/>
          <w:rtl/>
        </w:rPr>
        <w:t>שהתקיימו ביניהם. במסגרת זו, רעייתו</w:t>
      </w:r>
      <w:r w:rsidRPr="00CE23AA">
        <w:rPr>
          <w:rFonts w:hint="cs"/>
          <w:rtl/>
        </w:rPr>
        <w:t xml:space="preserve"> של האח </w:t>
      </w:r>
      <w:r>
        <w:rPr>
          <w:rFonts w:hint="cs"/>
          <w:rtl/>
        </w:rPr>
        <w:t xml:space="preserve">הפורש חתמה </w:t>
      </w:r>
      <w:r w:rsidRPr="00CE23AA">
        <w:rPr>
          <w:rFonts w:hint="cs"/>
          <w:rtl/>
        </w:rPr>
        <w:t>על הצהרה ו</w:t>
      </w:r>
      <w:r>
        <w:rPr>
          <w:rFonts w:hint="cs"/>
          <w:rtl/>
        </w:rPr>
        <w:t xml:space="preserve">על </w:t>
      </w:r>
      <w:r w:rsidRPr="00CE23AA">
        <w:rPr>
          <w:rFonts w:hint="cs"/>
          <w:rtl/>
        </w:rPr>
        <w:t xml:space="preserve">התחייבות </w:t>
      </w:r>
      <w:r>
        <w:rPr>
          <w:rFonts w:hint="cs"/>
          <w:rtl/>
        </w:rPr>
        <w:t xml:space="preserve">אשר אישרו כי </w:t>
      </w:r>
      <w:r w:rsidRPr="00CE23AA">
        <w:rPr>
          <w:rFonts w:hint="cs"/>
          <w:rtl/>
        </w:rPr>
        <w:t xml:space="preserve">מכירת מניות </w:t>
      </w:r>
      <w:r>
        <w:rPr>
          <w:rFonts w:hint="cs"/>
          <w:rtl/>
        </w:rPr>
        <w:t xml:space="preserve">בעלה </w:t>
      </w:r>
      <w:r w:rsidRPr="00CE23AA">
        <w:rPr>
          <w:rFonts w:hint="cs"/>
          <w:rtl/>
        </w:rPr>
        <w:t>לחברה נעשתה בידיעתה ובהסכמתה</w:t>
      </w:r>
      <w:r>
        <w:rPr>
          <w:rFonts w:hint="cs"/>
          <w:rtl/>
        </w:rPr>
        <w:t xml:space="preserve"> המלאה</w:t>
      </w:r>
      <w:r w:rsidRPr="00CE23AA">
        <w:rPr>
          <w:rFonts w:hint="cs"/>
          <w:rtl/>
        </w:rPr>
        <w:t xml:space="preserve">. </w:t>
      </w:r>
    </w:p>
    <w:p w:rsidR="00F05533" w:rsidRPr="00CE23AA" w:rsidRDefault="00F05533" w:rsidP="00F05533">
      <w:pPr>
        <w:pStyle w:val="Ruller41"/>
        <w:rPr>
          <w:rtl/>
        </w:rPr>
      </w:pPr>
    </w:p>
    <w:p w:rsidR="00F05533" w:rsidRDefault="00F05533" w:rsidP="00F05533">
      <w:pPr>
        <w:pStyle w:val="Ruller4"/>
        <w:rPr>
          <w:rtl/>
        </w:rPr>
      </w:pPr>
      <w:r w:rsidRPr="00CE23AA">
        <w:rPr>
          <w:rFonts w:hint="cs"/>
          <w:rtl/>
        </w:rPr>
        <w:t>לאור כל המתואר</w:t>
      </w:r>
      <w:r>
        <w:rPr>
          <w:rFonts w:hint="cs"/>
          <w:rtl/>
        </w:rPr>
        <w:t xml:space="preserve">, קבע פקיד </w:t>
      </w:r>
      <w:r w:rsidRPr="00CE23AA">
        <w:rPr>
          <w:rFonts w:hint="cs"/>
          <w:rtl/>
        </w:rPr>
        <w:t xml:space="preserve">שומה </w:t>
      </w:r>
      <w:r>
        <w:rPr>
          <w:rFonts w:hint="cs"/>
          <w:rtl/>
        </w:rPr>
        <w:t xml:space="preserve">באר שבע </w:t>
      </w:r>
      <w:r w:rsidRPr="00CE23AA">
        <w:rPr>
          <w:rFonts w:hint="cs"/>
          <w:rtl/>
        </w:rPr>
        <w:t xml:space="preserve">כי </w:t>
      </w:r>
      <w:r>
        <w:rPr>
          <w:rFonts w:hint="cs"/>
          <w:rtl/>
        </w:rPr>
        <w:t xml:space="preserve">מאיר </w:t>
      </w:r>
      <w:r w:rsidRPr="00CE23AA">
        <w:rPr>
          <w:rFonts w:hint="cs"/>
          <w:rtl/>
        </w:rPr>
        <w:t>סיידה הוא זה שרכש את מניותיו של אח</w:t>
      </w:r>
      <w:r>
        <w:rPr>
          <w:rFonts w:hint="cs"/>
          <w:rtl/>
        </w:rPr>
        <w:t>יו</w:t>
      </w:r>
      <w:r w:rsidRPr="00CE23AA">
        <w:rPr>
          <w:rFonts w:hint="cs"/>
          <w:rtl/>
        </w:rPr>
        <w:t xml:space="preserve"> </w:t>
      </w:r>
      <w:r>
        <w:rPr>
          <w:rFonts w:hint="cs"/>
          <w:rtl/>
        </w:rPr>
        <w:t xml:space="preserve">הפורש </w:t>
      </w:r>
      <w:r w:rsidRPr="00CE23AA">
        <w:rPr>
          <w:rFonts w:hint="cs"/>
          <w:rtl/>
        </w:rPr>
        <w:t xml:space="preserve">תוך עשיית שימוש בעודפי החברה. </w:t>
      </w:r>
      <w:r>
        <w:rPr>
          <w:rFonts w:hint="cs"/>
          <w:rtl/>
        </w:rPr>
        <w:t xml:space="preserve">פקיד השומה סבר כי רכישה </w:t>
      </w:r>
      <w:r>
        <w:rPr>
          <w:rFonts w:hint="cs"/>
          <w:rtl/>
        </w:rPr>
        <w:lastRenderedPageBreak/>
        <w:t xml:space="preserve">זו של אח-מאח היא המהות הכלכלית </w:t>
      </w:r>
      <w:proofErr w:type="spellStart"/>
      <w:r>
        <w:rPr>
          <w:rFonts w:hint="cs"/>
          <w:rtl/>
        </w:rPr>
        <w:t>האמיתית</w:t>
      </w:r>
      <w:proofErr w:type="spellEnd"/>
      <w:r>
        <w:rPr>
          <w:rFonts w:hint="cs"/>
          <w:rtl/>
        </w:rPr>
        <w:t xml:space="preserve"> של העסקה מושא ההסכם המשולש. </w:t>
      </w:r>
      <w:r w:rsidRPr="00CE23AA">
        <w:rPr>
          <w:rFonts w:hint="cs"/>
          <w:rtl/>
        </w:rPr>
        <w:t>ממהות</w:t>
      </w:r>
      <w:r>
        <w:rPr>
          <w:rFonts w:hint="cs"/>
          <w:rtl/>
        </w:rPr>
        <w:t xml:space="preserve"> זו הסיק פקיד השומה כי מן הדין לסווג את מלוא תמורת הרכישה העצמית כדיבידנד רעיוני ששולם למאיר סיידה, </w:t>
      </w:r>
      <w:proofErr w:type="spellStart"/>
      <w:r>
        <w:rPr>
          <w:rFonts w:hint="cs"/>
          <w:rtl/>
        </w:rPr>
        <w:t>ולמסותו</w:t>
      </w:r>
      <w:proofErr w:type="spellEnd"/>
      <w:r>
        <w:rPr>
          <w:rFonts w:hint="cs"/>
          <w:rtl/>
        </w:rPr>
        <w:t xml:space="preserve"> בהתאם. לחלופין, טען פקיד השומה כי יש למסות את מאיר סיידה בגין מחצית מן התמורה. טענה חלופית זו ראתה בתמורת הרכישה העצמית דיבידנד שהחברה חילקה לשני האחים בחלקים שווים על-מנת לאפשר למאיר סיידה להשתמש בחלקו-שלו כתשלום כסף המשולם לאחיו הפורש בעד מניותיו.   </w:t>
      </w:r>
    </w:p>
    <w:p w:rsidR="00F05533" w:rsidRPr="00732F40" w:rsidRDefault="00F05533" w:rsidP="00F05533">
      <w:pPr>
        <w:pStyle w:val="Ruller41"/>
      </w:pPr>
    </w:p>
    <w:p w:rsidR="00F05533" w:rsidRDefault="00F05533" w:rsidP="00F05533">
      <w:pPr>
        <w:pStyle w:val="Ruller4"/>
      </w:pPr>
      <w:r>
        <w:rPr>
          <w:rFonts w:hint="cs"/>
          <w:rtl/>
        </w:rPr>
        <w:t xml:space="preserve">במסגרת פסק דינו סקר בית משפט קמא-ב"ש את פסקי הדין שניתנו בנושא על ידי הערכאות המקבילות, את האמור בחוזרי המס ואת הדין הרלבנטי. בהישען על כל אלה, קבע בית המשפט כי בהעדרה של הוראת חוק מפורשת באשר לאופן המיסוי של רכישה עצמית תחולנה ההוראות הכלליות של פקודת מס הכנסה אשר עוסקות במיסוי דיבידנד ובמיסוי רווחי הון. כמו כן קבע בית המשפט, כי עסקת הרכישה העצמית נושא דיוננו משלבת בתוכה מאפיינים של דיבידנד ורווח הון אשר מגדירים את מהותה הכלכלית. בעניין זה, הסביר בית המשפט כי אין כל סיבה להניח שקיימת חפיפה מוחלטת ומלאה בין משמעות המונח "דיבידנד" שבפקודת מס הכנסה לבין משמעותו לפי חוק החברות. עוד נקבע כי מיסוי התעשרותם של בעלי מניות אשר נמנעו ממכירת מניותיהם לחברה </w:t>
      </w:r>
      <w:r>
        <w:rPr>
          <w:rtl/>
        </w:rPr>
        <w:t>–</w:t>
      </w:r>
      <w:r>
        <w:rPr>
          <w:rFonts w:hint="cs"/>
          <w:rtl/>
        </w:rPr>
        <w:t xml:space="preserve"> </w:t>
      </w:r>
      <w:proofErr w:type="spellStart"/>
      <w:r>
        <w:rPr>
          <w:rFonts w:hint="cs"/>
          <w:rtl/>
        </w:rPr>
        <w:t>והחזקותיהם</w:t>
      </w:r>
      <w:proofErr w:type="spellEnd"/>
      <w:r>
        <w:rPr>
          <w:rFonts w:hint="cs"/>
          <w:rtl/>
        </w:rPr>
        <w:t xml:space="preserve"> בחברה עלו בעקבות הרכישה העצמית </w:t>
      </w:r>
      <w:r>
        <w:rPr>
          <w:rtl/>
        </w:rPr>
        <w:t>–</w:t>
      </w:r>
      <w:r>
        <w:rPr>
          <w:rFonts w:hint="cs"/>
          <w:rtl/>
        </w:rPr>
        <w:t xml:space="preserve"> צריך להיקבע בהתאמה למודל המיסוי הדו-שלבי אשר חל על הכנסותיהם של פרטים מחברות שבשליטתם. בהתחשב בכל אלה, קבע בית המשפט כי סיווג הרכישה העצמית כדיבידנד לצרכי מס הוא סיווג נכון. </w:t>
      </w:r>
    </w:p>
    <w:p w:rsidR="00F05533" w:rsidRDefault="00F05533" w:rsidP="00F05533">
      <w:pPr>
        <w:pStyle w:val="Ruller4"/>
        <w:numPr>
          <w:ilvl w:val="0"/>
          <w:numId w:val="0"/>
        </w:numPr>
      </w:pPr>
    </w:p>
    <w:p w:rsidR="00F05533" w:rsidRDefault="00F05533" w:rsidP="00F05533">
      <w:pPr>
        <w:pStyle w:val="Ruller4"/>
      </w:pPr>
      <w:r>
        <w:rPr>
          <w:rFonts w:hint="cs"/>
          <w:rtl/>
        </w:rPr>
        <w:t xml:space="preserve">על יסוד האמור, קיבל בית משפט קמא-ב"ש את עמדתו של פקיד השומה וקבע כי מאיר סיידה עשה שימוש בכספי החברה תוך הפקת יתרון כלכלי בדמות רכישת זכויות נוספות בחברה </w:t>
      </w:r>
      <w:r>
        <w:rPr>
          <w:rtl/>
        </w:rPr>
        <w:t>–</w:t>
      </w:r>
      <w:r>
        <w:rPr>
          <w:rFonts w:hint="cs"/>
          <w:rtl/>
        </w:rPr>
        <w:t xml:space="preserve"> והכל בהעדר טעם כלכלי עצמאי של החברה לביצועה של הרכישה העצמית. לצורך סיווג התמורה אשר התקבלה בידיו של מאיר סיידה, קבע בית המשפט כי בפניו עסקה דו-שלבית שבמסגרתה נעשו הפעולות הבאות: (1) תחילה, דמי הרכישה העצמית חולקו על ידי החברה כדיבידנד רעיוני למאיר סיידה ולאחיו; (2) לאחר מכן, סיידה עשה שימוש בחלקו בדמי הרכישה </w:t>
      </w:r>
      <w:r>
        <w:rPr>
          <w:rtl/>
        </w:rPr>
        <w:t>–</w:t>
      </w:r>
      <w:r>
        <w:rPr>
          <w:rFonts w:hint="cs"/>
          <w:rtl/>
        </w:rPr>
        <w:t xml:space="preserve"> 50% </w:t>
      </w:r>
      <w:r>
        <w:rPr>
          <w:rtl/>
        </w:rPr>
        <w:t>–</w:t>
      </w:r>
      <w:r>
        <w:rPr>
          <w:rFonts w:hint="cs"/>
          <w:rtl/>
        </w:rPr>
        <w:t xml:space="preserve">  בקניית המניות מאחיו הפורש. בית המשפט חייב אפוא את מאיר סיידה במס ביחס למחצית מתמורת הרכישה העצמית הכוללת.   </w:t>
      </w:r>
    </w:p>
    <w:p w:rsidR="00F05533" w:rsidRDefault="00F05533" w:rsidP="00F05533">
      <w:pPr>
        <w:pStyle w:val="Ruller4"/>
        <w:numPr>
          <w:ilvl w:val="0"/>
          <w:numId w:val="0"/>
        </w:numPr>
      </w:pPr>
    </w:p>
    <w:p w:rsidR="00F05533" w:rsidRDefault="00F05533" w:rsidP="00F05533">
      <w:pPr>
        <w:pStyle w:val="Ruller4"/>
        <w:rPr>
          <w:rtl/>
        </w:rPr>
      </w:pPr>
      <w:r>
        <w:rPr>
          <w:rFonts w:hint="cs"/>
          <w:rtl/>
        </w:rPr>
        <w:t>מכאן הערעורים המונחים לפנינו.</w:t>
      </w:r>
    </w:p>
    <w:p w:rsidR="00F05533" w:rsidRDefault="00F05533" w:rsidP="00F05533">
      <w:pPr>
        <w:pStyle w:val="Ruller41"/>
        <w:rPr>
          <w:rtl/>
        </w:rPr>
      </w:pPr>
    </w:p>
    <w:p w:rsidR="00F05533" w:rsidRPr="00D043A1" w:rsidRDefault="00F05533" w:rsidP="00F05533">
      <w:pPr>
        <w:pStyle w:val="Ruller41"/>
        <w:rPr>
          <w:rFonts w:ascii="Century" w:hAnsi="Century" w:cs="Miriam"/>
          <w:b/>
          <w:spacing w:val="0"/>
          <w:szCs w:val="24"/>
          <w:rtl/>
        </w:rPr>
      </w:pPr>
      <w:r w:rsidRPr="00D043A1">
        <w:rPr>
          <w:rFonts w:ascii="Century" w:hAnsi="Century" w:cs="Miriam" w:hint="cs"/>
          <w:b/>
          <w:spacing w:val="0"/>
          <w:szCs w:val="24"/>
          <w:rtl/>
        </w:rPr>
        <w:lastRenderedPageBreak/>
        <w:t>טענות הצדדים בערעורים</w:t>
      </w:r>
    </w:p>
    <w:p w:rsidR="00F05533" w:rsidRDefault="00F05533" w:rsidP="00F05533">
      <w:pPr>
        <w:pStyle w:val="Ruller41"/>
        <w:rPr>
          <w:rtl/>
        </w:rPr>
      </w:pPr>
    </w:p>
    <w:p w:rsidR="00F05533" w:rsidRDefault="00F05533" w:rsidP="00F05533">
      <w:pPr>
        <w:pStyle w:val="Ruller4"/>
      </w:pPr>
      <w:r>
        <w:rPr>
          <w:rFonts w:hint="cs"/>
          <w:rtl/>
        </w:rPr>
        <w:t xml:space="preserve">עמדתה החד-משמעית של רשות המיסים, כפי שהוצגה לפנינו על ידי פקידי השומה </w:t>
      </w:r>
      <w:r>
        <w:rPr>
          <w:rtl/>
        </w:rPr>
        <w:t>–</w:t>
      </w:r>
      <w:r>
        <w:rPr>
          <w:rFonts w:hint="cs"/>
          <w:rtl/>
        </w:rPr>
        <w:t xml:space="preserve"> זה של עכו וזה של באר שבע </w:t>
      </w:r>
      <w:r>
        <w:rPr>
          <w:rtl/>
        </w:rPr>
        <w:t>–</w:t>
      </w:r>
      <w:r>
        <w:rPr>
          <w:rFonts w:hint="cs"/>
          <w:rtl/>
        </w:rPr>
        <w:t xml:space="preserve"> הינה זו: ככלל, מן הדין הוא שנראה ברכישה עצמית דיספרופורציונית עסקה שמחוללת אירוע מס אצל בעלי המניות אשר בוחרים להישאר בחברה ולאחוז במניותיהם. עמדה כאמור נסמכת על תפישת הרשות כי רכישה עצמית דיספרופורציונית, באשר היא, כמוה כהתעשרות ממומשת של בעלי המניות אשר נותרים בחברה </w:t>
      </w:r>
      <w:proofErr w:type="spellStart"/>
      <w:r>
        <w:rPr>
          <w:rFonts w:hint="cs"/>
          <w:rtl/>
        </w:rPr>
        <w:t>והחזקותיהם</w:t>
      </w:r>
      <w:proofErr w:type="spellEnd"/>
      <w:r>
        <w:rPr>
          <w:rFonts w:hint="cs"/>
          <w:rtl/>
        </w:rPr>
        <w:t xml:space="preserve"> עולות </w:t>
      </w:r>
      <w:r>
        <w:rPr>
          <w:rtl/>
        </w:rPr>
        <w:t>–</w:t>
      </w:r>
      <w:r>
        <w:rPr>
          <w:rFonts w:hint="cs"/>
          <w:rtl/>
        </w:rPr>
        <w:t xml:space="preserve"> לצד רווח ההון, אשר יכול שנצמח אצל מוכרי המניות הפורשים מהחברה באופן מלא. התעשרות זו גוררת אחריה הטלת מס. תוצאה כאמור מתחייבת לנוכח מהותה הכלכלית של רכישה עצמית דיספרופורציונית; ובכדי לחשוף מהות כלכלית זו, עלינו להתעלם מהלבוש המשפטי הפורמלי של עסקת הרכישה אשר מציג את החברה כרוכשת את מניות הפורשים ומרחיק את התעשרותם של בעלי המניות הנותרים מן העין. טענות אלה של רשות המיסים מושתתות על העיקרון הכללי של דיני המס אשר מבכר את מהותה הכלכלית של עסקה על פני דפוסהּ הפורמלי (</w:t>
      </w:r>
      <w:r w:rsidRPr="0042186E">
        <w:rPr>
          <w:rFonts w:asciiTheme="majorBidi" w:hAnsiTheme="majorBidi" w:cstheme="majorBidi"/>
        </w:rPr>
        <w:t>substance over form</w:t>
      </w:r>
      <w:r>
        <w:rPr>
          <w:rFonts w:hint="cs"/>
          <w:rtl/>
        </w:rPr>
        <w:t xml:space="preserve">). </w:t>
      </w:r>
    </w:p>
    <w:p w:rsidR="00F05533" w:rsidRDefault="00F05533" w:rsidP="00F05533">
      <w:pPr>
        <w:pStyle w:val="Ruller4"/>
        <w:numPr>
          <w:ilvl w:val="0"/>
          <w:numId w:val="0"/>
        </w:numPr>
      </w:pPr>
    </w:p>
    <w:p w:rsidR="00F05533" w:rsidRDefault="00F05533" w:rsidP="00F05533">
      <w:pPr>
        <w:pStyle w:val="Ruller4"/>
        <w:rPr>
          <w:rtl/>
        </w:rPr>
      </w:pPr>
      <w:r>
        <w:rPr>
          <w:rFonts w:hint="cs"/>
          <w:rtl/>
        </w:rPr>
        <w:t xml:space="preserve">רשות המיסים מפרטת וטוענת כי מהותה הכלכלית </w:t>
      </w:r>
      <w:proofErr w:type="spellStart"/>
      <w:r>
        <w:rPr>
          <w:rFonts w:hint="cs"/>
          <w:rtl/>
        </w:rPr>
        <w:t>האמיתית</w:t>
      </w:r>
      <w:proofErr w:type="spellEnd"/>
      <w:r>
        <w:rPr>
          <w:rFonts w:hint="cs"/>
          <w:rtl/>
        </w:rPr>
        <w:t xml:space="preserve"> של רכישה עצמית דיספרופורציונית היא עשיית שימוש בעודפי החברה על ידי בעלי מניותיה לטובתם הם </w:t>
      </w:r>
      <w:r>
        <w:rPr>
          <w:rtl/>
        </w:rPr>
        <w:t>–</w:t>
      </w:r>
      <w:r>
        <w:rPr>
          <w:rFonts w:hint="cs"/>
          <w:rtl/>
        </w:rPr>
        <w:t xml:space="preserve"> זאת, גם כאשר בעלי מניות אלו אינם מזרימים לכיסם כסף מקופת החברה. הרשות סבורה כי ראייה אחרת של הדברים, אשר הולכת אחר הדפוס הפורמלי של העסקה, תסכל את תכליותיו של מנגנון המיסוי הדו-שלבי אשר ממסה הכנסות של פרטים מחברות. בשלב ראשון, מנגנון זה מטיל על הכנסות של חברה מס אחיד בשיעור נמוך יחסית, אשר עומד כעת על </w:t>
      </w:r>
      <w:r w:rsidRPr="00C610A7">
        <w:rPr>
          <w:rFonts w:hint="cs"/>
          <w:rtl/>
        </w:rPr>
        <w:t xml:space="preserve">23% </w:t>
      </w:r>
      <w:r w:rsidRPr="00041E5E">
        <w:rPr>
          <w:rtl/>
        </w:rPr>
        <w:t>(</w:t>
      </w:r>
      <w:r w:rsidRPr="00041E5E">
        <w:rPr>
          <w:rFonts w:hint="eastAsia"/>
          <w:rtl/>
        </w:rPr>
        <w:t>ראו</w:t>
      </w:r>
      <w:r w:rsidRPr="00041E5E">
        <w:rPr>
          <w:rtl/>
        </w:rPr>
        <w:t xml:space="preserve">: </w:t>
      </w:r>
      <w:r w:rsidRPr="00041E5E">
        <w:rPr>
          <w:rFonts w:hint="eastAsia"/>
          <w:rtl/>
        </w:rPr>
        <w:t>סעיף</w:t>
      </w:r>
      <w:r w:rsidRPr="00041E5E">
        <w:rPr>
          <w:rtl/>
        </w:rPr>
        <w:t xml:space="preserve"> 126(</w:t>
      </w:r>
      <w:r w:rsidRPr="00041E5E">
        <w:rPr>
          <w:rFonts w:hint="eastAsia"/>
          <w:rtl/>
        </w:rPr>
        <w:t>א</w:t>
      </w:r>
      <w:r w:rsidRPr="00041E5E">
        <w:rPr>
          <w:rtl/>
        </w:rPr>
        <w:t xml:space="preserve">) </w:t>
      </w:r>
      <w:r w:rsidRPr="00041E5E">
        <w:rPr>
          <w:rFonts w:hint="eastAsia"/>
          <w:rtl/>
        </w:rPr>
        <w:t>לפקודת</w:t>
      </w:r>
      <w:r w:rsidRPr="00041E5E">
        <w:rPr>
          <w:rtl/>
        </w:rPr>
        <w:t xml:space="preserve"> </w:t>
      </w:r>
      <w:r w:rsidRPr="00041E5E">
        <w:rPr>
          <w:rFonts w:hint="eastAsia"/>
          <w:rtl/>
        </w:rPr>
        <w:t>מס</w:t>
      </w:r>
      <w:r w:rsidRPr="00041E5E">
        <w:rPr>
          <w:rtl/>
        </w:rPr>
        <w:t xml:space="preserve"> </w:t>
      </w:r>
      <w:r w:rsidRPr="00041E5E">
        <w:rPr>
          <w:rFonts w:hint="eastAsia"/>
          <w:rtl/>
        </w:rPr>
        <w:t>הכנסה</w:t>
      </w:r>
      <w:r w:rsidRPr="00041E5E">
        <w:rPr>
          <w:rtl/>
        </w:rPr>
        <w:t>)</w:t>
      </w:r>
      <w:r w:rsidRPr="00C610A7">
        <w:rPr>
          <w:rFonts w:hint="cs"/>
          <w:rtl/>
        </w:rPr>
        <w:t>, ואי</w:t>
      </w:r>
      <w:r>
        <w:rPr>
          <w:rFonts w:hint="cs"/>
          <w:rtl/>
        </w:rPr>
        <w:t xml:space="preserve">לו בשלב השני </w:t>
      </w:r>
      <w:r>
        <w:rPr>
          <w:rtl/>
        </w:rPr>
        <w:t>–</w:t>
      </w:r>
      <w:r>
        <w:rPr>
          <w:rFonts w:hint="cs"/>
          <w:rtl/>
        </w:rPr>
        <w:t xml:space="preserve"> השלב של חלוקת עודפים בחברה לבעלי מניותיה, באמצעות תשלום דיבידנד או בדרך אחרת </w:t>
      </w:r>
      <w:r>
        <w:rPr>
          <w:rtl/>
        </w:rPr>
        <w:t>–</w:t>
      </w:r>
      <w:r>
        <w:rPr>
          <w:rFonts w:hint="cs"/>
          <w:rtl/>
        </w:rPr>
        <w:t xml:space="preserve"> כל בעל מניות ממוסה על הכנסתו מהחברה בהתאם למדרגות המס הרגילות אשר חלות על נישום בשר-ודם (ראו:</w:t>
      </w:r>
      <w:r w:rsidRPr="000A013A">
        <w:rPr>
          <w:rFonts w:hint="cs"/>
          <w:color w:val="FF0000"/>
          <w:rtl/>
        </w:rPr>
        <w:t xml:space="preserve"> </w:t>
      </w:r>
      <w:r w:rsidRPr="000A013A">
        <w:rPr>
          <w:rFonts w:hint="cs"/>
          <w:rtl/>
        </w:rPr>
        <w:t xml:space="preserve">ע"א 3012/18 </w:t>
      </w:r>
      <w:r w:rsidRPr="000A013A">
        <w:rPr>
          <w:rFonts w:ascii="Century" w:hAnsi="Century" w:cs="Miriam" w:hint="cs"/>
          <w:b/>
          <w:spacing w:val="0"/>
          <w:sz w:val="22"/>
          <w:szCs w:val="24"/>
          <w:rtl/>
        </w:rPr>
        <w:t xml:space="preserve">מנהל מיסוי מקרקעין חיפה נ' </w:t>
      </w:r>
      <w:proofErr w:type="spellStart"/>
      <w:r w:rsidRPr="000A013A">
        <w:rPr>
          <w:rFonts w:ascii="Century" w:hAnsi="Century" w:cs="Miriam" w:hint="cs"/>
          <w:b/>
          <w:spacing w:val="0"/>
          <w:sz w:val="22"/>
          <w:szCs w:val="24"/>
          <w:rtl/>
        </w:rPr>
        <w:t>טוונטי</w:t>
      </w:r>
      <w:proofErr w:type="spellEnd"/>
      <w:r w:rsidRPr="000A013A">
        <w:rPr>
          <w:rFonts w:ascii="Century" w:hAnsi="Century" w:cs="Miriam" w:hint="cs"/>
          <w:b/>
          <w:spacing w:val="0"/>
          <w:sz w:val="22"/>
          <w:szCs w:val="24"/>
          <w:rtl/>
        </w:rPr>
        <w:t xml:space="preserve"> </w:t>
      </w:r>
      <w:proofErr w:type="spellStart"/>
      <w:r w:rsidRPr="000A013A">
        <w:rPr>
          <w:rFonts w:ascii="Century" w:hAnsi="Century" w:cs="Miriam" w:hint="cs"/>
          <w:b/>
          <w:spacing w:val="0"/>
          <w:sz w:val="22"/>
          <w:szCs w:val="24"/>
          <w:rtl/>
        </w:rPr>
        <w:t>האנדרד</w:t>
      </w:r>
      <w:proofErr w:type="spellEnd"/>
      <w:r w:rsidRPr="000A013A">
        <w:rPr>
          <w:rFonts w:ascii="Century" w:hAnsi="Century" w:cs="Miriam" w:hint="cs"/>
          <w:b/>
          <w:spacing w:val="0"/>
          <w:sz w:val="22"/>
          <w:szCs w:val="24"/>
          <w:rtl/>
        </w:rPr>
        <w:t xml:space="preserve"> נהריה בע"מ</w:t>
      </w:r>
      <w:r>
        <w:rPr>
          <w:rFonts w:hint="cs"/>
          <w:rtl/>
        </w:rPr>
        <w:t xml:space="preserve">, </w:t>
      </w:r>
      <w:r w:rsidRPr="000A013A">
        <w:rPr>
          <w:rFonts w:hint="cs"/>
          <w:rtl/>
        </w:rPr>
        <w:t>פסק</w:t>
      </w:r>
      <w:r>
        <w:rPr>
          <w:rFonts w:hint="cs"/>
          <w:rtl/>
        </w:rPr>
        <w:t>אות</w:t>
      </w:r>
      <w:r w:rsidRPr="000A013A">
        <w:rPr>
          <w:rFonts w:hint="cs"/>
          <w:rtl/>
        </w:rPr>
        <w:t xml:space="preserve"> </w:t>
      </w:r>
      <w:r>
        <w:rPr>
          <w:rFonts w:hint="cs"/>
          <w:rtl/>
        </w:rPr>
        <w:t>27-24</w:t>
      </w:r>
      <w:r w:rsidRPr="000A013A">
        <w:rPr>
          <w:rFonts w:hint="cs"/>
          <w:color w:val="FF0000"/>
          <w:rtl/>
        </w:rPr>
        <w:t xml:space="preserve"> </w:t>
      </w:r>
      <w:r>
        <w:rPr>
          <w:rFonts w:hint="cs"/>
          <w:rtl/>
        </w:rPr>
        <w:t>לפסק דיני והאסמכתאות שם</w:t>
      </w:r>
      <w:r w:rsidRPr="000A013A">
        <w:rPr>
          <w:rFonts w:hint="cs"/>
          <w:rtl/>
        </w:rPr>
        <w:t xml:space="preserve"> </w:t>
      </w:r>
      <w:r>
        <w:rPr>
          <w:rFonts w:hint="cs"/>
          <w:rtl/>
        </w:rPr>
        <w:t xml:space="preserve">(4.7.2019) (להלן: עניין </w:t>
      </w:r>
      <w:proofErr w:type="spellStart"/>
      <w:r w:rsidRPr="00F25FD0">
        <w:rPr>
          <w:rFonts w:ascii="Century" w:hAnsi="Century" w:cs="Miriam" w:hint="cs"/>
          <w:b/>
          <w:spacing w:val="0"/>
          <w:sz w:val="22"/>
          <w:szCs w:val="24"/>
          <w:rtl/>
        </w:rPr>
        <w:t>טוונטי</w:t>
      </w:r>
      <w:proofErr w:type="spellEnd"/>
      <w:r w:rsidRPr="00F25FD0">
        <w:rPr>
          <w:rFonts w:ascii="Century" w:hAnsi="Century" w:cs="Miriam" w:hint="cs"/>
          <w:b/>
          <w:spacing w:val="0"/>
          <w:sz w:val="22"/>
          <w:szCs w:val="24"/>
          <w:rtl/>
        </w:rPr>
        <w:t xml:space="preserve"> </w:t>
      </w:r>
      <w:proofErr w:type="spellStart"/>
      <w:r w:rsidRPr="00F25FD0">
        <w:rPr>
          <w:rFonts w:ascii="Century" w:hAnsi="Century" w:cs="Miriam" w:hint="cs"/>
          <w:b/>
          <w:spacing w:val="0"/>
          <w:sz w:val="22"/>
          <w:szCs w:val="24"/>
          <w:rtl/>
        </w:rPr>
        <w:t>האנדרד</w:t>
      </w:r>
      <w:proofErr w:type="spellEnd"/>
      <w:r>
        <w:rPr>
          <w:rFonts w:hint="cs"/>
          <w:rtl/>
        </w:rPr>
        <w:t xml:space="preserve">)). לטענת הרשות, דילול העודפים העתידיים על ידי רכישה עצמית דיספרופורציונית מקטין באופן מלאכותי את המס אשר אמור להשתלם לאוצר המדינה בשלב של חלוקת העודפים. בכדי למנוע תוצאה אנומאלית זאת, מן הראוי לחייב את בעלי המניות הנותרים בחברה, בגין עלייה </w:t>
      </w:r>
      <w:proofErr w:type="spellStart"/>
      <w:r>
        <w:rPr>
          <w:rFonts w:hint="cs"/>
          <w:rtl/>
        </w:rPr>
        <w:t>בהחזקותיהם</w:t>
      </w:r>
      <w:proofErr w:type="spellEnd"/>
      <w:r>
        <w:rPr>
          <w:rFonts w:hint="cs"/>
          <w:rtl/>
        </w:rPr>
        <w:t xml:space="preserve">, במס אשר חל בחלוקת דיבידנד. במילים אחרות: יש לראות את כל אחד מבעלי המניות הנותרים בחברה כמי שמשך כסף מקופת החברה והשתמש בו כדי לקנות את פרישתם של בעלי המניות הפורשים ועל ידי כך להעצים את כוחו בחברה. בהקשר זה, מוסיפה הרשות וטוענת כי אין שום נפקות </w:t>
      </w:r>
      <w:r>
        <w:rPr>
          <w:rFonts w:hint="cs"/>
          <w:rtl/>
        </w:rPr>
        <w:lastRenderedPageBreak/>
        <w:t>לשאלה האם היא גבתה מס רווח הון ממוכרי המניות שבחרו לפרוש מהחברה באופן מלא או חלקי. לדידה, מס זה אינו בגדר תחליף למס נוסף ונפרד אשר אמור להיות משולם לקופת המדינה על ידי בעלי המניות הנותרים בחברה בגין משיכת העודפים.</w:t>
      </w:r>
    </w:p>
    <w:p w:rsidR="00F05533" w:rsidRPr="00291515" w:rsidRDefault="00F05533" w:rsidP="00F05533">
      <w:pPr>
        <w:pStyle w:val="Ruller41"/>
      </w:pPr>
    </w:p>
    <w:p w:rsidR="00F05533" w:rsidRDefault="00F05533" w:rsidP="00F05533">
      <w:pPr>
        <w:pStyle w:val="Ruller4"/>
        <w:rPr>
          <w:rtl/>
        </w:rPr>
      </w:pPr>
      <w:r>
        <w:rPr>
          <w:rFonts w:hint="cs"/>
          <w:rtl/>
        </w:rPr>
        <w:t xml:space="preserve">בהתייחס לטענותיהם של בעלי המניות הנותרים בדבר העדר התעשרות, שבה רשות המיסים ומדגישה כי במקרים כדוגמת אלו שלפנינו מדובר בשימוש בכספי החברה אשר מגדיל את </w:t>
      </w:r>
      <w:proofErr w:type="spellStart"/>
      <w:r>
        <w:rPr>
          <w:rFonts w:hint="cs"/>
          <w:rtl/>
        </w:rPr>
        <w:t>החזקותיהם</w:t>
      </w:r>
      <w:proofErr w:type="spellEnd"/>
      <w:r>
        <w:rPr>
          <w:rFonts w:hint="cs"/>
          <w:rtl/>
        </w:rPr>
        <w:t xml:space="preserve"> של בעלי המניות הנותרים </w:t>
      </w:r>
      <w:r>
        <w:rPr>
          <w:rtl/>
        </w:rPr>
        <w:t>–</w:t>
      </w:r>
      <w:r>
        <w:rPr>
          <w:rFonts w:hint="cs"/>
          <w:rtl/>
        </w:rPr>
        <w:t xml:space="preserve"> ומכאן ההתעשרות. זאת ועוד: </w:t>
      </w:r>
      <w:r w:rsidRPr="00CF2E9D">
        <w:rPr>
          <w:rFonts w:hint="cs"/>
          <w:rtl/>
        </w:rPr>
        <w:t>הרשות סבורה כי עצם הגידול בשיעור ההחזקה של בעלי המניות שנמנעו ממכירתן</w:t>
      </w:r>
      <w:r w:rsidRPr="00CF2E9D">
        <w:rPr>
          <w:rtl/>
        </w:rPr>
        <w:t xml:space="preserve"> –</w:t>
      </w:r>
      <w:r w:rsidRPr="00CF2E9D">
        <w:rPr>
          <w:rFonts w:hint="cs"/>
          <w:rtl/>
        </w:rPr>
        <w:t xml:space="preserve"> וכפועל יוצא מכך, בזכויות ההצבעה של אלו </w:t>
      </w:r>
      <w:r w:rsidRPr="00CF2E9D">
        <w:rPr>
          <w:rtl/>
        </w:rPr>
        <w:t>–</w:t>
      </w:r>
      <w:r w:rsidRPr="00CF2E9D">
        <w:rPr>
          <w:rFonts w:hint="cs"/>
          <w:rtl/>
        </w:rPr>
        <w:t xml:space="preserve"> מהווה התעשרות טעונת מס</w:t>
      </w:r>
      <w:r>
        <w:rPr>
          <w:rFonts w:hint="cs"/>
          <w:rtl/>
        </w:rPr>
        <w:t xml:space="preserve">. לטענת הרשות, מסקנה זו חלה ביתר שאת במקרים כדוגמת </w:t>
      </w:r>
      <w:r w:rsidRPr="00D60802">
        <w:rPr>
          <w:rFonts w:ascii="Century" w:hAnsi="Century" w:cs="Miriam" w:hint="cs"/>
          <w:b/>
          <w:spacing w:val="0"/>
          <w:sz w:val="22"/>
          <w:szCs w:val="24"/>
          <w:rtl/>
        </w:rPr>
        <w:t>בית חוסן</w:t>
      </w:r>
      <w:r>
        <w:rPr>
          <w:rFonts w:hint="cs"/>
          <w:rtl/>
        </w:rPr>
        <w:t xml:space="preserve">, בהם מדובר ברכישה עצמית אשר נעשתה על ידי איגוד מקרקעין ואשר הגדילה את חלקם של בעלי המניות הנותרים במקרקעין שבבעלות החברה. </w:t>
      </w:r>
    </w:p>
    <w:p w:rsidR="00F05533" w:rsidRDefault="00F05533" w:rsidP="00F05533">
      <w:pPr>
        <w:pStyle w:val="Ruller41"/>
        <w:rPr>
          <w:rtl/>
        </w:rPr>
      </w:pPr>
    </w:p>
    <w:p w:rsidR="00F05533" w:rsidRPr="00E264B0" w:rsidRDefault="00F05533" w:rsidP="00F05533">
      <w:pPr>
        <w:pStyle w:val="Ruller4"/>
        <w:rPr>
          <w:rtl/>
        </w:rPr>
      </w:pPr>
      <w:r>
        <w:rPr>
          <w:rFonts w:hint="cs"/>
          <w:rtl/>
        </w:rPr>
        <w:t>רשות המיסים מוסיפה וטוענת כי רכישה עצמית דיספרופורציונית מקיימת את כל דרישותיו ותנאיו של עיקרון המימוש</w:t>
      </w:r>
      <w:r w:rsidRPr="00E264B0">
        <w:rPr>
          <w:rFonts w:ascii="Century" w:hAnsi="Century" w:hint="cs"/>
          <w:sz w:val="22"/>
          <w:rtl/>
        </w:rPr>
        <w:t>: (1) ודאות לגבי מועד מימוש</w:t>
      </w:r>
      <w:r>
        <w:rPr>
          <w:rFonts w:ascii="Century" w:hAnsi="Century" w:hint="cs"/>
          <w:sz w:val="22"/>
          <w:rtl/>
        </w:rPr>
        <w:t xml:space="preserve"> ההתעשרות</w:t>
      </w:r>
      <w:r w:rsidRPr="00E264B0">
        <w:rPr>
          <w:rFonts w:ascii="Century" w:hAnsi="Century" w:hint="cs"/>
          <w:sz w:val="22"/>
          <w:rtl/>
        </w:rPr>
        <w:t xml:space="preserve">; </w:t>
      </w:r>
      <w:r>
        <w:rPr>
          <w:rFonts w:ascii="Century" w:hAnsi="Century" w:hint="cs"/>
          <w:sz w:val="22"/>
          <w:rtl/>
        </w:rPr>
        <w:t xml:space="preserve">(2) </w:t>
      </w:r>
      <w:r w:rsidRPr="00E264B0">
        <w:rPr>
          <w:rFonts w:ascii="Century" w:hAnsi="Century" w:hint="eastAsia"/>
          <w:sz w:val="22"/>
          <w:rtl/>
        </w:rPr>
        <w:t>כימות</w:t>
      </w:r>
      <w:r w:rsidRPr="00E264B0">
        <w:rPr>
          <w:rFonts w:ascii="Century" w:hAnsi="Century"/>
          <w:sz w:val="22"/>
          <w:rtl/>
        </w:rPr>
        <w:t xml:space="preserve"> </w:t>
      </w:r>
      <w:r w:rsidRPr="00E264B0">
        <w:rPr>
          <w:rFonts w:ascii="Century" w:hAnsi="Century" w:hint="eastAsia"/>
          <w:sz w:val="22"/>
          <w:rtl/>
        </w:rPr>
        <w:t>ברור</w:t>
      </w:r>
      <w:r w:rsidRPr="00E264B0">
        <w:rPr>
          <w:rFonts w:ascii="Century" w:hAnsi="Century"/>
          <w:sz w:val="22"/>
          <w:rtl/>
        </w:rPr>
        <w:t xml:space="preserve"> </w:t>
      </w:r>
      <w:r w:rsidRPr="00E264B0">
        <w:rPr>
          <w:rFonts w:ascii="Century" w:hAnsi="Century" w:hint="eastAsia"/>
          <w:sz w:val="22"/>
          <w:rtl/>
        </w:rPr>
        <w:t>ומובהק</w:t>
      </w:r>
      <w:r>
        <w:rPr>
          <w:rFonts w:ascii="Century" w:hAnsi="Century" w:hint="cs"/>
          <w:sz w:val="22"/>
          <w:rtl/>
        </w:rPr>
        <w:t xml:space="preserve"> של ההתעשרות; ו-(3) נזילות. במקרים</w:t>
      </w:r>
      <w:r>
        <w:rPr>
          <w:rFonts w:hint="cs"/>
          <w:rtl/>
        </w:rPr>
        <w:t xml:space="preserve"> כדוגמת אלו שלפנינו, </w:t>
      </w:r>
      <w:r w:rsidRPr="00E264B0">
        <w:rPr>
          <w:rFonts w:ascii="Century" w:hAnsi="Century" w:hint="cs"/>
          <w:sz w:val="22"/>
          <w:rtl/>
        </w:rPr>
        <w:t xml:space="preserve">מועד מימוש </w:t>
      </w:r>
      <w:r>
        <w:rPr>
          <w:rFonts w:hint="cs"/>
          <w:rtl/>
        </w:rPr>
        <w:t xml:space="preserve">ההתעשרות </w:t>
      </w:r>
      <w:r w:rsidRPr="00E264B0">
        <w:rPr>
          <w:rFonts w:ascii="Century" w:hAnsi="Century" w:hint="cs"/>
          <w:sz w:val="22"/>
          <w:rtl/>
        </w:rPr>
        <w:t xml:space="preserve">חופף את זמן ביצועה של </w:t>
      </w:r>
      <w:r w:rsidRPr="00F6651B">
        <w:rPr>
          <w:rFonts w:hint="cs"/>
          <w:rtl/>
        </w:rPr>
        <w:t>הרכישה העצמית</w:t>
      </w:r>
      <w:r>
        <w:rPr>
          <w:rFonts w:hint="cs"/>
          <w:rtl/>
        </w:rPr>
        <w:t xml:space="preserve">, כאשר </w:t>
      </w:r>
      <w:r w:rsidRPr="00F6651B">
        <w:rPr>
          <w:rFonts w:hint="cs"/>
          <w:rtl/>
        </w:rPr>
        <w:t>שווי הרכישה העצמית</w:t>
      </w:r>
      <w:r w:rsidRPr="00E264B0">
        <w:rPr>
          <w:rFonts w:ascii="Century" w:hAnsi="Century" w:hint="cs"/>
          <w:sz w:val="22"/>
          <w:rtl/>
        </w:rPr>
        <w:t xml:space="preserve"> הוא נתון </w:t>
      </w:r>
      <w:r w:rsidRPr="00E264B0">
        <w:rPr>
          <w:rFonts w:ascii="Century" w:hAnsi="Century" w:hint="eastAsia"/>
          <w:sz w:val="22"/>
          <w:rtl/>
        </w:rPr>
        <w:t>ברור</w:t>
      </w:r>
      <w:r>
        <w:rPr>
          <w:rFonts w:ascii="Century" w:hAnsi="Century" w:hint="cs"/>
          <w:sz w:val="22"/>
          <w:rtl/>
        </w:rPr>
        <w:t xml:space="preserve"> שלא יכולה להיות לגביו כל מחלוקת. באשר</w:t>
      </w:r>
      <w:r w:rsidRPr="00E264B0">
        <w:rPr>
          <w:rFonts w:ascii="Century" w:hAnsi="Century" w:hint="cs"/>
          <w:sz w:val="22"/>
          <w:rtl/>
        </w:rPr>
        <w:t xml:space="preserve"> לנזילות</w:t>
      </w:r>
      <w:r>
        <w:rPr>
          <w:rFonts w:ascii="Century" w:hAnsi="Century" w:hint="cs"/>
          <w:sz w:val="22"/>
          <w:rtl/>
        </w:rPr>
        <w:t xml:space="preserve">, </w:t>
      </w:r>
      <w:r>
        <w:rPr>
          <w:rFonts w:hint="cs"/>
          <w:rtl/>
        </w:rPr>
        <w:t xml:space="preserve">רכיב זה של "מימוש" מתקיים אף הוא מאחר שהנישומים, </w:t>
      </w:r>
      <w:r w:rsidRPr="00F6651B">
        <w:rPr>
          <w:rFonts w:hint="cs"/>
          <w:rtl/>
        </w:rPr>
        <w:t>בעל</w:t>
      </w:r>
      <w:r>
        <w:rPr>
          <w:rFonts w:hint="cs"/>
          <w:rtl/>
        </w:rPr>
        <w:t>י</w:t>
      </w:r>
      <w:r w:rsidRPr="00F6651B">
        <w:rPr>
          <w:rFonts w:hint="cs"/>
          <w:rtl/>
        </w:rPr>
        <w:t xml:space="preserve"> המניות</w:t>
      </w:r>
      <w:r>
        <w:rPr>
          <w:rFonts w:hint="cs"/>
          <w:rtl/>
        </w:rPr>
        <w:t xml:space="preserve"> אשר נשארים בחברה</w:t>
      </w:r>
      <w:r w:rsidRPr="00F6651B">
        <w:rPr>
          <w:rFonts w:hint="cs"/>
          <w:rtl/>
        </w:rPr>
        <w:t>,</w:t>
      </w:r>
      <w:r>
        <w:rPr>
          <w:rFonts w:hint="cs"/>
          <w:rtl/>
        </w:rPr>
        <w:t xml:space="preserve"> הם אלו שהכתיבו את הוצאת כספי החברה אשר נועדה "לקנות החוצה" (</w:t>
      </w:r>
      <w:r w:rsidRPr="00D60802">
        <w:rPr>
          <w:rFonts w:asciiTheme="majorBidi" w:hAnsiTheme="majorBidi" w:cstheme="majorBidi"/>
        </w:rPr>
        <w:t>to buy out</w:t>
      </w:r>
      <w:r>
        <w:rPr>
          <w:rFonts w:hint="cs"/>
          <w:rtl/>
        </w:rPr>
        <w:t>) את שותפיהם.</w:t>
      </w:r>
      <w:r w:rsidRPr="00F6651B">
        <w:rPr>
          <w:rFonts w:hint="cs"/>
          <w:rtl/>
        </w:rPr>
        <w:t xml:space="preserve"> </w:t>
      </w:r>
    </w:p>
    <w:p w:rsidR="00F05533" w:rsidRPr="00CB04CC" w:rsidRDefault="00F05533" w:rsidP="00F05533">
      <w:pPr>
        <w:pStyle w:val="Ruller41"/>
      </w:pPr>
    </w:p>
    <w:p w:rsidR="00F05533" w:rsidRDefault="00F05533" w:rsidP="00F05533">
      <w:pPr>
        <w:pStyle w:val="Ruller4"/>
        <w:rPr>
          <w:rtl/>
        </w:rPr>
      </w:pPr>
      <w:r>
        <w:rPr>
          <w:rFonts w:hint="cs"/>
          <w:rtl/>
        </w:rPr>
        <w:t xml:space="preserve">בטענתה כי לפנינו התעשרות ממומשת החייבת במס, הסתמכה רשות המיסים על עמדתו של ד"ר </w:t>
      </w:r>
      <w:r w:rsidRPr="00041E5E">
        <w:rPr>
          <w:rFonts w:ascii="Century" w:hAnsi="Century" w:cs="Miriam" w:hint="eastAsia"/>
          <w:b/>
          <w:spacing w:val="0"/>
          <w:sz w:val="22"/>
          <w:szCs w:val="24"/>
          <w:rtl/>
        </w:rPr>
        <w:t>ג</w:t>
      </w:r>
      <w:r w:rsidRPr="00041E5E">
        <w:rPr>
          <w:rFonts w:ascii="Century" w:hAnsi="Century" w:cs="Miriam"/>
          <w:b/>
          <w:spacing w:val="0"/>
          <w:sz w:val="22"/>
          <w:szCs w:val="24"/>
          <w:rtl/>
        </w:rPr>
        <w:t xml:space="preserve">' </w:t>
      </w:r>
      <w:r w:rsidRPr="00041E5E">
        <w:rPr>
          <w:rFonts w:ascii="Century" w:hAnsi="Century" w:cs="Miriam" w:hint="eastAsia"/>
          <w:b/>
          <w:spacing w:val="0"/>
          <w:sz w:val="22"/>
          <w:szCs w:val="24"/>
          <w:rtl/>
        </w:rPr>
        <w:t>קריב</w:t>
      </w:r>
      <w:r w:rsidRPr="007A2DA4">
        <w:rPr>
          <w:rFonts w:hint="cs"/>
          <w:rtl/>
        </w:rPr>
        <w:t xml:space="preserve"> </w:t>
      </w:r>
      <w:r>
        <w:rPr>
          <w:rFonts w:hint="cs"/>
          <w:rtl/>
        </w:rPr>
        <w:t xml:space="preserve">המובאת במאמרו "רכישת מניות על ידי החברה המנפיקה כאירוע מס" </w:t>
      </w:r>
      <w:r w:rsidRPr="00816CAA">
        <w:rPr>
          <w:rFonts w:ascii="Century" w:hAnsi="Century" w:cs="Miriam" w:hint="cs"/>
          <w:b/>
          <w:spacing w:val="0"/>
          <w:sz w:val="22"/>
          <w:szCs w:val="24"/>
          <w:rtl/>
        </w:rPr>
        <w:t>מיסים</w:t>
      </w:r>
      <w:r>
        <w:rPr>
          <w:rFonts w:hint="cs"/>
          <w:rtl/>
        </w:rPr>
        <w:t xml:space="preserve"> טו(4) א-72 (2001) (להלן: </w:t>
      </w:r>
      <w:r w:rsidRPr="00816CAA">
        <w:rPr>
          <w:rFonts w:ascii="Century" w:hAnsi="Century" w:cs="Miriam" w:hint="cs"/>
          <w:b/>
          <w:spacing w:val="0"/>
          <w:sz w:val="22"/>
          <w:szCs w:val="24"/>
          <w:rtl/>
        </w:rPr>
        <w:t>קריב</w:t>
      </w:r>
      <w:r>
        <w:rPr>
          <w:rFonts w:hint="cs"/>
          <w:rtl/>
        </w:rPr>
        <w:t>). לטענת הרשות, מן הדין לקבוע כי קיימת זהות כלכלית בין חלוקת דיבידנד מעודפי החברה לבין רכישה עצמית. זאת, נוכח הגדרתם של מונחים אלו בחוק החברות והזהות בתוצאותיהם הכלכליות.</w:t>
      </w:r>
    </w:p>
    <w:p w:rsidR="00F05533" w:rsidRPr="00245D49" w:rsidRDefault="00F05533" w:rsidP="00F05533">
      <w:pPr>
        <w:pStyle w:val="Ruller41"/>
        <w:rPr>
          <w:rtl/>
        </w:rPr>
      </w:pPr>
    </w:p>
    <w:p w:rsidR="00F05533" w:rsidRDefault="00F05533" w:rsidP="00F05533">
      <w:pPr>
        <w:pStyle w:val="Ruller4"/>
        <w:rPr>
          <w:rtl/>
        </w:rPr>
      </w:pPr>
      <w:r>
        <w:rPr>
          <w:rFonts w:hint="cs"/>
          <w:rtl/>
        </w:rPr>
        <w:t xml:space="preserve">בהתייחסה לשני המקרים הפרטניים שלפנינו, טוענת הרשות כי עסקאות הרכישה העצמית </w:t>
      </w:r>
      <w:proofErr w:type="spellStart"/>
      <w:r>
        <w:rPr>
          <w:rFonts w:hint="cs"/>
          <w:rtl/>
        </w:rPr>
        <w:t>דשם</w:t>
      </w:r>
      <w:proofErr w:type="spellEnd"/>
      <w:r>
        <w:rPr>
          <w:rFonts w:hint="cs"/>
          <w:rtl/>
        </w:rPr>
        <w:t xml:space="preserve"> נעשו על-מנת לקדם אינטרסים אישיים של בעלי המניות </w:t>
      </w:r>
      <w:r>
        <w:rPr>
          <w:rtl/>
        </w:rPr>
        <w:t>–</w:t>
      </w:r>
      <w:r>
        <w:rPr>
          <w:rFonts w:hint="cs"/>
          <w:rtl/>
        </w:rPr>
        <w:t xml:space="preserve"> מבלי שעמד בבסיסן טעם מסחרי עצמאי אשר מזוהה עם טובת החברה כחברה. בשולי הדברים, מבהירה הרשות וטוענת כי עסקינן ב"סיווג שונה" של עסקאות הרכישה העצמית נושא דיוננו </w:t>
      </w:r>
      <w:r>
        <w:rPr>
          <w:rtl/>
        </w:rPr>
        <w:t>–</w:t>
      </w:r>
      <w:r>
        <w:rPr>
          <w:rFonts w:hint="cs"/>
          <w:rtl/>
        </w:rPr>
        <w:t xml:space="preserve"> מהלך שבבסיסו ניתוח כלכלי של העסקה כפי שדווחה. זאת, להבדיל מסיווגה </w:t>
      </w:r>
      <w:r>
        <w:rPr>
          <w:rFonts w:hint="cs"/>
          <w:rtl/>
        </w:rPr>
        <w:lastRenderedPageBreak/>
        <w:t xml:space="preserve">מחדש של עסקה מלאכותית אשר בא בגדרי סעיף 86(א) לפקודת מס הכנסה </w:t>
      </w:r>
      <w:r>
        <w:rPr>
          <w:rtl/>
        </w:rPr>
        <w:t>–</w:t>
      </w:r>
      <w:r>
        <w:rPr>
          <w:rFonts w:hint="cs"/>
          <w:rtl/>
        </w:rPr>
        <w:t xml:space="preserve"> מהלך שמגדיר מחדש את מהות העסקה, ושמור למקרי קצה בהם אין אפשרות לקבוע מס אמת מבלי להסיר מהעסקה את התחפושת שמעוותת את המציאות ומאפשרת לנישום לחמוק מתשלומו של המס.</w:t>
      </w:r>
    </w:p>
    <w:p w:rsidR="00F05533" w:rsidRPr="00CF53FA" w:rsidRDefault="00F05533" w:rsidP="00F05533">
      <w:pPr>
        <w:pStyle w:val="Ruller41"/>
      </w:pPr>
    </w:p>
    <w:p w:rsidR="00F05533" w:rsidRDefault="00F05533" w:rsidP="00F05533">
      <w:pPr>
        <w:pStyle w:val="Ruller4"/>
      </w:pPr>
      <w:r>
        <w:rPr>
          <w:rFonts w:hint="cs"/>
          <w:rtl/>
        </w:rPr>
        <w:t xml:space="preserve">מנגד, טוענים הנישומים בשני הערעורים כי לא היה מקום לחייבם במס בגין דיבידנד רעיוני. לטענת הנישומים, הם לא הפיקו מעסקת הרכישה העצמית שום יתרון אישי-כלכלי אשר מגיע כדי התעשרות; וככל </w:t>
      </w:r>
      <w:proofErr w:type="spellStart"/>
      <w:r>
        <w:rPr>
          <w:rFonts w:hint="cs"/>
          <w:rtl/>
        </w:rPr>
        <w:t>שהיתה</w:t>
      </w:r>
      <w:proofErr w:type="spellEnd"/>
      <w:r>
        <w:rPr>
          <w:rFonts w:hint="cs"/>
          <w:rtl/>
        </w:rPr>
        <w:t xml:space="preserve"> בידם התעשרות כזאת או אחרת, מדובר בהתעשרות רעיונית שממילא לא מומשה. בהקשר זה, ביקשו הנישומים להדגיש את הפערים בין ענייניהם שלהם לבין אלו אשר נדונו בפסיקות קודמות של בתי המשפט המחוזיים שנסובו על היבטי מס של רכישה עצמית: </w:t>
      </w:r>
      <w:proofErr w:type="spellStart"/>
      <w:r>
        <w:rPr>
          <w:rFonts w:hint="cs"/>
          <w:rtl/>
        </w:rPr>
        <w:t>עמ"ה</w:t>
      </w:r>
      <w:proofErr w:type="spellEnd"/>
      <w:r>
        <w:rPr>
          <w:rFonts w:hint="cs"/>
          <w:rtl/>
        </w:rPr>
        <w:t xml:space="preserve"> (מחוזי ת"א) 21268-06-11 </w:t>
      </w:r>
      <w:proofErr w:type="spellStart"/>
      <w:r w:rsidRPr="00B1282E">
        <w:rPr>
          <w:rFonts w:ascii="Century" w:hAnsi="Century" w:cs="Miriam" w:hint="cs"/>
          <w:b/>
          <w:spacing w:val="0"/>
          <w:szCs w:val="24"/>
          <w:rtl/>
        </w:rPr>
        <w:t>ברנובסקי</w:t>
      </w:r>
      <w:proofErr w:type="spellEnd"/>
      <w:r w:rsidRPr="00B1282E">
        <w:rPr>
          <w:rFonts w:ascii="Century" w:hAnsi="Century" w:cs="Miriam" w:hint="cs"/>
          <w:b/>
          <w:spacing w:val="0"/>
          <w:szCs w:val="24"/>
          <w:rtl/>
        </w:rPr>
        <w:t xml:space="preserve"> נ' פקיד שומה גוש דן</w:t>
      </w:r>
      <w:r w:rsidRPr="00B1282E">
        <w:rPr>
          <w:rFonts w:ascii="Century" w:hAnsi="Century" w:hint="cs"/>
          <w:rtl/>
        </w:rPr>
        <w:t xml:space="preserve"> (21.1.2014) </w:t>
      </w:r>
      <w:r>
        <w:rPr>
          <w:rFonts w:hint="cs"/>
          <w:rtl/>
        </w:rPr>
        <w:t xml:space="preserve">(להלן: עניין </w:t>
      </w:r>
      <w:proofErr w:type="spellStart"/>
      <w:r w:rsidRPr="00B1282E">
        <w:rPr>
          <w:rFonts w:ascii="Century" w:hAnsi="Century" w:cs="Miriam" w:hint="cs"/>
          <w:b/>
          <w:spacing w:val="0"/>
          <w:sz w:val="22"/>
          <w:szCs w:val="24"/>
          <w:rtl/>
        </w:rPr>
        <w:t>ברנובסקי</w:t>
      </w:r>
      <w:proofErr w:type="spellEnd"/>
      <w:r>
        <w:rPr>
          <w:rFonts w:hint="cs"/>
          <w:rtl/>
        </w:rPr>
        <w:t xml:space="preserve">); </w:t>
      </w:r>
      <w:r w:rsidRPr="00B1282E">
        <w:rPr>
          <w:rFonts w:ascii="Century" w:hAnsi="Century" w:hint="cs"/>
          <w:rtl/>
        </w:rPr>
        <w:t xml:space="preserve">וע"מ (מחוזי ת"א) 1100/06 </w:t>
      </w:r>
      <w:r w:rsidRPr="00B1282E">
        <w:rPr>
          <w:rFonts w:ascii="Century" w:hAnsi="Century" w:cs="Miriam" w:hint="cs"/>
          <w:b/>
          <w:spacing w:val="0"/>
          <w:szCs w:val="24"/>
          <w:rtl/>
        </w:rPr>
        <w:t>בר ניר נ' פקיד שומה גוש דן</w:t>
      </w:r>
      <w:r w:rsidRPr="00B1282E">
        <w:rPr>
          <w:rFonts w:ascii="Century" w:hAnsi="Century" w:hint="cs"/>
          <w:rtl/>
        </w:rPr>
        <w:t xml:space="preserve"> (16.11.2014)</w:t>
      </w:r>
      <w:r>
        <w:rPr>
          <w:rFonts w:ascii="Century" w:hAnsi="Century" w:hint="cs"/>
          <w:rtl/>
        </w:rPr>
        <w:t xml:space="preserve"> </w:t>
      </w:r>
      <w:r>
        <w:rPr>
          <w:rFonts w:hint="cs"/>
          <w:rtl/>
        </w:rPr>
        <w:t xml:space="preserve">(להלן: עניין </w:t>
      </w:r>
      <w:r w:rsidRPr="00B1282E">
        <w:rPr>
          <w:rFonts w:ascii="Century" w:hAnsi="Century" w:cs="Miriam" w:hint="cs"/>
          <w:b/>
          <w:spacing w:val="0"/>
          <w:sz w:val="22"/>
          <w:szCs w:val="24"/>
          <w:rtl/>
        </w:rPr>
        <w:t>בר ניר</w:t>
      </w:r>
      <w:r>
        <w:rPr>
          <w:rFonts w:hint="cs"/>
          <w:rtl/>
        </w:rPr>
        <w:t xml:space="preserve">)). הנישומים מסבירים כי פערים אלה נובעים מכך </w:t>
      </w:r>
      <w:r w:rsidRPr="00291B12">
        <w:rPr>
          <w:rFonts w:hint="cs"/>
          <w:rtl/>
        </w:rPr>
        <w:t>שבעלי המניות שלא נמכרו</w:t>
      </w:r>
      <w:r>
        <w:rPr>
          <w:rFonts w:hint="cs"/>
          <w:rtl/>
        </w:rPr>
        <w:t xml:space="preserve"> בעניין </w:t>
      </w:r>
      <w:proofErr w:type="spellStart"/>
      <w:r w:rsidRPr="00B1282E">
        <w:rPr>
          <w:rFonts w:ascii="Century" w:hAnsi="Century" w:cs="Miriam" w:hint="cs"/>
          <w:b/>
          <w:spacing w:val="0"/>
          <w:sz w:val="22"/>
          <w:szCs w:val="24"/>
          <w:rtl/>
        </w:rPr>
        <w:t>ברנובסקי</w:t>
      </w:r>
      <w:proofErr w:type="spellEnd"/>
      <w:r>
        <w:rPr>
          <w:rFonts w:hint="cs"/>
          <w:rtl/>
        </w:rPr>
        <w:t xml:space="preserve"> ובעניין </w:t>
      </w:r>
      <w:r w:rsidRPr="00B1282E">
        <w:rPr>
          <w:rFonts w:ascii="Century" w:hAnsi="Century" w:cs="Miriam" w:hint="cs"/>
          <w:b/>
          <w:spacing w:val="0"/>
          <w:sz w:val="22"/>
          <w:szCs w:val="24"/>
          <w:rtl/>
        </w:rPr>
        <w:t>בר ניר</w:t>
      </w:r>
      <w:r>
        <w:rPr>
          <w:rFonts w:hint="cs"/>
          <w:rtl/>
        </w:rPr>
        <w:t xml:space="preserve"> קיבלו לידיהם תמורה ממשית. </w:t>
      </w:r>
    </w:p>
    <w:p w:rsidR="00F05533" w:rsidRDefault="00F05533" w:rsidP="00F05533">
      <w:pPr>
        <w:pStyle w:val="Ruller4"/>
        <w:numPr>
          <w:ilvl w:val="0"/>
          <w:numId w:val="0"/>
        </w:numPr>
      </w:pPr>
    </w:p>
    <w:p w:rsidR="00F05533" w:rsidRDefault="00F05533" w:rsidP="00F05533">
      <w:pPr>
        <w:pStyle w:val="Ruller4"/>
      </w:pPr>
      <w:r>
        <w:rPr>
          <w:rFonts w:hint="cs"/>
          <w:rtl/>
        </w:rPr>
        <w:t xml:space="preserve">לאור האמור, ובניגוד לעמדתה של רשות המיסים, סבורים הנישומים כי בעלי המניות שלא מכרו ממניותיהם אינם זוקפים לזכותם </w:t>
      </w:r>
      <w:r>
        <w:rPr>
          <w:rtl/>
        </w:rPr>
        <w:t>–</w:t>
      </w:r>
      <w:r>
        <w:rPr>
          <w:rFonts w:hint="cs"/>
          <w:rtl/>
        </w:rPr>
        <w:t xml:space="preserve"> ולחובתם </w:t>
      </w:r>
      <w:r>
        <w:rPr>
          <w:rtl/>
        </w:rPr>
        <w:t>–</w:t>
      </w:r>
      <w:r>
        <w:rPr>
          <w:rFonts w:hint="cs"/>
          <w:rtl/>
        </w:rPr>
        <w:t xml:space="preserve"> התעשרות טעונת-מס בעקבות רכישה עצמית דיספרופורציונית. כמו כן סבורים הנישומים כי עצם השימוש בעודפי החברה לשם רכישה עצמית, אין </w:t>
      </w:r>
      <w:r w:rsidRPr="003E3680">
        <w:rPr>
          <w:rFonts w:hint="cs"/>
          <w:rtl/>
        </w:rPr>
        <w:t xml:space="preserve">בו </w:t>
      </w:r>
      <w:r w:rsidRPr="003E3680">
        <w:rPr>
          <w:rtl/>
        </w:rPr>
        <w:t>–</w:t>
      </w:r>
      <w:r w:rsidRPr="003E3680">
        <w:rPr>
          <w:rFonts w:hint="cs"/>
          <w:rtl/>
        </w:rPr>
        <w:t xml:space="preserve"> כשלעצמו </w:t>
      </w:r>
      <w:r w:rsidRPr="003E3680">
        <w:rPr>
          <w:rtl/>
        </w:rPr>
        <w:t>–</w:t>
      </w:r>
      <w:r w:rsidRPr="003E3680">
        <w:rPr>
          <w:rFonts w:hint="cs"/>
          <w:rtl/>
        </w:rPr>
        <w:t xml:space="preserve"> כדי להצדיק את הטלת המס. </w:t>
      </w:r>
      <w:r w:rsidRPr="00041E5E">
        <w:rPr>
          <w:rFonts w:hint="eastAsia"/>
          <w:rtl/>
        </w:rPr>
        <w:t>לטענת</w:t>
      </w:r>
      <w:r w:rsidRPr="00041E5E">
        <w:rPr>
          <w:rtl/>
        </w:rPr>
        <w:t xml:space="preserve"> </w:t>
      </w:r>
      <w:r w:rsidRPr="00041E5E">
        <w:rPr>
          <w:rFonts w:hint="eastAsia"/>
          <w:rtl/>
        </w:rPr>
        <w:t>הנישומים</w:t>
      </w:r>
      <w:r w:rsidRPr="00041E5E">
        <w:rPr>
          <w:rtl/>
        </w:rPr>
        <w:t xml:space="preserve">, </w:t>
      </w:r>
      <w:r w:rsidRPr="00041E5E">
        <w:rPr>
          <w:rFonts w:hint="eastAsia"/>
          <w:rtl/>
        </w:rPr>
        <w:t>הטלת</w:t>
      </w:r>
      <w:r w:rsidRPr="00041E5E">
        <w:rPr>
          <w:rtl/>
        </w:rPr>
        <w:t xml:space="preserve"> </w:t>
      </w:r>
      <w:r w:rsidRPr="00041E5E">
        <w:rPr>
          <w:rFonts w:hint="eastAsia"/>
          <w:rtl/>
        </w:rPr>
        <w:t>מס</w:t>
      </w:r>
      <w:r w:rsidRPr="00041E5E">
        <w:rPr>
          <w:rtl/>
        </w:rPr>
        <w:t xml:space="preserve"> </w:t>
      </w:r>
      <w:r w:rsidRPr="00041E5E">
        <w:rPr>
          <w:rFonts w:hint="eastAsia"/>
          <w:rtl/>
        </w:rPr>
        <w:t>כאמור</w:t>
      </w:r>
      <w:r w:rsidRPr="00041E5E">
        <w:rPr>
          <w:rtl/>
        </w:rPr>
        <w:t xml:space="preserve"> </w:t>
      </w:r>
      <w:r w:rsidRPr="00041E5E">
        <w:rPr>
          <w:rFonts w:hint="eastAsia"/>
          <w:rtl/>
        </w:rPr>
        <w:t>מפרה</w:t>
      </w:r>
      <w:r w:rsidRPr="00041E5E">
        <w:rPr>
          <w:rtl/>
        </w:rPr>
        <w:t xml:space="preserve"> </w:t>
      </w:r>
      <w:r w:rsidRPr="00041E5E">
        <w:rPr>
          <w:rFonts w:hint="eastAsia"/>
          <w:rtl/>
        </w:rPr>
        <w:t>את</w:t>
      </w:r>
      <w:r w:rsidRPr="00041E5E">
        <w:rPr>
          <w:rtl/>
        </w:rPr>
        <w:t xml:space="preserve"> </w:t>
      </w:r>
      <w:r w:rsidRPr="00041E5E">
        <w:rPr>
          <w:rFonts w:hint="eastAsia"/>
          <w:rtl/>
        </w:rPr>
        <w:t>כלליו</w:t>
      </w:r>
      <w:r w:rsidRPr="00041E5E">
        <w:rPr>
          <w:rtl/>
        </w:rPr>
        <w:t xml:space="preserve"> </w:t>
      </w:r>
      <w:r w:rsidRPr="00041E5E">
        <w:rPr>
          <w:rFonts w:hint="eastAsia"/>
          <w:rtl/>
        </w:rPr>
        <w:t>של</w:t>
      </w:r>
      <w:r w:rsidRPr="00041E5E">
        <w:rPr>
          <w:rtl/>
        </w:rPr>
        <w:t xml:space="preserve"> </w:t>
      </w:r>
      <w:r w:rsidRPr="00041E5E">
        <w:rPr>
          <w:rFonts w:hint="eastAsia"/>
          <w:rtl/>
        </w:rPr>
        <w:t>מודל</w:t>
      </w:r>
      <w:r w:rsidRPr="00041E5E">
        <w:rPr>
          <w:rtl/>
        </w:rPr>
        <w:t xml:space="preserve"> </w:t>
      </w:r>
      <w:r w:rsidRPr="00041E5E">
        <w:rPr>
          <w:rFonts w:hint="eastAsia"/>
          <w:rtl/>
        </w:rPr>
        <w:t>המיסוי</w:t>
      </w:r>
      <w:r w:rsidRPr="00041E5E">
        <w:rPr>
          <w:rtl/>
        </w:rPr>
        <w:t xml:space="preserve"> </w:t>
      </w:r>
      <w:r w:rsidRPr="00041E5E">
        <w:rPr>
          <w:rFonts w:hint="eastAsia"/>
          <w:rtl/>
        </w:rPr>
        <w:t>הדו</w:t>
      </w:r>
      <w:r w:rsidRPr="00041E5E">
        <w:rPr>
          <w:rtl/>
        </w:rPr>
        <w:t>-</w:t>
      </w:r>
      <w:r w:rsidRPr="00041E5E">
        <w:rPr>
          <w:rFonts w:hint="eastAsia"/>
          <w:rtl/>
        </w:rPr>
        <w:t>שלבי</w:t>
      </w:r>
      <w:r w:rsidRPr="00041E5E">
        <w:rPr>
          <w:rtl/>
        </w:rPr>
        <w:t xml:space="preserve"> </w:t>
      </w:r>
      <w:r w:rsidRPr="00041E5E">
        <w:rPr>
          <w:rFonts w:hint="eastAsia"/>
          <w:rtl/>
        </w:rPr>
        <w:t>ומובילה</w:t>
      </w:r>
      <w:r w:rsidRPr="00041E5E">
        <w:rPr>
          <w:rtl/>
        </w:rPr>
        <w:t xml:space="preserve"> </w:t>
      </w:r>
      <w:r w:rsidRPr="00041E5E">
        <w:rPr>
          <w:rFonts w:hint="eastAsia"/>
          <w:rtl/>
        </w:rPr>
        <w:t>למיסוי</w:t>
      </w:r>
      <w:r w:rsidRPr="00041E5E">
        <w:rPr>
          <w:rtl/>
        </w:rPr>
        <w:t xml:space="preserve"> </w:t>
      </w:r>
      <w:r w:rsidRPr="00041E5E">
        <w:rPr>
          <w:rFonts w:hint="eastAsia"/>
          <w:rtl/>
        </w:rPr>
        <w:t>יתר</w:t>
      </w:r>
      <w:r w:rsidRPr="00041E5E">
        <w:rPr>
          <w:rtl/>
        </w:rPr>
        <w:t xml:space="preserve">, </w:t>
      </w:r>
      <w:r w:rsidRPr="00041E5E">
        <w:rPr>
          <w:rFonts w:hint="eastAsia"/>
          <w:rtl/>
        </w:rPr>
        <w:t>בשים</w:t>
      </w:r>
      <w:r w:rsidRPr="00041E5E">
        <w:rPr>
          <w:rtl/>
        </w:rPr>
        <w:t xml:space="preserve"> </w:t>
      </w:r>
      <w:r w:rsidRPr="00041E5E">
        <w:rPr>
          <w:rFonts w:hint="eastAsia"/>
          <w:rtl/>
        </w:rPr>
        <w:t>לב</w:t>
      </w:r>
      <w:r w:rsidRPr="00041E5E">
        <w:rPr>
          <w:rtl/>
        </w:rPr>
        <w:t xml:space="preserve"> </w:t>
      </w:r>
      <w:r w:rsidRPr="00041E5E">
        <w:rPr>
          <w:rFonts w:hint="eastAsia"/>
          <w:rtl/>
        </w:rPr>
        <w:t>לחבות</w:t>
      </w:r>
      <w:r w:rsidRPr="00041E5E">
        <w:rPr>
          <w:rtl/>
        </w:rPr>
        <w:t xml:space="preserve"> </w:t>
      </w:r>
      <w:r w:rsidRPr="00041E5E">
        <w:rPr>
          <w:rFonts w:hint="eastAsia"/>
          <w:rtl/>
        </w:rPr>
        <w:t>במיסי</w:t>
      </w:r>
      <w:r w:rsidRPr="00041E5E">
        <w:rPr>
          <w:rtl/>
        </w:rPr>
        <w:t xml:space="preserve"> </w:t>
      </w:r>
      <w:r w:rsidRPr="00041E5E">
        <w:rPr>
          <w:rFonts w:hint="eastAsia"/>
          <w:rtl/>
        </w:rPr>
        <w:t>שבח</w:t>
      </w:r>
      <w:r w:rsidRPr="00041E5E">
        <w:rPr>
          <w:rtl/>
        </w:rPr>
        <w:t xml:space="preserve"> </w:t>
      </w:r>
      <w:r w:rsidRPr="00041E5E">
        <w:rPr>
          <w:rFonts w:hint="eastAsia"/>
          <w:rtl/>
        </w:rPr>
        <w:t>ורכישה</w:t>
      </w:r>
      <w:r w:rsidRPr="00041E5E">
        <w:rPr>
          <w:rtl/>
        </w:rPr>
        <w:t xml:space="preserve"> </w:t>
      </w:r>
      <w:r w:rsidRPr="00041E5E">
        <w:rPr>
          <w:rFonts w:hint="eastAsia"/>
          <w:rtl/>
        </w:rPr>
        <w:t>שהוטלו</w:t>
      </w:r>
      <w:r w:rsidRPr="00041E5E">
        <w:rPr>
          <w:rtl/>
        </w:rPr>
        <w:t xml:space="preserve"> </w:t>
      </w:r>
      <w:r w:rsidRPr="00041E5E">
        <w:rPr>
          <w:rFonts w:hint="eastAsia"/>
          <w:rtl/>
        </w:rPr>
        <w:t>על</w:t>
      </w:r>
      <w:r w:rsidRPr="00041E5E">
        <w:rPr>
          <w:rtl/>
        </w:rPr>
        <w:t xml:space="preserve"> </w:t>
      </w:r>
      <w:r>
        <w:rPr>
          <w:rFonts w:hint="cs"/>
          <w:rtl/>
        </w:rPr>
        <w:t xml:space="preserve">המשיבים בעניין </w:t>
      </w:r>
      <w:r w:rsidRPr="00041E5E">
        <w:rPr>
          <w:rFonts w:ascii="Century" w:hAnsi="Century" w:cs="Miriam" w:hint="cs"/>
          <w:b/>
          <w:spacing w:val="0"/>
          <w:sz w:val="22"/>
          <w:szCs w:val="24"/>
          <w:rtl/>
        </w:rPr>
        <w:t>בית חוסן</w:t>
      </w:r>
      <w:r w:rsidRPr="00041E5E">
        <w:rPr>
          <w:rtl/>
        </w:rPr>
        <w:t xml:space="preserve">, </w:t>
      </w:r>
      <w:r w:rsidRPr="00041E5E">
        <w:rPr>
          <w:rFonts w:hint="eastAsia"/>
          <w:rtl/>
        </w:rPr>
        <w:t>ולחלופין</w:t>
      </w:r>
      <w:r>
        <w:rPr>
          <w:rFonts w:hint="cs"/>
          <w:rtl/>
        </w:rPr>
        <w:t>,</w:t>
      </w:r>
      <w:r w:rsidRPr="00041E5E">
        <w:rPr>
          <w:rtl/>
        </w:rPr>
        <w:t xml:space="preserve"> </w:t>
      </w:r>
      <w:r w:rsidRPr="00041E5E">
        <w:rPr>
          <w:rFonts w:hint="eastAsia"/>
          <w:rtl/>
        </w:rPr>
        <w:t>ביחס</w:t>
      </w:r>
      <w:r w:rsidRPr="00041E5E">
        <w:rPr>
          <w:rtl/>
        </w:rPr>
        <w:t xml:space="preserve"> </w:t>
      </w:r>
      <w:r w:rsidRPr="00041E5E">
        <w:rPr>
          <w:rFonts w:hint="eastAsia"/>
          <w:rtl/>
        </w:rPr>
        <w:t>למס</w:t>
      </w:r>
      <w:r w:rsidRPr="00041E5E">
        <w:rPr>
          <w:rtl/>
        </w:rPr>
        <w:t xml:space="preserve"> </w:t>
      </w:r>
      <w:r w:rsidRPr="00041E5E">
        <w:rPr>
          <w:rFonts w:hint="eastAsia"/>
          <w:rtl/>
        </w:rPr>
        <w:t>רווח</w:t>
      </w:r>
      <w:r w:rsidRPr="00041E5E">
        <w:rPr>
          <w:rtl/>
        </w:rPr>
        <w:t xml:space="preserve"> </w:t>
      </w:r>
      <w:r w:rsidRPr="00041E5E">
        <w:rPr>
          <w:rFonts w:hint="eastAsia"/>
          <w:rtl/>
        </w:rPr>
        <w:t>ההון</w:t>
      </w:r>
      <w:r w:rsidRPr="00041E5E">
        <w:rPr>
          <w:rtl/>
        </w:rPr>
        <w:t xml:space="preserve"> </w:t>
      </w:r>
      <w:r w:rsidRPr="00041E5E">
        <w:rPr>
          <w:rFonts w:hint="eastAsia"/>
          <w:rtl/>
        </w:rPr>
        <w:t>ששולם</w:t>
      </w:r>
      <w:r w:rsidRPr="00041E5E">
        <w:rPr>
          <w:rtl/>
        </w:rPr>
        <w:t xml:space="preserve"> </w:t>
      </w:r>
      <w:r w:rsidRPr="00041E5E">
        <w:rPr>
          <w:rFonts w:hint="eastAsia"/>
          <w:rtl/>
        </w:rPr>
        <w:t>על</w:t>
      </w:r>
      <w:r w:rsidRPr="00041E5E">
        <w:rPr>
          <w:rtl/>
        </w:rPr>
        <w:t xml:space="preserve"> </w:t>
      </w:r>
      <w:r w:rsidRPr="00041E5E">
        <w:rPr>
          <w:rFonts w:hint="eastAsia"/>
          <w:rtl/>
        </w:rPr>
        <w:t>ידי</w:t>
      </w:r>
      <w:r w:rsidRPr="00041E5E">
        <w:rPr>
          <w:rtl/>
        </w:rPr>
        <w:t xml:space="preserve"> </w:t>
      </w:r>
      <w:r w:rsidRPr="00041E5E">
        <w:rPr>
          <w:rFonts w:hint="eastAsia"/>
          <w:rtl/>
        </w:rPr>
        <w:t>בעל</w:t>
      </w:r>
      <w:r w:rsidRPr="00041E5E">
        <w:rPr>
          <w:rtl/>
        </w:rPr>
        <w:t xml:space="preserve"> </w:t>
      </w:r>
      <w:r>
        <w:rPr>
          <w:rFonts w:hint="cs"/>
          <w:rtl/>
        </w:rPr>
        <w:t>ה</w:t>
      </w:r>
      <w:r w:rsidRPr="00041E5E">
        <w:rPr>
          <w:rFonts w:hint="eastAsia"/>
          <w:rtl/>
        </w:rPr>
        <w:t>מניות</w:t>
      </w:r>
      <w:r w:rsidRPr="00041E5E">
        <w:rPr>
          <w:rtl/>
        </w:rPr>
        <w:t xml:space="preserve"> </w:t>
      </w:r>
      <w:r w:rsidRPr="00041E5E">
        <w:rPr>
          <w:rFonts w:hint="eastAsia"/>
          <w:rtl/>
        </w:rPr>
        <w:t>הפורש</w:t>
      </w:r>
      <w:r>
        <w:rPr>
          <w:rFonts w:hint="cs"/>
          <w:rtl/>
        </w:rPr>
        <w:t xml:space="preserve"> בעניין </w:t>
      </w:r>
      <w:r w:rsidRPr="00041E5E">
        <w:rPr>
          <w:rFonts w:ascii="Century" w:hAnsi="Century" w:cs="Miriam" w:hint="cs"/>
          <w:b/>
          <w:spacing w:val="0"/>
          <w:sz w:val="22"/>
          <w:szCs w:val="24"/>
          <w:rtl/>
        </w:rPr>
        <w:t>סיידה</w:t>
      </w:r>
      <w:r w:rsidRPr="00041E5E">
        <w:rPr>
          <w:rtl/>
        </w:rPr>
        <w:t xml:space="preserve">. </w:t>
      </w:r>
      <w:r w:rsidRPr="00041E5E">
        <w:rPr>
          <w:rFonts w:hint="eastAsia"/>
          <w:rtl/>
        </w:rPr>
        <w:t>עוד</w:t>
      </w:r>
      <w:r w:rsidRPr="00041E5E">
        <w:rPr>
          <w:rtl/>
        </w:rPr>
        <w:t xml:space="preserve"> </w:t>
      </w:r>
      <w:r w:rsidRPr="00041E5E">
        <w:rPr>
          <w:rFonts w:hint="eastAsia"/>
          <w:rtl/>
        </w:rPr>
        <w:t>נטען</w:t>
      </w:r>
      <w:r w:rsidRPr="00041E5E">
        <w:rPr>
          <w:rtl/>
        </w:rPr>
        <w:t xml:space="preserve"> </w:t>
      </w:r>
      <w:r w:rsidRPr="00041E5E">
        <w:rPr>
          <w:rFonts w:hint="eastAsia"/>
          <w:rtl/>
        </w:rPr>
        <w:t>כי</w:t>
      </w:r>
      <w:r w:rsidRPr="00041E5E">
        <w:rPr>
          <w:rtl/>
        </w:rPr>
        <w:t xml:space="preserve"> </w:t>
      </w:r>
      <w:r w:rsidRPr="00041E5E">
        <w:rPr>
          <w:rFonts w:hint="eastAsia"/>
          <w:rtl/>
        </w:rPr>
        <w:t>השימוש</w:t>
      </w:r>
      <w:r w:rsidRPr="00041E5E">
        <w:rPr>
          <w:rtl/>
        </w:rPr>
        <w:t xml:space="preserve"> </w:t>
      </w:r>
      <w:r w:rsidRPr="00041E5E">
        <w:rPr>
          <w:rFonts w:hint="eastAsia"/>
          <w:rtl/>
        </w:rPr>
        <w:t>בעודפי</w:t>
      </w:r>
      <w:r w:rsidRPr="00041E5E">
        <w:rPr>
          <w:rtl/>
        </w:rPr>
        <w:t xml:space="preserve"> </w:t>
      </w:r>
      <w:r w:rsidRPr="00041E5E">
        <w:rPr>
          <w:rFonts w:hint="eastAsia"/>
          <w:rtl/>
        </w:rPr>
        <w:t>החברה</w:t>
      </w:r>
      <w:r w:rsidRPr="00041E5E">
        <w:rPr>
          <w:rtl/>
        </w:rPr>
        <w:t xml:space="preserve"> </w:t>
      </w:r>
      <w:r w:rsidRPr="00041E5E">
        <w:rPr>
          <w:rFonts w:hint="eastAsia"/>
          <w:rtl/>
        </w:rPr>
        <w:t>ממילא</w:t>
      </w:r>
      <w:r w:rsidRPr="00041E5E">
        <w:rPr>
          <w:rtl/>
        </w:rPr>
        <w:t xml:space="preserve"> </w:t>
      </w:r>
      <w:r w:rsidRPr="00041E5E">
        <w:rPr>
          <w:rFonts w:hint="eastAsia"/>
          <w:rtl/>
        </w:rPr>
        <w:t>אינו</w:t>
      </w:r>
      <w:r w:rsidRPr="00041E5E">
        <w:rPr>
          <w:rtl/>
        </w:rPr>
        <w:t xml:space="preserve"> </w:t>
      </w:r>
      <w:r w:rsidRPr="00041E5E">
        <w:rPr>
          <w:rFonts w:hint="eastAsia"/>
          <w:rtl/>
        </w:rPr>
        <w:t>בגדר</w:t>
      </w:r>
      <w:r w:rsidRPr="00041E5E">
        <w:rPr>
          <w:rtl/>
        </w:rPr>
        <w:t xml:space="preserve"> </w:t>
      </w:r>
      <w:r w:rsidRPr="00041E5E">
        <w:rPr>
          <w:rFonts w:hint="eastAsia"/>
          <w:rtl/>
        </w:rPr>
        <w:t>שיקול</w:t>
      </w:r>
      <w:r w:rsidRPr="00041E5E">
        <w:rPr>
          <w:rtl/>
        </w:rPr>
        <w:t xml:space="preserve"> </w:t>
      </w:r>
      <w:r w:rsidRPr="00041E5E">
        <w:rPr>
          <w:rFonts w:hint="eastAsia"/>
          <w:rtl/>
        </w:rPr>
        <w:t>רלבנטי</w:t>
      </w:r>
      <w:r w:rsidRPr="00041E5E">
        <w:rPr>
          <w:rtl/>
        </w:rPr>
        <w:t xml:space="preserve"> </w:t>
      </w:r>
      <w:r w:rsidRPr="00041E5E">
        <w:rPr>
          <w:rFonts w:hint="eastAsia"/>
          <w:rtl/>
        </w:rPr>
        <w:t>כאשר</w:t>
      </w:r>
      <w:r w:rsidRPr="00041E5E">
        <w:rPr>
          <w:rtl/>
        </w:rPr>
        <w:t xml:space="preserve"> </w:t>
      </w:r>
      <w:r w:rsidRPr="00041E5E">
        <w:rPr>
          <w:rFonts w:hint="eastAsia"/>
          <w:rtl/>
        </w:rPr>
        <w:t>החברה</w:t>
      </w:r>
      <w:r w:rsidRPr="00041E5E">
        <w:rPr>
          <w:rtl/>
        </w:rPr>
        <w:t xml:space="preserve"> </w:t>
      </w:r>
      <w:r w:rsidRPr="00041E5E">
        <w:rPr>
          <w:rFonts w:hint="eastAsia"/>
          <w:rtl/>
        </w:rPr>
        <w:t>מגייסת</w:t>
      </w:r>
      <w:r w:rsidRPr="00041E5E">
        <w:rPr>
          <w:rtl/>
        </w:rPr>
        <w:t xml:space="preserve"> </w:t>
      </w:r>
      <w:r w:rsidRPr="00041E5E">
        <w:rPr>
          <w:rFonts w:hint="eastAsia"/>
          <w:rtl/>
        </w:rPr>
        <w:t>מימון</w:t>
      </w:r>
      <w:r w:rsidRPr="00041E5E">
        <w:rPr>
          <w:rtl/>
        </w:rPr>
        <w:t xml:space="preserve"> </w:t>
      </w:r>
      <w:r w:rsidRPr="00041E5E">
        <w:rPr>
          <w:rFonts w:hint="eastAsia"/>
          <w:rtl/>
        </w:rPr>
        <w:t>ממקור</w:t>
      </w:r>
      <w:r w:rsidRPr="00041E5E">
        <w:rPr>
          <w:rtl/>
        </w:rPr>
        <w:t xml:space="preserve"> </w:t>
      </w:r>
      <w:r w:rsidRPr="00041E5E">
        <w:rPr>
          <w:rFonts w:hint="eastAsia"/>
          <w:rtl/>
        </w:rPr>
        <w:t>חיצוני</w:t>
      </w:r>
      <w:r w:rsidRPr="00041E5E">
        <w:rPr>
          <w:rtl/>
        </w:rPr>
        <w:t xml:space="preserve"> </w:t>
      </w:r>
      <w:r w:rsidRPr="00041E5E">
        <w:rPr>
          <w:rFonts w:hint="eastAsia"/>
          <w:rtl/>
        </w:rPr>
        <w:t>על</w:t>
      </w:r>
      <w:r w:rsidRPr="00041E5E">
        <w:rPr>
          <w:rtl/>
        </w:rPr>
        <w:t>-</w:t>
      </w:r>
      <w:r w:rsidRPr="00041E5E">
        <w:rPr>
          <w:rFonts w:hint="eastAsia"/>
          <w:rtl/>
        </w:rPr>
        <w:t>מנת</w:t>
      </w:r>
      <w:r w:rsidRPr="00041E5E">
        <w:rPr>
          <w:rtl/>
        </w:rPr>
        <w:t xml:space="preserve"> </w:t>
      </w:r>
      <w:r w:rsidRPr="00041E5E">
        <w:rPr>
          <w:rFonts w:hint="eastAsia"/>
          <w:rtl/>
        </w:rPr>
        <w:t>לבצע</w:t>
      </w:r>
      <w:r w:rsidRPr="00041E5E">
        <w:rPr>
          <w:rtl/>
        </w:rPr>
        <w:t xml:space="preserve"> </w:t>
      </w:r>
      <w:r w:rsidRPr="00041E5E">
        <w:rPr>
          <w:rFonts w:hint="eastAsia"/>
          <w:rtl/>
        </w:rPr>
        <w:t>רכישה</w:t>
      </w:r>
      <w:r w:rsidRPr="00041E5E">
        <w:rPr>
          <w:rtl/>
        </w:rPr>
        <w:t xml:space="preserve"> </w:t>
      </w:r>
      <w:r w:rsidRPr="00041E5E">
        <w:rPr>
          <w:rFonts w:hint="eastAsia"/>
          <w:rtl/>
        </w:rPr>
        <w:t>עצמית</w:t>
      </w:r>
      <w:r w:rsidRPr="003E3680">
        <w:rPr>
          <w:rFonts w:hint="cs"/>
          <w:rtl/>
        </w:rPr>
        <w:t>.</w:t>
      </w:r>
    </w:p>
    <w:p w:rsidR="00F05533" w:rsidRDefault="00F05533" w:rsidP="00F05533">
      <w:pPr>
        <w:pStyle w:val="Ruller41"/>
        <w:rPr>
          <w:rtl/>
        </w:rPr>
      </w:pPr>
    </w:p>
    <w:p w:rsidR="00F05533" w:rsidRDefault="00F05533" w:rsidP="00F05533">
      <w:pPr>
        <w:pStyle w:val="Ruller4"/>
      </w:pPr>
      <w:r>
        <w:rPr>
          <w:rFonts w:hint="cs"/>
          <w:rtl/>
        </w:rPr>
        <w:t xml:space="preserve">לבסוף, טוענים הנישומים כי הסרתו של סכסוך בין בעלי מניות בחברה פרטית מהווה, מבחינת החברה כחברה, טעם מסחרי המצדיק רכישה עצמית. כמו כן טוענים הנישומים כי אין כל פסול בבחירתו של מתווה-עסקה בהתחשב בחיסכון במס; כי לא היה זה בסמכותו של פקיד השומה לבחון את כדאיותה הכלכלית של העסקה במסגרתו של "סיווג שונה", להבדיל מ"סיווג מחדש" אשר נעשה במסגרת סעיף 86(א) לפקודת מס הכנסה; וכי אין זה נכון שהעסקה נושא דיוננו קבעה </w:t>
      </w:r>
      <w:r>
        <w:rPr>
          <w:rtl/>
        </w:rPr>
        <w:t>–</w:t>
      </w:r>
      <w:r>
        <w:rPr>
          <w:rFonts w:hint="cs"/>
          <w:rtl/>
        </w:rPr>
        <w:t xml:space="preserve"> בניגוד ללשונה </w:t>
      </w:r>
      <w:r>
        <w:rPr>
          <w:rtl/>
        </w:rPr>
        <w:t>–</w:t>
      </w:r>
      <w:r>
        <w:rPr>
          <w:rFonts w:hint="cs"/>
          <w:rtl/>
        </w:rPr>
        <w:t xml:space="preserve"> מתווה דו-</w:t>
      </w:r>
      <w:r>
        <w:rPr>
          <w:rFonts w:hint="cs"/>
          <w:rtl/>
        </w:rPr>
        <w:lastRenderedPageBreak/>
        <w:t xml:space="preserve">שלבי שכלל (1) חלוקת דיבידנד ו-(2) רכישת מניותיו של בעל המניות הפורש מכספי הדיבידנד אשר חולק לבעלי המניות הנותרים בחברה. </w:t>
      </w:r>
    </w:p>
    <w:p w:rsidR="00F05533" w:rsidRDefault="00F05533" w:rsidP="00F05533">
      <w:pPr>
        <w:pStyle w:val="Ruller4"/>
        <w:numPr>
          <w:ilvl w:val="0"/>
          <w:numId w:val="0"/>
        </w:numPr>
        <w:rPr>
          <w:rtl/>
        </w:rPr>
      </w:pPr>
    </w:p>
    <w:p w:rsidR="00F05533" w:rsidRDefault="00F05533" w:rsidP="00F05533">
      <w:pPr>
        <w:pStyle w:val="Ruller41"/>
        <w:rPr>
          <w:rFonts w:ascii="Century" w:hAnsi="Century" w:cs="Miriam"/>
          <w:b/>
          <w:spacing w:val="0"/>
          <w:szCs w:val="24"/>
          <w:rtl/>
        </w:rPr>
      </w:pPr>
      <w:r>
        <w:rPr>
          <w:rFonts w:ascii="Century" w:hAnsi="Century" w:cs="Miriam" w:hint="cs"/>
          <w:b/>
          <w:spacing w:val="0"/>
          <w:szCs w:val="24"/>
          <w:rtl/>
        </w:rPr>
        <w:t>דיון והכרעה</w:t>
      </w:r>
    </w:p>
    <w:p w:rsidR="00F05533" w:rsidRDefault="00F05533" w:rsidP="00F05533">
      <w:pPr>
        <w:pStyle w:val="Ruller41"/>
        <w:rPr>
          <w:rFonts w:ascii="Century" w:hAnsi="Century" w:cs="Miriam"/>
          <w:b/>
          <w:spacing w:val="0"/>
          <w:szCs w:val="24"/>
          <w:rtl/>
        </w:rPr>
      </w:pPr>
    </w:p>
    <w:p w:rsidR="00F05533" w:rsidRDefault="00F05533" w:rsidP="00F05533">
      <w:pPr>
        <w:pStyle w:val="Ruller4"/>
        <w:rPr>
          <w:rtl/>
        </w:rPr>
      </w:pPr>
      <w:r>
        <w:rPr>
          <w:rFonts w:hint="cs"/>
          <w:rtl/>
        </w:rPr>
        <w:t xml:space="preserve">לאחר שקילת טענותיהם של בעלי הדין </w:t>
      </w:r>
      <w:r>
        <w:rPr>
          <w:rtl/>
        </w:rPr>
        <w:t>–</w:t>
      </w:r>
      <w:r>
        <w:rPr>
          <w:rFonts w:hint="cs"/>
          <w:rtl/>
        </w:rPr>
        <w:t xml:space="preserve"> אלו שבכתובים ואלו שנטענו לפנינו בעל-פה </w:t>
      </w:r>
      <w:r>
        <w:rPr>
          <w:rtl/>
        </w:rPr>
        <w:t>–</w:t>
      </w:r>
      <w:r>
        <w:rPr>
          <w:rFonts w:hint="cs"/>
          <w:rtl/>
        </w:rPr>
        <w:t xml:space="preserve"> הגעתי למסקנה כי עלינו לדחות את שני הערעורים. בטרם אפרט את נימוקיי, אומר אך זאת: רשות המיסים והנישומים שהתייצבו לפנינו הציגו לנו עמדות-קצה שאינן מקובלות עלי. לטעמי, מהותה הכלכלית של רכישה עצמית דיספרופורציונית יכולה לכרוך בתוכה תשלום דיבידנד לבעלי המניות הנותרים בחברה ויכולה גם שלא להיות בגדר מימוש זכויות בחברה או משיכת כספיה על ידי בעלי מניות אלה. מהותה הכלכלית של עסקה כאמור תלויה בנסיבותיה שעיקרן מצוי במענה לשאלה הבאה: </w:t>
      </w:r>
      <w:r w:rsidRPr="007E2C48">
        <w:rPr>
          <w:rFonts w:ascii="Century" w:hAnsi="Century" w:cs="Miriam" w:hint="cs"/>
          <w:b/>
          <w:spacing w:val="0"/>
          <w:sz w:val="22"/>
          <w:szCs w:val="24"/>
          <w:rtl/>
        </w:rPr>
        <w:t xml:space="preserve">מה </w:t>
      </w:r>
      <w:proofErr w:type="spellStart"/>
      <w:r w:rsidRPr="007E2C48">
        <w:rPr>
          <w:rFonts w:ascii="Century" w:hAnsi="Century" w:cs="Miriam" w:hint="cs"/>
          <w:b/>
          <w:spacing w:val="0"/>
          <w:sz w:val="22"/>
          <w:szCs w:val="24"/>
          <w:rtl/>
        </w:rPr>
        <w:t>היתה</w:t>
      </w:r>
      <w:proofErr w:type="spellEnd"/>
      <w:r w:rsidRPr="007E2C48">
        <w:rPr>
          <w:rFonts w:ascii="Century" w:hAnsi="Century" w:cs="Miriam" w:hint="cs"/>
          <w:b/>
          <w:spacing w:val="0"/>
          <w:sz w:val="22"/>
          <w:szCs w:val="24"/>
          <w:rtl/>
        </w:rPr>
        <w:t xml:space="preserve"> מטרתה הדומיננטית של הרכישה העצמית?</w:t>
      </w:r>
      <w:r>
        <w:rPr>
          <w:rFonts w:hint="cs"/>
          <w:rtl/>
        </w:rPr>
        <w:t xml:space="preserve"> אם הרכישה נועדה לשרת בעיקר אינטרסים אישיים של בעלי המניות הנותרים </w:t>
      </w:r>
      <w:r>
        <w:rPr>
          <w:rtl/>
        </w:rPr>
        <w:t>–</w:t>
      </w:r>
      <w:r>
        <w:rPr>
          <w:rFonts w:hint="cs"/>
          <w:rtl/>
        </w:rPr>
        <w:t xml:space="preserve"> ובראשם קבלת שליטה בחברה או העצמת כוחם על ידי קניית עזיבתם של בעלי המניות שבחרו למכרן </w:t>
      </w:r>
      <w:r>
        <w:rPr>
          <w:rtl/>
        </w:rPr>
        <w:t>–</w:t>
      </w:r>
      <w:r>
        <w:rPr>
          <w:rFonts w:hint="cs"/>
          <w:rtl/>
        </w:rPr>
        <w:t xml:space="preserve"> יהא על פקיד השומה, ועלינו, לסווג את העסקה כמשיכת כספי החברה על ידי בעלי המניות הנותרים אשר מגיעה כדי דיבידנד. מאידך, אם הרכישה העצמית נועדה לשרת את האינטרסים של החברה כחברה ולקדם את עסקיה, מן הדין יהיה לסווגה כהוצאת כספים שאינה בגדר אירוע מס אצל בעלי המניות שלא מכרו את מניותיהם. </w:t>
      </w:r>
    </w:p>
    <w:p w:rsidR="00F05533" w:rsidRDefault="00F05533" w:rsidP="00F05533">
      <w:pPr>
        <w:pStyle w:val="Ruller41"/>
        <w:rPr>
          <w:rFonts w:ascii="Century" w:hAnsi="Century" w:cs="Miriam"/>
          <w:b/>
          <w:spacing w:val="0"/>
          <w:szCs w:val="24"/>
          <w:rtl/>
        </w:rPr>
      </w:pPr>
    </w:p>
    <w:p w:rsidR="00F05533" w:rsidRPr="00B879AA" w:rsidRDefault="00F05533" w:rsidP="00F05533">
      <w:pPr>
        <w:pStyle w:val="Ruller41"/>
        <w:rPr>
          <w:rFonts w:ascii="Century" w:hAnsi="Century" w:cs="Miriam"/>
          <w:b/>
          <w:spacing w:val="0"/>
          <w:szCs w:val="24"/>
          <w:rtl/>
        </w:rPr>
      </w:pPr>
      <w:r>
        <w:rPr>
          <w:rFonts w:ascii="Century" w:hAnsi="Century" w:cs="Miriam" w:hint="cs"/>
          <w:b/>
          <w:spacing w:val="0"/>
          <w:szCs w:val="24"/>
          <w:rtl/>
        </w:rPr>
        <w:t>המסגרת</w:t>
      </w:r>
      <w:r w:rsidRPr="00B879AA">
        <w:rPr>
          <w:rFonts w:ascii="Century" w:hAnsi="Century" w:cs="Miriam" w:hint="cs"/>
          <w:b/>
          <w:spacing w:val="0"/>
          <w:szCs w:val="24"/>
          <w:rtl/>
        </w:rPr>
        <w:t xml:space="preserve"> הנורמטיבי</w:t>
      </w:r>
      <w:r>
        <w:rPr>
          <w:rFonts w:ascii="Century" w:hAnsi="Century" w:cs="Miriam" w:hint="cs"/>
          <w:b/>
          <w:spacing w:val="0"/>
          <w:szCs w:val="24"/>
          <w:rtl/>
        </w:rPr>
        <w:t>ת</w:t>
      </w:r>
    </w:p>
    <w:p w:rsidR="00F05533" w:rsidRDefault="00F05533" w:rsidP="00F05533">
      <w:pPr>
        <w:pStyle w:val="Ruller41"/>
        <w:rPr>
          <w:rtl/>
        </w:rPr>
      </w:pPr>
    </w:p>
    <w:p w:rsidR="00F05533" w:rsidRPr="00C94561" w:rsidRDefault="00F05533" w:rsidP="00F05533">
      <w:pPr>
        <w:pStyle w:val="Ruller41"/>
        <w:rPr>
          <w:rFonts w:ascii="Century" w:hAnsi="Century" w:cs="Miriam"/>
          <w:b/>
          <w:spacing w:val="0"/>
          <w:szCs w:val="24"/>
          <w:rtl/>
        </w:rPr>
      </w:pPr>
      <w:r w:rsidRPr="00C94561">
        <w:rPr>
          <w:rFonts w:ascii="Century" w:hAnsi="Century" w:cs="Miriam" w:hint="cs"/>
          <w:b/>
          <w:spacing w:val="0"/>
          <w:szCs w:val="24"/>
          <w:rtl/>
        </w:rPr>
        <w:t>רכישה עצמית בראי של דיני חברות</w:t>
      </w:r>
    </w:p>
    <w:p w:rsidR="00F05533" w:rsidRPr="00B879AA" w:rsidRDefault="00F05533" w:rsidP="00F05533">
      <w:pPr>
        <w:pStyle w:val="Ruller41"/>
      </w:pPr>
    </w:p>
    <w:p w:rsidR="00F05533" w:rsidRPr="00C02C00" w:rsidRDefault="00F05533" w:rsidP="00F05533">
      <w:pPr>
        <w:pStyle w:val="Ruller4"/>
        <w:rPr>
          <w:rFonts w:ascii="Century" w:hAnsi="Century"/>
          <w:sz w:val="22"/>
        </w:rPr>
      </w:pPr>
      <w:r>
        <w:rPr>
          <w:rFonts w:hint="cs"/>
          <w:rtl/>
        </w:rPr>
        <w:t>אפשרותה של חברה לרכוש את מניותיה שלה מבעל המניות הוסדרה לראשונה במסגרתו של חוק החברות</w:t>
      </w:r>
      <w:r>
        <w:rPr>
          <w:rFonts w:ascii="Century" w:hAnsi="Century" w:hint="cs"/>
          <w:sz w:val="22"/>
          <w:rtl/>
        </w:rPr>
        <w:t xml:space="preserve"> הקיים </w:t>
      </w:r>
      <w:r>
        <w:rPr>
          <w:rFonts w:ascii="Century" w:hAnsi="Century"/>
          <w:sz w:val="22"/>
          <w:rtl/>
        </w:rPr>
        <w:t>–</w:t>
      </w:r>
      <w:r>
        <w:rPr>
          <w:rFonts w:ascii="Century" w:hAnsi="Century" w:hint="cs"/>
          <w:sz w:val="22"/>
          <w:rtl/>
        </w:rPr>
        <w:t xml:space="preserve"> בניגוד ל</w:t>
      </w:r>
      <w:r>
        <w:rPr>
          <w:rFonts w:hint="cs"/>
          <w:rtl/>
        </w:rPr>
        <w:t xml:space="preserve">דין ששרר ערב כניסתו של החוק הקיים לתוקף, אשר הכיל בתוכו איסור מפורש על הפחתת הון (ראו: סעיף 139 </w:t>
      </w:r>
      <w:r w:rsidRPr="00C94561">
        <w:rPr>
          <w:rFonts w:ascii="Century" w:hAnsi="Century" w:hint="cs"/>
          <w:sz w:val="22"/>
          <w:rtl/>
        </w:rPr>
        <w:t>לפקודת החברות [נוסח חדש], התשמ"ג-1983</w:t>
      </w:r>
      <w:r>
        <w:rPr>
          <w:rFonts w:hint="cs"/>
          <w:rtl/>
        </w:rPr>
        <w:t xml:space="preserve">). </w:t>
      </w:r>
      <w:r>
        <w:rPr>
          <w:rStyle w:val="default"/>
          <w:rFonts w:ascii="Century" w:hAnsi="Century" w:hint="cs"/>
          <w:sz w:val="22"/>
          <w:rtl/>
        </w:rPr>
        <w:t xml:space="preserve">סעיף 1 לחוק החברות יוצר קשר רעיוני בין חלוקת דיבידנד לבין ביצועה של רכישה עצמית, </w:t>
      </w:r>
      <w:r>
        <w:rPr>
          <w:rFonts w:hint="cs"/>
          <w:rtl/>
        </w:rPr>
        <w:t xml:space="preserve">בהגדירו את המונח </w:t>
      </w:r>
      <w:r w:rsidRPr="00FD7A0A">
        <w:rPr>
          <w:rFonts w:ascii="Century" w:hAnsi="Century" w:cs="Miriam" w:hint="cs"/>
          <w:b/>
          <w:spacing w:val="0"/>
          <w:sz w:val="22"/>
          <w:szCs w:val="24"/>
          <w:rtl/>
        </w:rPr>
        <w:t>חלוקה</w:t>
      </w:r>
      <w:r>
        <w:rPr>
          <w:rFonts w:hint="cs"/>
          <w:rtl/>
        </w:rPr>
        <w:t xml:space="preserve"> ככולל:</w:t>
      </w:r>
    </w:p>
    <w:p w:rsidR="00F05533" w:rsidRPr="00C02C00" w:rsidRDefault="00F05533" w:rsidP="00F05533">
      <w:pPr>
        <w:pStyle w:val="Ruller4"/>
        <w:numPr>
          <w:ilvl w:val="0"/>
          <w:numId w:val="0"/>
        </w:numPr>
        <w:rPr>
          <w:rStyle w:val="default"/>
          <w:rFonts w:ascii="Century" w:hAnsi="Century"/>
          <w:sz w:val="22"/>
          <w:rtl/>
        </w:rPr>
      </w:pPr>
      <w:r>
        <w:rPr>
          <w:rFonts w:hint="cs"/>
          <w:rtl/>
        </w:rPr>
        <w:t xml:space="preserve"> </w:t>
      </w:r>
    </w:p>
    <w:p w:rsidR="00F05533" w:rsidRDefault="00F05533" w:rsidP="00F05533">
      <w:pPr>
        <w:pStyle w:val="Ruller5"/>
        <w:rPr>
          <w:rtl/>
        </w:rPr>
      </w:pPr>
      <w:r>
        <w:rPr>
          <w:rFonts w:hint="cs"/>
          <w:rtl/>
        </w:rPr>
        <w:t>"</w:t>
      </w:r>
      <w:r w:rsidRPr="00C02C00">
        <w:rPr>
          <w:rtl/>
        </w:rPr>
        <w:t xml:space="preserve">מתן </w:t>
      </w:r>
      <w:r w:rsidRPr="00962D6C">
        <w:rPr>
          <w:rFonts w:ascii="Century" w:hAnsi="Century" w:cs="Miriam"/>
          <w:b/>
          <w:spacing w:val="0"/>
          <w:szCs w:val="24"/>
          <w:rtl/>
        </w:rPr>
        <w:t>דיבידנד</w:t>
      </w:r>
      <w:r w:rsidRPr="00C02C00">
        <w:rPr>
          <w:rtl/>
        </w:rPr>
        <w:t xml:space="preserve"> או התחייבות </w:t>
      </w:r>
      <w:proofErr w:type="spellStart"/>
      <w:r w:rsidRPr="00C02C00">
        <w:rPr>
          <w:rtl/>
        </w:rPr>
        <w:t>לתיתו</w:t>
      </w:r>
      <w:proofErr w:type="spellEnd"/>
      <w:r w:rsidRPr="00C02C00">
        <w:rPr>
          <w:rtl/>
        </w:rPr>
        <w:t>, במישר</w:t>
      </w:r>
      <w:r>
        <w:rPr>
          <w:rtl/>
        </w:rPr>
        <w:t xml:space="preserve">ין </w:t>
      </w:r>
      <w:r w:rsidRPr="003A2AFA">
        <w:rPr>
          <w:rFonts w:ascii="Century" w:hAnsi="Century"/>
          <w:rtl/>
        </w:rPr>
        <w:t>או</w:t>
      </w:r>
      <w:r w:rsidRPr="003A2AFA">
        <w:rPr>
          <w:rtl/>
        </w:rPr>
        <w:t xml:space="preserve"> </w:t>
      </w:r>
      <w:r>
        <w:rPr>
          <w:rtl/>
        </w:rPr>
        <w:t xml:space="preserve">בעקיפין, </w:t>
      </w:r>
      <w:r w:rsidRPr="00123CA0">
        <w:rPr>
          <w:rFonts w:ascii="Century" w:hAnsi="Century" w:cs="Miriam"/>
          <w:b/>
          <w:spacing w:val="0"/>
          <w:szCs w:val="24"/>
          <w:rtl/>
        </w:rPr>
        <w:t>וכן</w:t>
      </w:r>
      <w:r>
        <w:rPr>
          <w:rtl/>
        </w:rPr>
        <w:t xml:space="preserve"> </w:t>
      </w:r>
      <w:r w:rsidRPr="00962D6C">
        <w:rPr>
          <w:rFonts w:ascii="Century" w:hAnsi="Century" w:cs="Miriam"/>
          <w:b/>
          <w:spacing w:val="0"/>
          <w:szCs w:val="24"/>
          <w:rtl/>
        </w:rPr>
        <w:t>רכישה</w:t>
      </w:r>
      <w:r>
        <w:rPr>
          <w:rFonts w:hint="cs"/>
          <w:rtl/>
        </w:rPr>
        <w:t xml:space="preserve"> [...]" (ההדגשות הוספו </w:t>
      </w:r>
      <w:r>
        <w:rPr>
          <w:rtl/>
        </w:rPr>
        <w:t>–</w:t>
      </w:r>
      <w:r>
        <w:rPr>
          <w:rFonts w:hint="cs"/>
          <w:rtl/>
        </w:rPr>
        <w:t xml:space="preserve"> א.ש.).</w:t>
      </w:r>
    </w:p>
    <w:p w:rsidR="00F05533" w:rsidRPr="009D5A31" w:rsidRDefault="00F05533" w:rsidP="00F05533">
      <w:pPr>
        <w:pStyle w:val="Ruller5"/>
        <w:rPr>
          <w:sz w:val="32"/>
          <w:szCs w:val="40"/>
          <w:rtl/>
        </w:rPr>
      </w:pPr>
    </w:p>
    <w:p w:rsidR="00F05533" w:rsidRPr="00BF63F5" w:rsidRDefault="00F05533" w:rsidP="00F05533">
      <w:pPr>
        <w:pStyle w:val="Ruller4"/>
        <w:numPr>
          <w:ilvl w:val="0"/>
          <w:numId w:val="0"/>
        </w:numPr>
        <w:rPr>
          <w:rStyle w:val="default"/>
          <w:rFonts w:asciiTheme="minorHAnsi" w:eastAsiaTheme="minorEastAsia" w:hAnsiTheme="minorHAnsi" w:cstheme="minorBidi"/>
          <w:spacing w:val="0"/>
          <w:sz w:val="22"/>
          <w:szCs w:val="22"/>
          <w:rtl/>
        </w:rPr>
      </w:pPr>
      <w:r>
        <w:rPr>
          <w:rStyle w:val="default"/>
          <w:rFonts w:ascii="Century" w:hAnsi="Century"/>
          <w:sz w:val="22"/>
          <w:rtl/>
        </w:rPr>
        <w:tab/>
      </w:r>
      <w:r>
        <w:rPr>
          <w:rStyle w:val="default"/>
          <w:rFonts w:ascii="Century" w:hAnsi="Century" w:hint="cs"/>
          <w:sz w:val="22"/>
          <w:rtl/>
        </w:rPr>
        <w:t>לעניין זה, מוגדרת "רכישה" ב</w:t>
      </w:r>
      <w:r w:rsidRPr="00BF63F5">
        <w:rPr>
          <w:rStyle w:val="default"/>
          <w:rFonts w:ascii="Century" w:hAnsi="Century" w:hint="cs"/>
          <w:sz w:val="22"/>
          <w:rtl/>
        </w:rPr>
        <w:t xml:space="preserve">סעיף 1 לחוק החברות </w:t>
      </w:r>
      <w:r>
        <w:rPr>
          <w:rStyle w:val="default"/>
          <w:rFonts w:ascii="Century" w:hAnsi="Century" w:hint="cs"/>
          <w:sz w:val="22"/>
          <w:rtl/>
        </w:rPr>
        <w:t>כ</w:t>
      </w:r>
      <w:r w:rsidRPr="00BF63F5">
        <w:rPr>
          <w:rStyle w:val="default"/>
          <w:rFonts w:ascii="Century" w:hAnsi="Century" w:hint="cs"/>
          <w:sz w:val="22"/>
          <w:rtl/>
        </w:rPr>
        <w:t>אוסף פעולות שעניינן רכישת ניירות ערך של החברה המנפיקה, במישרין או בעקיפין, בידי החברה עצמה:</w:t>
      </w:r>
    </w:p>
    <w:p w:rsidR="00F05533" w:rsidRDefault="00F05533" w:rsidP="00F05533">
      <w:pPr>
        <w:pStyle w:val="Ruller41"/>
        <w:rPr>
          <w:rtl/>
        </w:rPr>
      </w:pPr>
    </w:p>
    <w:p w:rsidR="00F05533" w:rsidRDefault="00F05533" w:rsidP="00F05533">
      <w:pPr>
        <w:pStyle w:val="Ruller5"/>
        <w:rPr>
          <w:rtl/>
        </w:rPr>
      </w:pPr>
      <w:r>
        <w:rPr>
          <w:rFonts w:hint="cs"/>
          <w:rtl/>
        </w:rPr>
        <w:t>"[</w:t>
      </w:r>
      <w:r w:rsidRPr="00C02C00">
        <w:rPr>
          <w:rtl/>
        </w:rPr>
        <w:t>ל</w:t>
      </w:r>
      <w:r>
        <w:rPr>
          <w:rFonts w:hint="cs"/>
          <w:rtl/>
        </w:rPr>
        <w:t>]</w:t>
      </w:r>
      <w:r w:rsidRPr="00C02C00">
        <w:rPr>
          <w:rtl/>
        </w:rPr>
        <w:t>ענין זה, "רכישה" – רכישה או מתן מימון לרכישה, במישרין או בעקיפין, בידי חברה או בידי חבר</w:t>
      </w:r>
      <w:r>
        <w:rPr>
          <w:rFonts w:hint="cs"/>
          <w:rtl/>
        </w:rPr>
        <w:t>ת</w:t>
      </w:r>
      <w:r w:rsidRPr="00C02C00">
        <w:rPr>
          <w:rtl/>
        </w:rPr>
        <w:t xml:space="preserve"> בת שלה או בידי תאגיד אחר בשליטתה, של מניות החברה או של ניירות ערך שניתן להמירם למניות החברה או שניתן לממשם במניות החברה, או פדיון של ניירות ערך בני פדיון שהם חלק מהונה העצמי של החברה בהתאם לסעיף 312(ד), ולרבות התחייבות לעשיית כל אחד מאלה, והכל, ובלבד שהמוכר אינו החברה עצמה או תאגיד אחר בבעלותה המלאה של החברה</w:t>
      </w:r>
      <w:r>
        <w:rPr>
          <w:rFonts w:hint="cs"/>
          <w:rtl/>
        </w:rPr>
        <w:t>".</w:t>
      </w:r>
    </w:p>
    <w:p w:rsidR="00F05533" w:rsidRPr="00C02C00" w:rsidRDefault="00F05533" w:rsidP="00F05533">
      <w:pPr>
        <w:pStyle w:val="Ruller41"/>
        <w:rPr>
          <w:rtl/>
        </w:rPr>
      </w:pPr>
    </w:p>
    <w:p w:rsidR="00F05533" w:rsidRPr="00C00F94" w:rsidRDefault="00F05533" w:rsidP="00F05533">
      <w:pPr>
        <w:pStyle w:val="Ruller41"/>
        <w:rPr>
          <w:rFonts w:ascii="Century" w:hAnsi="Century"/>
          <w:rtl/>
        </w:rPr>
      </w:pPr>
      <w:r>
        <w:rPr>
          <w:rtl/>
        </w:rPr>
        <w:tab/>
      </w:r>
      <w:r>
        <w:rPr>
          <w:rFonts w:hint="cs"/>
          <w:rtl/>
        </w:rPr>
        <w:t>סעיף 308 לחוק החברות מוסיף ומפרט את תוצאותיה של</w:t>
      </w:r>
      <w:r w:rsidRPr="00C00F94">
        <w:rPr>
          <w:rFonts w:ascii="Century" w:hAnsi="Century" w:hint="cs"/>
          <w:rtl/>
        </w:rPr>
        <w:t xml:space="preserve"> רכישה עצמית </w:t>
      </w:r>
      <w:r>
        <w:rPr>
          <w:rFonts w:hint="cs"/>
          <w:rtl/>
        </w:rPr>
        <w:t>ביחס למניות שנרכשו על ידי החברה, בהגדירן כ</w:t>
      </w:r>
      <w:r w:rsidRPr="00982FF1">
        <w:rPr>
          <w:rFonts w:ascii="Century" w:hAnsi="Century" w:cs="Miriam" w:hint="cs"/>
          <w:b/>
          <w:spacing w:val="0"/>
          <w:szCs w:val="24"/>
          <w:rtl/>
        </w:rPr>
        <w:t>מני</w:t>
      </w:r>
      <w:r>
        <w:rPr>
          <w:rFonts w:ascii="Century" w:hAnsi="Century" w:cs="Miriam" w:hint="cs"/>
          <w:b/>
          <w:spacing w:val="0"/>
          <w:szCs w:val="24"/>
          <w:rtl/>
        </w:rPr>
        <w:t>ות</w:t>
      </w:r>
      <w:r w:rsidRPr="00982FF1">
        <w:rPr>
          <w:rFonts w:ascii="Century" w:hAnsi="Century" w:cs="Miriam" w:hint="cs"/>
          <w:b/>
          <w:spacing w:val="0"/>
          <w:szCs w:val="24"/>
          <w:rtl/>
        </w:rPr>
        <w:t xml:space="preserve"> רדומ</w:t>
      </w:r>
      <w:r>
        <w:rPr>
          <w:rFonts w:ascii="Century" w:hAnsi="Century" w:cs="Miriam" w:hint="cs"/>
          <w:b/>
          <w:spacing w:val="0"/>
          <w:szCs w:val="24"/>
          <w:rtl/>
        </w:rPr>
        <w:t>ות</w:t>
      </w:r>
      <w:r>
        <w:rPr>
          <w:rFonts w:hint="cs"/>
          <w:rtl/>
        </w:rPr>
        <w:t xml:space="preserve"> המשוללות כל זכות</w:t>
      </w:r>
      <w:r w:rsidRPr="00041E5E">
        <w:rPr>
          <w:rFonts w:ascii="Century" w:hAnsi="Century"/>
          <w:rtl/>
        </w:rPr>
        <w:t>.</w:t>
      </w:r>
      <w:r>
        <w:rPr>
          <w:rFonts w:ascii="Century" w:hAnsi="Century" w:cs="Miriam" w:hint="cs"/>
          <w:b/>
          <w:spacing w:val="0"/>
          <w:szCs w:val="24"/>
          <w:rtl/>
        </w:rPr>
        <w:t xml:space="preserve"> </w:t>
      </w:r>
      <w:r w:rsidRPr="00C00F94">
        <w:rPr>
          <w:rFonts w:ascii="Century" w:hAnsi="Century" w:hint="cs"/>
          <w:rtl/>
        </w:rPr>
        <w:t>מצב דברים זה נמשך</w:t>
      </w:r>
      <w:r>
        <w:rPr>
          <w:rFonts w:ascii="Century" w:hAnsi="Century" w:hint="cs"/>
          <w:rtl/>
        </w:rPr>
        <w:t xml:space="preserve"> </w:t>
      </w:r>
      <w:r w:rsidRPr="00C00F94">
        <w:rPr>
          <w:rFonts w:ascii="Century" w:hAnsi="Century" w:hint="cs"/>
          <w:rtl/>
        </w:rPr>
        <w:t>כל אימת ש</w:t>
      </w:r>
      <w:r>
        <w:rPr>
          <w:rFonts w:ascii="Century" w:hAnsi="Century" w:hint="cs"/>
          <w:rtl/>
        </w:rPr>
        <w:t xml:space="preserve">המניות הרדומות </w:t>
      </w:r>
      <w:r w:rsidRPr="00C00F94">
        <w:rPr>
          <w:rFonts w:ascii="Century" w:hAnsi="Century" w:hint="cs"/>
          <w:rtl/>
        </w:rPr>
        <w:t>מוחזקות בידי החברה, אשר רשאית גם</w:t>
      </w:r>
      <w:r>
        <w:rPr>
          <w:rFonts w:ascii="Century" w:hAnsi="Century" w:hint="cs"/>
          <w:rtl/>
        </w:rPr>
        <w:t xml:space="preserve"> לבטלן ולמחקן מספר הזכויות.</w:t>
      </w:r>
    </w:p>
    <w:p w:rsidR="00F05533" w:rsidRPr="00F62B80" w:rsidRDefault="00F05533" w:rsidP="00F05533">
      <w:pPr>
        <w:pStyle w:val="Ruller41"/>
      </w:pPr>
    </w:p>
    <w:p w:rsidR="00F05533" w:rsidRDefault="00F05533" w:rsidP="00F05533">
      <w:pPr>
        <w:pStyle w:val="Ruller4"/>
        <w:rPr>
          <w:rtl/>
        </w:rPr>
      </w:pPr>
      <w:r>
        <w:rPr>
          <w:rtl/>
        </w:rPr>
        <w:tab/>
      </w:r>
      <w:r>
        <w:rPr>
          <w:rFonts w:hint="cs"/>
          <w:rtl/>
        </w:rPr>
        <w:t xml:space="preserve">חלוקת דיבידנד ורכישה עצמית של מניות כפופות לכללי השמירה על ההון אשר מפורטים בפרק השני לחלק השביעי של חוק החברות, ובהם: </w:t>
      </w:r>
      <w:r w:rsidRPr="00F553D6">
        <w:rPr>
          <w:rFonts w:cs="Miriam" w:hint="cs"/>
          <w:b/>
          <w:spacing w:val="0"/>
          <w:szCs w:val="24"/>
          <w:rtl/>
        </w:rPr>
        <w:t>מבחן הרווח</w:t>
      </w:r>
      <w:r>
        <w:rPr>
          <w:rFonts w:hint="cs"/>
          <w:rtl/>
        </w:rPr>
        <w:t xml:space="preserve"> ו</w:t>
      </w:r>
      <w:r w:rsidRPr="00F553D6">
        <w:rPr>
          <w:rFonts w:cs="Miriam" w:hint="cs"/>
          <w:b/>
          <w:spacing w:val="0"/>
          <w:szCs w:val="24"/>
          <w:rtl/>
        </w:rPr>
        <w:t>מבחן יכולת הפירעון</w:t>
      </w:r>
      <w:r>
        <w:rPr>
          <w:rFonts w:hint="cs"/>
          <w:rtl/>
        </w:rPr>
        <w:t xml:space="preserve">. הכפפה זו נובעת מחשש כי חלוקת דיבידנד ורכישה עצמית תשמשנה כמתווה להעברת עושר מהחברה לבעלי מניותיה </w:t>
      </w:r>
      <w:r>
        <w:rPr>
          <w:rtl/>
        </w:rPr>
        <w:t>–</w:t>
      </w:r>
      <w:r>
        <w:rPr>
          <w:rFonts w:hint="cs"/>
          <w:rtl/>
        </w:rPr>
        <w:t xml:space="preserve"> בניגוד לטובתם של נושי החברה ותוך פגיעה בכרית הביטחון הכלכלית של החברה אשר מיועדת להגנת הנושים (ראו: סעיפים 303-301 לחוק החברות; אוריאל פרוקצ'יה </w:t>
      </w:r>
      <w:r>
        <w:rPr>
          <w:rFonts w:cs="Miriam" w:hint="cs"/>
          <w:b/>
          <w:spacing w:val="0"/>
          <w:szCs w:val="24"/>
          <w:rtl/>
        </w:rPr>
        <w:t>דיני חברות חדשים לישראל</w:t>
      </w:r>
      <w:r w:rsidRPr="006E3F9B">
        <w:rPr>
          <w:rFonts w:cs="Miriam" w:hint="cs"/>
          <w:b/>
          <w:spacing w:val="0"/>
          <w:szCs w:val="24"/>
          <w:rtl/>
        </w:rPr>
        <w:t>: דין נוהג, דין רצוי והדרך לחקיקה</w:t>
      </w:r>
      <w:r>
        <w:rPr>
          <w:rFonts w:hint="cs"/>
          <w:rtl/>
        </w:rPr>
        <w:t xml:space="preserve"> 478, 481-480 (1989) (להלן: </w:t>
      </w:r>
      <w:r w:rsidRPr="00041E5E">
        <w:rPr>
          <w:rFonts w:ascii="Century" w:hAnsi="Century" w:cs="Miriam" w:hint="eastAsia"/>
          <w:b/>
          <w:spacing w:val="0"/>
          <w:sz w:val="22"/>
          <w:szCs w:val="24"/>
          <w:rtl/>
        </w:rPr>
        <w:t>פרוקצ</w:t>
      </w:r>
      <w:r w:rsidRPr="00041E5E">
        <w:rPr>
          <w:rFonts w:ascii="Century" w:hAnsi="Century" w:cs="Miriam"/>
          <w:b/>
          <w:spacing w:val="0"/>
          <w:sz w:val="22"/>
          <w:szCs w:val="24"/>
          <w:rtl/>
        </w:rPr>
        <w:t>'</w:t>
      </w:r>
      <w:r w:rsidRPr="00041E5E">
        <w:rPr>
          <w:rFonts w:ascii="Century" w:hAnsi="Century" w:cs="Miriam" w:hint="eastAsia"/>
          <w:b/>
          <w:spacing w:val="0"/>
          <w:sz w:val="22"/>
          <w:szCs w:val="24"/>
          <w:rtl/>
        </w:rPr>
        <w:t>יה</w:t>
      </w:r>
      <w:r>
        <w:rPr>
          <w:rFonts w:hint="cs"/>
          <w:rtl/>
        </w:rPr>
        <w:t xml:space="preserve">); יוסף גרוס </w:t>
      </w:r>
      <w:r>
        <w:rPr>
          <w:rFonts w:cs="Miriam" w:hint="cs"/>
          <w:b/>
          <w:spacing w:val="0"/>
          <w:szCs w:val="24"/>
          <w:rtl/>
        </w:rPr>
        <w:t xml:space="preserve">חוק החברות </w:t>
      </w:r>
      <w:r>
        <w:rPr>
          <w:rFonts w:hint="cs"/>
          <w:rtl/>
        </w:rPr>
        <w:t xml:space="preserve">899 (מהדורה חמישית, 2016) (להלן: </w:t>
      </w:r>
      <w:r w:rsidRPr="0060428B">
        <w:rPr>
          <w:rFonts w:cs="Miriam" w:hint="cs"/>
          <w:b/>
          <w:spacing w:val="0"/>
          <w:szCs w:val="24"/>
          <w:rtl/>
        </w:rPr>
        <w:t>גרוס</w:t>
      </w:r>
      <w:r>
        <w:rPr>
          <w:rFonts w:hint="cs"/>
          <w:rtl/>
        </w:rPr>
        <w:t xml:space="preserve">)). </w:t>
      </w:r>
    </w:p>
    <w:p w:rsidR="00F05533" w:rsidRDefault="00F05533" w:rsidP="00F05533">
      <w:pPr>
        <w:pStyle w:val="Ruller4"/>
        <w:numPr>
          <w:ilvl w:val="0"/>
          <w:numId w:val="0"/>
        </w:numPr>
      </w:pPr>
    </w:p>
    <w:p w:rsidR="00F05533" w:rsidRPr="001E3980" w:rsidRDefault="00F05533" w:rsidP="00F05533">
      <w:pPr>
        <w:pStyle w:val="Ruller4"/>
        <w:rPr>
          <w:rtl/>
        </w:rPr>
      </w:pPr>
      <w:r>
        <w:rPr>
          <w:rFonts w:hint="cs"/>
          <w:rtl/>
        </w:rPr>
        <w:t xml:space="preserve">לרכישה עצמית של מניות החברה יכול שתהיינה הצדקות מסחריות שונות. רוב ההצדקות הללו קשורות לחברות ציבוריות שמניותיהן נסחרות בבורסה ומוחזקות בידי משקיעים פרטיים רבים, שאינם קשורים אלו באלו. במסגרת זו, רכישה עצמית משמשת לעתים כאיתות אמין באשר לאופן בו רואה החברה את מחיר מניותיה. כאשר מחירי המניות של החברה יורדים ללא הצדקה כלכלית מבחינתה, יכולה החברה לשדר לשוק את אמונה ביחס לפעילותה העסקית באמצעות רכישה עצמית של מניותיה </w:t>
      </w:r>
      <w:r>
        <w:rPr>
          <w:rtl/>
        </w:rPr>
        <w:t>–</w:t>
      </w:r>
      <w:r>
        <w:rPr>
          <w:rFonts w:hint="cs"/>
          <w:rtl/>
        </w:rPr>
        <w:t xml:space="preserve"> רכישה שלעיתים תכופות מעלה את מחיר המניות. רכישה עצמית יכולה לשמש גם כאמצעי לניהול מבנה ההון הפנימי של החברה; ובמקרים אחרים, היא יכולה אף ליצור הגנה מפני השתלטות </w:t>
      </w:r>
      <w:proofErr w:type="spellStart"/>
      <w:r>
        <w:rPr>
          <w:rFonts w:hint="cs"/>
          <w:rtl/>
        </w:rPr>
        <w:t>עויינת</w:t>
      </w:r>
      <w:proofErr w:type="spellEnd"/>
      <w:r>
        <w:rPr>
          <w:rFonts w:hint="cs"/>
          <w:rtl/>
        </w:rPr>
        <w:t xml:space="preserve"> (</w:t>
      </w:r>
      <w:r w:rsidRPr="006E3F9B">
        <w:rPr>
          <w:rFonts w:hint="cs"/>
          <w:rtl/>
        </w:rPr>
        <w:t xml:space="preserve">ראו: אירית חביב-סגל </w:t>
      </w:r>
      <w:r w:rsidRPr="008C2CD6">
        <w:rPr>
          <w:rFonts w:ascii="Century" w:hAnsi="Century" w:cs="Miriam" w:hint="cs"/>
          <w:b/>
          <w:spacing w:val="0"/>
          <w:sz w:val="22"/>
          <w:szCs w:val="24"/>
          <w:rtl/>
        </w:rPr>
        <w:t xml:space="preserve">דיני חברות: לאחר חוק החברות החדש </w:t>
      </w:r>
      <w:r w:rsidRPr="008C2CD6">
        <w:rPr>
          <w:rFonts w:ascii="Century" w:hAnsi="Century" w:hint="cs"/>
          <w:sz w:val="22"/>
          <w:rtl/>
        </w:rPr>
        <w:t>ב 115 (2004);</w:t>
      </w:r>
      <w:r w:rsidRPr="006E3F9B">
        <w:rPr>
          <w:rFonts w:hint="cs"/>
          <w:rtl/>
        </w:rPr>
        <w:t xml:space="preserve"> </w:t>
      </w:r>
      <w:r>
        <w:rPr>
          <w:rFonts w:hint="cs"/>
          <w:rtl/>
        </w:rPr>
        <w:t xml:space="preserve">יצחק </w:t>
      </w:r>
      <w:proofErr w:type="spellStart"/>
      <w:r>
        <w:rPr>
          <w:rFonts w:hint="cs"/>
          <w:rtl/>
        </w:rPr>
        <w:t>סוארי</w:t>
      </w:r>
      <w:proofErr w:type="spellEnd"/>
      <w:r>
        <w:rPr>
          <w:rFonts w:hint="cs"/>
          <w:rtl/>
        </w:rPr>
        <w:t xml:space="preserve">, אלון רווה ודניאל </w:t>
      </w:r>
      <w:proofErr w:type="spellStart"/>
      <w:r>
        <w:rPr>
          <w:rFonts w:hint="cs"/>
          <w:rtl/>
        </w:rPr>
        <w:t>פסרמן</w:t>
      </w:r>
      <w:proofErr w:type="spellEnd"/>
      <w:r>
        <w:rPr>
          <w:rFonts w:hint="cs"/>
          <w:rtl/>
        </w:rPr>
        <w:t xml:space="preserve"> </w:t>
      </w:r>
      <w:r w:rsidRPr="008C2CD6">
        <w:rPr>
          <w:rFonts w:ascii="Century" w:hAnsi="Century" w:cs="Miriam" w:hint="cs"/>
          <w:b/>
          <w:spacing w:val="0"/>
          <w:sz w:val="22"/>
          <w:szCs w:val="24"/>
          <w:rtl/>
        </w:rPr>
        <w:t xml:space="preserve">רכישה עצמית של מניות: לאור חוק החברות החדש </w:t>
      </w:r>
      <w:r w:rsidRPr="008C2CD6">
        <w:rPr>
          <w:rFonts w:ascii="Century" w:hAnsi="Century" w:hint="cs"/>
          <w:sz w:val="22"/>
          <w:rtl/>
        </w:rPr>
        <w:t xml:space="preserve">7-5, 67-33 (2001) (להלן: </w:t>
      </w:r>
      <w:proofErr w:type="spellStart"/>
      <w:r w:rsidRPr="008C2CD6">
        <w:rPr>
          <w:rFonts w:ascii="Century" w:hAnsi="Century" w:cs="Miriam" w:hint="cs"/>
          <w:b/>
          <w:spacing w:val="0"/>
          <w:sz w:val="22"/>
          <w:szCs w:val="24"/>
          <w:rtl/>
        </w:rPr>
        <w:t>סוארי</w:t>
      </w:r>
      <w:proofErr w:type="spellEnd"/>
      <w:r w:rsidRPr="008C2CD6">
        <w:rPr>
          <w:rFonts w:ascii="Century" w:hAnsi="Century" w:cs="Miriam" w:hint="cs"/>
          <w:b/>
          <w:spacing w:val="0"/>
          <w:sz w:val="22"/>
          <w:szCs w:val="24"/>
          <w:rtl/>
        </w:rPr>
        <w:t xml:space="preserve">, רווה </w:t>
      </w:r>
      <w:proofErr w:type="spellStart"/>
      <w:r w:rsidRPr="008C2CD6">
        <w:rPr>
          <w:rFonts w:ascii="Century" w:hAnsi="Century" w:cs="Miriam" w:hint="cs"/>
          <w:b/>
          <w:spacing w:val="0"/>
          <w:sz w:val="22"/>
          <w:szCs w:val="24"/>
          <w:rtl/>
        </w:rPr>
        <w:t>ופסרמן</w:t>
      </w:r>
      <w:proofErr w:type="spellEnd"/>
      <w:r w:rsidRPr="008C2CD6">
        <w:rPr>
          <w:rFonts w:ascii="Century" w:hAnsi="Century" w:hint="cs"/>
          <w:sz w:val="22"/>
          <w:rtl/>
        </w:rPr>
        <w:t>);</w:t>
      </w:r>
      <w:r>
        <w:rPr>
          <w:rFonts w:hint="cs"/>
          <w:rtl/>
        </w:rPr>
        <w:t xml:space="preserve"> </w:t>
      </w:r>
      <w:r w:rsidRPr="008C2CD6">
        <w:rPr>
          <w:rFonts w:ascii="Century" w:hAnsi="Century" w:cs="Miriam" w:hint="cs"/>
          <w:b/>
          <w:spacing w:val="0"/>
          <w:sz w:val="22"/>
          <w:szCs w:val="24"/>
          <w:rtl/>
        </w:rPr>
        <w:t>גרוס</w:t>
      </w:r>
      <w:r>
        <w:rPr>
          <w:rFonts w:hint="cs"/>
          <w:rtl/>
        </w:rPr>
        <w:t xml:space="preserve">, עמ' 905; תמיר </w:t>
      </w:r>
      <w:r>
        <w:rPr>
          <w:rFonts w:hint="cs"/>
          <w:rtl/>
        </w:rPr>
        <w:lastRenderedPageBreak/>
        <w:t xml:space="preserve">שאנן ורועי כהן "מיסוי רכישה עצמית של מניות בידי תאגיד" </w:t>
      </w:r>
      <w:r w:rsidRPr="008C2CD6">
        <w:rPr>
          <w:rFonts w:ascii="Century" w:hAnsi="Century" w:cs="Miriam" w:hint="cs"/>
          <w:b/>
          <w:spacing w:val="0"/>
          <w:sz w:val="22"/>
          <w:szCs w:val="24"/>
          <w:rtl/>
        </w:rPr>
        <w:t>הפרקליט</w:t>
      </w:r>
      <w:r>
        <w:rPr>
          <w:rFonts w:hint="cs"/>
          <w:rtl/>
        </w:rPr>
        <w:t xml:space="preserve"> </w:t>
      </w:r>
      <w:proofErr w:type="spellStart"/>
      <w:r>
        <w:rPr>
          <w:rFonts w:hint="cs"/>
          <w:rtl/>
        </w:rPr>
        <w:t>נג</w:t>
      </w:r>
      <w:proofErr w:type="spellEnd"/>
      <w:r>
        <w:rPr>
          <w:rFonts w:hint="cs"/>
          <w:rtl/>
        </w:rPr>
        <w:t xml:space="preserve">(2)453, 460-459 (תשע"ה) (להלן: </w:t>
      </w:r>
      <w:r w:rsidRPr="008C2CD6">
        <w:rPr>
          <w:rFonts w:ascii="Century" w:hAnsi="Century" w:cs="Miriam" w:hint="cs"/>
          <w:b/>
          <w:spacing w:val="0"/>
          <w:sz w:val="22"/>
          <w:szCs w:val="24"/>
          <w:rtl/>
        </w:rPr>
        <w:t>שאנן וכהן</w:t>
      </w:r>
      <w:r w:rsidRPr="008C2CD6">
        <w:rPr>
          <w:rFonts w:ascii="Century" w:hAnsi="Century" w:hint="cs"/>
          <w:sz w:val="22"/>
          <w:rtl/>
        </w:rPr>
        <w:t xml:space="preserve">); </w:t>
      </w:r>
      <w:proofErr w:type="spellStart"/>
      <w:r w:rsidRPr="001E3980">
        <w:rPr>
          <w:rFonts w:asciiTheme="majorBidi" w:hAnsiTheme="majorBidi" w:cstheme="majorBidi"/>
          <w:i/>
          <w:iCs/>
          <w:szCs w:val="24"/>
        </w:rPr>
        <w:t>Uncoal</w:t>
      </w:r>
      <w:proofErr w:type="spellEnd"/>
      <w:r w:rsidRPr="001E3980">
        <w:rPr>
          <w:rFonts w:asciiTheme="majorBidi" w:hAnsiTheme="majorBidi" w:cstheme="majorBidi"/>
          <w:i/>
          <w:iCs/>
          <w:szCs w:val="24"/>
        </w:rPr>
        <w:t xml:space="preserve"> Corp. v. Mesa Petroleum Co.</w:t>
      </w:r>
      <w:r w:rsidRPr="001E3980">
        <w:rPr>
          <w:rFonts w:asciiTheme="majorBidi" w:hAnsiTheme="majorBidi" w:cstheme="majorBidi"/>
          <w:szCs w:val="24"/>
        </w:rPr>
        <w:t>, 493 A.2d 946 (Del. 1985)</w:t>
      </w:r>
      <w:r w:rsidRPr="001E3980">
        <w:rPr>
          <w:rFonts w:hint="cs"/>
          <w:szCs w:val="24"/>
          <w:rtl/>
        </w:rPr>
        <w:t xml:space="preserve">; </w:t>
      </w:r>
      <w:r w:rsidRPr="001E3980">
        <w:rPr>
          <w:rFonts w:asciiTheme="majorBidi" w:hAnsiTheme="majorBidi" w:cstheme="majorBidi"/>
          <w:szCs w:val="24"/>
        </w:rPr>
        <w:t xml:space="preserve">Marvin A. </w:t>
      </w:r>
      <w:proofErr w:type="spellStart"/>
      <w:r w:rsidRPr="001E3980">
        <w:rPr>
          <w:rFonts w:asciiTheme="majorBidi" w:hAnsiTheme="majorBidi" w:cstheme="majorBidi"/>
          <w:szCs w:val="24"/>
        </w:rPr>
        <w:t>Chirelstein</w:t>
      </w:r>
      <w:proofErr w:type="spellEnd"/>
      <w:r w:rsidRPr="001E3980">
        <w:rPr>
          <w:rFonts w:asciiTheme="majorBidi" w:hAnsiTheme="majorBidi" w:cstheme="majorBidi"/>
          <w:szCs w:val="24"/>
        </w:rPr>
        <w:t xml:space="preserve">, </w:t>
      </w:r>
      <w:r w:rsidRPr="001E3980">
        <w:rPr>
          <w:rFonts w:asciiTheme="majorBidi" w:hAnsiTheme="majorBidi" w:cstheme="majorBidi"/>
          <w:i/>
          <w:iCs/>
          <w:szCs w:val="24"/>
        </w:rPr>
        <w:t>Optional Redemptions and Optional Dividends: Taxing the Repurchase of Common Shares</w:t>
      </w:r>
      <w:r w:rsidRPr="001E3980">
        <w:rPr>
          <w:rFonts w:asciiTheme="majorBidi" w:hAnsiTheme="majorBidi" w:cstheme="majorBidi"/>
          <w:szCs w:val="24"/>
        </w:rPr>
        <w:t xml:space="preserve">, 78 </w:t>
      </w:r>
      <w:r w:rsidRPr="001E3980">
        <w:rPr>
          <w:rFonts w:asciiTheme="majorBidi" w:hAnsiTheme="majorBidi" w:cstheme="majorBidi"/>
          <w:smallCaps/>
          <w:szCs w:val="24"/>
        </w:rPr>
        <w:t>Yale L.J.</w:t>
      </w:r>
      <w:r w:rsidRPr="001E3980">
        <w:rPr>
          <w:rFonts w:asciiTheme="majorBidi" w:hAnsiTheme="majorBidi" w:cstheme="majorBidi"/>
          <w:szCs w:val="24"/>
        </w:rPr>
        <w:t xml:space="preserve"> 739 (1969)</w:t>
      </w:r>
      <w:r w:rsidRPr="001E3980">
        <w:rPr>
          <w:rFonts w:ascii="Century" w:hAnsi="Century" w:hint="cs"/>
          <w:szCs w:val="24"/>
          <w:rtl/>
        </w:rPr>
        <w:t xml:space="preserve"> </w:t>
      </w:r>
      <w:r w:rsidRPr="00D965BB">
        <w:rPr>
          <w:rFonts w:ascii="Century" w:hAnsi="Century" w:hint="cs"/>
          <w:sz w:val="22"/>
          <w:rtl/>
        </w:rPr>
        <w:t>(להלן:</w:t>
      </w:r>
      <w:r w:rsidRPr="00D965BB">
        <w:rPr>
          <w:rFonts w:ascii="Century" w:hAnsi="Century" w:hint="cs"/>
          <w:szCs w:val="24"/>
          <w:rtl/>
        </w:rPr>
        <w:t xml:space="preserve"> </w:t>
      </w:r>
      <w:proofErr w:type="spellStart"/>
      <w:r w:rsidRPr="001E3980">
        <w:rPr>
          <w:rFonts w:asciiTheme="majorBidi" w:hAnsiTheme="majorBidi" w:cstheme="majorBidi"/>
          <w:i/>
          <w:iCs/>
          <w:szCs w:val="24"/>
        </w:rPr>
        <w:t>Chirelstein</w:t>
      </w:r>
      <w:proofErr w:type="spellEnd"/>
      <w:r w:rsidRPr="00D965BB">
        <w:rPr>
          <w:rFonts w:ascii="Century" w:hAnsi="Century" w:hint="cs"/>
          <w:sz w:val="22"/>
          <w:rtl/>
        </w:rPr>
        <w:t>)</w:t>
      </w:r>
      <w:r w:rsidRPr="001E3980">
        <w:rPr>
          <w:rFonts w:ascii="Century" w:hAnsi="Century" w:hint="cs"/>
          <w:szCs w:val="24"/>
          <w:rtl/>
        </w:rPr>
        <w:t xml:space="preserve">; </w:t>
      </w:r>
      <w:r w:rsidRPr="001E3980">
        <w:rPr>
          <w:rFonts w:asciiTheme="majorBidi" w:hAnsiTheme="majorBidi" w:cstheme="majorBidi"/>
          <w:szCs w:val="24"/>
        </w:rPr>
        <w:t xml:space="preserve">Daniel J. </w:t>
      </w:r>
      <w:proofErr w:type="spellStart"/>
      <w:r w:rsidRPr="001E3980">
        <w:rPr>
          <w:rFonts w:asciiTheme="majorBidi" w:hAnsiTheme="majorBidi" w:cstheme="majorBidi"/>
          <w:szCs w:val="24"/>
        </w:rPr>
        <w:t>Hemel</w:t>
      </w:r>
      <w:proofErr w:type="spellEnd"/>
      <w:r w:rsidRPr="001E3980">
        <w:rPr>
          <w:rFonts w:asciiTheme="majorBidi" w:hAnsiTheme="majorBidi" w:cstheme="majorBidi"/>
          <w:szCs w:val="24"/>
        </w:rPr>
        <w:t xml:space="preserve"> &amp; Gregg D. </w:t>
      </w:r>
      <w:proofErr w:type="spellStart"/>
      <w:r w:rsidRPr="001E3980">
        <w:rPr>
          <w:rFonts w:asciiTheme="majorBidi" w:hAnsiTheme="majorBidi" w:cstheme="majorBidi"/>
          <w:szCs w:val="24"/>
        </w:rPr>
        <w:t>Polsky</w:t>
      </w:r>
      <w:proofErr w:type="spellEnd"/>
      <w:r w:rsidRPr="001E3980">
        <w:rPr>
          <w:rFonts w:asciiTheme="majorBidi" w:hAnsiTheme="majorBidi" w:cstheme="majorBidi"/>
          <w:szCs w:val="24"/>
        </w:rPr>
        <w:t xml:space="preserve">, </w:t>
      </w:r>
      <w:r w:rsidRPr="001E3980">
        <w:rPr>
          <w:rFonts w:asciiTheme="majorBidi" w:hAnsiTheme="majorBidi" w:cstheme="majorBidi"/>
          <w:i/>
          <w:iCs/>
          <w:szCs w:val="24"/>
        </w:rPr>
        <w:t>Taxing Buybacks</w:t>
      </w:r>
      <w:r w:rsidRPr="001E3980">
        <w:rPr>
          <w:rFonts w:asciiTheme="majorBidi" w:hAnsiTheme="majorBidi" w:cstheme="majorBidi"/>
          <w:szCs w:val="24"/>
        </w:rPr>
        <w:t xml:space="preserve">, 38 </w:t>
      </w:r>
      <w:r w:rsidRPr="001E3980">
        <w:rPr>
          <w:rFonts w:asciiTheme="majorBidi" w:hAnsiTheme="majorBidi" w:cstheme="majorBidi"/>
          <w:smallCaps/>
          <w:szCs w:val="24"/>
        </w:rPr>
        <w:t>Yale J. on Regulation</w:t>
      </w:r>
      <w:r w:rsidRPr="001E3980">
        <w:rPr>
          <w:rFonts w:asciiTheme="majorBidi" w:hAnsiTheme="majorBidi" w:cstheme="majorBidi"/>
          <w:szCs w:val="24"/>
        </w:rPr>
        <w:t xml:space="preserve"> 246, 254-257 (2021)</w:t>
      </w:r>
      <w:r w:rsidRPr="001E3980">
        <w:rPr>
          <w:rFonts w:ascii="Century" w:hAnsi="Century" w:hint="cs"/>
          <w:szCs w:val="24"/>
          <w:rtl/>
        </w:rPr>
        <w:t>)).</w:t>
      </w:r>
      <w:r w:rsidRPr="001E3980">
        <w:rPr>
          <w:rFonts w:hint="cs"/>
          <w:rtl/>
        </w:rPr>
        <w:t xml:space="preserve"> </w:t>
      </w:r>
    </w:p>
    <w:p w:rsidR="00F05533" w:rsidRDefault="00F05533" w:rsidP="00F05533">
      <w:pPr>
        <w:pStyle w:val="Ruller4"/>
        <w:numPr>
          <w:ilvl w:val="0"/>
          <w:numId w:val="0"/>
        </w:numPr>
      </w:pPr>
    </w:p>
    <w:p w:rsidR="00F05533" w:rsidRDefault="00F05533" w:rsidP="00F05533">
      <w:pPr>
        <w:pStyle w:val="Ruller4"/>
        <w:rPr>
          <w:rtl/>
        </w:rPr>
      </w:pPr>
      <w:r>
        <w:rPr>
          <w:rFonts w:hint="cs"/>
          <w:rtl/>
        </w:rPr>
        <w:t xml:space="preserve">רכישה עצמית יכולה להתבצע בשני אופנים: </w:t>
      </w:r>
    </w:p>
    <w:p w:rsidR="00F05533" w:rsidRPr="00934B15" w:rsidRDefault="00F05533" w:rsidP="00F05533">
      <w:pPr>
        <w:pStyle w:val="Ruller41"/>
      </w:pPr>
    </w:p>
    <w:p w:rsidR="00F05533" w:rsidRDefault="00F05533" w:rsidP="00F05533">
      <w:pPr>
        <w:pStyle w:val="Ruller4"/>
        <w:numPr>
          <w:ilvl w:val="1"/>
          <w:numId w:val="11"/>
        </w:numPr>
        <w:rPr>
          <w:rtl/>
        </w:rPr>
      </w:pPr>
      <w:r w:rsidRPr="00EA3D78">
        <w:rPr>
          <w:rFonts w:ascii="Century" w:hAnsi="Century" w:cs="Miriam" w:hint="cs"/>
          <w:b/>
          <w:spacing w:val="0"/>
          <w:sz w:val="22"/>
          <w:szCs w:val="24"/>
          <w:rtl/>
        </w:rPr>
        <w:t xml:space="preserve">רכישה עצמית </w:t>
      </w:r>
      <w:r>
        <w:rPr>
          <w:rFonts w:ascii="Century" w:hAnsi="Century" w:cs="Miriam" w:hint="cs"/>
          <w:b/>
          <w:spacing w:val="0"/>
          <w:sz w:val="22"/>
          <w:szCs w:val="24"/>
          <w:rtl/>
        </w:rPr>
        <w:t>פרופורציונלית</w:t>
      </w:r>
      <w:r>
        <w:rPr>
          <w:rFonts w:hint="cs"/>
          <w:rtl/>
        </w:rPr>
        <w:t xml:space="preserve">: רכישה מכלל בעלי המניות בחברה בהתאם </w:t>
      </w:r>
      <w:proofErr w:type="spellStart"/>
      <w:r>
        <w:rPr>
          <w:rFonts w:hint="cs"/>
          <w:rtl/>
        </w:rPr>
        <w:t>להחזקותיהם</w:t>
      </w:r>
      <w:proofErr w:type="spellEnd"/>
      <w:r>
        <w:rPr>
          <w:rFonts w:hint="cs"/>
          <w:rtl/>
        </w:rPr>
        <w:t xml:space="preserve"> היחסיות (</w:t>
      </w:r>
      <w:r w:rsidRPr="00843CB8">
        <w:rPr>
          <w:rFonts w:asciiTheme="majorBidi" w:hAnsiTheme="majorBidi" w:cstheme="majorBidi"/>
        </w:rPr>
        <w:t>pro rata</w:t>
      </w:r>
      <w:r>
        <w:rPr>
          <w:rFonts w:hint="cs"/>
          <w:rtl/>
        </w:rPr>
        <w:t xml:space="preserve">) ; או </w:t>
      </w:r>
      <w:r>
        <w:rPr>
          <w:rtl/>
        </w:rPr>
        <w:t>–</w:t>
      </w:r>
      <w:r>
        <w:rPr>
          <w:rFonts w:hint="cs"/>
          <w:rtl/>
        </w:rPr>
        <w:t xml:space="preserve"> </w:t>
      </w:r>
    </w:p>
    <w:p w:rsidR="00F05533" w:rsidRPr="00DE063F" w:rsidRDefault="00F05533" w:rsidP="00F05533">
      <w:pPr>
        <w:pStyle w:val="Ruller41"/>
        <w:rPr>
          <w:rtl/>
        </w:rPr>
      </w:pPr>
    </w:p>
    <w:p w:rsidR="00F05533" w:rsidRDefault="00F05533" w:rsidP="00F05533">
      <w:pPr>
        <w:pStyle w:val="Ruller4"/>
        <w:numPr>
          <w:ilvl w:val="1"/>
          <w:numId w:val="11"/>
        </w:numPr>
        <w:rPr>
          <w:rtl/>
        </w:rPr>
      </w:pPr>
      <w:r w:rsidRPr="00EA3D78">
        <w:rPr>
          <w:rFonts w:ascii="Century" w:hAnsi="Century" w:cs="Miriam" w:hint="cs"/>
          <w:b/>
          <w:spacing w:val="0"/>
          <w:sz w:val="22"/>
          <w:szCs w:val="24"/>
          <w:rtl/>
        </w:rPr>
        <w:t xml:space="preserve">רכישה עצמית </w:t>
      </w:r>
      <w:r>
        <w:rPr>
          <w:rFonts w:ascii="Century" w:hAnsi="Century" w:cs="Miriam" w:hint="cs"/>
          <w:b/>
          <w:spacing w:val="0"/>
          <w:sz w:val="22"/>
          <w:szCs w:val="24"/>
          <w:rtl/>
        </w:rPr>
        <w:t>דיספרופורציונית</w:t>
      </w:r>
      <w:r>
        <w:rPr>
          <w:rFonts w:hint="cs"/>
          <w:rtl/>
        </w:rPr>
        <w:t xml:space="preserve">: רכישה שלא מכלל בעלי המניות בחברה או רכישה מכלל בעלי המניות שלא לפי חלקם היחסי </w:t>
      </w:r>
      <w:proofErr w:type="spellStart"/>
      <w:r>
        <w:rPr>
          <w:rFonts w:hint="cs"/>
          <w:rtl/>
        </w:rPr>
        <w:t>בהחזקות</w:t>
      </w:r>
      <w:proofErr w:type="spellEnd"/>
      <w:r>
        <w:rPr>
          <w:rFonts w:hint="cs"/>
          <w:rtl/>
        </w:rPr>
        <w:t xml:space="preserve">. דוגמת קצה לרכישה עצמית דיספרופורציונית מסופקת על ידי הרכישות נושא דיוננו: במסגרתה של כל אחת מהרכישות הללו, רכשה החברה את כל מניותיו של אחד מבעלי מניותיה </w:t>
      </w:r>
      <w:r>
        <w:rPr>
          <w:rtl/>
        </w:rPr>
        <w:t>–</w:t>
      </w:r>
      <w:r>
        <w:rPr>
          <w:rFonts w:hint="cs"/>
          <w:rtl/>
        </w:rPr>
        <w:t xml:space="preserve"> המוֹכר שאותו כיניתי, ואמשיך לכנות, בשם </w:t>
      </w:r>
      <w:r w:rsidRPr="00330FCA">
        <w:rPr>
          <w:rFonts w:ascii="Century" w:hAnsi="Century" w:cs="Miriam" w:hint="cs"/>
          <w:b/>
          <w:spacing w:val="0"/>
          <w:sz w:val="22"/>
          <w:szCs w:val="24"/>
          <w:rtl/>
        </w:rPr>
        <w:t>בעל המניות ה</w:t>
      </w:r>
      <w:r>
        <w:rPr>
          <w:rFonts w:ascii="Century" w:hAnsi="Century" w:cs="Miriam" w:hint="cs"/>
          <w:b/>
          <w:spacing w:val="0"/>
          <w:sz w:val="22"/>
          <w:szCs w:val="24"/>
          <w:rtl/>
        </w:rPr>
        <w:t>פורש</w:t>
      </w:r>
      <w:r>
        <w:rPr>
          <w:rFonts w:hint="cs"/>
          <w:rtl/>
        </w:rPr>
        <w:t xml:space="preserve"> </w:t>
      </w:r>
      <w:r>
        <w:rPr>
          <w:rtl/>
        </w:rPr>
        <w:t>–</w:t>
      </w:r>
      <w:r>
        <w:rPr>
          <w:rFonts w:hint="cs"/>
          <w:rtl/>
        </w:rPr>
        <w:t xml:space="preserve"> מבלי לרכוש ולו מניה אחת מיתר בעלי המניות בחברה, שאותם כבר זיהיתי, ואמשיך לזהות, כ</w:t>
      </w:r>
      <w:r w:rsidRPr="00330FCA">
        <w:rPr>
          <w:rFonts w:ascii="Century" w:hAnsi="Century" w:cs="Miriam" w:hint="cs"/>
          <w:b/>
          <w:spacing w:val="0"/>
          <w:sz w:val="22"/>
          <w:szCs w:val="24"/>
          <w:rtl/>
        </w:rPr>
        <w:t>בעלי המניות הנותרים</w:t>
      </w:r>
      <w:r>
        <w:rPr>
          <w:rFonts w:hint="cs"/>
          <w:rtl/>
        </w:rPr>
        <w:t xml:space="preserve">. </w:t>
      </w:r>
    </w:p>
    <w:p w:rsidR="00F05533" w:rsidRPr="00FB0A3B" w:rsidRDefault="00F05533" w:rsidP="00F05533">
      <w:pPr>
        <w:pStyle w:val="Ruller41"/>
      </w:pPr>
    </w:p>
    <w:p w:rsidR="00F05533" w:rsidRDefault="00F05533" w:rsidP="00F05533">
      <w:pPr>
        <w:pStyle w:val="Ruller4"/>
      </w:pPr>
      <w:r>
        <w:rPr>
          <w:rFonts w:hint="cs"/>
          <w:rtl/>
        </w:rPr>
        <w:t xml:space="preserve">השלכותיה התאגידיות של רכישה עצמית פרופורציונלית אינן משמעותיות במיוחד. רכישה כאמור מעבירה כסף מקופתה של החברה לכיסם של בעלי המניות באופן יחסי </w:t>
      </w:r>
      <w:proofErr w:type="spellStart"/>
      <w:r>
        <w:rPr>
          <w:rFonts w:hint="cs"/>
          <w:rtl/>
        </w:rPr>
        <w:t>להחזקותיהם</w:t>
      </w:r>
      <w:proofErr w:type="spellEnd"/>
      <w:r>
        <w:rPr>
          <w:rFonts w:hint="cs"/>
          <w:rtl/>
        </w:rPr>
        <w:t xml:space="preserve">, ועל כן היא אינה מביאה להתעשרותם או לשינוי ביחסי הכוחות בחברה, בהשוואה למצב שקדם לרכישה (ראו, למשל: </w:t>
      </w:r>
      <w:r w:rsidRPr="00621C0D">
        <w:rPr>
          <w:rFonts w:ascii="Century" w:hAnsi="Century" w:cs="Miriam" w:hint="cs"/>
          <w:b/>
          <w:spacing w:val="0"/>
          <w:sz w:val="22"/>
          <w:szCs w:val="24"/>
          <w:rtl/>
        </w:rPr>
        <w:t>שאנן וכהן</w:t>
      </w:r>
      <w:r>
        <w:rPr>
          <w:rFonts w:hint="cs"/>
          <w:rtl/>
        </w:rPr>
        <w:t xml:space="preserve">, עמ' 463). במקרה הרגיל, יזכו בעלי המניות לקבל בעד מניותיהם תמורה בדמותו של נכס חלופי </w:t>
      </w:r>
      <w:r>
        <w:rPr>
          <w:rtl/>
        </w:rPr>
        <w:t>–</w:t>
      </w:r>
      <w:r>
        <w:rPr>
          <w:rFonts w:hint="cs"/>
          <w:rtl/>
        </w:rPr>
        <w:t xml:space="preserve"> כסף מזומן </w:t>
      </w:r>
      <w:r>
        <w:rPr>
          <w:rtl/>
        </w:rPr>
        <w:t>–</w:t>
      </w:r>
      <w:r>
        <w:rPr>
          <w:rFonts w:hint="cs"/>
          <w:rtl/>
        </w:rPr>
        <w:t xml:space="preserve"> כאשר ערכה הכולל של יתרת המניות המוחזקות בידיו, או בידיה, של כל אחד ואחת מהם יורד בהתאמה </w:t>
      </w:r>
      <w:r w:rsidRPr="007B5627">
        <w:rPr>
          <w:rFonts w:hint="cs"/>
          <w:rtl/>
        </w:rPr>
        <w:t>(ראו: דוד</w:t>
      </w:r>
      <w:r>
        <w:rPr>
          <w:rFonts w:hint="cs"/>
          <w:rtl/>
        </w:rPr>
        <w:t xml:space="preserve"> </w:t>
      </w:r>
      <w:proofErr w:type="spellStart"/>
      <w:r>
        <w:rPr>
          <w:rFonts w:hint="cs"/>
          <w:rtl/>
        </w:rPr>
        <w:t>אלקינס</w:t>
      </w:r>
      <w:proofErr w:type="spellEnd"/>
      <w:r>
        <w:rPr>
          <w:rFonts w:hint="cs"/>
          <w:rtl/>
        </w:rPr>
        <w:t xml:space="preserve"> </w:t>
      </w:r>
      <w:r w:rsidRPr="00621C0D">
        <w:rPr>
          <w:rFonts w:ascii="Century" w:hAnsi="Century" w:cs="Miriam" w:hint="cs"/>
          <w:b/>
          <w:spacing w:val="0"/>
          <w:sz w:val="22"/>
          <w:szCs w:val="24"/>
          <w:rtl/>
        </w:rPr>
        <w:t xml:space="preserve">מיסוי חברות ובעלי מניותיהן </w:t>
      </w:r>
      <w:r w:rsidRPr="00621C0D">
        <w:rPr>
          <w:rFonts w:ascii="Century" w:hAnsi="Century" w:hint="cs"/>
          <w:sz w:val="22"/>
          <w:rtl/>
        </w:rPr>
        <w:t>א</w:t>
      </w:r>
      <w:r>
        <w:rPr>
          <w:rFonts w:hint="cs"/>
          <w:rtl/>
        </w:rPr>
        <w:t xml:space="preserve"> 207 (2003) (להלן: </w:t>
      </w:r>
      <w:proofErr w:type="spellStart"/>
      <w:r w:rsidRPr="00621C0D">
        <w:rPr>
          <w:rFonts w:ascii="Century" w:hAnsi="Century" w:cs="Miriam" w:hint="cs"/>
          <w:b/>
          <w:spacing w:val="0"/>
          <w:sz w:val="22"/>
          <w:szCs w:val="24"/>
          <w:rtl/>
        </w:rPr>
        <w:t>אלקינס</w:t>
      </w:r>
      <w:proofErr w:type="spellEnd"/>
      <w:r>
        <w:rPr>
          <w:rFonts w:hint="cs"/>
          <w:rtl/>
        </w:rPr>
        <w:t xml:space="preserve">); </w:t>
      </w:r>
      <w:r w:rsidRPr="00983764">
        <w:rPr>
          <w:rFonts w:ascii="Century" w:hAnsi="Century" w:cs="Miriam" w:hint="cs"/>
          <w:b/>
          <w:spacing w:val="0"/>
          <w:sz w:val="22"/>
          <w:szCs w:val="24"/>
          <w:rtl/>
        </w:rPr>
        <w:t>שאנן וכהן</w:t>
      </w:r>
      <w:r>
        <w:rPr>
          <w:rFonts w:hint="cs"/>
          <w:rtl/>
        </w:rPr>
        <w:t xml:space="preserve">, עמ' 464-463). רכישה פרופורציונלית תשמר גם את יחסי הכוחות בין בעלי המניות בחברה </w:t>
      </w:r>
      <w:r>
        <w:rPr>
          <w:rtl/>
        </w:rPr>
        <w:t>–</w:t>
      </w:r>
      <w:r>
        <w:rPr>
          <w:rFonts w:hint="cs"/>
          <w:rtl/>
        </w:rPr>
        <w:t xml:space="preserve"> שכן הירידה הכמותית במספר המניות המוחזקות בידי בעלי המניות בחברה מבוצעת באופן שתואם לחלוטין את יחסי הכוחות אשר שררו בחברה עובר לרכישה. </w:t>
      </w:r>
    </w:p>
    <w:p w:rsidR="00F05533" w:rsidRDefault="00F05533" w:rsidP="00F05533">
      <w:pPr>
        <w:pStyle w:val="Ruller4"/>
        <w:numPr>
          <w:ilvl w:val="0"/>
          <w:numId w:val="0"/>
        </w:numPr>
      </w:pPr>
    </w:p>
    <w:p w:rsidR="00F05533" w:rsidRDefault="00F05533" w:rsidP="00F05533">
      <w:pPr>
        <w:pStyle w:val="Ruller4"/>
      </w:pPr>
      <w:r>
        <w:rPr>
          <w:rFonts w:hint="cs"/>
          <w:rtl/>
        </w:rPr>
        <w:lastRenderedPageBreak/>
        <w:t xml:space="preserve">מנגד, רכישה עצמית דיספרופורציונית מחוללת שינוי מהותי במבנה </w:t>
      </w:r>
      <w:proofErr w:type="spellStart"/>
      <w:r>
        <w:rPr>
          <w:rFonts w:hint="cs"/>
          <w:rtl/>
        </w:rPr>
        <w:t>ההחזקות</w:t>
      </w:r>
      <w:proofErr w:type="spellEnd"/>
      <w:r>
        <w:rPr>
          <w:rFonts w:hint="cs"/>
          <w:rtl/>
        </w:rPr>
        <w:t xml:space="preserve"> בחברה </w:t>
      </w:r>
      <w:r>
        <w:rPr>
          <w:rtl/>
        </w:rPr>
        <w:t>–</w:t>
      </w:r>
      <w:r>
        <w:rPr>
          <w:rFonts w:hint="cs"/>
          <w:rtl/>
        </w:rPr>
        <w:t xml:space="preserve"> זאת, מאחר שרק חלק מבעלי המניות מוכרים את מניותיהם לחברה </w:t>
      </w:r>
      <w:r>
        <w:rPr>
          <w:rtl/>
        </w:rPr>
        <w:t>–</w:t>
      </w:r>
      <w:r>
        <w:rPr>
          <w:rFonts w:hint="cs"/>
          <w:rtl/>
        </w:rPr>
        <w:t xml:space="preserve"> מכירה שהופכת את מניותיהם למורדמות או למבוטלות </w:t>
      </w:r>
      <w:r>
        <w:rPr>
          <w:rtl/>
        </w:rPr>
        <w:t>–</w:t>
      </w:r>
      <w:r>
        <w:rPr>
          <w:rFonts w:hint="cs"/>
          <w:rtl/>
        </w:rPr>
        <w:t xml:space="preserve"> בשעה שיתר בעלי המניות ממשיכים להחזיק במניות אשר היו בידיהם עובר לרכישה. במצב דברים זה, חלקם של בעלי המניות הנותרים בחברה עולה בהשוואה לחלק שהיה בידם לפני הרכישה העצמית שביצעה החברה (ראו: </w:t>
      </w:r>
      <w:proofErr w:type="spellStart"/>
      <w:r w:rsidRPr="001E3980">
        <w:rPr>
          <w:rFonts w:asciiTheme="majorBidi" w:hAnsiTheme="majorBidi" w:cstheme="majorBidi"/>
          <w:szCs w:val="32"/>
        </w:rPr>
        <w:t>Chirelstein</w:t>
      </w:r>
      <w:proofErr w:type="spellEnd"/>
      <w:r w:rsidRPr="00E53941">
        <w:rPr>
          <w:rFonts w:ascii="Century" w:hAnsi="Century" w:hint="cs"/>
          <w:sz w:val="22"/>
          <w:rtl/>
        </w:rPr>
        <w:t>, עמ' 743-742</w:t>
      </w:r>
      <w:r>
        <w:rPr>
          <w:rFonts w:hint="cs"/>
          <w:rtl/>
        </w:rPr>
        <w:t xml:space="preserve">). תוצאה זו, על פניה, נראית כהתעשרות שגוררת אחריה חיוב במס: לכאורה, מדובר בחלוקת דיבידנד לבעלי המניות הנותרים בחברה, ודיבידנד הינו בגדר הכנסה החייבת במס (ראו: סעיף 4(2) לפקודת מס הכנסה). ראוי הוא אפוא שנעמיק חֶקֶר ונבדוק אם אכן מדובר בהתעשרות העולה כדי אירוע מס, ואם לאו. </w:t>
      </w:r>
    </w:p>
    <w:p w:rsidR="00F05533" w:rsidRDefault="00F05533" w:rsidP="00F05533">
      <w:pPr>
        <w:pStyle w:val="Ruller4"/>
        <w:numPr>
          <w:ilvl w:val="0"/>
          <w:numId w:val="0"/>
        </w:numPr>
        <w:rPr>
          <w:rtl/>
        </w:rPr>
      </w:pPr>
    </w:p>
    <w:p w:rsidR="00F05533" w:rsidRDefault="00F05533" w:rsidP="00F05533">
      <w:pPr>
        <w:pStyle w:val="Ruller4"/>
        <w:numPr>
          <w:ilvl w:val="0"/>
          <w:numId w:val="0"/>
        </w:numPr>
      </w:pPr>
      <w:r>
        <w:rPr>
          <w:rtl/>
        </w:rPr>
        <w:tab/>
      </w:r>
      <w:r>
        <w:rPr>
          <w:rFonts w:hint="cs"/>
          <w:rtl/>
        </w:rPr>
        <w:t>בעניין זה אעסוק כעת.</w:t>
      </w:r>
    </w:p>
    <w:p w:rsidR="00F05533" w:rsidRDefault="00F05533" w:rsidP="00F05533">
      <w:pPr>
        <w:pStyle w:val="Ruller4"/>
        <w:numPr>
          <w:ilvl w:val="0"/>
          <w:numId w:val="0"/>
        </w:numPr>
        <w:rPr>
          <w:rtl/>
        </w:rPr>
      </w:pPr>
      <w:r>
        <w:rPr>
          <w:rFonts w:hint="cs"/>
          <w:rtl/>
        </w:rPr>
        <w:t xml:space="preserve"> </w:t>
      </w:r>
    </w:p>
    <w:p w:rsidR="00F05533" w:rsidRPr="00CC4666" w:rsidRDefault="00F05533" w:rsidP="00F05533">
      <w:pPr>
        <w:pStyle w:val="Ruller41"/>
        <w:rPr>
          <w:rFonts w:ascii="Century" w:hAnsi="Century" w:cs="Miriam"/>
          <w:b/>
          <w:spacing w:val="0"/>
          <w:szCs w:val="24"/>
          <w:rtl/>
        </w:rPr>
      </w:pPr>
      <w:r w:rsidRPr="00CC4666">
        <w:rPr>
          <w:rFonts w:ascii="Century" w:hAnsi="Century" w:cs="Miriam" w:hint="cs"/>
          <w:b/>
          <w:spacing w:val="0"/>
          <w:szCs w:val="24"/>
          <w:rtl/>
        </w:rPr>
        <w:t>מיסוי רכישה עצמית</w:t>
      </w:r>
    </w:p>
    <w:p w:rsidR="00F05533" w:rsidRPr="00CC4666" w:rsidRDefault="00F05533" w:rsidP="00F05533">
      <w:pPr>
        <w:pStyle w:val="Ruller41"/>
      </w:pPr>
    </w:p>
    <w:p w:rsidR="00F05533" w:rsidRDefault="00F05533" w:rsidP="00F05533">
      <w:pPr>
        <w:pStyle w:val="Ruller4"/>
        <w:rPr>
          <w:rtl/>
        </w:rPr>
      </w:pPr>
      <w:r>
        <w:rPr>
          <w:rFonts w:hint="cs"/>
          <w:rtl/>
        </w:rPr>
        <w:t xml:space="preserve">בהיבט המיסוי, יכולה רכישה עצמית דיספרופורציונית להשפיע על שלושה גורמים. גורמים אלו כוללים: (1) את בעלי המניות הפורשים, אשר מוכרים את מניותיהם לחברה; (2) את החברה עצמה; וכן (3) את בעלי המניות הנותרים, אשר נמנעו מלמכור את מניותיהם לחברה. במקרי קצה כדוגמת אלו שהובאו לפתחנו במסגרת הערעורים דכאן, בעלי המניות הפורשים מוכרים לחברה את כל </w:t>
      </w:r>
      <w:proofErr w:type="spellStart"/>
      <w:r>
        <w:rPr>
          <w:rFonts w:hint="cs"/>
          <w:rtl/>
        </w:rPr>
        <w:t>החזקותיהם</w:t>
      </w:r>
      <w:proofErr w:type="spellEnd"/>
      <w:r>
        <w:rPr>
          <w:rFonts w:hint="cs"/>
          <w:rtl/>
        </w:rPr>
        <w:t xml:space="preserve"> ופורשים מהחברה לחלוטין מבלי שתישאר אצלם כל זכאות לעודפים, כאשר יתר בעלי המניות נמנעים ממכירת מניותיהם כליל. במצב דברים זה, בעלי המניות הפורשים שמוכרים את מניותיהם ברווח ריאלי יהיו חייבים במס רווחי הון. באשר לבעלי המניות הנותרים, מצבם בהיבט המיסוי יהא תלוי בסיווגה של עסקת הרכישה העצמית ובפרט במענה לשאלה האם הגדלת חלקם של בעלי המניות הנותרים בחברה כמוה כהכנסה.</w:t>
      </w:r>
    </w:p>
    <w:p w:rsidR="00F05533" w:rsidRPr="003316B8" w:rsidRDefault="00F05533" w:rsidP="00F05533">
      <w:pPr>
        <w:pStyle w:val="Ruller41"/>
      </w:pPr>
    </w:p>
    <w:p w:rsidR="00F05533" w:rsidRDefault="00F05533" w:rsidP="00F05533">
      <w:pPr>
        <w:pStyle w:val="Ruller4"/>
      </w:pPr>
      <w:r>
        <w:rPr>
          <w:rFonts w:hint="cs"/>
          <w:rtl/>
        </w:rPr>
        <w:t xml:space="preserve">פקודת מס הכנסה אינה מספקת מענה ישיר לשאלה זו. </w:t>
      </w:r>
    </w:p>
    <w:p w:rsidR="00F05533" w:rsidRDefault="00F05533" w:rsidP="00F05533">
      <w:pPr>
        <w:pStyle w:val="Ruller4"/>
        <w:numPr>
          <w:ilvl w:val="0"/>
          <w:numId w:val="0"/>
        </w:numPr>
      </w:pPr>
    </w:p>
    <w:p w:rsidR="00F05533" w:rsidRDefault="00F05533" w:rsidP="00F05533">
      <w:pPr>
        <w:pStyle w:val="Ruller4"/>
        <w:rPr>
          <w:rtl/>
        </w:rPr>
      </w:pPr>
      <w:r>
        <w:rPr>
          <w:rFonts w:hint="cs"/>
          <w:rtl/>
        </w:rPr>
        <w:t>שתיקת הפקודה, לצד פסקי הדין אשר ניתנו בנושא על ידי בתי המשפט המחוזיים, הובילו את רשות המיסים להוציא מספר חוזרי מס בעניינה של רכישה עצמית; ואלה הם:</w:t>
      </w:r>
    </w:p>
    <w:p w:rsidR="00F05533" w:rsidRPr="00CB00B7" w:rsidRDefault="00F05533" w:rsidP="00F05533">
      <w:pPr>
        <w:pStyle w:val="Ruller41"/>
        <w:rPr>
          <w:rtl/>
        </w:rPr>
      </w:pPr>
    </w:p>
    <w:p w:rsidR="00F05533" w:rsidRDefault="00F05533" w:rsidP="00F05533">
      <w:pPr>
        <w:pStyle w:val="Ruller41"/>
        <w:numPr>
          <w:ilvl w:val="0"/>
          <w:numId w:val="16"/>
        </w:numPr>
      </w:pPr>
      <w:r>
        <w:rPr>
          <w:rFonts w:hint="cs"/>
          <w:rtl/>
        </w:rPr>
        <w:lastRenderedPageBreak/>
        <w:t xml:space="preserve">חוזר מס הכנסה 10/2001 "השפעת חוק החברות החדש על דיני המס" (26.12.2001) (להלן: </w:t>
      </w:r>
      <w:r w:rsidRPr="006440F1">
        <w:rPr>
          <w:rFonts w:ascii="Century" w:hAnsi="Century" w:cs="Miriam" w:hint="cs"/>
          <w:b/>
          <w:spacing w:val="0"/>
          <w:szCs w:val="24"/>
          <w:rtl/>
        </w:rPr>
        <w:t xml:space="preserve">חוזר </w:t>
      </w:r>
      <w:r>
        <w:rPr>
          <w:rFonts w:ascii="Century" w:hAnsi="Century" w:cs="Miriam" w:hint="cs"/>
          <w:b/>
          <w:spacing w:val="0"/>
          <w:szCs w:val="24"/>
          <w:rtl/>
        </w:rPr>
        <w:t>ה</w:t>
      </w:r>
      <w:r w:rsidRPr="006440F1">
        <w:rPr>
          <w:rFonts w:ascii="Century" w:hAnsi="Century" w:cs="Miriam" w:hint="cs"/>
          <w:b/>
          <w:spacing w:val="0"/>
          <w:szCs w:val="24"/>
          <w:rtl/>
        </w:rPr>
        <w:t>מס 10/2001</w:t>
      </w:r>
      <w:r>
        <w:rPr>
          <w:rFonts w:hint="cs"/>
          <w:rtl/>
        </w:rPr>
        <w:t xml:space="preserve">). חוזר זה נסוב על סיווגה של רכישה עצמית </w:t>
      </w:r>
      <w:r w:rsidRPr="00983764">
        <w:rPr>
          <w:rFonts w:ascii="Century" w:hAnsi="Century" w:cs="Miriam" w:hint="cs"/>
          <w:b/>
          <w:spacing w:val="0"/>
          <w:szCs w:val="24"/>
          <w:rtl/>
        </w:rPr>
        <w:t>ביחס ל</w:t>
      </w:r>
      <w:r w:rsidRPr="00AB6456">
        <w:rPr>
          <w:rFonts w:ascii="Century" w:hAnsi="Century" w:cs="Miriam" w:hint="cs"/>
          <w:b/>
          <w:spacing w:val="0"/>
          <w:szCs w:val="24"/>
          <w:rtl/>
        </w:rPr>
        <w:t>בעלי המניות שמכרו את מניותיהם</w:t>
      </w:r>
      <w:r>
        <w:rPr>
          <w:rFonts w:hint="cs"/>
          <w:rtl/>
        </w:rPr>
        <w:t xml:space="preserve"> וכן </w:t>
      </w:r>
      <w:r w:rsidRPr="00983764">
        <w:rPr>
          <w:rFonts w:ascii="Century" w:hAnsi="Century" w:cs="Miriam" w:hint="cs"/>
          <w:b/>
          <w:spacing w:val="0"/>
          <w:szCs w:val="24"/>
          <w:rtl/>
        </w:rPr>
        <w:t>ביחס ל</w:t>
      </w:r>
      <w:r w:rsidRPr="004C2F92">
        <w:rPr>
          <w:rFonts w:ascii="Century" w:hAnsi="Century" w:cs="Miriam" w:hint="cs"/>
          <w:b/>
          <w:spacing w:val="0"/>
          <w:szCs w:val="24"/>
          <w:rtl/>
        </w:rPr>
        <w:t>חברה הרוכשת</w:t>
      </w:r>
      <w:r>
        <w:rPr>
          <w:rFonts w:hint="cs"/>
          <w:rtl/>
        </w:rPr>
        <w:t xml:space="preserve">. השלכות המס על שני גורמים אלו אינן מעניינם של הערעורים הנידונים כאן לפנינו. חרף זאת, אציין בקיצור נמרץ כי </w:t>
      </w:r>
      <w:r w:rsidRPr="006440F1">
        <w:rPr>
          <w:rFonts w:ascii="Century" w:hAnsi="Century" w:cs="Miriam" w:hint="cs"/>
          <w:b/>
          <w:spacing w:val="0"/>
          <w:szCs w:val="24"/>
          <w:rtl/>
        </w:rPr>
        <w:t xml:space="preserve">חוזר </w:t>
      </w:r>
      <w:r>
        <w:rPr>
          <w:rFonts w:ascii="Century" w:hAnsi="Century" w:cs="Miriam" w:hint="cs"/>
          <w:b/>
          <w:spacing w:val="0"/>
          <w:szCs w:val="24"/>
          <w:rtl/>
        </w:rPr>
        <w:t>ה</w:t>
      </w:r>
      <w:r w:rsidRPr="006440F1">
        <w:rPr>
          <w:rFonts w:ascii="Century" w:hAnsi="Century" w:cs="Miriam" w:hint="cs"/>
          <w:b/>
          <w:spacing w:val="0"/>
          <w:szCs w:val="24"/>
          <w:rtl/>
        </w:rPr>
        <w:t>מס 10/2001</w:t>
      </w:r>
      <w:r>
        <w:rPr>
          <w:rFonts w:hint="cs"/>
          <w:rtl/>
        </w:rPr>
        <w:t xml:space="preserve"> קבע כי כל תמורה המתקבלת אצל בעל מניות אשר מכר את מניותיו במסגרת רכישה עצמית תסווג כדיבידנד או כרווח הון </w:t>
      </w:r>
      <w:r>
        <w:rPr>
          <w:rtl/>
        </w:rPr>
        <w:t>–</w:t>
      </w:r>
      <w:r>
        <w:rPr>
          <w:rFonts w:hint="cs"/>
          <w:rtl/>
        </w:rPr>
        <w:t xml:space="preserve"> בהתאם לאופייה של חלוקת הרווח שבוצעה. החוזר קובע כי על-פי רוב תסווג תמורה כאמור כמכירת מניות החייבת במס רווחי הון, כל אימת שהיא מותירה רווח ריאלי בידי המוכר, אולם במקרים בהם בוצעה הרכישה העצמית מכלל בעלי המניות באופן יחסי (</w:t>
      </w:r>
      <w:r w:rsidRPr="00FE1F57">
        <w:rPr>
          <w:rFonts w:asciiTheme="majorBidi" w:hAnsiTheme="majorBidi" w:cstheme="majorBidi"/>
          <w:sz w:val="24"/>
          <w:szCs w:val="32"/>
        </w:rPr>
        <w:t>pro rata</w:t>
      </w:r>
      <w:r>
        <w:rPr>
          <w:rFonts w:hint="cs"/>
          <w:rtl/>
        </w:rPr>
        <w:t xml:space="preserve">) תסווג היא כדיבידנד. בשולי הדברים מציין החוזר כי ראוי לשקול את סיווג העסקה כחלוקת דיבידנד גם במקרים בהם רוכשת החברה את מניותיו של בעל השליטה באופן שאינו מביא לשינוי מהותי בהיקף </w:t>
      </w:r>
      <w:proofErr w:type="spellStart"/>
      <w:r>
        <w:rPr>
          <w:rFonts w:hint="cs"/>
          <w:rtl/>
        </w:rPr>
        <w:t>החזקותיו</w:t>
      </w:r>
      <w:proofErr w:type="spellEnd"/>
      <w:r>
        <w:rPr>
          <w:rFonts w:hint="cs"/>
          <w:rtl/>
        </w:rPr>
        <w:t xml:space="preserve">. ביחס להשלכות המס שרכישה עצמית מטילה על </w:t>
      </w:r>
      <w:r w:rsidRPr="00FE1F57">
        <w:rPr>
          <w:rFonts w:ascii="Century" w:hAnsi="Century" w:cs="Miriam" w:hint="cs"/>
          <w:b/>
          <w:spacing w:val="0"/>
          <w:szCs w:val="24"/>
          <w:rtl/>
        </w:rPr>
        <w:t>החברה הרוכשת</w:t>
      </w:r>
      <w:r>
        <w:rPr>
          <w:rFonts w:hint="cs"/>
          <w:rtl/>
        </w:rPr>
        <w:t xml:space="preserve"> קבע החוזר כי רכישת המניות בידי החברה אינה מהווה אירוע מס </w:t>
      </w:r>
      <w:r>
        <w:rPr>
          <w:rtl/>
        </w:rPr>
        <w:t>–</w:t>
      </w:r>
      <w:r>
        <w:rPr>
          <w:rFonts w:hint="cs"/>
          <w:rtl/>
        </w:rPr>
        <w:t xml:space="preserve"> ככל שאין מדובר באיגוד מקרקעין. </w:t>
      </w:r>
    </w:p>
    <w:p w:rsidR="00F05533" w:rsidRDefault="00F05533" w:rsidP="00F05533">
      <w:pPr>
        <w:pStyle w:val="Ruller41"/>
        <w:ind w:left="720"/>
      </w:pPr>
    </w:p>
    <w:p w:rsidR="00F05533" w:rsidRDefault="00F05533" w:rsidP="00F05533">
      <w:pPr>
        <w:pStyle w:val="Ruller41"/>
        <w:numPr>
          <w:ilvl w:val="0"/>
          <w:numId w:val="16"/>
        </w:numPr>
        <w:rPr>
          <w:rtl/>
        </w:rPr>
      </w:pPr>
      <w:r w:rsidRPr="003B7CFF">
        <w:rPr>
          <w:rFonts w:ascii="Century" w:hAnsi="Century" w:cs="Miriam" w:hint="cs"/>
          <w:b/>
          <w:spacing w:val="0"/>
          <w:szCs w:val="24"/>
          <w:rtl/>
        </w:rPr>
        <w:t>חוזר המס 2/2018</w:t>
      </w:r>
      <w:r>
        <w:rPr>
          <w:rFonts w:hint="cs"/>
          <w:rtl/>
        </w:rPr>
        <w:t xml:space="preserve">. חוזר זה עוסק בהיבטי המיסוי של חלוקה המסווגת כרכישה, כאשר הוא מחליף, בכל הקשור לכך, את האמור בחוזר המס </w:t>
      </w:r>
      <w:r w:rsidRPr="00FE1F57">
        <w:rPr>
          <w:rFonts w:ascii="Century" w:hAnsi="Century" w:cs="Miriam" w:hint="cs"/>
          <w:b/>
          <w:spacing w:val="0"/>
          <w:szCs w:val="24"/>
          <w:rtl/>
        </w:rPr>
        <w:t xml:space="preserve">10/2001 </w:t>
      </w:r>
      <w:r>
        <w:rPr>
          <w:rFonts w:hint="cs"/>
          <w:rtl/>
        </w:rPr>
        <w:t xml:space="preserve">הנזכר לעיל. </w:t>
      </w:r>
      <w:r w:rsidRPr="003B7CFF">
        <w:rPr>
          <w:rFonts w:ascii="Century" w:hAnsi="Century" w:cs="Miriam" w:hint="cs"/>
          <w:b/>
          <w:spacing w:val="0"/>
          <w:szCs w:val="24"/>
          <w:rtl/>
        </w:rPr>
        <w:t>חוזר המס 2/2018</w:t>
      </w:r>
      <w:r>
        <w:rPr>
          <w:rFonts w:hint="cs"/>
          <w:rtl/>
        </w:rPr>
        <w:t xml:space="preserve"> מבהיר כי מטרתו היא הסדרת מלוא היבטי המס של רכישה עצמית </w:t>
      </w:r>
      <w:r>
        <w:rPr>
          <w:rtl/>
        </w:rPr>
        <w:t>–</w:t>
      </w:r>
      <w:r>
        <w:rPr>
          <w:rFonts w:hint="cs"/>
          <w:rtl/>
        </w:rPr>
        <w:t xml:space="preserve"> זאת, בין אם מדובר ברכישה עצמית פרופורציונלית ובין אם לאו. במסגרת זו, קובע החוזר כי ככלל ביצועה של רכישה עצמית פרופורציונלית תוביל לסיווג התמורה כדיבידנד. באשר לרכישה עצמית דיספרופורציונית </w:t>
      </w:r>
      <w:r>
        <w:rPr>
          <w:rtl/>
        </w:rPr>
        <w:t>–</w:t>
      </w:r>
      <w:r>
        <w:rPr>
          <w:rFonts w:hint="cs"/>
          <w:rtl/>
        </w:rPr>
        <w:t xml:space="preserve"> לפי האמור בחוזר, רכישה כאמור תסווג כעסקה</w:t>
      </w:r>
      <w:r w:rsidRPr="003B7CFF">
        <w:rPr>
          <w:rFonts w:ascii="Century" w:hAnsi="Century" w:cs="Miriam" w:hint="cs"/>
          <w:b/>
          <w:spacing w:val="0"/>
          <w:szCs w:val="24"/>
          <w:rtl/>
        </w:rPr>
        <w:t xml:space="preserve"> דו-שלבית</w:t>
      </w:r>
      <w:r>
        <w:rPr>
          <w:rFonts w:hint="cs"/>
          <w:rtl/>
        </w:rPr>
        <w:t xml:space="preserve"> בהתאם לאחת הגישות הבאות:</w:t>
      </w:r>
    </w:p>
    <w:p w:rsidR="00F05533" w:rsidRDefault="00F05533" w:rsidP="00F05533">
      <w:pPr>
        <w:pStyle w:val="Ruller41"/>
        <w:ind w:left="720"/>
        <w:rPr>
          <w:rtl/>
        </w:rPr>
      </w:pPr>
    </w:p>
    <w:p w:rsidR="00F05533" w:rsidRDefault="00F05533" w:rsidP="00F05533">
      <w:pPr>
        <w:pStyle w:val="Ruller41"/>
        <w:numPr>
          <w:ilvl w:val="0"/>
          <w:numId w:val="17"/>
        </w:numPr>
      </w:pPr>
      <w:r w:rsidRPr="00C96E40">
        <w:rPr>
          <w:rFonts w:ascii="Century" w:hAnsi="Century" w:cs="Miriam" w:hint="cs"/>
          <w:b/>
          <w:spacing w:val="0"/>
          <w:szCs w:val="24"/>
          <w:rtl/>
        </w:rPr>
        <w:t>הגישה הראשונה</w:t>
      </w:r>
      <w:r w:rsidRPr="00041E5E">
        <w:rPr>
          <w:rFonts w:ascii="Century" w:hAnsi="Century"/>
          <w:rtl/>
        </w:rPr>
        <w:t>.</w:t>
      </w:r>
      <w:r>
        <w:rPr>
          <w:rFonts w:hint="cs"/>
          <w:rtl/>
        </w:rPr>
        <w:t xml:space="preserve"> לפי גישה זו, רכישה עצמית היא בגדר עסקה דו-שלבית אשר כוללת </w:t>
      </w:r>
      <w:r>
        <w:rPr>
          <w:rtl/>
        </w:rPr>
        <w:t>–</w:t>
      </w:r>
      <w:r>
        <w:rPr>
          <w:rFonts w:hint="cs"/>
          <w:rtl/>
        </w:rPr>
        <w:t xml:space="preserve"> בשלב הראשון: חלוקת דיבידנד לכלל בעלי המניות בחברה, בסכום כולל הזהה לתמורת הרכישה העצמית; ובשלב השני: רכישת מניותיו של בעל המניות המוכר </w:t>
      </w:r>
      <w:r>
        <w:rPr>
          <w:rtl/>
        </w:rPr>
        <w:t>–</w:t>
      </w:r>
      <w:r>
        <w:rPr>
          <w:rFonts w:hint="cs"/>
          <w:rtl/>
        </w:rPr>
        <w:t xml:space="preserve"> מעבר לכמות שהחברה רכשה מכלל בעלי מניותיה </w:t>
      </w:r>
      <w:r>
        <w:rPr>
          <w:rtl/>
        </w:rPr>
        <w:t>–</w:t>
      </w:r>
      <w:r>
        <w:rPr>
          <w:rFonts w:hint="cs"/>
          <w:rtl/>
        </w:rPr>
        <w:t xml:space="preserve"> על ידי בעלי המניות הנותרים, כאשר אלה עושים שימוש בכספי הדיבידנד (ברוטו) שקיבלו לידיהם בשלב הראשון.</w:t>
      </w:r>
    </w:p>
    <w:p w:rsidR="00F05533" w:rsidRDefault="00F05533" w:rsidP="00F05533">
      <w:pPr>
        <w:pStyle w:val="Ruller41"/>
        <w:ind w:left="1080"/>
      </w:pPr>
    </w:p>
    <w:p w:rsidR="00F05533" w:rsidRDefault="00F05533" w:rsidP="00F05533">
      <w:pPr>
        <w:pStyle w:val="Ruller41"/>
        <w:numPr>
          <w:ilvl w:val="0"/>
          <w:numId w:val="17"/>
        </w:numPr>
      </w:pPr>
      <w:r w:rsidRPr="00A61FC1">
        <w:rPr>
          <w:rFonts w:ascii="Century" w:hAnsi="Century" w:cs="Miriam" w:hint="cs"/>
          <w:b/>
          <w:spacing w:val="0"/>
          <w:szCs w:val="24"/>
          <w:rtl/>
        </w:rPr>
        <w:lastRenderedPageBreak/>
        <w:t>הגישה השנייה</w:t>
      </w:r>
      <w:r>
        <w:rPr>
          <w:rFonts w:hint="cs"/>
          <w:rtl/>
        </w:rPr>
        <w:t xml:space="preserve">. לחלופין, מציעה רשות המיסים לראות ברכישה עצמית עסקה דו-שלבית אשר כוללת </w:t>
      </w:r>
      <w:r>
        <w:rPr>
          <w:rtl/>
        </w:rPr>
        <w:t>–</w:t>
      </w:r>
      <w:r>
        <w:rPr>
          <w:rFonts w:hint="cs"/>
          <w:rtl/>
        </w:rPr>
        <w:t xml:space="preserve"> בשלב הראשון: רכישת מניותיו של בעל המניות המוכר תמורת סכום המשולם על ידי בעלי המניות הנותרים בהתאם לחלקם היחסי בחברה; ובשלב השני: העברת המניות שנרכשו כאמור לידי החברה בתמורה לתשלום סכום הרכישה לבעלי המניות הנותרים בהתאם לחלקם היחסי בחברה. מהלך זה כולל רכישה עצמית פרופורציונלית של מניות מידיהם של בעלי המניות הנותרים </w:t>
      </w:r>
      <w:r>
        <w:rPr>
          <w:rtl/>
        </w:rPr>
        <w:t>–</w:t>
      </w:r>
      <w:r>
        <w:rPr>
          <w:rFonts w:hint="cs"/>
          <w:rtl/>
        </w:rPr>
        <w:t xml:space="preserve"> שאותה יש למסות כדיבידנד. </w:t>
      </w:r>
    </w:p>
    <w:p w:rsidR="00F05533" w:rsidRDefault="00F05533" w:rsidP="00F05533">
      <w:pPr>
        <w:pStyle w:val="Ruller41"/>
        <w:rPr>
          <w:rtl/>
        </w:rPr>
      </w:pPr>
      <w:r>
        <w:rPr>
          <w:rtl/>
        </w:rPr>
        <w:tab/>
      </w:r>
    </w:p>
    <w:p w:rsidR="00F05533" w:rsidRDefault="00F05533" w:rsidP="00F05533">
      <w:pPr>
        <w:pStyle w:val="Ruller4"/>
        <w:rPr>
          <w:rtl/>
        </w:rPr>
      </w:pPr>
      <w:r>
        <w:rPr>
          <w:rFonts w:hint="cs"/>
          <w:rtl/>
        </w:rPr>
        <w:t xml:space="preserve">רשות המיסים מסבירה את עמדתה באופן הבא: </w:t>
      </w:r>
    </w:p>
    <w:p w:rsidR="00F05533" w:rsidRDefault="00F05533" w:rsidP="00F05533">
      <w:pPr>
        <w:pStyle w:val="Ruller41"/>
        <w:ind w:left="720"/>
        <w:rPr>
          <w:rtl/>
        </w:rPr>
      </w:pPr>
    </w:p>
    <w:p w:rsidR="00F05533" w:rsidRDefault="00F05533" w:rsidP="00F05533">
      <w:pPr>
        <w:pStyle w:val="Ruller5"/>
        <w:rPr>
          <w:rtl/>
        </w:rPr>
      </w:pPr>
      <w:r>
        <w:rPr>
          <w:rFonts w:hint="cs"/>
          <w:rtl/>
        </w:rPr>
        <w:t>"במקרים בהם נעשתה רכישה שאינה פרו-</w:t>
      </w:r>
      <w:proofErr w:type="spellStart"/>
      <w:r>
        <w:rPr>
          <w:rFonts w:hint="cs"/>
          <w:rtl/>
        </w:rPr>
        <w:t>רטה</w:t>
      </w:r>
      <w:proofErr w:type="spellEnd"/>
      <w:r>
        <w:rPr>
          <w:rFonts w:hint="cs"/>
          <w:rtl/>
        </w:rPr>
        <w:t xml:space="preserve">, כך שחלק מבעלי המניות מוכרים את מניותיהם בתמורה למזומן או נכס אחר [...] וחלק אחר אינו מוכר כלל (או מוכר מניות אך בשיעור אחר) [...] חל שינוי בשיעורי ההחזקה בחברה כך ששיעור ההחזקה בזכויות החברה בידי בעלי המניות המוכרים פוחת (וזאת באמצעות יציאת נכס מרשותם), ומנגד שיעור ההחזקה של בעלי המניות הנותרים עולה, וזאת על אף שהם לא רכשו מניות בפועל (הרי החברה היא זו שרכשה את המניות מבעלי המניות המוכרים). מאחר והמניות הנרכשות הופכות למניות רדומות (שלולות זכויות) בידי החברה הרוכשת, שיעור ההחזקה האפקטיבי שלהם </w:t>
      </w:r>
      <w:r>
        <w:rPr>
          <w:rFonts w:ascii="Century" w:hAnsi="Century" w:hint="cs"/>
          <w:rtl/>
        </w:rPr>
        <w:t xml:space="preserve">עולה. </w:t>
      </w:r>
      <w:r w:rsidRPr="00486C33">
        <w:rPr>
          <w:rFonts w:ascii="Century" w:hAnsi="Century" w:hint="cs"/>
          <w:rtl/>
        </w:rPr>
        <w:t>למעשה בעלי המניות הנותרים עושים שימוש ברווחי החברה על מנת לרכוש את מניות בעלי המניות המוכרים ובכך להעלות את שיעור החזקתם בחברה"</w:t>
      </w:r>
      <w:r w:rsidRPr="00486C33">
        <w:rPr>
          <w:rFonts w:hint="cs"/>
          <w:rtl/>
        </w:rPr>
        <w:t xml:space="preserve"> </w:t>
      </w:r>
      <w:r>
        <w:rPr>
          <w:rFonts w:hint="cs"/>
          <w:rtl/>
        </w:rPr>
        <w:t xml:space="preserve">(ראו: </w:t>
      </w:r>
      <w:r w:rsidRPr="003B7CFF">
        <w:rPr>
          <w:rFonts w:ascii="Century" w:hAnsi="Century" w:cs="Miriam" w:hint="cs"/>
          <w:b/>
          <w:spacing w:val="0"/>
          <w:szCs w:val="24"/>
          <w:rtl/>
        </w:rPr>
        <w:t>חוזר המס 2/2018</w:t>
      </w:r>
      <w:r>
        <w:rPr>
          <w:rFonts w:hint="cs"/>
          <w:rtl/>
        </w:rPr>
        <w:t>, עמ' 4).</w:t>
      </w:r>
    </w:p>
    <w:p w:rsidR="00F05533" w:rsidRDefault="00F05533" w:rsidP="00F05533">
      <w:pPr>
        <w:pStyle w:val="Ruller41"/>
        <w:ind w:left="720"/>
        <w:rPr>
          <w:rtl/>
        </w:rPr>
      </w:pPr>
    </w:p>
    <w:p w:rsidR="00F05533" w:rsidRDefault="00F05533" w:rsidP="00F05533">
      <w:pPr>
        <w:pStyle w:val="Ruller41"/>
        <w:ind w:left="720"/>
        <w:rPr>
          <w:rtl/>
        </w:rPr>
      </w:pPr>
      <w:r>
        <w:rPr>
          <w:rFonts w:hint="cs"/>
          <w:rtl/>
        </w:rPr>
        <w:t xml:space="preserve">באשר לבחירה בין שתי הגישות המוצעות </w:t>
      </w:r>
      <w:r>
        <w:rPr>
          <w:rtl/>
        </w:rPr>
        <w:t>–</w:t>
      </w:r>
      <w:r>
        <w:rPr>
          <w:rFonts w:hint="cs"/>
          <w:rtl/>
        </w:rPr>
        <w:t xml:space="preserve"> מציין החוזר, ללא הנמקה, כי יש להעדיף את הגישה השנייה כאשר עסקינן במצב בו בעל מניות מוכר את כלל מניותיו בחברה ואינו עוד בעל עניין בה; וכאשר בעל המניות המוכר מוכר רק חלק ממניותיו </w:t>
      </w:r>
      <w:r>
        <w:rPr>
          <w:rtl/>
        </w:rPr>
        <w:t>–</w:t>
      </w:r>
      <w:r>
        <w:rPr>
          <w:rFonts w:hint="cs"/>
          <w:rtl/>
        </w:rPr>
        <w:t xml:space="preserve"> כך שלאחר המכירה הוא עודנו מחזיק במניות החברה </w:t>
      </w:r>
      <w:r>
        <w:rPr>
          <w:rtl/>
        </w:rPr>
        <w:t>–</w:t>
      </w:r>
      <w:r>
        <w:rPr>
          <w:rFonts w:hint="cs"/>
          <w:rtl/>
        </w:rPr>
        <w:t xml:space="preserve"> מן הראוי ללכת לפי הגישה הראשונה. </w:t>
      </w:r>
    </w:p>
    <w:p w:rsidR="00F05533" w:rsidRDefault="00F05533" w:rsidP="00F05533">
      <w:pPr>
        <w:pStyle w:val="Ruller41"/>
        <w:ind w:left="720"/>
        <w:rPr>
          <w:rtl/>
        </w:rPr>
      </w:pPr>
    </w:p>
    <w:p w:rsidR="00F05533" w:rsidRPr="00434E53" w:rsidRDefault="00F05533" w:rsidP="00F05533">
      <w:pPr>
        <w:pStyle w:val="Ruller41"/>
        <w:ind w:left="720"/>
      </w:pPr>
      <w:r>
        <w:rPr>
          <w:rFonts w:hint="cs"/>
          <w:rtl/>
        </w:rPr>
        <w:t xml:space="preserve">בשולי הדברים, מציין החוזר כי כאשר מדובר בחברה ציבורית הרוכשת את מניותיה שלה בבורסה לניירות ערך בשיעור שאינו מהותי </w:t>
      </w:r>
      <w:r>
        <w:rPr>
          <w:rtl/>
        </w:rPr>
        <w:t>–</w:t>
      </w:r>
      <w:r>
        <w:rPr>
          <w:rFonts w:hint="cs"/>
          <w:rtl/>
        </w:rPr>
        <w:t xml:space="preserve"> כל אימת שהדבר נעשה מפעם לפעם, בהתאם להחלטת החברה, האמור לעיל לא יחול. במקרה כזה, תוצאת המס תהא רווח או הפסד הון אשר נשאר בידי המוכר ממכירת נייר ערך </w:t>
      </w:r>
      <w:r>
        <w:rPr>
          <w:rtl/>
        </w:rPr>
        <w:t>–</w:t>
      </w:r>
      <w:r>
        <w:rPr>
          <w:rFonts w:hint="cs"/>
          <w:rtl/>
        </w:rPr>
        <w:t xml:space="preserve"> ככל שמדובר בנישום שמכירה כאמור מסווגת אצלו במישור ההוני, ובהתאם לתקנות מס הכנסה (ניכוי מתמורה, מתשלום או מרווח הון במכירת נייר ערך, במכירת יחידה בקרן נאמנות או בעסקה עתידית), התשס"ג-2002. </w:t>
      </w:r>
    </w:p>
    <w:p w:rsidR="00F05533" w:rsidRDefault="00F05533" w:rsidP="00F05533">
      <w:pPr>
        <w:pStyle w:val="Ruller4"/>
        <w:numPr>
          <w:ilvl w:val="0"/>
          <w:numId w:val="0"/>
        </w:numPr>
      </w:pPr>
    </w:p>
    <w:p w:rsidR="00F05533" w:rsidRDefault="00F05533" w:rsidP="00F05533">
      <w:pPr>
        <w:pStyle w:val="Ruller4"/>
        <w:rPr>
          <w:rtl/>
        </w:rPr>
      </w:pPr>
      <w:r>
        <w:rPr>
          <w:rFonts w:hint="cs"/>
          <w:rtl/>
        </w:rPr>
        <w:t>עמדות הרשות המובאות ב</w:t>
      </w:r>
      <w:r w:rsidRPr="003B7CFF">
        <w:rPr>
          <w:rFonts w:ascii="Century" w:hAnsi="Century" w:cs="Miriam" w:hint="cs"/>
          <w:b/>
          <w:spacing w:val="0"/>
          <w:szCs w:val="24"/>
          <w:rtl/>
        </w:rPr>
        <w:t>חוזר המס 2/2018</w:t>
      </w:r>
      <w:r>
        <w:rPr>
          <w:rFonts w:hint="cs"/>
          <w:rtl/>
        </w:rPr>
        <w:t xml:space="preserve"> מבוססות, בין היתר, על האמור בפסקי הדין אשר ניתנו על ידי בית המשפט המחוזי תל אביב-יפו (השופט </w:t>
      </w:r>
      <w:r w:rsidRPr="00230824">
        <w:rPr>
          <w:rFonts w:ascii="Century" w:hAnsi="Century" w:cs="Miriam" w:hint="cs"/>
          <w:b/>
          <w:spacing w:val="0"/>
          <w:sz w:val="22"/>
          <w:szCs w:val="24"/>
          <w:rtl/>
        </w:rPr>
        <w:t xml:space="preserve">מ' </w:t>
      </w:r>
      <w:proofErr w:type="spellStart"/>
      <w:r w:rsidRPr="00230824">
        <w:rPr>
          <w:rFonts w:ascii="Century" w:hAnsi="Century" w:cs="Miriam" w:hint="cs"/>
          <w:b/>
          <w:spacing w:val="0"/>
          <w:sz w:val="22"/>
          <w:szCs w:val="24"/>
          <w:rtl/>
        </w:rPr>
        <w:t>אלטוביה</w:t>
      </w:r>
      <w:proofErr w:type="spellEnd"/>
      <w:r>
        <w:rPr>
          <w:rFonts w:hint="cs"/>
          <w:rtl/>
        </w:rPr>
        <w:t xml:space="preserve">) </w:t>
      </w:r>
      <w:r>
        <w:rPr>
          <w:rFonts w:ascii="Century" w:hAnsi="Century" w:hint="cs"/>
          <w:rtl/>
        </w:rPr>
        <w:t>ב</w:t>
      </w:r>
      <w:r w:rsidRPr="00074FF7">
        <w:rPr>
          <w:rFonts w:ascii="Century" w:hAnsi="Century" w:hint="cs"/>
          <w:rtl/>
        </w:rPr>
        <w:t xml:space="preserve">עניין </w:t>
      </w:r>
      <w:proofErr w:type="spellStart"/>
      <w:r w:rsidRPr="00074FF7">
        <w:rPr>
          <w:rFonts w:ascii="Century" w:hAnsi="Century" w:cs="Miriam" w:hint="cs"/>
          <w:b/>
          <w:spacing w:val="0"/>
          <w:sz w:val="22"/>
          <w:szCs w:val="24"/>
          <w:rtl/>
        </w:rPr>
        <w:t>ברנובסקי</w:t>
      </w:r>
      <w:proofErr w:type="spellEnd"/>
      <w:r w:rsidRPr="00074FF7">
        <w:rPr>
          <w:rFonts w:ascii="Century" w:hAnsi="Century" w:hint="cs"/>
          <w:rtl/>
        </w:rPr>
        <w:t xml:space="preserve"> ו</w:t>
      </w:r>
      <w:r>
        <w:rPr>
          <w:rFonts w:ascii="Century" w:hAnsi="Century" w:hint="cs"/>
          <w:rtl/>
        </w:rPr>
        <w:t>ב</w:t>
      </w:r>
      <w:r w:rsidRPr="00074FF7">
        <w:rPr>
          <w:rFonts w:ascii="Century" w:hAnsi="Century" w:hint="cs"/>
          <w:rtl/>
        </w:rPr>
        <w:t xml:space="preserve">עניין </w:t>
      </w:r>
      <w:r w:rsidRPr="00074FF7">
        <w:rPr>
          <w:rFonts w:ascii="Century" w:hAnsi="Century" w:cs="Miriam" w:hint="cs"/>
          <w:b/>
          <w:spacing w:val="0"/>
          <w:sz w:val="22"/>
          <w:szCs w:val="24"/>
          <w:rtl/>
        </w:rPr>
        <w:t>בר ניר</w:t>
      </w:r>
      <w:r>
        <w:rPr>
          <w:rFonts w:hint="cs"/>
          <w:rtl/>
        </w:rPr>
        <w:t xml:space="preserve">. </w:t>
      </w:r>
      <w:r w:rsidRPr="008251A8">
        <w:rPr>
          <w:rFonts w:ascii="Century" w:hAnsi="Century" w:cs="Miriam" w:hint="cs"/>
          <w:b/>
          <w:spacing w:val="0"/>
          <w:sz w:val="22"/>
          <w:szCs w:val="24"/>
          <w:rtl/>
        </w:rPr>
        <w:t>פסקי דין אלה נסובו על מיסויים של בעלי המניות הנותרים ב</w:t>
      </w:r>
      <w:r>
        <w:rPr>
          <w:rFonts w:ascii="Century" w:hAnsi="Century" w:cs="Miriam" w:hint="cs"/>
          <w:b/>
          <w:spacing w:val="0"/>
          <w:sz w:val="22"/>
          <w:szCs w:val="24"/>
          <w:rtl/>
        </w:rPr>
        <w:t xml:space="preserve">עקבות </w:t>
      </w:r>
      <w:r w:rsidRPr="008251A8">
        <w:rPr>
          <w:rFonts w:ascii="Century" w:hAnsi="Century" w:cs="Miriam" w:hint="cs"/>
          <w:b/>
          <w:spacing w:val="0"/>
          <w:sz w:val="22"/>
          <w:szCs w:val="24"/>
          <w:rtl/>
        </w:rPr>
        <w:t>עסקת רכישה עצמית דיספרופורציונית</w:t>
      </w:r>
      <w:r w:rsidRPr="009D5A31">
        <w:rPr>
          <w:rFonts w:ascii="Century" w:hAnsi="Century"/>
          <w:sz w:val="22"/>
          <w:rtl/>
        </w:rPr>
        <w:t>.</w:t>
      </w:r>
      <w:r w:rsidRPr="00A067F5">
        <w:rPr>
          <w:rFonts w:hint="cs"/>
          <w:rtl/>
        </w:rPr>
        <w:t xml:space="preserve"> </w:t>
      </w:r>
      <w:r>
        <w:rPr>
          <w:rFonts w:hint="cs"/>
          <w:rtl/>
        </w:rPr>
        <w:t xml:space="preserve">במסגרתם, נמנע בית המשפט המחוזי מקביעתו של כלל גורף וקבע קביעה פרטנית-עובדתית ביחס לכל אחד מהמקרים. בהתבסס על העובדות והנסיבות שהוכחו לפניו ביחס לכל אחד מהמקרים, קבע בית המשפט כי עסקאות הרכישה העצמית </w:t>
      </w:r>
      <w:proofErr w:type="spellStart"/>
      <w:r>
        <w:rPr>
          <w:rFonts w:hint="cs"/>
          <w:rtl/>
        </w:rPr>
        <w:t>דשם</w:t>
      </w:r>
      <w:proofErr w:type="spellEnd"/>
      <w:r>
        <w:rPr>
          <w:rFonts w:hint="cs"/>
          <w:rtl/>
        </w:rPr>
        <w:t xml:space="preserve"> נעדרות הצדקה מסחרית מבחינת החברה כחברה, וכי מטרתן </w:t>
      </w:r>
      <w:proofErr w:type="spellStart"/>
      <w:r>
        <w:rPr>
          <w:rFonts w:hint="cs"/>
          <w:rtl/>
        </w:rPr>
        <w:t>היתה</w:t>
      </w:r>
      <w:proofErr w:type="spellEnd"/>
      <w:r>
        <w:rPr>
          <w:rFonts w:hint="cs"/>
          <w:rtl/>
        </w:rPr>
        <w:t xml:space="preserve"> לקדם אינטרסים אישיים של בעלי המניות בחברה. בהתאם לכך, קבע בית המשפט כי יש לראות בכל אחת מהעסקאות הללו עסקה מלאכותית, כמשמעה בסעיף 86(א) לפקודת מס הכנסה; ועל כן יש לסווגהּ מחדש כתשלום דיבידנד לבעלי המניות הנותרים בחברה. להשלמת התמונה, אציין כי על פסק הדין בעניין </w:t>
      </w:r>
      <w:proofErr w:type="spellStart"/>
      <w:r w:rsidRPr="0069116E">
        <w:rPr>
          <w:rFonts w:ascii="Century" w:hAnsi="Century" w:cs="Miriam" w:hint="cs"/>
          <w:b/>
          <w:spacing w:val="0"/>
          <w:sz w:val="22"/>
          <w:szCs w:val="24"/>
          <w:rtl/>
        </w:rPr>
        <w:t>ברנובסקי</w:t>
      </w:r>
      <w:proofErr w:type="spellEnd"/>
      <w:r>
        <w:rPr>
          <w:rFonts w:hint="cs"/>
          <w:rtl/>
        </w:rPr>
        <w:t xml:space="preserve"> הוגש ערעור לבית משפט זה, אשר נמשך על ידי המערער בהתאם להמלצת בית המשפט (ראו: ע"א 3637/14 </w:t>
      </w:r>
      <w:proofErr w:type="spellStart"/>
      <w:r w:rsidRPr="0069116E">
        <w:rPr>
          <w:rFonts w:ascii="Century" w:hAnsi="Century" w:cs="Miriam" w:hint="cs"/>
          <w:b/>
          <w:spacing w:val="0"/>
          <w:sz w:val="22"/>
          <w:szCs w:val="24"/>
          <w:rtl/>
        </w:rPr>
        <w:t>ברנובסקי</w:t>
      </w:r>
      <w:proofErr w:type="spellEnd"/>
      <w:r w:rsidRPr="0069116E">
        <w:rPr>
          <w:rFonts w:ascii="Century" w:hAnsi="Century" w:cs="Miriam" w:hint="cs"/>
          <w:b/>
          <w:spacing w:val="0"/>
          <w:sz w:val="22"/>
          <w:szCs w:val="24"/>
          <w:rtl/>
        </w:rPr>
        <w:t xml:space="preserve"> נ' רשות המסים פקיד שומה גוש דן</w:t>
      </w:r>
      <w:r w:rsidRPr="001C5728">
        <w:rPr>
          <w:rFonts w:hint="cs"/>
          <w:rtl/>
        </w:rPr>
        <w:t xml:space="preserve"> </w:t>
      </w:r>
      <w:r>
        <w:rPr>
          <w:rFonts w:hint="cs"/>
          <w:rtl/>
        </w:rPr>
        <w:t>(14.12.2017)). בפסק הדין אשר דחה את הערעור נאמר כך:</w:t>
      </w:r>
    </w:p>
    <w:p w:rsidR="00F05533" w:rsidRPr="00150FE1" w:rsidRDefault="00F05533" w:rsidP="00F05533">
      <w:pPr>
        <w:pStyle w:val="Ruller41"/>
      </w:pPr>
    </w:p>
    <w:p w:rsidR="00F05533" w:rsidRDefault="00F05533" w:rsidP="00F05533">
      <w:pPr>
        <w:pStyle w:val="Ruller5"/>
        <w:rPr>
          <w:rFonts w:cs="Arial TUR"/>
          <w:szCs w:val="22"/>
          <w:rtl/>
        </w:rPr>
      </w:pPr>
      <w:r>
        <w:rPr>
          <w:rFonts w:hint="cs"/>
          <w:rtl/>
        </w:rPr>
        <w:t>"</w:t>
      </w:r>
      <w:r>
        <w:rPr>
          <w:rtl/>
        </w:rPr>
        <w:t>1.</w:t>
      </w:r>
      <w:r>
        <w:rPr>
          <w:rtl/>
        </w:rPr>
        <w:tab/>
        <w:t>בית המשפט הביע דעתו כי בנסיבות המקרה דנן יש לראות את המהות הכלכלית של העסקה כחלוקת דיבידנד.</w:t>
      </w:r>
    </w:p>
    <w:p w:rsidR="00F05533" w:rsidRDefault="00F05533" w:rsidP="00F05533">
      <w:pPr>
        <w:pStyle w:val="Ruller5"/>
        <w:rPr>
          <w:rFonts w:cs="Arial TUR"/>
          <w:szCs w:val="22"/>
        </w:rPr>
      </w:pPr>
    </w:p>
    <w:p w:rsidR="00F05533" w:rsidRDefault="00F05533" w:rsidP="00F05533">
      <w:pPr>
        <w:pStyle w:val="Ruller5"/>
        <w:rPr>
          <w:rFonts w:cs="Arial TUR"/>
          <w:szCs w:val="22"/>
          <w:rtl/>
        </w:rPr>
      </w:pPr>
      <w:r>
        <w:rPr>
          <w:rtl/>
        </w:rPr>
        <w:t>2.</w:t>
      </w:r>
      <w:r>
        <w:rPr>
          <w:rtl/>
        </w:rPr>
        <w:tab/>
        <w:t>לאור עמדה זו ובהמלצת בית המשפט, חזר בו המערער מערעורו והוא נדחה בזה ללא צו להוצאות</w:t>
      </w:r>
      <w:r>
        <w:rPr>
          <w:rFonts w:hint="cs"/>
          <w:rtl/>
        </w:rPr>
        <w:t>".</w:t>
      </w:r>
    </w:p>
    <w:p w:rsidR="00F05533" w:rsidRDefault="00F05533" w:rsidP="00F05533">
      <w:pPr>
        <w:pStyle w:val="Ruller4"/>
        <w:numPr>
          <w:ilvl w:val="0"/>
          <w:numId w:val="0"/>
        </w:numPr>
        <w:rPr>
          <w:rtl/>
        </w:rPr>
      </w:pPr>
      <w:r>
        <w:rPr>
          <w:rFonts w:hint="cs"/>
          <w:rtl/>
        </w:rPr>
        <w:t xml:space="preserve"> </w:t>
      </w:r>
    </w:p>
    <w:p w:rsidR="00F05533" w:rsidRDefault="00F05533" w:rsidP="00F05533">
      <w:pPr>
        <w:pStyle w:val="Ruller4"/>
        <w:rPr>
          <w:rtl/>
        </w:rPr>
      </w:pPr>
      <w:r>
        <w:rPr>
          <w:rFonts w:hint="cs"/>
          <w:rtl/>
        </w:rPr>
        <w:t xml:space="preserve">במסגרתם של פסקי הדין המחוזיים אשר נזכרים </w:t>
      </w:r>
      <w:r w:rsidRPr="005370F5">
        <w:rPr>
          <w:rFonts w:hint="cs"/>
          <w:rtl/>
        </w:rPr>
        <w:t xml:space="preserve">לעיל </w:t>
      </w:r>
      <w:r w:rsidRPr="00041E5E">
        <w:rPr>
          <w:rFonts w:hint="eastAsia"/>
          <w:rtl/>
        </w:rPr>
        <w:t>ובפסקי</w:t>
      </w:r>
      <w:r w:rsidRPr="00041E5E">
        <w:rPr>
          <w:rtl/>
        </w:rPr>
        <w:t xml:space="preserve"> </w:t>
      </w:r>
      <w:r w:rsidRPr="00041E5E">
        <w:rPr>
          <w:rFonts w:hint="eastAsia"/>
          <w:rtl/>
        </w:rPr>
        <w:t>הדין</w:t>
      </w:r>
      <w:r w:rsidRPr="00041E5E">
        <w:rPr>
          <w:rtl/>
        </w:rPr>
        <w:t xml:space="preserve"> </w:t>
      </w:r>
      <w:r w:rsidRPr="00041E5E">
        <w:rPr>
          <w:rFonts w:hint="eastAsia"/>
          <w:rtl/>
        </w:rPr>
        <w:t>מושאי</w:t>
      </w:r>
      <w:r w:rsidRPr="00041E5E">
        <w:rPr>
          <w:rtl/>
        </w:rPr>
        <w:t xml:space="preserve"> </w:t>
      </w:r>
      <w:r w:rsidRPr="00041E5E">
        <w:rPr>
          <w:rFonts w:hint="eastAsia"/>
          <w:rtl/>
        </w:rPr>
        <w:t>הערעורים</w:t>
      </w:r>
      <w:r w:rsidRPr="00041E5E">
        <w:rPr>
          <w:rtl/>
        </w:rPr>
        <w:t xml:space="preserve"> </w:t>
      </w:r>
      <w:r w:rsidRPr="00041E5E">
        <w:rPr>
          <w:rFonts w:hint="eastAsia"/>
          <w:rtl/>
        </w:rPr>
        <w:t>דכאן</w:t>
      </w:r>
      <w:r w:rsidRPr="005370F5">
        <w:rPr>
          <w:rFonts w:hint="cs"/>
          <w:rtl/>
        </w:rPr>
        <w:t>, נסקרו, בין היתר, עמדותיו</w:t>
      </w:r>
      <w:r>
        <w:rPr>
          <w:rFonts w:hint="cs"/>
          <w:rtl/>
        </w:rPr>
        <w:t xml:space="preserve"> של ד"ר</w:t>
      </w:r>
      <w:r w:rsidRPr="00150FE1">
        <w:rPr>
          <w:rFonts w:ascii="Century" w:hAnsi="Century" w:hint="cs"/>
          <w:sz w:val="22"/>
          <w:rtl/>
        </w:rPr>
        <w:t xml:space="preserve"> </w:t>
      </w:r>
      <w:r w:rsidRPr="009D5A31">
        <w:rPr>
          <w:rFonts w:ascii="Century" w:hAnsi="Century" w:cs="Miriam" w:hint="eastAsia"/>
          <w:b/>
          <w:spacing w:val="0"/>
          <w:sz w:val="22"/>
          <w:szCs w:val="24"/>
          <w:rtl/>
        </w:rPr>
        <w:t>ג</w:t>
      </w:r>
      <w:r w:rsidRPr="009D5A31">
        <w:rPr>
          <w:rFonts w:ascii="Century" w:hAnsi="Century" w:cs="Miriam"/>
          <w:b/>
          <w:spacing w:val="0"/>
          <w:sz w:val="22"/>
          <w:szCs w:val="24"/>
          <w:rtl/>
        </w:rPr>
        <w:t xml:space="preserve">' </w:t>
      </w:r>
      <w:r w:rsidRPr="009D5A31">
        <w:rPr>
          <w:rFonts w:ascii="Century" w:hAnsi="Century" w:cs="Miriam" w:hint="eastAsia"/>
          <w:b/>
          <w:spacing w:val="0"/>
          <w:sz w:val="22"/>
          <w:szCs w:val="24"/>
          <w:rtl/>
        </w:rPr>
        <w:t>קריב</w:t>
      </w:r>
      <w:r w:rsidRPr="00150FE1">
        <w:rPr>
          <w:rFonts w:ascii="Century" w:hAnsi="Century" w:hint="cs"/>
          <w:sz w:val="22"/>
          <w:rtl/>
        </w:rPr>
        <w:t xml:space="preserve">, </w:t>
      </w:r>
      <w:r>
        <w:rPr>
          <w:rFonts w:hint="cs"/>
          <w:rtl/>
        </w:rPr>
        <w:t>המפורטות במאמרו הנ"ל. בתי המשפט המחוזיים נמנעו מלאמץ עמדות אלו באופן כוללני, אך רשות המיסים מביאתן לתמיכה בעמדתה העקרונית ורואה בהן בסיס רעיוני לאמור ב</w:t>
      </w:r>
      <w:r w:rsidRPr="00150FE1">
        <w:rPr>
          <w:rFonts w:ascii="Century" w:hAnsi="Century" w:cs="Miriam" w:hint="cs"/>
          <w:b/>
          <w:spacing w:val="0"/>
          <w:sz w:val="22"/>
          <w:szCs w:val="24"/>
          <w:rtl/>
        </w:rPr>
        <w:t xml:space="preserve">חוזר </w:t>
      </w:r>
      <w:r>
        <w:rPr>
          <w:rFonts w:ascii="Century" w:hAnsi="Century" w:cs="Miriam" w:hint="cs"/>
          <w:b/>
          <w:spacing w:val="0"/>
          <w:sz w:val="22"/>
          <w:szCs w:val="24"/>
          <w:rtl/>
        </w:rPr>
        <w:t>ה</w:t>
      </w:r>
      <w:r w:rsidRPr="00150FE1">
        <w:rPr>
          <w:rFonts w:ascii="Century" w:hAnsi="Century" w:cs="Miriam" w:hint="cs"/>
          <w:b/>
          <w:spacing w:val="0"/>
          <w:sz w:val="22"/>
          <w:szCs w:val="24"/>
          <w:rtl/>
        </w:rPr>
        <w:t>מס 2/2018</w:t>
      </w:r>
      <w:r>
        <w:rPr>
          <w:rFonts w:hint="cs"/>
          <w:rtl/>
        </w:rPr>
        <w:t>. לעמדות אלו אתייחס כעת. אקדים ואומר שעמדות אלו מבוססות על ראייה גורפת מדי של הדברים, אשר מתאימה למקרים רבים, אך לא לכולם.</w:t>
      </w:r>
    </w:p>
    <w:p w:rsidR="00F05533" w:rsidRDefault="00F05533" w:rsidP="00F05533">
      <w:pPr>
        <w:pStyle w:val="Ruller41"/>
        <w:rPr>
          <w:rtl/>
        </w:rPr>
      </w:pPr>
    </w:p>
    <w:p w:rsidR="00F05533" w:rsidRPr="00066B1C" w:rsidRDefault="00F05533" w:rsidP="00F05533">
      <w:pPr>
        <w:pStyle w:val="Ruller41"/>
        <w:rPr>
          <w:rFonts w:ascii="Century" w:hAnsi="Century" w:cs="Miriam"/>
          <w:b/>
          <w:spacing w:val="0"/>
          <w:szCs w:val="24"/>
          <w:rtl/>
        </w:rPr>
      </w:pPr>
      <w:r w:rsidRPr="00066B1C">
        <w:rPr>
          <w:rFonts w:ascii="Century" w:hAnsi="Century" w:cs="Miriam" w:hint="cs"/>
          <w:b/>
          <w:spacing w:val="0"/>
          <w:szCs w:val="24"/>
          <w:rtl/>
        </w:rPr>
        <w:t>עמדתה של רשות המיסים בראי מאמרו של ד"ר ג' קריב</w:t>
      </w:r>
    </w:p>
    <w:p w:rsidR="00F05533" w:rsidRPr="001419F4" w:rsidRDefault="00F05533" w:rsidP="00F05533">
      <w:pPr>
        <w:pStyle w:val="Ruller41"/>
      </w:pPr>
    </w:p>
    <w:p w:rsidR="00F05533" w:rsidRDefault="00F05533" w:rsidP="00F05533">
      <w:pPr>
        <w:pStyle w:val="Ruller4"/>
      </w:pPr>
      <w:r>
        <w:rPr>
          <w:rFonts w:ascii="Century" w:hAnsi="Century" w:hint="cs"/>
          <w:sz w:val="22"/>
          <w:rtl/>
        </w:rPr>
        <w:t xml:space="preserve">ד"ר </w:t>
      </w:r>
      <w:r w:rsidRPr="00041E5E">
        <w:rPr>
          <w:rFonts w:ascii="Century" w:hAnsi="Century" w:cs="Miriam" w:hint="eastAsia"/>
          <w:b/>
          <w:spacing w:val="0"/>
          <w:sz w:val="22"/>
          <w:szCs w:val="24"/>
          <w:rtl/>
        </w:rPr>
        <w:t>ג</w:t>
      </w:r>
      <w:r w:rsidRPr="00041E5E">
        <w:rPr>
          <w:rFonts w:ascii="Century" w:hAnsi="Century" w:cs="Miriam"/>
          <w:b/>
          <w:spacing w:val="0"/>
          <w:sz w:val="22"/>
          <w:szCs w:val="24"/>
          <w:rtl/>
        </w:rPr>
        <w:t xml:space="preserve">' </w:t>
      </w:r>
      <w:r w:rsidRPr="00041E5E">
        <w:rPr>
          <w:rFonts w:ascii="Century" w:hAnsi="Century" w:cs="Miriam" w:hint="eastAsia"/>
          <w:b/>
          <w:spacing w:val="0"/>
          <w:sz w:val="22"/>
          <w:szCs w:val="24"/>
          <w:rtl/>
        </w:rPr>
        <w:t>קריב</w:t>
      </w:r>
      <w:r w:rsidRPr="00160084">
        <w:rPr>
          <w:rFonts w:ascii="Century" w:hAnsi="Century" w:hint="cs"/>
          <w:sz w:val="22"/>
          <w:rtl/>
        </w:rPr>
        <w:t xml:space="preserve"> </w:t>
      </w:r>
      <w:r>
        <w:rPr>
          <w:rFonts w:ascii="Century" w:hAnsi="Century" w:hint="cs"/>
          <w:sz w:val="22"/>
          <w:rtl/>
        </w:rPr>
        <w:t xml:space="preserve">סבור כי </w:t>
      </w:r>
      <w:r>
        <w:rPr>
          <w:rFonts w:hint="cs"/>
          <w:rtl/>
        </w:rPr>
        <w:t xml:space="preserve">רכישה עצמית היא בגדר אירוע מס מן הסוג של חלוקת דיבידנד. בהתאם לכך, במקרים בהם בוצעה הרכישה העצמית שלא באופן פרופורציונלי ואירוע המס אצל בעל המניות המוכר מסווג כרווח הון, מחייבנו הדין להכיר בקיומו של </w:t>
      </w:r>
      <w:r>
        <w:rPr>
          <w:rFonts w:hint="cs"/>
          <w:rtl/>
        </w:rPr>
        <w:lastRenderedPageBreak/>
        <w:t>אירוע מס נוסף: חלוקת דיבידנד לבעלי המניות הנותרים כאשר כספיו מוסבים לטובת רכישת מניותיו של בעל המניות המוכר, אשר מקבל את הכספים ישירות מהחברה.</w:t>
      </w:r>
    </w:p>
    <w:p w:rsidR="00F05533" w:rsidRDefault="00F05533" w:rsidP="00F05533">
      <w:pPr>
        <w:pStyle w:val="Ruller4"/>
        <w:numPr>
          <w:ilvl w:val="0"/>
          <w:numId w:val="0"/>
        </w:numPr>
        <w:rPr>
          <w:rtl/>
        </w:rPr>
      </w:pPr>
    </w:p>
    <w:p w:rsidR="00F05533" w:rsidRDefault="00F05533" w:rsidP="00F05533">
      <w:pPr>
        <w:pStyle w:val="Ruller4"/>
        <w:numPr>
          <w:ilvl w:val="0"/>
          <w:numId w:val="0"/>
        </w:numPr>
      </w:pPr>
      <w:r>
        <w:rPr>
          <w:rtl/>
        </w:rPr>
        <w:tab/>
      </w:r>
      <w:r>
        <w:rPr>
          <w:rFonts w:hint="cs"/>
          <w:rtl/>
        </w:rPr>
        <w:t>ואלה הם הדברים מפי אומרם:</w:t>
      </w:r>
    </w:p>
    <w:p w:rsidR="00F05533" w:rsidRDefault="00F05533" w:rsidP="00F05533">
      <w:pPr>
        <w:pStyle w:val="Ruller4"/>
        <w:numPr>
          <w:ilvl w:val="0"/>
          <w:numId w:val="0"/>
        </w:numPr>
        <w:rPr>
          <w:rtl/>
        </w:rPr>
      </w:pPr>
      <w:r>
        <w:rPr>
          <w:rtl/>
        </w:rPr>
        <w:tab/>
      </w:r>
      <w:r>
        <w:rPr>
          <w:rtl/>
        </w:rPr>
        <w:tab/>
      </w:r>
    </w:p>
    <w:p w:rsidR="00F05533" w:rsidRDefault="00F05533" w:rsidP="00F05533">
      <w:pPr>
        <w:pStyle w:val="Ruller5"/>
        <w:rPr>
          <w:rtl/>
        </w:rPr>
      </w:pPr>
      <w:r>
        <w:rPr>
          <w:rFonts w:hint="cs"/>
          <w:rtl/>
        </w:rPr>
        <w:t>"</w:t>
      </w:r>
      <w:r w:rsidRPr="003270C8">
        <w:rPr>
          <w:rFonts w:ascii="Century" w:hAnsi="Century" w:cs="Miriam"/>
          <w:b/>
          <w:spacing w:val="0"/>
          <w:szCs w:val="24"/>
          <w:rtl/>
        </w:rPr>
        <w:t>רכישת המניות היא, על פי הוראות חוק החברות, חלוקה של דיבידנד</w:t>
      </w:r>
      <w:r>
        <w:rPr>
          <w:rtl/>
        </w:rPr>
        <w:t xml:space="preserve">. בעל המניות המוכר, כפי שהוכח לעיל, לא קיבל דיבידנד, מאחר שהתשלום שקיבל הוא, כפי שראינו, רווח הון. </w:t>
      </w:r>
      <w:r w:rsidRPr="003270C8">
        <w:rPr>
          <w:rFonts w:ascii="Century" w:hAnsi="Century" w:cs="Miriam"/>
          <w:b/>
          <w:spacing w:val="0"/>
          <w:szCs w:val="24"/>
          <w:rtl/>
        </w:rPr>
        <w:t>מכאן, שבעלי המניות הנותרים הם שקיבלו את הדיבידנד באופן "רעיוני"</w:t>
      </w:r>
      <w:r>
        <w:rPr>
          <w:rtl/>
        </w:rPr>
        <w:t xml:space="preserve">: החברה חילקה להם דיבידנד ושילמה אותו בעבורם לבעל המניות המוכר תמורת מניותיו. </w:t>
      </w:r>
      <w:r w:rsidRPr="00066B1C">
        <w:rPr>
          <w:rFonts w:ascii="Century" w:hAnsi="Century" w:cs="Miriam"/>
          <w:b/>
          <w:spacing w:val="0"/>
          <w:szCs w:val="24"/>
          <w:u w:val="single"/>
          <w:rtl/>
        </w:rPr>
        <w:t>אם לא תאמר כן, נעמוד בפני מצב בו יצאו רווחים מידי החברה מבלי שישולם עליהם כלל מס הכנסה</w:t>
      </w:r>
      <w:r w:rsidRPr="00066B1C">
        <w:rPr>
          <w:u w:val="single"/>
          <w:rtl/>
        </w:rPr>
        <w:t>.</w:t>
      </w:r>
      <w:r w:rsidRPr="009D5A31">
        <w:rPr>
          <w:rtl/>
        </w:rPr>
        <w:t xml:space="preserve"> </w:t>
      </w:r>
    </w:p>
    <w:p w:rsidR="00F05533" w:rsidRDefault="00F05533" w:rsidP="00F05533">
      <w:pPr>
        <w:pStyle w:val="Ruller5"/>
        <w:rPr>
          <w:rtl/>
        </w:rPr>
      </w:pPr>
    </w:p>
    <w:p w:rsidR="00F05533" w:rsidRDefault="00F05533" w:rsidP="00F05533">
      <w:pPr>
        <w:pStyle w:val="Ruller5"/>
        <w:rPr>
          <w:rtl/>
        </w:rPr>
      </w:pPr>
      <w:r>
        <w:rPr>
          <w:rFonts w:hint="cs"/>
          <w:rtl/>
        </w:rPr>
        <w:t>[...]</w:t>
      </w:r>
    </w:p>
    <w:p w:rsidR="00F05533" w:rsidRDefault="00F05533" w:rsidP="00F05533">
      <w:pPr>
        <w:pStyle w:val="Ruller5"/>
        <w:rPr>
          <w:rtl/>
        </w:rPr>
      </w:pPr>
    </w:p>
    <w:p w:rsidR="00F05533" w:rsidRDefault="00F05533" w:rsidP="00F05533">
      <w:pPr>
        <w:pStyle w:val="Ruller5"/>
        <w:rPr>
          <w:rtl/>
        </w:rPr>
      </w:pPr>
      <w:r w:rsidRPr="003270C8">
        <w:rPr>
          <w:rFonts w:ascii="Century" w:hAnsi="Century" w:cs="Miriam"/>
          <w:b/>
          <w:spacing w:val="0"/>
          <w:szCs w:val="24"/>
          <w:rtl/>
        </w:rPr>
        <w:t>רכישה עצמית תיחשב תמיד לחלוקת דיבידנד</w:t>
      </w:r>
      <w:r w:rsidRPr="009D5A31">
        <w:rPr>
          <w:rFonts w:ascii="Century" w:hAnsi="Century"/>
          <w:rtl/>
        </w:rPr>
        <w:t>.</w:t>
      </w:r>
      <w:r w:rsidRPr="003270C8">
        <w:rPr>
          <w:rFonts w:ascii="Century" w:hAnsi="Century" w:cs="Miriam"/>
          <w:b/>
          <w:spacing w:val="0"/>
          <w:szCs w:val="24"/>
          <w:rtl/>
        </w:rPr>
        <w:t xml:space="preserve"> השאלה היא, מי הוא מקבל הדיבידנד</w:t>
      </w:r>
      <w:r w:rsidRPr="009D5A31">
        <w:rPr>
          <w:rFonts w:ascii="Century" w:hAnsi="Century"/>
          <w:rtl/>
        </w:rPr>
        <w:t>.</w:t>
      </w:r>
      <w:r>
        <w:rPr>
          <w:rtl/>
        </w:rPr>
        <w:t xml:space="preserve"> ברכישה פרופורציונלית, כל בעלי המניות מקבלים דיבידנד, ואף לא אחד מהם מקבל רווח הון. ברכישה בלתי פרופורציונלית, בעל מניות המוכר מניות העודפות על חלקו הפרופורציונלי במכירה, התמורה בעד החלק העודף, ובעד חלק זה בלבד, תיחשב רווח הון ויחולו עליה הוראות המיסוי המתייחסות לרווח הון. בעלי המניות שמכרו לחברה מניות בשיעור הנופל מחלקם היחסי בהון החברה ייחשבו כמקבלי דיבידנד ויחויבו בגינו במס הכנסה בהתאם לשיעורי המס החלים עליהם. מיסוי החברה אינו מושפע מהרכישה העצמית, זולת חובתה לנכות מס במקור מן התשלום הניתן לבעל המניות תמורת המכירה</w:t>
      </w:r>
      <w:r>
        <w:rPr>
          <w:rFonts w:hint="cs"/>
          <w:rtl/>
        </w:rPr>
        <w:t>.</w:t>
      </w:r>
    </w:p>
    <w:p w:rsidR="00F05533" w:rsidRDefault="00F05533" w:rsidP="00F05533">
      <w:pPr>
        <w:pStyle w:val="Ruller5"/>
        <w:rPr>
          <w:rtl/>
        </w:rPr>
      </w:pPr>
    </w:p>
    <w:p w:rsidR="00F05533" w:rsidRDefault="00F05533" w:rsidP="00F05533">
      <w:pPr>
        <w:pStyle w:val="Ruller5"/>
        <w:rPr>
          <w:rtl/>
        </w:rPr>
      </w:pPr>
      <w:r w:rsidRPr="00B9640E">
        <w:rPr>
          <w:rFonts w:hint="cs"/>
          <w:rtl/>
        </w:rPr>
        <w:t>[...]</w:t>
      </w:r>
      <w:r w:rsidRPr="00B9640E">
        <w:rPr>
          <w:rtl/>
        </w:rPr>
        <w:t xml:space="preserve"> </w:t>
      </w:r>
    </w:p>
    <w:p w:rsidR="00F05533" w:rsidRDefault="00F05533" w:rsidP="00F05533">
      <w:pPr>
        <w:pStyle w:val="Ruller5"/>
        <w:rPr>
          <w:rtl/>
        </w:rPr>
      </w:pPr>
    </w:p>
    <w:p w:rsidR="00F05533" w:rsidRDefault="00F05533" w:rsidP="00F05533">
      <w:pPr>
        <w:pStyle w:val="Ruller5"/>
        <w:rPr>
          <w:rtl/>
        </w:rPr>
      </w:pPr>
      <w:r w:rsidRPr="00B9640E">
        <w:rPr>
          <w:rtl/>
        </w:rPr>
        <w:t>בעלי המניות שלא מכרו את המניות הם-הם שהחליטו על הרכישה העצמית, הם שהפנו את יתרת העודפים של החברה לרכישת המניות העצמית, והם בעלי האינטרס שעמד מאחורי מהלך זה. אין אפוא כל קושי לראות בהם את מקבלי הדיבידנד (הרעיוני) ולחייב אותם בתשלום המס המתחייב מקבלת הדיבידנד</w:t>
      </w:r>
      <w:r w:rsidRPr="00B9640E">
        <w:rPr>
          <w:rFonts w:hint="cs"/>
          <w:rtl/>
        </w:rPr>
        <w:t xml:space="preserve">" </w:t>
      </w:r>
      <w:r>
        <w:rPr>
          <w:rFonts w:hint="cs"/>
          <w:rtl/>
        </w:rPr>
        <w:t xml:space="preserve">(ראו: </w:t>
      </w:r>
      <w:r w:rsidRPr="00787D9E">
        <w:rPr>
          <w:rFonts w:ascii="Century" w:hAnsi="Century" w:cs="Miriam" w:hint="cs"/>
          <w:b/>
          <w:spacing w:val="0"/>
          <w:szCs w:val="24"/>
          <w:rtl/>
        </w:rPr>
        <w:t>קריב</w:t>
      </w:r>
      <w:r>
        <w:rPr>
          <w:rFonts w:hint="cs"/>
          <w:rtl/>
        </w:rPr>
        <w:t xml:space="preserve">, עמ' 88-87; ההדגשות הוספו </w:t>
      </w:r>
      <w:r>
        <w:rPr>
          <w:rtl/>
        </w:rPr>
        <w:t>–</w:t>
      </w:r>
      <w:r>
        <w:rPr>
          <w:rFonts w:hint="cs"/>
          <w:rtl/>
        </w:rPr>
        <w:t xml:space="preserve"> א.ש.).</w:t>
      </w:r>
    </w:p>
    <w:p w:rsidR="00F05533" w:rsidRPr="00B9640E" w:rsidRDefault="00F05533" w:rsidP="00F05533">
      <w:pPr>
        <w:pStyle w:val="Ruller5"/>
        <w:rPr>
          <w:rtl/>
        </w:rPr>
      </w:pPr>
    </w:p>
    <w:p w:rsidR="00F05533" w:rsidRDefault="00F05533" w:rsidP="00F05533">
      <w:pPr>
        <w:pStyle w:val="Ruller5"/>
        <w:rPr>
          <w:rtl/>
        </w:rPr>
      </w:pPr>
    </w:p>
    <w:p w:rsidR="00F05533" w:rsidRDefault="00F05533" w:rsidP="00F05533">
      <w:pPr>
        <w:pStyle w:val="Ruller4"/>
        <w:rPr>
          <w:rFonts w:ascii="Century" w:hAnsi="Century"/>
          <w:sz w:val="22"/>
        </w:rPr>
      </w:pPr>
      <w:r>
        <w:rPr>
          <w:rFonts w:ascii="Century" w:hAnsi="Century" w:hint="cs"/>
          <w:sz w:val="22"/>
          <w:rtl/>
        </w:rPr>
        <w:t xml:space="preserve">דברים אלה, בנוסחם הגורף, אינם מקובלים עלי. ראשית, אציין כי בהיבט של לשון החוק, חוק החברות מבדיל בין חלוקת דיבידנד לבין רכישה עצמית בהגדירו </w:t>
      </w:r>
      <w:r>
        <w:rPr>
          <w:rFonts w:hint="cs"/>
          <w:rtl/>
        </w:rPr>
        <w:t xml:space="preserve">את המונח "חלוקה" כאחד משניים: דיבידנד </w:t>
      </w:r>
      <w:r w:rsidRPr="00F32102">
        <w:rPr>
          <w:rFonts w:ascii="Century" w:hAnsi="Century" w:cs="Miriam" w:hint="cs"/>
          <w:b/>
          <w:spacing w:val="0"/>
          <w:sz w:val="22"/>
          <w:szCs w:val="24"/>
          <w:u w:val="single"/>
          <w:rtl/>
        </w:rPr>
        <w:t>או</w:t>
      </w:r>
      <w:r>
        <w:rPr>
          <w:rFonts w:hint="cs"/>
          <w:rtl/>
        </w:rPr>
        <w:t xml:space="preserve"> רכישה עצמית (ראו: סעיף 1 לחוק החברות; כמו כן ראו, למשל: </w:t>
      </w:r>
      <w:r w:rsidRPr="0060428B">
        <w:rPr>
          <w:rFonts w:ascii="Century" w:hAnsi="Century" w:cs="Miriam" w:hint="cs"/>
          <w:b/>
          <w:spacing w:val="0"/>
          <w:sz w:val="22"/>
          <w:szCs w:val="24"/>
          <w:rtl/>
        </w:rPr>
        <w:t>גרוס</w:t>
      </w:r>
      <w:r>
        <w:rPr>
          <w:rFonts w:hint="cs"/>
          <w:rtl/>
        </w:rPr>
        <w:t>, עמ'</w:t>
      </w:r>
      <w:r>
        <w:rPr>
          <w:rFonts w:ascii="Century" w:hAnsi="Century" w:cs="Miriam" w:hint="cs"/>
          <w:b/>
          <w:spacing w:val="0"/>
          <w:sz w:val="22"/>
          <w:szCs w:val="24"/>
          <w:rtl/>
        </w:rPr>
        <w:t xml:space="preserve"> </w:t>
      </w:r>
      <w:r>
        <w:rPr>
          <w:rFonts w:ascii="Century" w:hAnsi="Century" w:hint="cs"/>
          <w:sz w:val="22"/>
          <w:rtl/>
        </w:rPr>
        <w:t>899)</w:t>
      </w:r>
      <w:r>
        <w:rPr>
          <w:rFonts w:hint="cs"/>
          <w:rtl/>
        </w:rPr>
        <w:t>.</w:t>
      </w:r>
      <w:r>
        <w:rPr>
          <w:rFonts w:ascii="Century" w:hAnsi="Century" w:hint="cs"/>
          <w:sz w:val="22"/>
          <w:rtl/>
        </w:rPr>
        <w:t xml:space="preserve"> הבחנה סטטוטורית זו אינה רק עניין טכני-פורמלי: היא מלמדת על כך שבעיניי המחוקק, מהותו הכלכלית של דיבידנד אינה זהה למהותה </w:t>
      </w:r>
      <w:r>
        <w:rPr>
          <w:rFonts w:ascii="Century" w:hAnsi="Century" w:hint="cs"/>
          <w:sz w:val="22"/>
          <w:rtl/>
        </w:rPr>
        <w:lastRenderedPageBreak/>
        <w:t xml:space="preserve">הכלכלית של רכישה עצמית. למצער, הבחנה זו מלמדת על כך שמהותה הכלכלית של רכישה עצמית </w:t>
      </w:r>
      <w:r w:rsidRPr="002D1E01">
        <w:rPr>
          <w:rFonts w:ascii="Century" w:hAnsi="Century" w:cs="Miriam" w:hint="cs"/>
          <w:b/>
          <w:spacing w:val="0"/>
          <w:sz w:val="22"/>
          <w:szCs w:val="24"/>
          <w:rtl/>
        </w:rPr>
        <w:t>לא תמיד</w:t>
      </w:r>
      <w:r>
        <w:rPr>
          <w:rFonts w:ascii="Century" w:hAnsi="Century" w:hint="cs"/>
          <w:sz w:val="22"/>
          <w:rtl/>
        </w:rPr>
        <w:t xml:space="preserve"> תהא </w:t>
      </w:r>
      <w:r w:rsidRPr="00AF5557">
        <w:rPr>
          <w:rFonts w:ascii="Century" w:hAnsi="Century" w:hint="cs"/>
          <w:sz w:val="22"/>
          <w:rtl/>
        </w:rPr>
        <w:t>חופפת את מהותה הכלכלית של חלוקת דיבידנד.</w:t>
      </w:r>
    </w:p>
    <w:p w:rsidR="00F05533" w:rsidRDefault="00F05533" w:rsidP="00F05533">
      <w:pPr>
        <w:pStyle w:val="Ruller4"/>
        <w:numPr>
          <w:ilvl w:val="0"/>
          <w:numId w:val="0"/>
        </w:numPr>
        <w:rPr>
          <w:rFonts w:ascii="Century" w:hAnsi="Century"/>
          <w:sz w:val="22"/>
        </w:rPr>
      </w:pPr>
      <w:r>
        <w:rPr>
          <w:rFonts w:ascii="Century" w:hAnsi="Century" w:hint="cs"/>
          <w:sz w:val="22"/>
          <w:rtl/>
        </w:rPr>
        <w:t xml:space="preserve"> </w:t>
      </w:r>
    </w:p>
    <w:p w:rsidR="00F05533" w:rsidRPr="0060146B" w:rsidRDefault="00F05533" w:rsidP="00F05533">
      <w:pPr>
        <w:pStyle w:val="Ruller4"/>
        <w:rPr>
          <w:rFonts w:ascii="Century" w:hAnsi="Century"/>
          <w:sz w:val="22"/>
        </w:rPr>
      </w:pPr>
      <w:r>
        <w:rPr>
          <w:rFonts w:ascii="Century" w:hAnsi="Century" w:hint="cs"/>
          <w:sz w:val="22"/>
          <w:rtl/>
        </w:rPr>
        <w:t xml:space="preserve">המחוקק אכן ראה את הדברים נכון: </w:t>
      </w:r>
      <w:r w:rsidRPr="0060146B">
        <w:rPr>
          <w:rFonts w:ascii="Century" w:hAnsi="Century" w:cs="Miriam" w:hint="cs"/>
          <w:b/>
          <w:spacing w:val="0"/>
          <w:sz w:val="22"/>
          <w:szCs w:val="24"/>
          <w:rtl/>
        </w:rPr>
        <w:t xml:space="preserve">לא כל עסקאות </w:t>
      </w:r>
      <w:r>
        <w:rPr>
          <w:rFonts w:ascii="Century" w:hAnsi="Century" w:cs="Miriam" w:hint="cs"/>
          <w:b/>
          <w:spacing w:val="0"/>
          <w:sz w:val="22"/>
          <w:szCs w:val="24"/>
          <w:rtl/>
        </w:rPr>
        <w:t>ה</w:t>
      </w:r>
      <w:r w:rsidRPr="0060146B">
        <w:rPr>
          <w:rFonts w:ascii="Century" w:hAnsi="Century" w:cs="Miriam" w:hint="cs"/>
          <w:b/>
          <w:spacing w:val="0"/>
          <w:sz w:val="22"/>
          <w:szCs w:val="24"/>
          <w:rtl/>
        </w:rPr>
        <w:t xml:space="preserve">רכישה </w:t>
      </w:r>
      <w:r>
        <w:rPr>
          <w:rFonts w:ascii="Century" w:hAnsi="Century" w:cs="Miriam" w:hint="cs"/>
          <w:b/>
          <w:spacing w:val="0"/>
          <w:sz w:val="22"/>
          <w:szCs w:val="24"/>
          <w:rtl/>
        </w:rPr>
        <w:t>ה</w:t>
      </w:r>
      <w:r w:rsidRPr="0060146B">
        <w:rPr>
          <w:rFonts w:ascii="Century" w:hAnsi="Century" w:cs="Miriam" w:hint="cs"/>
          <w:b/>
          <w:spacing w:val="0"/>
          <w:sz w:val="22"/>
          <w:szCs w:val="24"/>
          <w:rtl/>
        </w:rPr>
        <w:t>עצמית נולדו שוות</w:t>
      </w:r>
      <w:r>
        <w:rPr>
          <w:rFonts w:ascii="Century" w:hAnsi="Century" w:hint="cs"/>
          <w:sz w:val="22"/>
          <w:rtl/>
        </w:rPr>
        <w:t xml:space="preserve">. חלק מעסקאות אלה אכן שוות-ערך לחלוקת דיבידנד ומקימות חבות במס, כטענתה של רשות המיסים. </w:t>
      </w:r>
      <w:r w:rsidRPr="0022151E">
        <w:rPr>
          <w:rFonts w:ascii="Century" w:hAnsi="Century" w:hint="cs"/>
          <w:sz w:val="22"/>
          <w:rtl/>
        </w:rPr>
        <w:t>אולם, לחלקן האחר של העסקאות יש מהות כלכלית שונה</w:t>
      </w:r>
      <w:r>
        <w:rPr>
          <w:rFonts w:ascii="Century" w:hAnsi="Century" w:hint="cs"/>
          <w:sz w:val="22"/>
          <w:rtl/>
        </w:rPr>
        <w:t>, כפי שיוסבר להלן.</w:t>
      </w:r>
      <w:r w:rsidRPr="0060146B">
        <w:rPr>
          <w:rFonts w:ascii="Century" w:hAnsi="Century" w:hint="cs"/>
          <w:sz w:val="22"/>
          <w:rtl/>
        </w:rPr>
        <w:t xml:space="preserve"> </w:t>
      </w:r>
    </w:p>
    <w:p w:rsidR="00F05533" w:rsidRPr="0060146B" w:rsidRDefault="00F05533" w:rsidP="00F05533">
      <w:pPr>
        <w:pStyle w:val="Ruller4"/>
        <w:numPr>
          <w:ilvl w:val="0"/>
          <w:numId w:val="0"/>
        </w:numPr>
        <w:rPr>
          <w:rFonts w:ascii="Century" w:hAnsi="Century"/>
          <w:sz w:val="22"/>
        </w:rPr>
      </w:pPr>
    </w:p>
    <w:p w:rsidR="00F05533" w:rsidRDefault="00F05533" w:rsidP="00F05533">
      <w:pPr>
        <w:pStyle w:val="Ruller4"/>
        <w:rPr>
          <w:rFonts w:ascii="Century" w:hAnsi="Century"/>
          <w:sz w:val="22"/>
        </w:rPr>
      </w:pPr>
      <w:r>
        <w:rPr>
          <w:rFonts w:ascii="Century" w:hAnsi="Century" w:hint="cs"/>
          <w:sz w:val="22"/>
          <w:rtl/>
        </w:rPr>
        <w:t xml:space="preserve">אדגים את הדברים באמצעות דוגמא פשוטה, </w:t>
      </w:r>
      <w:r w:rsidRPr="00A067F5">
        <w:rPr>
          <w:rFonts w:ascii="Century" w:hAnsi="Century" w:hint="cs"/>
          <w:sz w:val="22"/>
          <w:rtl/>
        </w:rPr>
        <w:t xml:space="preserve">שתיקרא </w:t>
      </w:r>
      <w:r w:rsidRPr="00A067F5">
        <w:rPr>
          <w:rFonts w:ascii="Century" w:hAnsi="Century" w:cs="Miriam" w:hint="cs"/>
          <w:b/>
          <w:spacing w:val="0"/>
          <w:sz w:val="22"/>
          <w:szCs w:val="24"/>
          <w:rtl/>
        </w:rPr>
        <w:t>דוגמא א'</w:t>
      </w:r>
      <w:r w:rsidRPr="00A067F5">
        <w:rPr>
          <w:rFonts w:ascii="Century" w:hAnsi="Century" w:hint="cs"/>
          <w:sz w:val="22"/>
          <w:rtl/>
        </w:rPr>
        <w:t>.</w:t>
      </w:r>
      <w:r>
        <w:rPr>
          <w:rFonts w:ascii="Century" w:hAnsi="Century" w:hint="cs"/>
          <w:sz w:val="22"/>
          <w:rtl/>
        </w:rPr>
        <w:t xml:space="preserve"> </w:t>
      </w:r>
      <w:r w:rsidRPr="0060146B">
        <w:rPr>
          <w:rFonts w:ascii="Century" w:hAnsi="Century" w:hint="cs"/>
          <w:sz w:val="22"/>
          <w:rtl/>
        </w:rPr>
        <w:t xml:space="preserve">ראובן וספיר הקימו עסק מצליח, המאוגד כחברה פרטית, שמניותיה, מאה במספר, מחולקות ביניהם שווה-בשווה. בידיו של ראובן 50 מניות מתוך 100, ואילו ספיר מחזיקה ב-50 המניות הנותרות. לימים, מחליט ראובן לשנות את מסלול </w:t>
      </w:r>
      <w:r>
        <w:rPr>
          <w:rFonts w:ascii="Century" w:hAnsi="Century" w:hint="cs"/>
          <w:sz w:val="22"/>
          <w:rtl/>
        </w:rPr>
        <w:t>חייו ולפרוש מהחברה, ששוויה הגיע</w:t>
      </w:r>
      <w:r w:rsidRPr="0060146B">
        <w:rPr>
          <w:rFonts w:ascii="Century" w:hAnsi="Century" w:hint="cs"/>
          <w:sz w:val="22"/>
          <w:rtl/>
        </w:rPr>
        <w:t xml:space="preserve"> לכדי 10,000,000 ש"ח. ספיר וראובן מכנסים אסיפת מנהלים; מחליטים</w:t>
      </w:r>
      <w:r>
        <w:rPr>
          <w:rFonts w:ascii="Century" w:hAnsi="Century" w:hint="cs"/>
          <w:sz w:val="22"/>
          <w:rtl/>
        </w:rPr>
        <w:t xml:space="preserve"> פה-אחד</w:t>
      </w:r>
      <w:r w:rsidRPr="0060146B">
        <w:rPr>
          <w:rFonts w:ascii="Century" w:hAnsi="Century" w:hint="cs"/>
          <w:sz w:val="22"/>
          <w:rtl/>
        </w:rPr>
        <w:t xml:space="preserve">, בכובעם כמנהלי החברה, כי החברה תמשיך לנהל את עסקיה </w:t>
      </w:r>
      <w:r>
        <w:rPr>
          <w:rFonts w:ascii="Century" w:hAnsi="Century" w:hint="cs"/>
          <w:sz w:val="22"/>
          <w:rtl/>
        </w:rPr>
        <w:t>כ</w:t>
      </w:r>
      <w:r w:rsidRPr="0060146B">
        <w:rPr>
          <w:rFonts w:ascii="Century" w:hAnsi="Century" w:hint="cs"/>
          <w:sz w:val="22"/>
          <w:rtl/>
        </w:rPr>
        <w:t>רגיל, אולם היא תרכוש את מניותיו של ראובן תמורת 5,000,000 ש"ח ותרדים אותן</w:t>
      </w:r>
      <w:r>
        <w:rPr>
          <w:rFonts w:ascii="Century" w:hAnsi="Century" w:hint="cs"/>
          <w:sz w:val="22"/>
          <w:rtl/>
        </w:rPr>
        <w:t xml:space="preserve"> </w:t>
      </w:r>
      <w:r>
        <w:rPr>
          <w:rFonts w:ascii="Century" w:hAnsi="Century"/>
          <w:sz w:val="22"/>
          <w:rtl/>
        </w:rPr>
        <w:t>–</w:t>
      </w:r>
      <w:r>
        <w:rPr>
          <w:rFonts w:ascii="Century" w:hAnsi="Century" w:hint="cs"/>
          <w:sz w:val="22"/>
          <w:rtl/>
        </w:rPr>
        <w:t xml:space="preserve"> </w:t>
      </w:r>
      <w:r w:rsidRPr="0060146B">
        <w:rPr>
          <w:rFonts w:ascii="Century" w:hAnsi="Century" w:hint="cs"/>
          <w:sz w:val="22"/>
          <w:rtl/>
        </w:rPr>
        <w:t xml:space="preserve">וכך נעשה אחרי שראובן וספיר אישרו את החלטת המנהלים בכושרם כאסיפת בעלי המניות של החברה. כתוצאה מעסקה זו, הון המניות של החברה ירד ל-50 כשכולו מרוכז בידיה של ספיר; שווי החברה פחת </w:t>
      </w:r>
      <w:r>
        <w:rPr>
          <w:rFonts w:ascii="Century" w:hAnsi="Century" w:hint="cs"/>
          <w:sz w:val="22"/>
          <w:rtl/>
        </w:rPr>
        <w:t xml:space="preserve">בעקבות התשלום בסך של 5,000,000 ש"ח ששולם לראובן, </w:t>
      </w:r>
      <w:r w:rsidRPr="0060146B">
        <w:rPr>
          <w:rFonts w:ascii="Century" w:hAnsi="Century" w:hint="cs"/>
          <w:sz w:val="22"/>
          <w:rtl/>
        </w:rPr>
        <w:t xml:space="preserve">והינו </w:t>
      </w:r>
      <w:r>
        <w:rPr>
          <w:rFonts w:ascii="Century" w:hAnsi="Century" w:hint="cs"/>
          <w:sz w:val="22"/>
          <w:rtl/>
        </w:rPr>
        <w:t xml:space="preserve">עומד </w:t>
      </w:r>
      <w:r w:rsidRPr="0060146B">
        <w:rPr>
          <w:rFonts w:ascii="Century" w:hAnsi="Century" w:hint="cs"/>
          <w:sz w:val="22"/>
          <w:rtl/>
        </w:rPr>
        <w:t xml:space="preserve">כעת </w:t>
      </w:r>
      <w:r>
        <w:rPr>
          <w:rFonts w:ascii="Century" w:hAnsi="Century" w:hint="cs"/>
          <w:sz w:val="22"/>
          <w:rtl/>
        </w:rPr>
        <w:t xml:space="preserve">על </w:t>
      </w:r>
      <w:r w:rsidRPr="0060146B">
        <w:rPr>
          <w:rFonts w:ascii="Century" w:hAnsi="Century" w:hint="cs"/>
          <w:sz w:val="22"/>
          <w:rtl/>
        </w:rPr>
        <w:t xml:space="preserve">5,000,000 ש"ח; ושווי המניות של ספיר נשאר כמות שהוא: כל אחת מ-50 מניותיה שווה 100,000 ש"ח. במקרה זה, העסקה </w:t>
      </w:r>
      <w:r>
        <w:rPr>
          <w:rFonts w:ascii="Century" w:hAnsi="Century" w:hint="cs"/>
          <w:sz w:val="22"/>
          <w:rtl/>
        </w:rPr>
        <w:t xml:space="preserve">המשולשת </w:t>
      </w:r>
      <w:r w:rsidRPr="0060146B">
        <w:rPr>
          <w:rFonts w:ascii="Century" w:hAnsi="Century" w:hint="cs"/>
          <w:sz w:val="22"/>
          <w:rtl/>
        </w:rPr>
        <w:t xml:space="preserve">שנעשתה </w:t>
      </w:r>
      <w:r w:rsidRPr="0060146B">
        <w:rPr>
          <w:rFonts w:ascii="Century" w:hAnsi="Century"/>
          <w:sz w:val="22"/>
          <w:rtl/>
        </w:rPr>
        <w:t>–</w:t>
      </w:r>
      <w:r w:rsidRPr="0060146B">
        <w:rPr>
          <w:rFonts w:ascii="Century" w:hAnsi="Century" w:hint="cs"/>
          <w:sz w:val="22"/>
          <w:rtl/>
        </w:rPr>
        <w:t xml:space="preserve"> לפי מהותה הכלכלית </w:t>
      </w:r>
      <w:r w:rsidRPr="0060146B">
        <w:rPr>
          <w:rFonts w:ascii="Century" w:hAnsi="Century"/>
          <w:sz w:val="22"/>
          <w:rtl/>
        </w:rPr>
        <w:t>–</w:t>
      </w:r>
      <w:r>
        <w:rPr>
          <w:rFonts w:ascii="Century" w:hAnsi="Century" w:hint="cs"/>
          <w:sz w:val="22"/>
          <w:rtl/>
        </w:rPr>
        <w:t xml:space="preserve"> כמוה </w:t>
      </w:r>
      <w:r w:rsidRPr="0060146B">
        <w:rPr>
          <w:rFonts w:ascii="Century" w:hAnsi="Century" w:hint="cs"/>
          <w:sz w:val="22"/>
          <w:rtl/>
        </w:rPr>
        <w:t xml:space="preserve">כמשיכת דיבידנד מקופת החברה על ידי כל אחד ואחת מבעלי מניותיה, כשסכום הדיבידנד, 5,000,000 ש"ח, מתחלק ביניהם שווה-בשווה בהתאם </w:t>
      </w:r>
      <w:proofErr w:type="spellStart"/>
      <w:r w:rsidRPr="0060146B">
        <w:rPr>
          <w:rFonts w:ascii="Century" w:hAnsi="Century" w:hint="cs"/>
          <w:sz w:val="22"/>
          <w:rtl/>
        </w:rPr>
        <w:t>להחזקותיהם</w:t>
      </w:r>
      <w:proofErr w:type="spellEnd"/>
      <w:r w:rsidRPr="0060146B">
        <w:rPr>
          <w:rFonts w:ascii="Century" w:hAnsi="Century" w:hint="cs"/>
          <w:sz w:val="22"/>
          <w:rtl/>
        </w:rPr>
        <w:t xml:space="preserve">. ראובן מושך דיבידנד בסך של 2,500,000 ש"ח, וספיר עושה כמותו. אחרי חלוקת הדיבידנד, שוויה של כל מניה בחברה יורד לכדי 50,000 ש"ח; ואז ספיר רוכשת את מניותיו של ראובן לפי ערכן הכולל </w:t>
      </w:r>
      <w:r w:rsidRPr="0060146B">
        <w:rPr>
          <w:rFonts w:ascii="Century" w:hAnsi="Century"/>
          <w:sz w:val="22"/>
          <w:rtl/>
        </w:rPr>
        <w:t>–</w:t>
      </w:r>
      <w:r w:rsidRPr="0060146B">
        <w:rPr>
          <w:rFonts w:ascii="Century" w:hAnsi="Century" w:hint="cs"/>
          <w:sz w:val="22"/>
          <w:rtl/>
        </w:rPr>
        <w:t xml:space="preserve"> 2,500,000 ש"ח </w:t>
      </w:r>
      <w:r w:rsidRPr="0060146B">
        <w:rPr>
          <w:rFonts w:ascii="Century" w:hAnsi="Century"/>
          <w:sz w:val="22"/>
          <w:rtl/>
        </w:rPr>
        <w:t>–</w:t>
      </w:r>
      <w:r w:rsidRPr="0060146B">
        <w:rPr>
          <w:rFonts w:ascii="Century" w:hAnsi="Century" w:hint="cs"/>
          <w:sz w:val="22"/>
          <w:rtl/>
        </w:rPr>
        <w:t xml:space="preserve"> באופן אשר מקנה לה שליטה מלאה בחברה וברכושה. במקרה זה, ספיר תהא חייבת לשלם מס בגין הדיבידנד בסך של 2,500,000 ש"ח שמשכה מקופת החברה כדי לרכוש את מניותיו של ראובן. ראובן, מצדו, יהא חייב במס בגין דיבידנד בסך של 2,500,000 ש"ח, וכן במס רווחי הון בגין הרווח הריאלי שהפיק ממכירת מניותיו לספיר תמורת 2,500,000 ש"ח. </w:t>
      </w:r>
    </w:p>
    <w:p w:rsidR="00F05533" w:rsidRDefault="00F05533" w:rsidP="00F05533">
      <w:pPr>
        <w:pStyle w:val="Ruller4"/>
        <w:numPr>
          <w:ilvl w:val="0"/>
          <w:numId w:val="0"/>
        </w:numPr>
        <w:rPr>
          <w:rFonts w:ascii="Century" w:hAnsi="Century"/>
          <w:sz w:val="22"/>
        </w:rPr>
      </w:pPr>
    </w:p>
    <w:p w:rsidR="00F05533" w:rsidRDefault="00F05533" w:rsidP="00F05533">
      <w:pPr>
        <w:pStyle w:val="Ruller4"/>
        <w:rPr>
          <w:rFonts w:ascii="Century" w:hAnsi="Century"/>
          <w:sz w:val="22"/>
        </w:rPr>
      </w:pPr>
      <w:r w:rsidRPr="0060146B">
        <w:rPr>
          <w:rFonts w:ascii="Century" w:hAnsi="Century" w:hint="cs"/>
          <w:sz w:val="22"/>
          <w:rtl/>
        </w:rPr>
        <w:t xml:space="preserve">תוצאה זו תואמת את עמדתה החלופית של רשות המיסים בערעורים שלפנינו. תוצאה כאמור גם תואמת את עמדתו העקרונית של </w:t>
      </w:r>
      <w:r w:rsidRPr="0069569D">
        <w:rPr>
          <w:rFonts w:ascii="Century" w:hAnsi="Century" w:cs="Miriam" w:hint="cs"/>
          <w:b/>
          <w:spacing w:val="0"/>
          <w:sz w:val="22"/>
          <w:szCs w:val="24"/>
          <w:rtl/>
        </w:rPr>
        <w:t>קריב</w:t>
      </w:r>
      <w:r w:rsidRPr="0060146B">
        <w:rPr>
          <w:rFonts w:ascii="Century" w:hAnsi="Century" w:hint="cs"/>
          <w:sz w:val="22"/>
          <w:rtl/>
        </w:rPr>
        <w:t xml:space="preserve">, שכאמור רואה ברכישה עצמית דיספרופורציונית רכישת מניותיו של בעל המניות הפורש על ידי בעלי המניות הנותרים, </w:t>
      </w:r>
      <w:r w:rsidRPr="0060146B">
        <w:rPr>
          <w:rFonts w:ascii="Century" w:hAnsi="Century" w:hint="cs"/>
          <w:sz w:val="22"/>
          <w:rtl/>
        </w:rPr>
        <w:lastRenderedPageBreak/>
        <w:t xml:space="preserve">כשאלו עושים שימוש בכספי החברה. ברם, השימוש בכספי החברה אשר נעשה על ידי בעלי המניות הנותרים הינו פחוּת מזה שנזקף לחובתם על ידי </w:t>
      </w:r>
      <w:r w:rsidRPr="0069569D">
        <w:rPr>
          <w:rFonts w:ascii="Century" w:hAnsi="Century" w:cs="Miriam" w:hint="cs"/>
          <w:b/>
          <w:spacing w:val="0"/>
          <w:sz w:val="22"/>
          <w:szCs w:val="24"/>
          <w:rtl/>
        </w:rPr>
        <w:t>קריב</w:t>
      </w:r>
      <w:r w:rsidRPr="0060146B">
        <w:rPr>
          <w:rFonts w:ascii="Century" w:hAnsi="Century" w:hint="cs"/>
          <w:sz w:val="22"/>
          <w:rtl/>
        </w:rPr>
        <w:t xml:space="preserve">. זאת, מאחר שהדיבידנד אשר נמשך מקופת החברה שולם, הלכה למעשה, לבעל המניות הפורש ולבעלי המניות הנותרים כאחד </w:t>
      </w:r>
      <w:r w:rsidRPr="0060146B">
        <w:rPr>
          <w:rFonts w:ascii="Century" w:hAnsi="Century"/>
          <w:sz w:val="22"/>
          <w:rtl/>
        </w:rPr>
        <w:t>–</w:t>
      </w:r>
      <w:r w:rsidRPr="0060146B">
        <w:rPr>
          <w:rFonts w:ascii="Century" w:hAnsi="Century" w:hint="cs"/>
          <w:sz w:val="22"/>
          <w:rtl/>
        </w:rPr>
        <w:t xml:space="preserve"> בהתאם </w:t>
      </w:r>
      <w:proofErr w:type="spellStart"/>
      <w:r w:rsidRPr="0060146B">
        <w:rPr>
          <w:rFonts w:ascii="Century" w:hAnsi="Century" w:hint="cs"/>
          <w:sz w:val="22"/>
          <w:rtl/>
        </w:rPr>
        <w:t>להחזקותיהם</w:t>
      </w:r>
      <w:proofErr w:type="spellEnd"/>
      <w:r w:rsidRPr="0060146B">
        <w:rPr>
          <w:rFonts w:ascii="Century" w:hAnsi="Century" w:hint="cs"/>
          <w:sz w:val="22"/>
          <w:rtl/>
        </w:rPr>
        <w:t xml:space="preserve">. </w:t>
      </w:r>
      <w:r w:rsidRPr="0060146B">
        <w:rPr>
          <w:rFonts w:ascii="Century" w:hAnsi="Century" w:cs="Miriam" w:hint="cs"/>
          <w:b/>
          <w:spacing w:val="0"/>
          <w:sz w:val="22"/>
          <w:szCs w:val="24"/>
          <w:rtl/>
        </w:rPr>
        <w:t>בעלי המניות הנותרים רכשו את מניותיו של הפורש רק אחרי חלוקת הדיבידנד</w:t>
      </w:r>
      <w:r w:rsidRPr="0060146B">
        <w:rPr>
          <w:rFonts w:ascii="Century" w:hAnsi="Century" w:hint="cs"/>
          <w:sz w:val="22"/>
          <w:rtl/>
        </w:rPr>
        <w:t xml:space="preserve"> </w:t>
      </w:r>
      <w:r w:rsidRPr="0060146B">
        <w:rPr>
          <w:rFonts w:ascii="Century" w:hAnsi="Century" w:cs="Miriam" w:hint="cs"/>
          <w:b/>
          <w:spacing w:val="0"/>
          <w:sz w:val="22"/>
          <w:szCs w:val="24"/>
          <w:rtl/>
        </w:rPr>
        <w:t>כאמור</w:t>
      </w:r>
      <w:r w:rsidRPr="009D5A31">
        <w:rPr>
          <w:rFonts w:ascii="Century" w:hAnsi="Century"/>
          <w:sz w:val="22"/>
          <w:rtl/>
        </w:rPr>
        <w:t>.</w:t>
      </w:r>
      <w:r w:rsidRPr="00131278">
        <w:rPr>
          <w:rFonts w:ascii="Century" w:hAnsi="Century" w:hint="cs"/>
          <w:sz w:val="22"/>
          <w:rtl/>
        </w:rPr>
        <w:t xml:space="preserve"> </w:t>
      </w:r>
    </w:p>
    <w:p w:rsidR="00F05533" w:rsidRDefault="00F05533" w:rsidP="00F05533">
      <w:pPr>
        <w:pStyle w:val="Ruller4"/>
        <w:numPr>
          <w:ilvl w:val="0"/>
          <w:numId w:val="0"/>
        </w:numPr>
        <w:rPr>
          <w:rFonts w:ascii="Century" w:hAnsi="Century"/>
          <w:sz w:val="22"/>
        </w:rPr>
      </w:pPr>
    </w:p>
    <w:p w:rsidR="00F05533" w:rsidRPr="00116209" w:rsidRDefault="00F05533" w:rsidP="00F05533">
      <w:pPr>
        <w:pStyle w:val="Ruller4"/>
        <w:rPr>
          <w:rFonts w:ascii="Century" w:hAnsi="Century"/>
          <w:sz w:val="22"/>
        </w:rPr>
      </w:pPr>
      <w:r>
        <w:rPr>
          <w:rFonts w:ascii="Century" w:hAnsi="Century" w:hint="cs"/>
          <w:sz w:val="22"/>
          <w:rtl/>
        </w:rPr>
        <w:t xml:space="preserve">מדוע זה כך? מענה לשאלה זו קשור למשאלתו של ראובן לפרוש מהחברה. אילולא הועלתה משאלה זו, ראובן ושותפתו ספיר היו ממשיכים לנהל את החברה ואת עסקיה כמקודם, שכן ספיר לא </w:t>
      </w:r>
      <w:proofErr w:type="spellStart"/>
      <w:r>
        <w:rPr>
          <w:rFonts w:ascii="Century" w:hAnsi="Century" w:hint="cs"/>
          <w:sz w:val="22"/>
          <w:rtl/>
        </w:rPr>
        <w:t>היתה</w:t>
      </w:r>
      <w:proofErr w:type="spellEnd"/>
      <w:r>
        <w:rPr>
          <w:rFonts w:ascii="Century" w:hAnsi="Century" w:hint="cs"/>
          <w:sz w:val="22"/>
          <w:rtl/>
        </w:rPr>
        <w:t xml:space="preserve"> מעוניינת בפרישתו של ראובן שלמעשה נכפתה עליה. בנסיבות אלו, ואחרי שידענו כי ספיר אינה יכולה </w:t>
      </w:r>
      <w:r>
        <w:rPr>
          <w:rFonts w:ascii="Century" w:hAnsi="Century"/>
          <w:sz w:val="22"/>
          <w:rtl/>
        </w:rPr>
        <w:t>–</w:t>
      </w:r>
      <w:r>
        <w:rPr>
          <w:rFonts w:ascii="Century" w:hAnsi="Century" w:hint="cs"/>
          <w:sz w:val="22"/>
          <w:rtl/>
        </w:rPr>
        <w:t xml:space="preserve"> או, למצער, אינה רוצה </w:t>
      </w:r>
      <w:r>
        <w:rPr>
          <w:rFonts w:ascii="Century" w:hAnsi="Century"/>
          <w:sz w:val="22"/>
          <w:rtl/>
        </w:rPr>
        <w:t>–</w:t>
      </w:r>
      <w:r>
        <w:rPr>
          <w:rFonts w:ascii="Century" w:hAnsi="Century" w:hint="cs"/>
          <w:sz w:val="22"/>
          <w:rtl/>
        </w:rPr>
        <w:t xml:space="preserve"> להביא 5,000,000 ש"ח מכספה כדי לשלם לראובן בעד מניותיו, שאף בהן לא היה לה עניין </w:t>
      </w:r>
      <w:r>
        <w:rPr>
          <w:rFonts w:ascii="Century" w:hAnsi="Century"/>
          <w:sz w:val="22"/>
          <w:rtl/>
        </w:rPr>
        <w:t>–</w:t>
      </w:r>
      <w:r>
        <w:rPr>
          <w:rFonts w:ascii="Century" w:hAnsi="Century" w:hint="cs"/>
          <w:sz w:val="22"/>
          <w:rtl/>
        </w:rPr>
        <w:t xml:space="preserve"> על כורחנו מגיעים אנו למסקנה כי מבחינתה של </w:t>
      </w:r>
      <w:r w:rsidRPr="00116209">
        <w:rPr>
          <w:rFonts w:ascii="Century" w:hAnsi="Century" w:hint="cs"/>
          <w:sz w:val="22"/>
          <w:rtl/>
        </w:rPr>
        <w:t xml:space="preserve">ספיר חלוקת הדיבידנד מהחברה </w:t>
      </w:r>
      <w:r>
        <w:rPr>
          <w:rFonts w:ascii="Century" w:hAnsi="Century" w:hint="cs"/>
          <w:sz w:val="22"/>
          <w:rtl/>
        </w:rPr>
        <w:t xml:space="preserve">מהווה </w:t>
      </w:r>
      <w:r w:rsidRPr="00116209">
        <w:rPr>
          <w:rFonts w:ascii="Century" w:hAnsi="Century" w:hint="cs"/>
          <w:sz w:val="22"/>
          <w:rtl/>
        </w:rPr>
        <w:t xml:space="preserve">תנאי מוקדם לביצוע העסקה המשולשת עם ראובן, וכי לראובן לא </w:t>
      </w:r>
      <w:proofErr w:type="spellStart"/>
      <w:r w:rsidRPr="00116209">
        <w:rPr>
          <w:rFonts w:ascii="Century" w:hAnsi="Century" w:hint="cs"/>
          <w:sz w:val="22"/>
          <w:rtl/>
        </w:rPr>
        <w:t>היתה</w:t>
      </w:r>
      <w:proofErr w:type="spellEnd"/>
      <w:r w:rsidRPr="00116209">
        <w:rPr>
          <w:rFonts w:ascii="Century" w:hAnsi="Century" w:hint="cs"/>
          <w:sz w:val="22"/>
          <w:rtl/>
        </w:rPr>
        <w:t xml:space="preserve"> כל סיבה לגיטימית להתנגד לחלוקת הדיבידנד </w:t>
      </w:r>
      <w:r>
        <w:rPr>
          <w:rFonts w:ascii="Century" w:hAnsi="Century" w:hint="cs"/>
          <w:sz w:val="22"/>
          <w:rtl/>
        </w:rPr>
        <w:t>כ</w:t>
      </w:r>
      <w:r w:rsidRPr="00116209">
        <w:rPr>
          <w:rFonts w:ascii="Century" w:hAnsi="Century" w:hint="cs"/>
          <w:sz w:val="22"/>
          <w:rtl/>
        </w:rPr>
        <w:t xml:space="preserve">אמור </w:t>
      </w:r>
      <w:r w:rsidRPr="00116209">
        <w:rPr>
          <w:rFonts w:ascii="Century" w:hAnsi="Century"/>
          <w:sz w:val="22"/>
          <w:rtl/>
        </w:rPr>
        <w:t>–</w:t>
      </w:r>
      <w:r w:rsidRPr="00116209">
        <w:rPr>
          <w:rFonts w:ascii="Century" w:hAnsi="Century" w:hint="cs"/>
          <w:sz w:val="22"/>
          <w:rtl/>
        </w:rPr>
        <w:t xml:space="preserve"> בהיותו אדיש לאופן ביצוע העסקה לכתחילה. מטעמים אלו, אין כל סיבה מתקבלת על הדעת שבעטיה יש להחמיר עם ספיר ולסווג את הרכישה העצמית שבה עסקינן כדיבידנד רעיוני שמשולם במלואו לה ורק לה. אם החלטת החברה בדבר הרכישה העצמית כמוה כהחלטה בדבר חלוקת דיבידנד, החלטה זו צריכה לחול, בזמן אמת, על כל בעלי המניות, ולא רק על ספיר </w:t>
      </w:r>
      <w:r w:rsidRPr="00116209">
        <w:rPr>
          <w:rFonts w:ascii="Century" w:hAnsi="Century"/>
          <w:sz w:val="22"/>
          <w:rtl/>
        </w:rPr>
        <w:t>–</w:t>
      </w:r>
      <w:r w:rsidRPr="00116209">
        <w:rPr>
          <w:rFonts w:ascii="Century" w:hAnsi="Century" w:hint="cs"/>
          <w:sz w:val="22"/>
          <w:rtl/>
        </w:rPr>
        <w:t xml:space="preserve"> שכן דרכו של דיבידנד להיות מחולק בין כלל בעלי המניות בהתאם </w:t>
      </w:r>
      <w:proofErr w:type="spellStart"/>
      <w:r w:rsidRPr="00116209">
        <w:rPr>
          <w:rFonts w:ascii="Century" w:hAnsi="Century" w:hint="cs"/>
          <w:sz w:val="22"/>
          <w:rtl/>
        </w:rPr>
        <w:t>להחזקותיהם</w:t>
      </w:r>
      <w:proofErr w:type="spellEnd"/>
      <w:r w:rsidRPr="00116209">
        <w:rPr>
          <w:rFonts w:ascii="Century" w:hAnsi="Century" w:hint="cs"/>
          <w:sz w:val="22"/>
          <w:rtl/>
        </w:rPr>
        <w:t xml:space="preserve">. ודוק: העובדה שספיר נהנית מכך שראובן קיבל דיבידנד בסך של 2,500,000 ש"ח אינה בגדר הטבה טעונת מס. זאת, מאחר שראובן </w:t>
      </w:r>
      <w:r w:rsidRPr="00116209">
        <w:rPr>
          <w:rFonts w:ascii="Century" w:hAnsi="Century" w:cs="Miriam" w:hint="cs"/>
          <w:b/>
          <w:spacing w:val="0"/>
          <w:sz w:val="22"/>
          <w:szCs w:val="24"/>
          <w:rtl/>
        </w:rPr>
        <w:t>היה זכאי מלכתחילה</w:t>
      </w:r>
      <w:r w:rsidRPr="00116209">
        <w:rPr>
          <w:rFonts w:ascii="Century" w:hAnsi="Century" w:hint="cs"/>
          <w:sz w:val="22"/>
          <w:rtl/>
        </w:rPr>
        <w:t xml:space="preserve"> לקבל סכום זה כבעל מניות שווה-זכויות בחברה, כל אימת שהחברה מחליטה לחלק דיבידנד.  </w:t>
      </w:r>
    </w:p>
    <w:p w:rsidR="00F05533" w:rsidRDefault="00F05533" w:rsidP="00F05533">
      <w:pPr>
        <w:pStyle w:val="Ruller4"/>
        <w:numPr>
          <w:ilvl w:val="0"/>
          <w:numId w:val="0"/>
        </w:numPr>
        <w:rPr>
          <w:rFonts w:ascii="Century" w:hAnsi="Century"/>
          <w:sz w:val="22"/>
        </w:rPr>
      </w:pPr>
    </w:p>
    <w:p w:rsidR="00F05533" w:rsidRPr="00116209" w:rsidRDefault="00F05533" w:rsidP="00F05533">
      <w:pPr>
        <w:pStyle w:val="Ruller4"/>
        <w:rPr>
          <w:rFonts w:ascii="Century" w:hAnsi="Century"/>
          <w:sz w:val="22"/>
          <w:rtl/>
        </w:rPr>
      </w:pPr>
      <w:r>
        <w:rPr>
          <w:rFonts w:ascii="Century" w:hAnsi="Century" w:hint="cs"/>
          <w:sz w:val="22"/>
          <w:rtl/>
        </w:rPr>
        <w:t xml:space="preserve">ומכאן לדוגמא נוספת </w:t>
      </w:r>
      <w:r w:rsidRPr="00C515ED">
        <w:rPr>
          <w:rFonts w:ascii="Century" w:hAnsi="Century"/>
          <w:sz w:val="22"/>
          <w:rtl/>
        </w:rPr>
        <w:t>–</w:t>
      </w:r>
      <w:r w:rsidRPr="00C515ED">
        <w:rPr>
          <w:rFonts w:ascii="Century" w:hAnsi="Century" w:hint="cs"/>
          <w:sz w:val="22"/>
          <w:rtl/>
        </w:rPr>
        <w:t xml:space="preserve"> </w:t>
      </w:r>
      <w:r w:rsidRPr="00C515ED">
        <w:rPr>
          <w:rFonts w:ascii="Century" w:hAnsi="Century" w:cs="Miriam" w:hint="cs"/>
          <w:b/>
          <w:spacing w:val="0"/>
          <w:sz w:val="22"/>
          <w:szCs w:val="24"/>
          <w:rtl/>
        </w:rPr>
        <w:t>דוגמא ב'</w:t>
      </w:r>
      <w:r w:rsidRPr="00C515ED">
        <w:rPr>
          <w:rFonts w:ascii="Century" w:hAnsi="Century" w:hint="cs"/>
          <w:sz w:val="22"/>
          <w:rtl/>
        </w:rPr>
        <w:t xml:space="preserve"> </w:t>
      </w:r>
      <w:r w:rsidRPr="00C515ED">
        <w:rPr>
          <w:rFonts w:ascii="Century" w:hAnsi="Century"/>
          <w:sz w:val="22"/>
          <w:rtl/>
        </w:rPr>
        <w:t>–</w:t>
      </w:r>
      <w:r>
        <w:rPr>
          <w:rFonts w:ascii="Century" w:hAnsi="Century" w:hint="cs"/>
          <w:sz w:val="22"/>
          <w:rtl/>
        </w:rPr>
        <w:t xml:space="preserve"> שעובדותיה זהות לאלה של </w:t>
      </w:r>
      <w:r w:rsidRPr="00996A65">
        <w:rPr>
          <w:rFonts w:ascii="Century" w:hAnsi="Century" w:cs="Miriam" w:hint="cs"/>
          <w:b/>
          <w:spacing w:val="0"/>
          <w:sz w:val="22"/>
          <w:szCs w:val="24"/>
          <w:rtl/>
        </w:rPr>
        <w:t>דוגמא א'</w:t>
      </w:r>
      <w:r>
        <w:rPr>
          <w:rFonts w:ascii="Century" w:hAnsi="Century" w:hint="cs"/>
          <w:sz w:val="22"/>
          <w:rtl/>
        </w:rPr>
        <w:t xml:space="preserve">, למעט פרט אחד: ראובן וספיר אינם עוד מסתדרים ביניהם כי יש ביניהם קרע שאינו ניתן לגישור. </w:t>
      </w:r>
      <w:r w:rsidRPr="00116209">
        <w:rPr>
          <w:rFonts w:ascii="Century" w:hAnsi="Century" w:hint="cs"/>
          <w:sz w:val="22"/>
          <w:rtl/>
        </w:rPr>
        <w:t xml:space="preserve">אחרי דין ודברים, מתברר כי ספיר מעוניינת להמשיך ולנהל את החברה בלעדי ראובן; היא אינה חפצה במכירת מניותיה בחברה; בשעה שראובן מצדו מוכן להמשיך בניהול החברה עם ספיר או בלעדיה, וכן מוכן  גם לפרוש מהחברה </w:t>
      </w:r>
      <w:r w:rsidRPr="00116209">
        <w:rPr>
          <w:rFonts w:ascii="Century" w:hAnsi="Century"/>
          <w:sz w:val="22"/>
          <w:rtl/>
        </w:rPr>
        <w:t>–</w:t>
      </w:r>
      <w:r w:rsidRPr="00116209">
        <w:rPr>
          <w:rFonts w:ascii="Century" w:hAnsi="Century" w:hint="cs"/>
          <w:sz w:val="22"/>
          <w:rtl/>
        </w:rPr>
        <w:t xml:space="preserve"> אולם זאת, רק אם יקבל את שווי מניותיו, 5,000,000 ש"ח. בנסיבות אלו, רכישת מניותיו של ראובן על ידי החברה תמורת 5,000,000 ש"ח כמוה כמתן מימון לספיר כדי שזו תוכל לקנות את שליטתה המלאה בחברה. בנסיבות אלה, מן הדין לראות בספיר כמי שמשכה 5,000,000 ש"ח מקופת החברה כדי לקנות את פרישתו המלאה של ראובן מהחברה ואת הרדמת מניותיו באופן שמעלה את </w:t>
      </w:r>
      <w:proofErr w:type="spellStart"/>
      <w:r w:rsidRPr="00116209">
        <w:rPr>
          <w:rFonts w:ascii="Century" w:hAnsi="Century" w:hint="cs"/>
          <w:sz w:val="22"/>
          <w:rtl/>
        </w:rPr>
        <w:t>החזקותיה</w:t>
      </w:r>
      <w:proofErr w:type="spellEnd"/>
      <w:r w:rsidRPr="00116209">
        <w:rPr>
          <w:rFonts w:ascii="Century" w:hAnsi="Century" w:hint="cs"/>
          <w:sz w:val="22"/>
          <w:rtl/>
        </w:rPr>
        <w:t xml:space="preserve"> של ספיר בחברה מ-50% ל-100% </w:t>
      </w:r>
      <w:r w:rsidRPr="00116209">
        <w:rPr>
          <w:rFonts w:ascii="Century" w:hAnsi="Century"/>
          <w:sz w:val="22"/>
          <w:rtl/>
        </w:rPr>
        <w:t>–</w:t>
      </w:r>
      <w:r w:rsidRPr="00116209">
        <w:rPr>
          <w:rFonts w:ascii="Century" w:hAnsi="Century" w:hint="cs"/>
          <w:sz w:val="22"/>
          <w:rtl/>
        </w:rPr>
        <w:t xml:space="preserve"> כטענתה </w:t>
      </w:r>
      <w:r w:rsidRPr="00116209">
        <w:rPr>
          <w:rFonts w:ascii="Century" w:hAnsi="Century" w:hint="cs"/>
          <w:sz w:val="22"/>
          <w:rtl/>
        </w:rPr>
        <w:lastRenderedPageBreak/>
        <w:t xml:space="preserve">העיקרית של רשות המיסים וכדברי </w:t>
      </w:r>
      <w:r w:rsidRPr="00116209">
        <w:rPr>
          <w:rFonts w:ascii="Century" w:hAnsi="Century" w:cs="Miriam" w:hint="cs"/>
          <w:b/>
          <w:spacing w:val="0"/>
          <w:sz w:val="22"/>
          <w:szCs w:val="24"/>
          <w:rtl/>
        </w:rPr>
        <w:t>קריב</w:t>
      </w:r>
      <w:r w:rsidRPr="00116209">
        <w:rPr>
          <w:rFonts w:ascii="Century" w:hAnsi="Century" w:hint="cs"/>
          <w:sz w:val="22"/>
          <w:rtl/>
        </w:rPr>
        <w:t>. ספיר תהא אפוא חייבת לשלם מס על קבלת דיבידנד בסך של 5,000,000 ש"ח, זולת אם תחזיר סכום זה, בתוספת ריבית מקובלת, לקופת החברה כדרכם של החזרי הלוואות-בעלים. ראובן מצדו יהא חייב במס רווחי הון בגין הרווח הריאלי שמניותיו הצמיחו לו. בנסיבות אלה, אין סיבה להניח כי ספיר וראובן הסכימו במאוחד על חלוקת הדיבידנד כתנאי לרכישת המניות. זאת, מאחר שראובן אינו כופה דבר או חצי-דבר על ספיר. מבחינתו של ראובן, ספיר יכולה למכור את כל מניותיה לו או לאדם אחר שיהא מוכן לשתף עמו פעולה.</w:t>
      </w:r>
    </w:p>
    <w:p w:rsidR="00F05533" w:rsidRPr="003E615A" w:rsidRDefault="00F05533" w:rsidP="00F05533">
      <w:pPr>
        <w:pStyle w:val="Ruller41"/>
      </w:pPr>
    </w:p>
    <w:p w:rsidR="00F05533" w:rsidRDefault="00F05533" w:rsidP="00F05533">
      <w:pPr>
        <w:pStyle w:val="Ruller4"/>
      </w:pPr>
      <w:r w:rsidRPr="00EF1248">
        <w:rPr>
          <w:rFonts w:cs="Miriam" w:hint="cs"/>
          <w:b/>
          <w:spacing w:val="0"/>
          <w:szCs w:val="24"/>
          <w:rtl/>
        </w:rPr>
        <w:t xml:space="preserve">בדוגמאות א' </w:t>
      </w:r>
      <w:r w:rsidRPr="00C94194">
        <w:rPr>
          <w:rFonts w:hint="cs"/>
          <w:rtl/>
        </w:rPr>
        <w:t>ו</w:t>
      </w:r>
      <w:r w:rsidRPr="00EF1248">
        <w:rPr>
          <w:rFonts w:cs="Miriam" w:hint="cs"/>
          <w:b/>
          <w:spacing w:val="0"/>
          <w:szCs w:val="24"/>
          <w:rtl/>
        </w:rPr>
        <w:t>-ב'</w:t>
      </w:r>
      <w:r>
        <w:rPr>
          <w:rFonts w:hint="cs"/>
          <w:rtl/>
        </w:rPr>
        <w:t xml:space="preserve">, מטרתה הדומיננטית, אם לא הבלעדית, של עסקת הרכישה העצמית שעשתה החברה היא הגשמת מטרותיהם האישיות של שני בעלי המניות, ספיר וראובן. </w:t>
      </w:r>
      <w:r w:rsidRPr="002C10F5">
        <w:rPr>
          <w:rFonts w:ascii="Century" w:hAnsi="Century" w:cs="Miriam" w:hint="eastAsia"/>
          <w:b/>
          <w:spacing w:val="0"/>
          <w:sz w:val="22"/>
          <w:szCs w:val="24"/>
          <w:rtl/>
        </w:rPr>
        <w:t>בדוגמא</w:t>
      </w:r>
      <w:r w:rsidRPr="002C10F5">
        <w:rPr>
          <w:rFonts w:ascii="Century" w:hAnsi="Century" w:cs="Miriam"/>
          <w:b/>
          <w:spacing w:val="0"/>
          <w:sz w:val="22"/>
          <w:szCs w:val="24"/>
          <w:rtl/>
        </w:rPr>
        <w:t xml:space="preserve"> </w:t>
      </w:r>
      <w:r w:rsidRPr="002C10F5">
        <w:rPr>
          <w:rFonts w:ascii="Century" w:hAnsi="Century" w:cs="Miriam" w:hint="eastAsia"/>
          <w:b/>
          <w:spacing w:val="0"/>
          <w:sz w:val="22"/>
          <w:szCs w:val="24"/>
          <w:rtl/>
        </w:rPr>
        <w:t>א</w:t>
      </w:r>
      <w:r w:rsidRPr="002C10F5">
        <w:rPr>
          <w:rFonts w:ascii="Century" w:hAnsi="Century" w:cs="Miriam"/>
          <w:b/>
          <w:spacing w:val="0"/>
          <w:sz w:val="22"/>
          <w:szCs w:val="24"/>
          <w:rtl/>
        </w:rPr>
        <w:t>'</w:t>
      </w:r>
      <w:r w:rsidRPr="002C10F5">
        <w:rPr>
          <w:rFonts w:ascii="Century" w:hAnsi="Century"/>
          <w:sz w:val="22"/>
          <w:rtl/>
        </w:rPr>
        <w:t xml:space="preserve"> </w:t>
      </w:r>
      <w:r w:rsidRPr="002C10F5">
        <w:rPr>
          <w:rFonts w:ascii="Century" w:hAnsi="Century" w:hint="eastAsia"/>
          <w:sz w:val="22"/>
          <w:rtl/>
        </w:rPr>
        <w:t>הרכישה</w:t>
      </w:r>
      <w:r w:rsidRPr="002C10F5">
        <w:rPr>
          <w:rFonts w:ascii="Century" w:hAnsi="Century"/>
          <w:sz w:val="22"/>
          <w:rtl/>
        </w:rPr>
        <w:t xml:space="preserve"> </w:t>
      </w:r>
      <w:r w:rsidRPr="002C10F5">
        <w:rPr>
          <w:rFonts w:ascii="Century" w:hAnsi="Century" w:hint="eastAsia"/>
          <w:sz w:val="22"/>
          <w:rtl/>
        </w:rPr>
        <w:t>נועדה</w:t>
      </w:r>
      <w:r w:rsidRPr="002C10F5">
        <w:rPr>
          <w:rFonts w:ascii="Century" w:hAnsi="Century"/>
          <w:sz w:val="22"/>
          <w:rtl/>
        </w:rPr>
        <w:t xml:space="preserve"> </w:t>
      </w:r>
      <w:r w:rsidRPr="002C10F5">
        <w:rPr>
          <w:rFonts w:ascii="Century" w:hAnsi="Century" w:hint="eastAsia"/>
          <w:sz w:val="22"/>
          <w:rtl/>
        </w:rPr>
        <w:t>לשרת</w:t>
      </w:r>
      <w:r w:rsidRPr="002C10F5">
        <w:rPr>
          <w:rFonts w:ascii="Century" w:hAnsi="Century"/>
          <w:sz w:val="22"/>
          <w:rtl/>
        </w:rPr>
        <w:t xml:space="preserve"> </w:t>
      </w:r>
      <w:r w:rsidRPr="002C10F5">
        <w:rPr>
          <w:rFonts w:ascii="Century" w:hAnsi="Century" w:hint="eastAsia"/>
          <w:sz w:val="22"/>
          <w:rtl/>
        </w:rPr>
        <w:t>אינטרס</w:t>
      </w:r>
      <w:r w:rsidRPr="002C10F5">
        <w:rPr>
          <w:rFonts w:ascii="Century" w:hAnsi="Century"/>
          <w:sz w:val="22"/>
          <w:rtl/>
        </w:rPr>
        <w:t xml:space="preserve"> </w:t>
      </w:r>
      <w:r w:rsidRPr="002C10F5">
        <w:rPr>
          <w:rFonts w:ascii="Century" w:hAnsi="Century" w:hint="eastAsia"/>
          <w:sz w:val="22"/>
          <w:rtl/>
        </w:rPr>
        <w:t>משותף</w:t>
      </w:r>
      <w:r w:rsidRPr="002C10F5">
        <w:rPr>
          <w:rFonts w:ascii="Century" w:hAnsi="Century"/>
          <w:sz w:val="22"/>
          <w:rtl/>
        </w:rPr>
        <w:t xml:space="preserve"> </w:t>
      </w:r>
      <w:r w:rsidRPr="002C10F5">
        <w:rPr>
          <w:rFonts w:ascii="Century" w:hAnsi="Century" w:hint="eastAsia"/>
          <w:sz w:val="22"/>
          <w:rtl/>
        </w:rPr>
        <w:t>הן</w:t>
      </w:r>
      <w:r w:rsidRPr="002C10F5">
        <w:rPr>
          <w:rFonts w:ascii="Century" w:hAnsi="Century"/>
          <w:sz w:val="22"/>
          <w:rtl/>
        </w:rPr>
        <w:t xml:space="preserve"> </w:t>
      </w:r>
      <w:r w:rsidRPr="002C10F5">
        <w:rPr>
          <w:rFonts w:ascii="Century" w:hAnsi="Century" w:hint="eastAsia"/>
          <w:sz w:val="22"/>
          <w:rtl/>
        </w:rPr>
        <w:t>של</w:t>
      </w:r>
      <w:r w:rsidRPr="002C10F5">
        <w:rPr>
          <w:rFonts w:ascii="Century" w:hAnsi="Century"/>
          <w:sz w:val="22"/>
          <w:rtl/>
        </w:rPr>
        <w:t xml:space="preserve"> </w:t>
      </w:r>
      <w:r w:rsidRPr="002C10F5">
        <w:rPr>
          <w:rFonts w:ascii="Century" w:hAnsi="Century" w:hint="eastAsia"/>
          <w:sz w:val="22"/>
          <w:rtl/>
        </w:rPr>
        <w:t>בעל</w:t>
      </w:r>
      <w:r w:rsidRPr="002C10F5">
        <w:rPr>
          <w:rFonts w:ascii="Century" w:hAnsi="Century" w:hint="cs"/>
          <w:sz w:val="22"/>
          <w:rtl/>
        </w:rPr>
        <w:t>ת</w:t>
      </w:r>
      <w:r w:rsidRPr="002C10F5">
        <w:rPr>
          <w:rFonts w:ascii="Century" w:hAnsi="Century"/>
          <w:sz w:val="22"/>
          <w:rtl/>
        </w:rPr>
        <w:t xml:space="preserve"> </w:t>
      </w:r>
      <w:r w:rsidRPr="002C10F5">
        <w:rPr>
          <w:rFonts w:ascii="Century" w:hAnsi="Century" w:hint="eastAsia"/>
          <w:sz w:val="22"/>
          <w:rtl/>
        </w:rPr>
        <w:t>המניות</w:t>
      </w:r>
      <w:r w:rsidRPr="002C10F5">
        <w:rPr>
          <w:rFonts w:ascii="Century" w:hAnsi="Century"/>
          <w:sz w:val="22"/>
          <w:rtl/>
        </w:rPr>
        <w:t xml:space="preserve"> </w:t>
      </w:r>
      <w:r w:rsidRPr="002C10F5">
        <w:rPr>
          <w:rFonts w:ascii="Century" w:hAnsi="Century" w:hint="eastAsia"/>
          <w:sz w:val="22"/>
          <w:rtl/>
        </w:rPr>
        <w:t>הנותר</w:t>
      </w:r>
      <w:r w:rsidRPr="002C10F5">
        <w:rPr>
          <w:rFonts w:ascii="Century" w:hAnsi="Century" w:hint="cs"/>
          <w:sz w:val="22"/>
          <w:rtl/>
        </w:rPr>
        <w:t>ת</w:t>
      </w:r>
      <w:r w:rsidRPr="002C10F5">
        <w:rPr>
          <w:rFonts w:ascii="Century" w:hAnsi="Century"/>
          <w:sz w:val="22"/>
          <w:rtl/>
        </w:rPr>
        <w:t xml:space="preserve"> </w:t>
      </w:r>
      <w:r w:rsidRPr="002C10F5">
        <w:rPr>
          <w:rFonts w:ascii="Century" w:hAnsi="Century" w:hint="cs"/>
          <w:sz w:val="22"/>
          <w:rtl/>
        </w:rPr>
        <w:t xml:space="preserve">בחברה </w:t>
      </w:r>
      <w:r w:rsidRPr="002C10F5">
        <w:rPr>
          <w:rFonts w:ascii="Century" w:hAnsi="Century" w:hint="eastAsia"/>
          <w:sz w:val="22"/>
          <w:rtl/>
        </w:rPr>
        <w:t>והן</w:t>
      </w:r>
      <w:r w:rsidRPr="002C10F5">
        <w:rPr>
          <w:rFonts w:ascii="Century" w:hAnsi="Century"/>
          <w:sz w:val="22"/>
          <w:rtl/>
        </w:rPr>
        <w:t xml:space="preserve"> </w:t>
      </w:r>
      <w:r w:rsidRPr="002C10F5">
        <w:rPr>
          <w:rFonts w:ascii="Century" w:hAnsi="Century" w:hint="eastAsia"/>
          <w:sz w:val="22"/>
          <w:rtl/>
        </w:rPr>
        <w:t>של</w:t>
      </w:r>
      <w:r w:rsidRPr="002C10F5">
        <w:rPr>
          <w:rFonts w:ascii="Century" w:hAnsi="Century"/>
          <w:sz w:val="22"/>
          <w:rtl/>
        </w:rPr>
        <w:t xml:space="preserve"> </w:t>
      </w:r>
      <w:r w:rsidRPr="002C10F5">
        <w:rPr>
          <w:rFonts w:ascii="Century" w:hAnsi="Century" w:hint="eastAsia"/>
          <w:sz w:val="22"/>
          <w:rtl/>
        </w:rPr>
        <w:t>בעל</w:t>
      </w:r>
      <w:r w:rsidRPr="002C10F5">
        <w:rPr>
          <w:rFonts w:ascii="Century" w:hAnsi="Century"/>
          <w:sz w:val="22"/>
          <w:rtl/>
        </w:rPr>
        <w:t xml:space="preserve"> </w:t>
      </w:r>
      <w:r w:rsidRPr="002C10F5">
        <w:rPr>
          <w:rFonts w:ascii="Century" w:hAnsi="Century" w:hint="eastAsia"/>
          <w:sz w:val="22"/>
          <w:rtl/>
        </w:rPr>
        <w:t>המניות</w:t>
      </w:r>
      <w:r w:rsidRPr="002C10F5">
        <w:rPr>
          <w:rFonts w:ascii="Century" w:hAnsi="Century"/>
          <w:sz w:val="22"/>
          <w:rtl/>
        </w:rPr>
        <w:t xml:space="preserve"> </w:t>
      </w:r>
      <w:r w:rsidRPr="002C10F5">
        <w:rPr>
          <w:rFonts w:ascii="Century" w:hAnsi="Century" w:hint="eastAsia"/>
          <w:sz w:val="22"/>
          <w:rtl/>
        </w:rPr>
        <w:t>הפורש</w:t>
      </w:r>
      <w:r w:rsidRPr="002C10F5">
        <w:rPr>
          <w:rFonts w:ascii="Century" w:hAnsi="Century"/>
          <w:sz w:val="22"/>
          <w:rtl/>
        </w:rPr>
        <w:t xml:space="preserve">; </w:t>
      </w:r>
      <w:r w:rsidRPr="002C10F5">
        <w:rPr>
          <w:rFonts w:ascii="Century" w:hAnsi="Century" w:hint="eastAsia"/>
          <w:sz w:val="22"/>
          <w:rtl/>
        </w:rPr>
        <w:t>ואילו</w:t>
      </w:r>
      <w:r w:rsidRPr="002C10F5">
        <w:rPr>
          <w:rFonts w:ascii="Century" w:hAnsi="Century"/>
          <w:sz w:val="22"/>
          <w:rtl/>
        </w:rPr>
        <w:t xml:space="preserve"> </w:t>
      </w:r>
      <w:r w:rsidRPr="002C10F5">
        <w:rPr>
          <w:rFonts w:ascii="Century" w:hAnsi="Century" w:cs="Miriam" w:hint="eastAsia"/>
          <w:b/>
          <w:spacing w:val="0"/>
          <w:sz w:val="22"/>
          <w:szCs w:val="24"/>
          <w:rtl/>
        </w:rPr>
        <w:t>בדוגמא</w:t>
      </w:r>
      <w:r w:rsidRPr="002C10F5">
        <w:rPr>
          <w:rFonts w:ascii="Century" w:hAnsi="Century" w:cs="Miriam"/>
          <w:b/>
          <w:spacing w:val="0"/>
          <w:sz w:val="22"/>
          <w:szCs w:val="24"/>
          <w:rtl/>
        </w:rPr>
        <w:t xml:space="preserve"> </w:t>
      </w:r>
      <w:r w:rsidRPr="002C10F5">
        <w:rPr>
          <w:rFonts w:ascii="Century" w:hAnsi="Century" w:cs="Miriam" w:hint="eastAsia"/>
          <w:b/>
          <w:spacing w:val="0"/>
          <w:sz w:val="22"/>
          <w:szCs w:val="24"/>
          <w:rtl/>
        </w:rPr>
        <w:t>ב</w:t>
      </w:r>
      <w:r w:rsidRPr="002C10F5">
        <w:rPr>
          <w:rFonts w:ascii="Century" w:hAnsi="Century" w:cs="Miriam"/>
          <w:b/>
          <w:spacing w:val="0"/>
          <w:sz w:val="22"/>
          <w:szCs w:val="24"/>
          <w:rtl/>
        </w:rPr>
        <w:t>'</w:t>
      </w:r>
      <w:r w:rsidRPr="002C10F5">
        <w:rPr>
          <w:rFonts w:ascii="Century" w:hAnsi="Century"/>
          <w:sz w:val="22"/>
          <w:rtl/>
        </w:rPr>
        <w:t xml:space="preserve"> </w:t>
      </w:r>
      <w:r w:rsidRPr="002C10F5">
        <w:rPr>
          <w:rFonts w:ascii="Century" w:hAnsi="Century" w:hint="eastAsia"/>
          <w:sz w:val="22"/>
          <w:rtl/>
        </w:rPr>
        <w:t>הרכישה</w:t>
      </w:r>
      <w:r w:rsidRPr="002C10F5">
        <w:rPr>
          <w:rFonts w:ascii="Century" w:hAnsi="Century"/>
          <w:sz w:val="22"/>
          <w:rtl/>
        </w:rPr>
        <w:t xml:space="preserve"> </w:t>
      </w:r>
      <w:r w:rsidRPr="002C10F5">
        <w:rPr>
          <w:rFonts w:ascii="Century" w:hAnsi="Century" w:hint="eastAsia"/>
          <w:sz w:val="22"/>
          <w:rtl/>
        </w:rPr>
        <w:t>נועדה</w:t>
      </w:r>
      <w:r w:rsidRPr="002C10F5">
        <w:rPr>
          <w:rFonts w:ascii="Century" w:hAnsi="Century"/>
          <w:sz w:val="22"/>
          <w:rtl/>
        </w:rPr>
        <w:t xml:space="preserve"> </w:t>
      </w:r>
      <w:r w:rsidRPr="002C10F5">
        <w:rPr>
          <w:rFonts w:ascii="Century" w:hAnsi="Century" w:hint="eastAsia"/>
          <w:sz w:val="22"/>
          <w:rtl/>
        </w:rPr>
        <w:t>לשרת</w:t>
      </w:r>
      <w:r w:rsidRPr="002C10F5">
        <w:rPr>
          <w:rFonts w:ascii="Century" w:hAnsi="Century" w:hint="cs"/>
          <w:sz w:val="22"/>
          <w:rtl/>
        </w:rPr>
        <w:t>, בראש ובראשונה,</w:t>
      </w:r>
      <w:r w:rsidRPr="002C10F5">
        <w:rPr>
          <w:rFonts w:ascii="Century" w:hAnsi="Century"/>
          <w:sz w:val="22"/>
          <w:rtl/>
        </w:rPr>
        <w:t xml:space="preserve"> </w:t>
      </w:r>
      <w:r w:rsidRPr="002C10F5">
        <w:rPr>
          <w:rFonts w:ascii="Century" w:hAnsi="Century" w:hint="eastAsia"/>
          <w:sz w:val="22"/>
          <w:rtl/>
        </w:rPr>
        <w:t>את</w:t>
      </w:r>
      <w:r w:rsidRPr="002C10F5">
        <w:rPr>
          <w:rFonts w:ascii="Century" w:hAnsi="Century"/>
          <w:sz w:val="22"/>
          <w:rtl/>
        </w:rPr>
        <w:t xml:space="preserve"> </w:t>
      </w:r>
      <w:r w:rsidRPr="002C10F5">
        <w:rPr>
          <w:rFonts w:ascii="Century" w:hAnsi="Century" w:hint="eastAsia"/>
          <w:sz w:val="22"/>
          <w:rtl/>
        </w:rPr>
        <w:t>האינטרס</w:t>
      </w:r>
      <w:r w:rsidRPr="002C10F5">
        <w:rPr>
          <w:rFonts w:ascii="Century" w:hAnsi="Century"/>
          <w:sz w:val="22"/>
          <w:rtl/>
        </w:rPr>
        <w:t xml:space="preserve"> </w:t>
      </w:r>
      <w:r w:rsidRPr="002C10F5">
        <w:rPr>
          <w:rFonts w:ascii="Century" w:hAnsi="Century" w:hint="eastAsia"/>
          <w:sz w:val="22"/>
          <w:rtl/>
        </w:rPr>
        <w:t>של</w:t>
      </w:r>
      <w:r w:rsidRPr="002C10F5">
        <w:rPr>
          <w:rFonts w:ascii="Century" w:hAnsi="Century"/>
          <w:sz w:val="22"/>
          <w:rtl/>
        </w:rPr>
        <w:t xml:space="preserve"> </w:t>
      </w:r>
      <w:r w:rsidRPr="002C10F5">
        <w:rPr>
          <w:rFonts w:ascii="Century" w:hAnsi="Century" w:hint="eastAsia"/>
          <w:sz w:val="22"/>
          <w:rtl/>
        </w:rPr>
        <w:t>בעל</w:t>
      </w:r>
      <w:r w:rsidRPr="002C10F5">
        <w:rPr>
          <w:rFonts w:ascii="Century" w:hAnsi="Century" w:hint="cs"/>
          <w:sz w:val="22"/>
          <w:rtl/>
        </w:rPr>
        <w:t>ת</w:t>
      </w:r>
      <w:r w:rsidRPr="002C10F5">
        <w:rPr>
          <w:rFonts w:ascii="Century" w:hAnsi="Century"/>
          <w:sz w:val="22"/>
          <w:rtl/>
        </w:rPr>
        <w:t xml:space="preserve"> </w:t>
      </w:r>
      <w:r w:rsidRPr="002C10F5">
        <w:rPr>
          <w:rFonts w:ascii="Century" w:hAnsi="Century" w:hint="eastAsia"/>
          <w:sz w:val="22"/>
          <w:rtl/>
        </w:rPr>
        <w:t>המניות</w:t>
      </w:r>
      <w:r w:rsidRPr="002C10F5">
        <w:rPr>
          <w:rFonts w:ascii="Century" w:hAnsi="Century"/>
          <w:sz w:val="22"/>
          <w:rtl/>
        </w:rPr>
        <w:t xml:space="preserve"> </w:t>
      </w:r>
      <w:r w:rsidRPr="002C10F5">
        <w:rPr>
          <w:rFonts w:ascii="Century" w:hAnsi="Century" w:hint="eastAsia"/>
          <w:sz w:val="22"/>
          <w:rtl/>
        </w:rPr>
        <w:t>הנותר</w:t>
      </w:r>
      <w:r w:rsidRPr="002C10F5">
        <w:rPr>
          <w:rFonts w:ascii="Century" w:hAnsi="Century" w:hint="cs"/>
          <w:sz w:val="22"/>
          <w:rtl/>
        </w:rPr>
        <w:t>ת בחברה</w:t>
      </w:r>
      <w:r w:rsidRPr="002C10F5">
        <w:rPr>
          <w:rFonts w:ascii="Century" w:hAnsi="Century"/>
          <w:sz w:val="22"/>
          <w:rtl/>
        </w:rPr>
        <w:t>.</w:t>
      </w:r>
      <w:r w:rsidRPr="002C10F5">
        <w:rPr>
          <w:rFonts w:ascii="Century" w:hAnsi="Century" w:hint="cs"/>
          <w:sz w:val="22"/>
          <w:rtl/>
        </w:rPr>
        <w:t xml:space="preserve"> </w:t>
      </w:r>
      <w:r w:rsidRPr="002C10F5">
        <w:rPr>
          <w:rFonts w:ascii="Century" w:hAnsi="Century" w:hint="eastAsia"/>
          <w:sz w:val="22"/>
          <w:rtl/>
        </w:rPr>
        <w:t>מכאן</w:t>
      </w:r>
      <w:r w:rsidRPr="002C10F5">
        <w:rPr>
          <w:rFonts w:ascii="Century" w:hAnsi="Century"/>
          <w:sz w:val="22"/>
          <w:rtl/>
        </w:rPr>
        <w:t xml:space="preserve"> </w:t>
      </w:r>
      <w:r w:rsidRPr="002C10F5">
        <w:rPr>
          <w:rFonts w:ascii="Century" w:hAnsi="Century" w:hint="eastAsia"/>
          <w:sz w:val="22"/>
          <w:rtl/>
        </w:rPr>
        <w:t>ההבדל</w:t>
      </w:r>
      <w:r w:rsidRPr="002C10F5">
        <w:rPr>
          <w:rFonts w:ascii="Century" w:hAnsi="Century"/>
          <w:sz w:val="22"/>
          <w:rtl/>
        </w:rPr>
        <w:t xml:space="preserve"> </w:t>
      </w:r>
      <w:r w:rsidRPr="002C10F5">
        <w:rPr>
          <w:rFonts w:ascii="Century" w:hAnsi="Century" w:hint="eastAsia"/>
          <w:sz w:val="22"/>
          <w:rtl/>
        </w:rPr>
        <w:t>באשר</w:t>
      </w:r>
      <w:r w:rsidRPr="002C10F5">
        <w:rPr>
          <w:rFonts w:ascii="Century" w:hAnsi="Century"/>
          <w:sz w:val="22"/>
          <w:rtl/>
        </w:rPr>
        <w:t xml:space="preserve"> </w:t>
      </w:r>
      <w:r w:rsidRPr="002C10F5">
        <w:rPr>
          <w:rFonts w:ascii="Century" w:hAnsi="Century" w:hint="eastAsia"/>
          <w:sz w:val="22"/>
          <w:rtl/>
        </w:rPr>
        <w:t>להחלטה</w:t>
      </w:r>
      <w:r w:rsidRPr="002C10F5">
        <w:rPr>
          <w:rFonts w:ascii="Century" w:hAnsi="Century"/>
          <w:sz w:val="22"/>
          <w:rtl/>
        </w:rPr>
        <w:t xml:space="preserve"> </w:t>
      </w:r>
      <w:r w:rsidRPr="002C10F5">
        <w:rPr>
          <w:rFonts w:ascii="Century" w:hAnsi="Century" w:hint="eastAsia"/>
          <w:sz w:val="22"/>
          <w:rtl/>
        </w:rPr>
        <w:t>האם</w:t>
      </w:r>
      <w:r w:rsidRPr="002C10F5">
        <w:rPr>
          <w:rFonts w:ascii="Century" w:hAnsi="Century"/>
          <w:sz w:val="22"/>
          <w:rtl/>
        </w:rPr>
        <w:t xml:space="preserve"> </w:t>
      </w:r>
      <w:r w:rsidRPr="002C10F5">
        <w:rPr>
          <w:rFonts w:ascii="Century" w:hAnsi="Century" w:hint="eastAsia"/>
          <w:sz w:val="22"/>
          <w:rtl/>
        </w:rPr>
        <w:t>משיכת</w:t>
      </w:r>
      <w:r w:rsidRPr="002C10F5">
        <w:rPr>
          <w:rFonts w:ascii="Century" w:hAnsi="Century"/>
          <w:sz w:val="22"/>
          <w:rtl/>
        </w:rPr>
        <w:t xml:space="preserve"> </w:t>
      </w:r>
      <w:r w:rsidRPr="002C10F5">
        <w:rPr>
          <w:rFonts w:ascii="Century" w:hAnsi="Century" w:hint="eastAsia"/>
          <w:sz w:val="22"/>
          <w:rtl/>
        </w:rPr>
        <w:t>הדיבידנד</w:t>
      </w:r>
      <w:r w:rsidRPr="002C10F5">
        <w:rPr>
          <w:rFonts w:ascii="Century" w:hAnsi="Century"/>
          <w:sz w:val="22"/>
          <w:rtl/>
        </w:rPr>
        <w:t xml:space="preserve"> </w:t>
      </w:r>
      <w:r w:rsidRPr="002C10F5">
        <w:rPr>
          <w:rFonts w:ascii="Century" w:hAnsi="Century" w:hint="eastAsia"/>
          <w:sz w:val="22"/>
          <w:rtl/>
        </w:rPr>
        <w:t>תכלול</w:t>
      </w:r>
      <w:r w:rsidRPr="002C10F5">
        <w:rPr>
          <w:rFonts w:ascii="Century" w:hAnsi="Century"/>
          <w:sz w:val="22"/>
          <w:rtl/>
        </w:rPr>
        <w:t xml:space="preserve"> </w:t>
      </w:r>
      <w:r w:rsidRPr="002C10F5">
        <w:rPr>
          <w:rFonts w:ascii="Century" w:hAnsi="Century" w:hint="eastAsia"/>
          <w:sz w:val="22"/>
          <w:rtl/>
        </w:rPr>
        <w:t>או</w:t>
      </w:r>
      <w:r w:rsidRPr="002C10F5">
        <w:rPr>
          <w:rFonts w:ascii="Century" w:hAnsi="Century"/>
          <w:sz w:val="22"/>
          <w:rtl/>
        </w:rPr>
        <w:t xml:space="preserve"> </w:t>
      </w:r>
      <w:r w:rsidRPr="002C10F5">
        <w:rPr>
          <w:rFonts w:ascii="Century" w:hAnsi="Century" w:hint="eastAsia"/>
          <w:sz w:val="22"/>
          <w:rtl/>
        </w:rPr>
        <w:t>לא</w:t>
      </w:r>
      <w:r w:rsidRPr="002C10F5">
        <w:rPr>
          <w:rFonts w:ascii="Century" w:hAnsi="Century"/>
          <w:sz w:val="22"/>
          <w:rtl/>
        </w:rPr>
        <w:t xml:space="preserve"> </w:t>
      </w:r>
      <w:r w:rsidRPr="002C10F5">
        <w:rPr>
          <w:rFonts w:ascii="Century" w:hAnsi="Century" w:hint="eastAsia"/>
          <w:sz w:val="22"/>
          <w:rtl/>
        </w:rPr>
        <w:t>תכלול</w:t>
      </w:r>
      <w:r w:rsidRPr="002C10F5">
        <w:rPr>
          <w:rFonts w:ascii="Century" w:hAnsi="Century"/>
          <w:sz w:val="22"/>
          <w:rtl/>
        </w:rPr>
        <w:t xml:space="preserve"> </w:t>
      </w:r>
      <w:r w:rsidRPr="002C10F5">
        <w:rPr>
          <w:rFonts w:ascii="Century" w:hAnsi="Century" w:hint="eastAsia"/>
          <w:sz w:val="22"/>
          <w:rtl/>
        </w:rPr>
        <w:t>את</w:t>
      </w:r>
      <w:r w:rsidRPr="002C10F5">
        <w:rPr>
          <w:rFonts w:ascii="Century" w:hAnsi="Century"/>
          <w:sz w:val="22"/>
          <w:rtl/>
        </w:rPr>
        <w:t xml:space="preserve"> </w:t>
      </w:r>
      <w:r w:rsidRPr="002C10F5">
        <w:rPr>
          <w:rFonts w:ascii="Century" w:hAnsi="Century" w:hint="eastAsia"/>
          <w:sz w:val="22"/>
          <w:rtl/>
        </w:rPr>
        <w:t>חלוקתו</w:t>
      </w:r>
      <w:r w:rsidRPr="002C10F5">
        <w:rPr>
          <w:rFonts w:ascii="Century" w:hAnsi="Century"/>
          <w:sz w:val="22"/>
          <w:rtl/>
        </w:rPr>
        <w:t xml:space="preserve"> </w:t>
      </w:r>
      <w:r w:rsidRPr="002C10F5">
        <w:rPr>
          <w:rFonts w:ascii="Century" w:hAnsi="Century" w:hint="eastAsia"/>
          <w:sz w:val="22"/>
          <w:rtl/>
        </w:rPr>
        <w:t>גם</w:t>
      </w:r>
      <w:r w:rsidRPr="002C10F5">
        <w:rPr>
          <w:rFonts w:ascii="Century" w:hAnsi="Century"/>
          <w:sz w:val="22"/>
          <w:rtl/>
        </w:rPr>
        <w:t xml:space="preserve"> </w:t>
      </w:r>
      <w:r w:rsidRPr="002C10F5">
        <w:rPr>
          <w:rFonts w:ascii="Century" w:hAnsi="Century" w:hint="eastAsia"/>
          <w:sz w:val="22"/>
          <w:rtl/>
        </w:rPr>
        <w:t>לבעל</w:t>
      </w:r>
      <w:r w:rsidRPr="002C10F5">
        <w:rPr>
          <w:rFonts w:ascii="Century" w:hAnsi="Century"/>
          <w:sz w:val="22"/>
          <w:rtl/>
        </w:rPr>
        <w:t xml:space="preserve"> </w:t>
      </w:r>
      <w:r w:rsidRPr="002C10F5">
        <w:rPr>
          <w:rFonts w:ascii="Century" w:hAnsi="Century" w:hint="eastAsia"/>
          <w:sz w:val="22"/>
          <w:rtl/>
        </w:rPr>
        <w:t>המניות</w:t>
      </w:r>
      <w:r w:rsidRPr="002C10F5">
        <w:rPr>
          <w:rFonts w:ascii="Century" w:hAnsi="Century"/>
          <w:sz w:val="22"/>
          <w:rtl/>
        </w:rPr>
        <w:t xml:space="preserve"> </w:t>
      </w:r>
      <w:r w:rsidRPr="002C10F5">
        <w:rPr>
          <w:rFonts w:ascii="Century" w:hAnsi="Century" w:hint="eastAsia"/>
          <w:sz w:val="22"/>
          <w:rtl/>
        </w:rPr>
        <w:t>הפורש</w:t>
      </w:r>
      <w:r w:rsidRPr="002C10F5">
        <w:rPr>
          <w:rFonts w:ascii="Century" w:hAnsi="Century"/>
          <w:sz w:val="22"/>
          <w:rtl/>
        </w:rPr>
        <w:t>.</w:t>
      </w:r>
      <w:r w:rsidRPr="002C10F5">
        <w:rPr>
          <w:rtl/>
        </w:rPr>
        <w:t xml:space="preserve"> </w:t>
      </w:r>
      <w:r w:rsidRPr="002C10F5">
        <w:rPr>
          <w:rFonts w:hint="eastAsia"/>
          <w:rtl/>
        </w:rPr>
        <w:t>אולם</w:t>
      </w:r>
      <w:r w:rsidRPr="002C10F5">
        <w:rPr>
          <w:rtl/>
        </w:rPr>
        <w:t xml:space="preserve">, </w:t>
      </w:r>
      <w:r w:rsidRPr="002C10F5">
        <w:rPr>
          <w:rFonts w:hint="eastAsia"/>
          <w:rtl/>
        </w:rPr>
        <w:t>בשתי</w:t>
      </w:r>
      <w:r w:rsidRPr="002C10F5">
        <w:rPr>
          <w:rtl/>
        </w:rPr>
        <w:t xml:space="preserve"> </w:t>
      </w:r>
      <w:r w:rsidRPr="002C10F5">
        <w:rPr>
          <w:rFonts w:hint="eastAsia"/>
          <w:rtl/>
        </w:rPr>
        <w:t>הדוגמאות</w:t>
      </w:r>
      <w:r w:rsidRPr="002C10F5">
        <w:rPr>
          <w:rtl/>
        </w:rPr>
        <w:t>,</w:t>
      </w:r>
      <w:r>
        <w:rPr>
          <w:rFonts w:hint="cs"/>
          <w:rtl/>
        </w:rPr>
        <w:t xml:space="preserve"> מבחינת עסקי החברה כחברה, העברת השליטה מהשותפות בין השניים לידיה של ספיר משנה מעט מאד, אם בכלל. </w:t>
      </w:r>
    </w:p>
    <w:p w:rsidR="00F05533" w:rsidRDefault="00F05533" w:rsidP="00F05533">
      <w:pPr>
        <w:pStyle w:val="Ruller4"/>
        <w:numPr>
          <w:ilvl w:val="0"/>
          <w:numId w:val="0"/>
        </w:numPr>
        <w:rPr>
          <w:rFonts w:ascii="Century" w:hAnsi="Century"/>
          <w:sz w:val="22"/>
          <w:rtl/>
        </w:rPr>
      </w:pPr>
    </w:p>
    <w:p w:rsidR="00F05533" w:rsidRDefault="00F05533" w:rsidP="00F05533">
      <w:pPr>
        <w:pStyle w:val="Ruller4"/>
      </w:pPr>
      <w:r w:rsidRPr="00996A65">
        <w:rPr>
          <w:rFonts w:hint="cs"/>
          <w:rtl/>
        </w:rPr>
        <w:t xml:space="preserve">כעת, נשנה את </w:t>
      </w:r>
      <w:r>
        <w:rPr>
          <w:rFonts w:hint="cs"/>
          <w:rtl/>
        </w:rPr>
        <w:t xml:space="preserve">שתי </w:t>
      </w:r>
      <w:r w:rsidRPr="00996A65">
        <w:rPr>
          <w:rFonts w:hint="cs"/>
          <w:rtl/>
        </w:rPr>
        <w:t>הדוגמא</w:t>
      </w:r>
      <w:r>
        <w:rPr>
          <w:rFonts w:hint="cs"/>
          <w:rtl/>
        </w:rPr>
        <w:t xml:space="preserve">ות הללו באופן הבא, אשר ייקרא </w:t>
      </w:r>
      <w:r w:rsidRPr="00996A65">
        <w:rPr>
          <w:rFonts w:cs="Miriam" w:hint="cs"/>
          <w:b/>
          <w:spacing w:val="0"/>
          <w:szCs w:val="24"/>
          <w:rtl/>
        </w:rPr>
        <w:t>דוגמא ג'</w:t>
      </w:r>
      <w:r>
        <w:rPr>
          <w:rFonts w:hint="cs"/>
          <w:rtl/>
        </w:rPr>
        <w:t xml:space="preserve">. </w:t>
      </w:r>
      <w:r w:rsidRPr="00996A65">
        <w:rPr>
          <w:rFonts w:hint="cs"/>
          <w:rtl/>
        </w:rPr>
        <w:t>בין ראובן לספיר נתגלעו חילוקי דעות רציניים באשר ל</w:t>
      </w:r>
      <w:r>
        <w:rPr>
          <w:rFonts w:hint="cs"/>
          <w:rtl/>
        </w:rPr>
        <w:t>אופן שבו</w:t>
      </w:r>
      <w:r w:rsidRPr="00996A65">
        <w:rPr>
          <w:rFonts w:hint="cs"/>
          <w:rtl/>
        </w:rPr>
        <w:t xml:space="preserve"> החברה</w:t>
      </w:r>
      <w:r>
        <w:rPr>
          <w:rFonts w:hint="cs"/>
          <w:rtl/>
        </w:rPr>
        <w:t xml:space="preserve"> צריכה להתנהל בעתיד. </w:t>
      </w:r>
      <w:r w:rsidRPr="00996A65">
        <w:rPr>
          <w:rFonts w:hint="cs"/>
          <w:rtl/>
        </w:rPr>
        <w:t xml:space="preserve">ספיר מבקשת להרחיב את עסקי החברה באמצעות הפיכתה לחברה ציבורית וגיוס הון בבורסה לניירות ערך, אולם ראובן מתנגד לכך נמרצות. </w:t>
      </w:r>
      <w:r>
        <w:rPr>
          <w:rFonts w:hint="cs"/>
          <w:rtl/>
        </w:rPr>
        <w:t>לשיטתו, החברה צריכה להמשיך להתנהל במתכונת הקיימת. מטעם זה, ראובן דוחה גם את הצעתה החלופית של ספיר כי השניים יגדילו את השקעותיהם בחברה. ספיר וראובן</w:t>
      </w:r>
      <w:r w:rsidRPr="00996A65">
        <w:rPr>
          <w:rFonts w:hint="cs"/>
          <w:rtl/>
        </w:rPr>
        <w:t xml:space="preserve"> מקיימים דיון נוקב שבסופו מסכים ראובן לפרוש מהחברה בתנאי שזו תרכוש ממנו את מניותיו תמורת 5,000,000 ש"ח. ספיר וראובן פועלים לפי מתווה זה אחרי שקיבלו את כל ההחלטות הנדרשות בכושרם כמנהלי החברה וכבעלי מניותיה. לאחר מכן, החברה מחייה את מניותיו הרדומות של ראובן ויוצאת בהנפקת מניות לציבור. </w:t>
      </w:r>
    </w:p>
    <w:p w:rsidR="00F05533" w:rsidRDefault="00F05533" w:rsidP="00F05533">
      <w:pPr>
        <w:pStyle w:val="Ruller4"/>
        <w:numPr>
          <w:ilvl w:val="0"/>
          <w:numId w:val="0"/>
        </w:numPr>
        <w:rPr>
          <w:rFonts w:ascii="Century" w:hAnsi="Century"/>
          <w:sz w:val="22"/>
          <w:rtl/>
        </w:rPr>
      </w:pPr>
    </w:p>
    <w:p w:rsidR="00F05533" w:rsidRPr="00996A65" w:rsidRDefault="00F05533" w:rsidP="00F05533">
      <w:pPr>
        <w:pStyle w:val="Ruller4"/>
        <w:numPr>
          <w:ilvl w:val="0"/>
          <w:numId w:val="0"/>
        </w:numPr>
        <w:rPr>
          <w:rFonts w:ascii="Century" w:hAnsi="Century"/>
          <w:sz w:val="22"/>
        </w:rPr>
      </w:pPr>
      <w:r>
        <w:rPr>
          <w:rFonts w:ascii="Century" w:hAnsi="Century"/>
          <w:sz w:val="22"/>
          <w:rtl/>
        </w:rPr>
        <w:tab/>
      </w:r>
      <w:r w:rsidRPr="00996A65">
        <w:rPr>
          <w:rFonts w:ascii="Century" w:hAnsi="Century" w:hint="cs"/>
          <w:sz w:val="22"/>
          <w:rtl/>
        </w:rPr>
        <w:t>האם במקרה זה נראה את ספיר כמי שקיבלה מהחברה דיבידנד בסך של 2,500,000 ש"ח</w:t>
      </w:r>
      <w:r>
        <w:rPr>
          <w:rFonts w:ascii="Century" w:hAnsi="Century" w:hint="cs"/>
          <w:sz w:val="22"/>
          <w:rtl/>
        </w:rPr>
        <w:t xml:space="preserve">, כמו </w:t>
      </w:r>
      <w:r w:rsidRPr="00996A65">
        <w:rPr>
          <w:rFonts w:ascii="Century" w:hAnsi="Century" w:cs="Miriam" w:hint="cs"/>
          <w:b/>
          <w:spacing w:val="0"/>
          <w:sz w:val="22"/>
          <w:szCs w:val="24"/>
          <w:rtl/>
        </w:rPr>
        <w:t>בדוגמא א'</w:t>
      </w:r>
      <w:r>
        <w:rPr>
          <w:rFonts w:ascii="Century" w:hAnsi="Century" w:hint="cs"/>
          <w:sz w:val="22"/>
          <w:rtl/>
        </w:rPr>
        <w:t xml:space="preserve">, או אף בסך של 5,000,000 ש"ח, כמו </w:t>
      </w:r>
      <w:r w:rsidRPr="00996A65">
        <w:rPr>
          <w:rFonts w:ascii="Century" w:hAnsi="Century" w:cs="Miriam" w:hint="cs"/>
          <w:b/>
          <w:spacing w:val="0"/>
          <w:sz w:val="22"/>
          <w:szCs w:val="24"/>
          <w:rtl/>
        </w:rPr>
        <w:t>בדוגמא ב'</w:t>
      </w:r>
      <w:r w:rsidRPr="00996A65">
        <w:rPr>
          <w:rFonts w:ascii="Century" w:hAnsi="Century" w:hint="cs"/>
          <w:sz w:val="22"/>
          <w:rtl/>
        </w:rPr>
        <w:t xml:space="preserve">? </w:t>
      </w:r>
    </w:p>
    <w:p w:rsidR="00F05533" w:rsidRDefault="00F05533" w:rsidP="00F05533">
      <w:pPr>
        <w:pStyle w:val="Ruller4"/>
        <w:numPr>
          <w:ilvl w:val="0"/>
          <w:numId w:val="0"/>
        </w:numPr>
        <w:rPr>
          <w:rFonts w:ascii="Century" w:hAnsi="Century"/>
          <w:sz w:val="22"/>
        </w:rPr>
      </w:pPr>
    </w:p>
    <w:p w:rsidR="00F05533" w:rsidRDefault="00F05533" w:rsidP="00F05533">
      <w:pPr>
        <w:pStyle w:val="Ruller4"/>
        <w:rPr>
          <w:rtl/>
        </w:rPr>
      </w:pPr>
      <w:r w:rsidRPr="00150422">
        <w:rPr>
          <w:rFonts w:hint="cs"/>
          <w:rtl/>
        </w:rPr>
        <w:t>סבורני כי לשאלה זו אין להשיב אלא בשלילה. זאת, מאחר שמטרתה הדומיננטית של הרכישה העצמית היא להיטיב עם החברה כחברה על ידי קידום עסקיה.</w:t>
      </w:r>
      <w:r w:rsidRPr="00041E5E">
        <w:rPr>
          <w:rFonts w:hint="cs"/>
          <w:rtl/>
        </w:rPr>
        <w:t xml:space="preserve"> </w:t>
      </w:r>
      <w:r w:rsidRPr="00041E5E">
        <w:rPr>
          <w:rFonts w:hint="cs"/>
          <w:rtl/>
        </w:rPr>
        <w:lastRenderedPageBreak/>
        <w:t xml:space="preserve">ספיר אמנם נהנית מהעסקה גם ברמה האישית: היא אוחזת בבלוק מניות אשר מאפשר לה לקדם את עסקי החברה כראות עיניה </w:t>
      </w:r>
      <w:r w:rsidRPr="00041E5E">
        <w:rPr>
          <w:rtl/>
        </w:rPr>
        <w:t>–</w:t>
      </w:r>
      <w:r w:rsidRPr="00041E5E">
        <w:rPr>
          <w:rFonts w:hint="cs"/>
          <w:rtl/>
        </w:rPr>
        <w:t xml:space="preserve"> בלוק אשר מקנה לה שליטה בחברה לא רק לפני ההנפקה המתוכננת, אלא גם אחריה, כאשר מולה יתייצבו משקיעים פרטיים מפוזרים שאין בידם לגבש כוח הצבעה מונוליטי המגיע כדי 50%. </w:t>
      </w:r>
      <w:r w:rsidRPr="005E7DCA">
        <w:rPr>
          <w:rFonts w:hint="cs"/>
          <w:rtl/>
        </w:rPr>
        <w:t>ואולם, הנאה כאמור אינה משנה את היותה של טובת החברה מטר</w:t>
      </w:r>
      <w:r w:rsidRPr="009D5A31">
        <w:rPr>
          <w:rFonts w:hint="eastAsia"/>
          <w:rtl/>
        </w:rPr>
        <w:t>ת</w:t>
      </w:r>
      <w:r w:rsidRPr="005E7DCA">
        <w:rPr>
          <w:rFonts w:hint="cs"/>
          <w:rtl/>
        </w:rPr>
        <w:t xml:space="preserve">ה </w:t>
      </w:r>
      <w:r w:rsidRPr="009D5A31">
        <w:rPr>
          <w:rFonts w:hint="eastAsia"/>
          <w:rtl/>
        </w:rPr>
        <w:t>ה</w:t>
      </w:r>
      <w:r w:rsidRPr="005E7DCA">
        <w:rPr>
          <w:rFonts w:hint="cs"/>
          <w:rtl/>
        </w:rPr>
        <w:t>דומיננטית של עסקת הרכישה העצמית.</w:t>
      </w:r>
      <w:r w:rsidRPr="00041E5E">
        <w:rPr>
          <w:rFonts w:hint="cs"/>
          <w:rtl/>
        </w:rPr>
        <w:t xml:space="preserve"> אם נאמר אחרת, נמצא את עצמנו מתעלמים מישותה המשפטית הנפרדת של החברה. לא זו אף זו: המסקנה אליה הגעתי לא תשתנה כהוא זה אפילו במקרה של כישלון ההנפקה. במקרה זה, החברה </w:t>
      </w:r>
      <w:proofErr w:type="spellStart"/>
      <w:r w:rsidRPr="00041E5E">
        <w:rPr>
          <w:rFonts w:hint="cs"/>
          <w:rtl/>
        </w:rPr>
        <w:t>היתה</w:t>
      </w:r>
      <w:proofErr w:type="spellEnd"/>
      <w:r w:rsidRPr="00041E5E">
        <w:rPr>
          <w:rFonts w:hint="cs"/>
          <w:rtl/>
        </w:rPr>
        <w:t xml:space="preserve"> אמנם מפסידה חלק מכספה </w:t>
      </w:r>
      <w:r w:rsidRPr="00041E5E">
        <w:rPr>
          <w:rtl/>
        </w:rPr>
        <w:t>–</w:t>
      </w:r>
      <w:r w:rsidRPr="00041E5E">
        <w:rPr>
          <w:rFonts w:hint="cs"/>
          <w:rtl/>
        </w:rPr>
        <w:t xml:space="preserve"> עד כדי 5,000,000 ש"ח </w:t>
      </w:r>
      <w:r w:rsidRPr="00041E5E">
        <w:rPr>
          <w:rtl/>
        </w:rPr>
        <w:t>–</w:t>
      </w:r>
      <w:r w:rsidRPr="00041E5E">
        <w:rPr>
          <w:rFonts w:hint="cs"/>
          <w:rtl/>
        </w:rPr>
        <w:t xml:space="preserve"> אולם הפסד כאמור הוא בגדר התממשותו של סיכון עסקי רגיל אשר נלווה מלכתחילה לסיכויי רווח. ודוק: עסקים כושלים שמדללים את קופת החברה אינם מסכלים את מנגנון המיסוי הדו-שלבי אפילו במקצת. חברה, כמכשיר משפטי, נועדה מעיקרה לגדר את הסיכון האישי של בעלי מניותיה בגבולות השקעותיהם במניותיה, ולא מעבר לכך </w:t>
      </w:r>
      <w:r w:rsidRPr="00041E5E">
        <w:rPr>
          <w:rtl/>
        </w:rPr>
        <w:t>(</w:t>
      </w:r>
      <w:r w:rsidRPr="00041E5E">
        <w:rPr>
          <w:rFonts w:hint="eastAsia"/>
          <w:rtl/>
        </w:rPr>
        <w:t>ראו</w:t>
      </w:r>
      <w:r w:rsidRPr="00150422">
        <w:rPr>
          <w:rFonts w:hint="cs"/>
          <w:rtl/>
        </w:rPr>
        <w:t>, למשל</w:t>
      </w:r>
      <w:r w:rsidRPr="00041E5E">
        <w:rPr>
          <w:rtl/>
        </w:rPr>
        <w:t xml:space="preserve">: </w:t>
      </w:r>
      <w:r w:rsidRPr="00041E5E">
        <w:rPr>
          <w:rFonts w:hint="eastAsia"/>
          <w:rtl/>
        </w:rPr>
        <w:t>שרון</w:t>
      </w:r>
      <w:r w:rsidRPr="00041E5E">
        <w:rPr>
          <w:rtl/>
        </w:rPr>
        <w:t xml:space="preserve"> </w:t>
      </w:r>
      <w:proofErr w:type="spellStart"/>
      <w:r w:rsidRPr="00041E5E">
        <w:rPr>
          <w:rFonts w:hint="eastAsia"/>
          <w:rtl/>
        </w:rPr>
        <w:t>חנס</w:t>
      </w:r>
      <w:proofErr w:type="spellEnd"/>
      <w:r w:rsidRPr="00041E5E">
        <w:rPr>
          <w:rtl/>
        </w:rPr>
        <w:t xml:space="preserve"> "</w:t>
      </w:r>
      <w:r w:rsidRPr="00041E5E">
        <w:rPr>
          <w:rFonts w:hint="eastAsia"/>
          <w:rtl/>
        </w:rPr>
        <w:t>עיון</w:t>
      </w:r>
      <w:r w:rsidRPr="00041E5E">
        <w:rPr>
          <w:rtl/>
        </w:rPr>
        <w:t xml:space="preserve"> </w:t>
      </w:r>
      <w:r w:rsidRPr="00041E5E">
        <w:rPr>
          <w:rFonts w:hint="eastAsia"/>
          <w:rtl/>
        </w:rPr>
        <w:t>מחודש</w:t>
      </w:r>
      <w:r w:rsidRPr="00041E5E">
        <w:rPr>
          <w:rtl/>
        </w:rPr>
        <w:t xml:space="preserve"> </w:t>
      </w:r>
      <w:r w:rsidRPr="00041E5E">
        <w:rPr>
          <w:rFonts w:hint="eastAsia"/>
          <w:rtl/>
        </w:rPr>
        <w:t>באישיות</w:t>
      </w:r>
      <w:r w:rsidRPr="00041E5E">
        <w:rPr>
          <w:rtl/>
        </w:rPr>
        <w:t xml:space="preserve"> </w:t>
      </w:r>
      <w:r w:rsidRPr="00041E5E">
        <w:rPr>
          <w:rFonts w:hint="eastAsia"/>
          <w:rtl/>
        </w:rPr>
        <w:t>המשפטית</w:t>
      </w:r>
      <w:r w:rsidRPr="00041E5E">
        <w:rPr>
          <w:rtl/>
        </w:rPr>
        <w:t xml:space="preserve"> </w:t>
      </w:r>
      <w:r w:rsidRPr="00041E5E">
        <w:rPr>
          <w:rFonts w:hint="eastAsia"/>
          <w:rtl/>
        </w:rPr>
        <w:t>הנפרדת</w:t>
      </w:r>
      <w:r w:rsidRPr="00041E5E">
        <w:rPr>
          <w:rtl/>
        </w:rPr>
        <w:t xml:space="preserve"> </w:t>
      </w:r>
      <w:r w:rsidRPr="00041E5E">
        <w:rPr>
          <w:rFonts w:hint="eastAsia"/>
          <w:rtl/>
        </w:rPr>
        <w:t>של</w:t>
      </w:r>
      <w:r w:rsidRPr="00041E5E">
        <w:rPr>
          <w:rtl/>
        </w:rPr>
        <w:t xml:space="preserve"> </w:t>
      </w:r>
      <w:r w:rsidRPr="00041E5E">
        <w:rPr>
          <w:rFonts w:hint="eastAsia"/>
          <w:rtl/>
        </w:rPr>
        <w:t>התאגיד</w:t>
      </w:r>
      <w:r w:rsidRPr="00041E5E">
        <w:rPr>
          <w:rtl/>
        </w:rPr>
        <w:t xml:space="preserve"> </w:t>
      </w:r>
      <w:r w:rsidRPr="00041E5E">
        <w:rPr>
          <w:rFonts w:hint="eastAsia"/>
          <w:rtl/>
        </w:rPr>
        <w:t>בדין</w:t>
      </w:r>
      <w:r w:rsidRPr="00041E5E">
        <w:rPr>
          <w:rtl/>
        </w:rPr>
        <w:t xml:space="preserve"> </w:t>
      </w:r>
      <w:r w:rsidRPr="00041E5E">
        <w:rPr>
          <w:rFonts w:hint="eastAsia"/>
          <w:rtl/>
        </w:rPr>
        <w:t>הישראלי</w:t>
      </w:r>
      <w:r w:rsidRPr="00041E5E">
        <w:rPr>
          <w:rtl/>
        </w:rPr>
        <w:t xml:space="preserve">" </w:t>
      </w:r>
      <w:r w:rsidRPr="00041E5E">
        <w:rPr>
          <w:rFonts w:cs="Miriam" w:hint="eastAsia"/>
          <w:b/>
          <w:spacing w:val="0"/>
          <w:szCs w:val="24"/>
          <w:rtl/>
        </w:rPr>
        <w:t>עיוני</w:t>
      </w:r>
      <w:r w:rsidRPr="00041E5E">
        <w:rPr>
          <w:rFonts w:cs="Miriam"/>
          <w:b/>
          <w:spacing w:val="0"/>
          <w:szCs w:val="24"/>
          <w:rtl/>
        </w:rPr>
        <w:t xml:space="preserve"> </w:t>
      </w:r>
      <w:r w:rsidRPr="00041E5E">
        <w:rPr>
          <w:rFonts w:cs="Miriam" w:hint="eastAsia"/>
          <w:b/>
          <w:spacing w:val="0"/>
          <w:szCs w:val="24"/>
          <w:rtl/>
        </w:rPr>
        <w:t>משפט</w:t>
      </w:r>
      <w:r w:rsidRPr="00041E5E">
        <w:rPr>
          <w:rFonts w:cs="Miriam"/>
          <w:b/>
          <w:spacing w:val="0"/>
          <w:szCs w:val="24"/>
          <w:rtl/>
        </w:rPr>
        <w:t xml:space="preserve"> </w:t>
      </w:r>
      <w:proofErr w:type="spellStart"/>
      <w:r w:rsidRPr="00041E5E">
        <w:rPr>
          <w:rFonts w:hint="eastAsia"/>
          <w:rtl/>
        </w:rPr>
        <w:t>כח</w:t>
      </w:r>
      <w:proofErr w:type="spellEnd"/>
      <w:r w:rsidRPr="00041E5E">
        <w:rPr>
          <w:rtl/>
        </w:rPr>
        <w:t>(</w:t>
      </w:r>
      <w:r w:rsidRPr="00041E5E">
        <w:rPr>
          <w:rFonts w:hint="eastAsia"/>
          <w:rtl/>
        </w:rPr>
        <w:t>ז</w:t>
      </w:r>
      <w:r w:rsidRPr="00041E5E">
        <w:rPr>
          <w:rtl/>
        </w:rPr>
        <w:t>) 5, 17-15 (2004))</w:t>
      </w:r>
      <w:r w:rsidRPr="00150422">
        <w:rPr>
          <w:rFonts w:hint="cs"/>
          <w:rtl/>
        </w:rPr>
        <w:t xml:space="preserve">. בתחום המיסוי, אין להם, לבעלי המניות, דבר או חצי-דבר הקשור לחברה זולת העודפים שקיבלו ממנה באמצעות חלוקת דיבידנד, מכירת מניות או בדרך אחרת. </w:t>
      </w:r>
    </w:p>
    <w:p w:rsidR="00F05533" w:rsidRPr="00751AB9" w:rsidRDefault="00F05533" w:rsidP="00F05533">
      <w:pPr>
        <w:pStyle w:val="Ruller41"/>
      </w:pPr>
    </w:p>
    <w:p w:rsidR="00F05533" w:rsidRDefault="00F05533" w:rsidP="00F05533">
      <w:pPr>
        <w:pStyle w:val="Ruller4"/>
        <w:rPr>
          <w:rFonts w:ascii="Century" w:hAnsi="Century"/>
          <w:sz w:val="22"/>
        </w:rPr>
      </w:pPr>
      <w:r w:rsidRPr="00D455B1">
        <w:rPr>
          <w:rFonts w:ascii="Century" w:hAnsi="Century" w:cs="Miriam" w:hint="cs"/>
          <w:b/>
          <w:spacing w:val="0"/>
          <w:sz w:val="22"/>
          <w:szCs w:val="24"/>
          <w:rtl/>
        </w:rPr>
        <w:t>בדוגמא ג'</w:t>
      </w:r>
      <w:r>
        <w:rPr>
          <w:rFonts w:ascii="Century" w:hAnsi="Century" w:hint="cs"/>
          <w:sz w:val="22"/>
          <w:rtl/>
        </w:rPr>
        <w:t xml:space="preserve">, לא ניתן לראות בעסקת הרכישה העצמית משום דיבידנד שמשולם לספיר, מאחר שהצלחת ההנפקה מחזירה לחברה כחברה את אשר היא שילמה לראובן בעד מניותיו, אם לא למעלה מכך. לא זו אף זו: מהלך הרכישה בוצע מלכתחילה לצורך קידום ההנפקה </w:t>
      </w:r>
      <w:r>
        <w:rPr>
          <w:rFonts w:ascii="Century" w:hAnsi="Century"/>
          <w:sz w:val="22"/>
          <w:rtl/>
        </w:rPr>
        <w:t>–</w:t>
      </w:r>
      <w:r>
        <w:rPr>
          <w:rFonts w:ascii="Century" w:hAnsi="Century" w:hint="cs"/>
          <w:sz w:val="22"/>
          <w:rtl/>
        </w:rPr>
        <w:t xml:space="preserve"> כלומר, לטובת קידום ענייניה של החברה, ולא של ספיר עצמה. אם נעביר את זרקורנו מהחברה לספיר, </w:t>
      </w:r>
      <w:r w:rsidRPr="00D930D1">
        <w:rPr>
          <w:rFonts w:ascii="Century" w:hAnsi="Century" w:hint="cs"/>
          <w:sz w:val="22"/>
          <w:rtl/>
        </w:rPr>
        <w:t xml:space="preserve">נראה את עצמנו </w:t>
      </w:r>
      <w:proofErr w:type="spellStart"/>
      <w:r w:rsidRPr="00D930D1">
        <w:rPr>
          <w:rFonts w:ascii="Century" w:hAnsi="Century" w:hint="cs"/>
          <w:sz w:val="22"/>
          <w:rtl/>
        </w:rPr>
        <w:t>מחוייבים</w:t>
      </w:r>
      <w:proofErr w:type="spellEnd"/>
      <w:r w:rsidRPr="00D930D1">
        <w:rPr>
          <w:rFonts w:ascii="Century" w:hAnsi="Century" w:hint="cs"/>
          <w:sz w:val="22"/>
          <w:rtl/>
        </w:rPr>
        <w:t xml:space="preserve"> לראות בהנפקה מהלך אשר אמור להביא לכך שכספי המשקיעים הפרטיים צריכים היו להיות משולמים לספיר, ולא לחברה, מאחר שספיר, ולא החברה, היא זאת שרכשה מראובן את מניותיו. </w:t>
      </w:r>
      <w:r>
        <w:rPr>
          <w:rFonts w:ascii="Century" w:hAnsi="Century" w:hint="cs"/>
          <w:sz w:val="22"/>
          <w:rtl/>
        </w:rPr>
        <w:t xml:space="preserve">תוצאה זו תהא, כמובן, שגויה על-פניה ואין לקבלה, באשר היא מנוגדת למהותו וללשונו של מערך העסקאות שנפרשׂ לפנינו. ברי הוא, על כן, כי החברה היא זאת שרכשה מראובן את מניותיו במטרה לקדם את עסקיה ולא כדי להעשיר את ספיר. </w:t>
      </w:r>
    </w:p>
    <w:p w:rsidR="00F05533" w:rsidRDefault="00F05533" w:rsidP="00F05533">
      <w:pPr>
        <w:pStyle w:val="Ruller4"/>
        <w:numPr>
          <w:ilvl w:val="0"/>
          <w:numId w:val="0"/>
        </w:numPr>
        <w:rPr>
          <w:rFonts w:ascii="Century" w:hAnsi="Century"/>
          <w:sz w:val="22"/>
        </w:rPr>
      </w:pPr>
    </w:p>
    <w:p w:rsidR="00F05533" w:rsidRPr="00246CAB" w:rsidRDefault="00F05533" w:rsidP="00F05533">
      <w:pPr>
        <w:pStyle w:val="Ruller4"/>
        <w:rPr>
          <w:rFonts w:ascii="Century" w:hAnsi="Century"/>
          <w:sz w:val="22"/>
        </w:rPr>
      </w:pPr>
      <w:r w:rsidRPr="00C919D3">
        <w:rPr>
          <w:rFonts w:ascii="Century" w:hAnsi="Century" w:hint="cs"/>
          <w:sz w:val="22"/>
          <w:rtl/>
        </w:rPr>
        <w:t>כפועל יוצא מניתוח זה, כישלונה ה</w:t>
      </w:r>
      <w:r>
        <w:rPr>
          <w:rFonts w:ascii="Century" w:hAnsi="Century" w:hint="cs"/>
          <w:sz w:val="22"/>
          <w:rtl/>
        </w:rPr>
        <w:t>מוחלט</w:t>
      </w:r>
      <w:r w:rsidRPr="00C919D3">
        <w:rPr>
          <w:rFonts w:ascii="Century" w:hAnsi="Century" w:hint="cs"/>
          <w:sz w:val="22"/>
          <w:rtl/>
        </w:rPr>
        <w:t xml:space="preserve"> של ההנפקה, שמשאיר את החברה ללא החזר של 5,000,000 ש"ח </w:t>
      </w:r>
      <w:r w:rsidRPr="00C919D3">
        <w:rPr>
          <w:rFonts w:ascii="Century" w:hAnsi="Century"/>
          <w:sz w:val="22"/>
          <w:rtl/>
        </w:rPr>
        <w:t>–</w:t>
      </w:r>
      <w:r w:rsidRPr="00C919D3">
        <w:rPr>
          <w:rFonts w:ascii="Century" w:hAnsi="Century" w:hint="cs"/>
          <w:sz w:val="22"/>
          <w:rtl/>
        </w:rPr>
        <w:t xml:space="preserve"> סכום אשר שולם על ידה לראובן בעד מניותיו </w:t>
      </w:r>
      <w:r w:rsidRPr="00C919D3">
        <w:rPr>
          <w:rFonts w:ascii="Century" w:hAnsi="Century"/>
          <w:sz w:val="22"/>
          <w:rtl/>
        </w:rPr>
        <w:t>–</w:t>
      </w:r>
      <w:r w:rsidRPr="00C919D3">
        <w:rPr>
          <w:rFonts w:ascii="Century" w:hAnsi="Century" w:hint="cs"/>
          <w:sz w:val="22"/>
          <w:rtl/>
        </w:rPr>
        <w:t xml:space="preserve"> אין בו כדי לשנות את מהותה הכלכלית של עסקת הרכישה העצמית כעסקה שמטרתה הדומיננטית היא טובת החברה. זאת, מאחר שמהותה הכלכלית של עסקה נקבעת במבט פרוספקטיבי,</w:t>
      </w:r>
      <w:r>
        <w:rPr>
          <w:rFonts w:ascii="Century" w:hAnsi="Century" w:hint="cs"/>
          <w:sz w:val="22"/>
          <w:rtl/>
        </w:rPr>
        <w:t xml:space="preserve"> הצופה את פני העתיד </w:t>
      </w:r>
      <w:r>
        <w:rPr>
          <w:rFonts w:ascii="Century" w:hAnsi="Century"/>
          <w:sz w:val="22"/>
          <w:rtl/>
        </w:rPr>
        <w:t>–</w:t>
      </w:r>
      <w:r>
        <w:rPr>
          <w:rFonts w:ascii="Century" w:hAnsi="Century" w:hint="cs"/>
          <w:sz w:val="22"/>
          <w:rtl/>
        </w:rPr>
        <w:t xml:space="preserve"> זה ש</w:t>
      </w:r>
      <w:r w:rsidRPr="00C919D3">
        <w:rPr>
          <w:rFonts w:ascii="Century" w:hAnsi="Century" w:hint="cs"/>
          <w:sz w:val="22"/>
          <w:rtl/>
        </w:rPr>
        <w:t>לפני הוצאת העסקה מן הכוח אל הפועל</w:t>
      </w:r>
      <w:r>
        <w:rPr>
          <w:rFonts w:ascii="Century" w:hAnsi="Century" w:hint="cs"/>
          <w:sz w:val="22"/>
          <w:rtl/>
        </w:rPr>
        <w:t xml:space="preserve"> </w:t>
      </w:r>
      <w:r>
        <w:rPr>
          <w:rFonts w:ascii="Century" w:hAnsi="Century"/>
          <w:sz w:val="22"/>
          <w:rtl/>
        </w:rPr>
        <w:t>–</w:t>
      </w:r>
      <w:r w:rsidRPr="00C919D3">
        <w:rPr>
          <w:rFonts w:ascii="Century" w:hAnsi="Century" w:hint="cs"/>
          <w:sz w:val="22"/>
          <w:rtl/>
        </w:rPr>
        <w:t xml:space="preserve"> </w:t>
      </w:r>
      <w:r w:rsidRPr="00C919D3">
        <w:rPr>
          <w:rFonts w:ascii="Century" w:hAnsi="Century" w:hint="cs"/>
          <w:sz w:val="22"/>
          <w:rtl/>
        </w:rPr>
        <w:lastRenderedPageBreak/>
        <w:t xml:space="preserve">ולא במבט רטרוספקטיבי </w:t>
      </w:r>
      <w:r>
        <w:rPr>
          <w:rFonts w:ascii="Century" w:hAnsi="Century" w:hint="cs"/>
          <w:sz w:val="22"/>
          <w:rtl/>
        </w:rPr>
        <w:t xml:space="preserve">אשר </w:t>
      </w:r>
      <w:r w:rsidRPr="00C919D3">
        <w:rPr>
          <w:rFonts w:ascii="Century" w:hAnsi="Century" w:hint="cs"/>
          <w:sz w:val="22"/>
          <w:rtl/>
        </w:rPr>
        <w:t xml:space="preserve">ניזון </w:t>
      </w:r>
      <w:r>
        <w:rPr>
          <w:rFonts w:ascii="Century" w:hAnsi="Century" w:hint="cs"/>
          <w:sz w:val="22"/>
          <w:rtl/>
        </w:rPr>
        <w:t xml:space="preserve">ברובו </w:t>
      </w:r>
      <w:r w:rsidRPr="00C919D3">
        <w:rPr>
          <w:rFonts w:ascii="Century" w:hAnsi="Century" w:hint="cs"/>
          <w:sz w:val="22"/>
          <w:rtl/>
        </w:rPr>
        <w:t xml:space="preserve">מחוכמה </w:t>
      </w:r>
      <w:r>
        <w:rPr>
          <w:rFonts w:ascii="Century" w:hAnsi="Century" w:hint="cs"/>
          <w:sz w:val="22"/>
          <w:rtl/>
        </w:rPr>
        <w:t xml:space="preserve">שלאחר </w:t>
      </w:r>
      <w:r w:rsidRPr="00C919D3">
        <w:rPr>
          <w:rFonts w:ascii="Century" w:hAnsi="Century" w:hint="cs"/>
          <w:sz w:val="22"/>
          <w:rtl/>
        </w:rPr>
        <w:t xml:space="preserve">המעשה. ודוק: האירועים שהתרחשו </w:t>
      </w:r>
      <w:r w:rsidRPr="00C919D3">
        <w:rPr>
          <w:rFonts w:ascii="Century" w:hAnsi="Century" w:cs="Miriam" w:hint="cs"/>
          <w:b/>
          <w:spacing w:val="0"/>
          <w:sz w:val="22"/>
          <w:szCs w:val="24"/>
          <w:rtl/>
        </w:rPr>
        <w:t>בדוגמא ג'</w:t>
      </w:r>
      <w:r w:rsidRPr="00C919D3">
        <w:rPr>
          <w:rFonts w:ascii="Century" w:hAnsi="Century" w:hint="cs"/>
          <w:sz w:val="22"/>
          <w:rtl/>
        </w:rPr>
        <w:t xml:space="preserve">, </w:t>
      </w:r>
      <w:r>
        <w:rPr>
          <w:rFonts w:ascii="Century" w:hAnsi="Century" w:hint="cs"/>
          <w:sz w:val="22"/>
          <w:rtl/>
        </w:rPr>
        <w:t>במקרה של</w:t>
      </w:r>
      <w:r w:rsidRPr="00C919D3">
        <w:rPr>
          <w:rFonts w:ascii="Century" w:hAnsi="Century" w:hint="cs"/>
          <w:sz w:val="22"/>
          <w:rtl/>
        </w:rPr>
        <w:t xml:space="preserve"> כישלון ההנפקה, אינם מסכלים את פועלו של מנגנון המיסוי הדו-שלבי אשר חל על חברות ובעלי מניותיהן, למרות דילול העודפים של החברה. </w:t>
      </w:r>
      <w:r>
        <w:rPr>
          <w:rFonts w:ascii="Century" w:hAnsi="Century" w:hint="cs"/>
          <w:sz w:val="22"/>
          <w:rtl/>
        </w:rPr>
        <w:t xml:space="preserve">כפי שכבר ציינתי, </w:t>
      </w:r>
      <w:r w:rsidRPr="00C919D3">
        <w:rPr>
          <w:rFonts w:ascii="Century" w:hAnsi="Century" w:hint="cs"/>
          <w:sz w:val="22"/>
          <w:rtl/>
        </w:rPr>
        <w:t xml:space="preserve">מיסוי </w:t>
      </w:r>
      <w:r>
        <w:rPr>
          <w:rFonts w:ascii="Century" w:hAnsi="Century" w:hint="cs"/>
          <w:sz w:val="22"/>
          <w:rtl/>
        </w:rPr>
        <w:t>בעקבות דילול ה</w:t>
      </w:r>
      <w:r w:rsidRPr="00C919D3">
        <w:rPr>
          <w:rFonts w:ascii="Century" w:hAnsi="Century" w:hint="cs"/>
          <w:sz w:val="22"/>
          <w:rtl/>
        </w:rPr>
        <w:t xml:space="preserve">עודפים </w:t>
      </w:r>
      <w:r>
        <w:rPr>
          <w:rFonts w:ascii="Century" w:hAnsi="Century" w:hint="cs"/>
          <w:sz w:val="22"/>
          <w:rtl/>
        </w:rPr>
        <w:t>יחול רק כאשר דילול זה ניתן לסיווג כחלוקה</w:t>
      </w:r>
      <w:r w:rsidRPr="00C919D3">
        <w:rPr>
          <w:rFonts w:ascii="Century" w:hAnsi="Century" w:hint="cs"/>
          <w:sz w:val="22"/>
          <w:rtl/>
        </w:rPr>
        <w:t xml:space="preserve"> </w:t>
      </w:r>
      <w:r>
        <w:rPr>
          <w:rFonts w:ascii="Century" w:hAnsi="Century" w:hint="cs"/>
          <w:sz w:val="22"/>
          <w:rtl/>
        </w:rPr>
        <w:t>לידי בעלי המניות; אך הוא</w:t>
      </w:r>
      <w:r w:rsidRPr="00C919D3">
        <w:rPr>
          <w:rFonts w:ascii="Century" w:hAnsi="Century" w:hint="cs"/>
          <w:sz w:val="22"/>
          <w:rtl/>
        </w:rPr>
        <w:t xml:space="preserve"> אינו חל </w:t>
      </w:r>
      <w:r>
        <w:rPr>
          <w:rFonts w:ascii="Century" w:hAnsi="Century" w:hint="cs"/>
          <w:sz w:val="22"/>
          <w:rtl/>
        </w:rPr>
        <w:t>במקרים בהם הדילול הוא תוצאה של התממשותם של סיכונים עסקיים אשר נלקחו על ידי החברה במטרה</w:t>
      </w:r>
      <w:r w:rsidRPr="00C919D3">
        <w:rPr>
          <w:rFonts w:ascii="Century" w:hAnsi="Century" w:hint="cs"/>
          <w:sz w:val="22"/>
          <w:rtl/>
        </w:rPr>
        <w:t xml:space="preserve"> להפיק רווחים</w:t>
      </w:r>
      <w:r>
        <w:rPr>
          <w:rFonts w:ascii="Century" w:hAnsi="Century" w:hint="cs"/>
          <w:sz w:val="22"/>
          <w:rtl/>
        </w:rPr>
        <w:t xml:space="preserve"> ולקדם את פעילותה העסקית</w:t>
      </w:r>
      <w:r w:rsidRPr="00C919D3">
        <w:rPr>
          <w:rFonts w:ascii="Century" w:hAnsi="Century" w:hint="cs"/>
          <w:sz w:val="22"/>
          <w:rtl/>
        </w:rPr>
        <w:t xml:space="preserve">. מצב דברים זה שונה בתכלית מזה </w:t>
      </w:r>
      <w:r w:rsidRPr="00C919D3">
        <w:rPr>
          <w:rFonts w:ascii="Century" w:hAnsi="Century" w:cs="Miriam" w:hint="cs"/>
          <w:b/>
          <w:spacing w:val="0"/>
          <w:sz w:val="22"/>
          <w:szCs w:val="24"/>
          <w:rtl/>
        </w:rPr>
        <w:t xml:space="preserve">שבדוגמאות א' </w:t>
      </w:r>
      <w:r w:rsidRPr="00C94194">
        <w:rPr>
          <w:rFonts w:ascii="Century" w:hAnsi="Century" w:hint="cs"/>
          <w:sz w:val="22"/>
          <w:rtl/>
        </w:rPr>
        <w:t>ו</w:t>
      </w:r>
      <w:r w:rsidRPr="00C919D3">
        <w:rPr>
          <w:rFonts w:ascii="Century" w:hAnsi="Century" w:cs="Miriam" w:hint="cs"/>
          <w:b/>
          <w:spacing w:val="0"/>
          <w:sz w:val="22"/>
          <w:szCs w:val="24"/>
          <w:rtl/>
        </w:rPr>
        <w:t>-ב'</w:t>
      </w:r>
      <w:r w:rsidRPr="00C919D3">
        <w:rPr>
          <w:rFonts w:ascii="Century" w:hAnsi="Century" w:hint="cs"/>
          <w:sz w:val="22"/>
          <w:rtl/>
        </w:rPr>
        <w:t xml:space="preserve">: בכל אחת מהדוגמאות הללו נעשה שימוש בכספי החברה שמטרתו הדומיננטית </w:t>
      </w:r>
      <w:proofErr w:type="spellStart"/>
      <w:r w:rsidRPr="00C919D3">
        <w:rPr>
          <w:rFonts w:ascii="Century" w:hAnsi="Century" w:hint="cs"/>
          <w:sz w:val="22"/>
          <w:rtl/>
        </w:rPr>
        <w:t>היתה</w:t>
      </w:r>
      <w:proofErr w:type="spellEnd"/>
      <w:r w:rsidRPr="00C919D3">
        <w:rPr>
          <w:rFonts w:ascii="Century" w:hAnsi="Century" w:hint="cs"/>
          <w:sz w:val="22"/>
          <w:rtl/>
        </w:rPr>
        <w:t xml:space="preserve"> מתן הטבה ל</w:t>
      </w:r>
      <w:r>
        <w:rPr>
          <w:rFonts w:ascii="Century" w:hAnsi="Century" w:hint="cs"/>
          <w:sz w:val="22"/>
          <w:rtl/>
        </w:rPr>
        <w:t xml:space="preserve">בעל מניות, להבדיל מקידום עסקי החברה. </w:t>
      </w:r>
      <w:r w:rsidRPr="00C919D3">
        <w:rPr>
          <w:rFonts w:ascii="Century" w:hAnsi="Century" w:hint="cs"/>
          <w:sz w:val="22"/>
          <w:rtl/>
        </w:rPr>
        <w:t xml:space="preserve">דילול עודפים זה כמוהו כדיבידנד, זולת אם בעל המניות שהשתמש בכספי החברה לטובתו-שלו רואה בשימוש שעשה הלוואה </w:t>
      </w:r>
      <w:r>
        <w:rPr>
          <w:rFonts w:ascii="Century" w:hAnsi="Century" w:hint="cs"/>
          <w:sz w:val="22"/>
          <w:rtl/>
        </w:rPr>
        <w:t>נושאת ר</w:t>
      </w:r>
      <w:r w:rsidRPr="00A04DD1">
        <w:rPr>
          <w:rFonts w:ascii="Century" w:hAnsi="Century" w:hint="cs"/>
          <w:sz w:val="22"/>
          <w:rtl/>
        </w:rPr>
        <w:t xml:space="preserve">יבית שאותה הוא </w:t>
      </w:r>
      <w:proofErr w:type="spellStart"/>
      <w:r w:rsidRPr="00A04DD1">
        <w:rPr>
          <w:rFonts w:ascii="Century" w:hAnsi="Century" w:hint="cs"/>
          <w:sz w:val="22"/>
          <w:rtl/>
        </w:rPr>
        <w:t>מחוייב</w:t>
      </w:r>
      <w:proofErr w:type="spellEnd"/>
      <w:r w:rsidRPr="00A04DD1">
        <w:rPr>
          <w:rFonts w:ascii="Century" w:hAnsi="Century" w:hint="cs"/>
          <w:sz w:val="22"/>
          <w:rtl/>
        </w:rPr>
        <w:t xml:space="preserve"> להחזיר לחברה בהתאם למקובלוֹת</w:t>
      </w:r>
      <w:r>
        <w:rPr>
          <w:rFonts w:ascii="Century" w:hAnsi="Century" w:hint="cs"/>
          <w:sz w:val="22"/>
          <w:rtl/>
        </w:rPr>
        <w:t xml:space="preserve"> </w:t>
      </w:r>
      <w:r w:rsidRPr="00041E5E">
        <w:rPr>
          <w:rFonts w:ascii="Century" w:hAnsi="Century"/>
          <w:sz w:val="22"/>
          <w:rtl/>
        </w:rPr>
        <w:t>(</w:t>
      </w:r>
      <w:r w:rsidRPr="00041E5E">
        <w:rPr>
          <w:rFonts w:ascii="Century" w:hAnsi="Century" w:hint="eastAsia"/>
          <w:sz w:val="22"/>
          <w:rtl/>
        </w:rPr>
        <w:t>ראו</w:t>
      </w:r>
      <w:r>
        <w:rPr>
          <w:rFonts w:ascii="Century" w:hAnsi="Century" w:hint="cs"/>
          <w:sz w:val="22"/>
          <w:rtl/>
        </w:rPr>
        <w:t>, למשל</w:t>
      </w:r>
      <w:r w:rsidRPr="00041E5E">
        <w:rPr>
          <w:rFonts w:ascii="Century" w:hAnsi="Century"/>
          <w:sz w:val="22"/>
          <w:rtl/>
        </w:rPr>
        <w:t xml:space="preserve">: </w:t>
      </w:r>
      <w:r w:rsidRPr="00041E5E">
        <w:rPr>
          <w:rFonts w:ascii="Century" w:hAnsi="Century" w:hint="eastAsia"/>
          <w:sz w:val="22"/>
          <w:rtl/>
        </w:rPr>
        <w:t>סעי</w:t>
      </w:r>
      <w:r>
        <w:rPr>
          <w:rFonts w:ascii="Century" w:hAnsi="Century" w:hint="cs"/>
          <w:sz w:val="22"/>
          <w:rtl/>
        </w:rPr>
        <w:t>פים</w:t>
      </w:r>
      <w:r w:rsidRPr="00041E5E">
        <w:rPr>
          <w:rFonts w:ascii="Century" w:hAnsi="Century"/>
          <w:sz w:val="22"/>
          <w:rtl/>
        </w:rPr>
        <w:t xml:space="preserve"> 3(</w:t>
      </w:r>
      <w:r w:rsidRPr="00041E5E">
        <w:rPr>
          <w:rFonts w:ascii="Century" w:hAnsi="Century" w:hint="eastAsia"/>
          <w:sz w:val="22"/>
          <w:rtl/>
        </w:rPr>
        <w:t>ט</w:t>
      </w:r>
      <w:r w:rsidRPr="00041E5E">
        <w:rPr>
          <w:rFonts w:ascii="Century" w:hAnsi="Century"/>
          <w:sz w:val="22"/>
          <w:rtl/>
        </w:rPr>
        <w:t>)</w:t>
      </w:r>
      <w:r>
        <w:rPr>
          <w:rFonts w:ascii="Century" w:hAnsi="Century" w:hint="cs"/>
          <w:sz w:val="22"/>
          <w:rtl/>
        </w:rPr>
        <w:t>-(ט1)</w:t>
      </w:r>
      <w:r w:rsidRPr="00041E5E">
        <w:rPr>
          <w:rFonts w:ascii="Century" w:hAnsi="Century"/>
          <w:sz w:val="22"/>
          <w:rtl/>
        </w:rPr>
        <w:t xml:space="preserve"> </w:t>
      </w:r>
      <w:r w:rsidRPr="00041E5E">
        <w:rPr>
          <w:rFonts w:ascii="Century" w:hAnsi="Century" w:hint="eastAsia"/>
          <w:sz w:val="22"/>
          <w:rtl/>
        </w:rPr>
        <w:t>לפקוד</w:t>
      </w:r>
      <w:r>
        <w:rPr>
          <w:rFonts w:ascii="Century" w:hAnsi="Century" w:hint="cs"/>
          <w:sz w:val="22"/>
          <w:rtl/>
        </w:rPr>
        <w:t xml:space="preserve">ת מס הכנסה; וכן, חוזר מס הכנסה מספר 07/2017 "סעיף 3(ט1) לפקודת מס הכנסה </w:t>
      </w:r>
      <w:r>
        <w:rPr>
          <w:rFonts w:ascii="Century" w:hAnsi="Century"/>
          <w:sz w:val="22"/>
          <w:rtl/>
        </w:rPr>
        <w:t>–</w:t>
      </w:r>
      <w:r>
        <w:rPr>
          <w:rFonts w:ascii="Century" w:hAnsi="Century" w:hint="cs"/>
          <w:sz w:val="22"/>
          <w:rtl/>
        </w:rPr>
        <w:t xml:space="preserve"> מיסוי בעל מניות מהותי בשל משיכה מחברה" (22.8.2017); </w:t>
      </w:r>
      <w:r>
        <w:rPr>
          <w:rFonts w:hint="cs"/>
          <w:rtl/>
        </w:rPr>
        <w:t xml:space="preserve">רחלי </w:t>
      </w:r>
      <w:proofErr w:type="spellStart"/>
      <w:r>
        <w:rPr>
          <w:rFonts w:hint="cs"/>
          <w:rtl/>
        </w:rPr>
        <w:t>גוז</w:t>
      </w:r>
      <w:proofErr w:type="spellEnd"/>
      <w:r>
        <w:rPr>
          <w:rFonts w:hint="cs"/>
          <w:rtl/>
        </w:rPr>
        <w:t xml:space="preserve"> לביא "</w:t>
      </w:r>
      <w:proofErr w:type="spellStart"/>
      <w:r w:rsidRPr="0004069D">
        <w:rPr>
          <w:rFonts w:ascii="Century" w:hAnsi="Century" w:hint="cs"/>
          <w:sz w:val="22"/>
          <w:rtl/>
        </w:rPr>
        <w:t>מברנובסקי</w:t>
      </w:r>
      <w:proofErr w:type="spellEnd"/>
      <w:r w:rsidRPr="0004069D">
        <w:rPr>
          <w:rFonts w:ascii="Century" w:hAnsi="Century" w:hint="cs"/>
          <w:sz w:val="22"/>
          <w:rtl/>
        </w:rPr>
        <w:t xml:space="preserve"> ועד בית חוסן:</w:t>
      </w:r>
      <w:r>
        <w:rPr>
          <w:rFonts w:hint="cs"/>
          <w:rtl/>
        </w:rPr>
        <w:t xml:space="preserve"> קביעת היבטי המס ברכישה עצמית של מניות בהתאם לנסיבות העסקה" </w:t>
      </w:r>
      <w:r w:rsidRPr="00005EF4">
        <w:rPr>
          <w:rFonts w:ascii="Century" w:hAnsi="Century" w:cs="Miriam" w:hint="cs"/>
          <w:b/>
          <w:spacing w:val="0"/>
          <w:sz w:val="22"/>
          <w:szCs w:val="24"/>
          <w:rtl/>
        </w:rPr>
        <w:t>מיסים</w:t>
      </w:r>
      <w:r w:rsidRPr="00005EF4">
        <w:rPr>
          <w:rFonts w:ascii="Century" w:hAnsi="Century" w:hint="cs"/>
          <w:sz w:val="22"/>
          <w:rtl/>
        </w:rPr>
        <w:t xml:space="preserve"> לד(4) א-67, </w:t>
      </w:r>
      <w:r>
        <w:rPr>
          <w:rFonts w:ascii="Century" w:hAnsi="Century" w:hint="cs"/>
          <w:sz w:val="22"/>
          <w:rtl/>
        </w:rPr>
        <w:t>87-84</w:t>
      </w:r>
      <w:r w:rsidRPr="00005EF4">
        <w:rPr>
          <w:rFonts w:ascii="Century" w:hAnsi="Century" w:hint="cs"/>
          <w:sz w:val="22"/>
          <w:rtl/>
        </w:rPr>
        <w:t xml:space="preserve"> (2020</w:t>
      </w:r>
      <w:r>
        <w:rPr>
          <w:rFonts w:ascii="Century" w:hAnsi="Century" w:hint="cs"/>
          <w:sz w:val="22"/>
          <w:rtl/>
        </w:rPr>
        <w:t xml:space="preserve">) (להלן: </w:t>
      </w:r>
      <w:proofErr w:type="spellStart"/>
      <w:r w:rsidRPr="00041E5E">
        <w:rPr>
          <w:rFonts w:ascii="Century" w:hAnsi="Century" w:cs="Miriam" w:hint="eastAsia"/>
          <w:b/>
          <w:spacing w:val="0"/>
          <w:sz w:val="22"/>
          <w:szCs w:val="24"/>
          <w:rtl/>
        </w:rPr>
        <w:t>גוז</w:t>
      </w:r>
      <w:proofErr w:type="spellEnd"/>
      <w:r w:rsidRPr="00041E5E">
        <w:rPr>
          <w:rFonts w:ascii="Century" w:hAnsi="Century" w:cs="Miriam"/>
          <w:b/>
          <w:spacing w:val="0"/>
          <w:sz w:val="22"/>
          <w:szCs w:val="24"/>
          <w:rtl/>
        </w:rPr>
        <w:t>-</w:t>
      </w:r>
      <w:r w:rsidRPr="00041E5E">
        <w:rPr>
          <w:rFonts w:ascii="Century" w:hAnsi="Century" w:cs="Miriam" w:hint="eastAsia"/>
          <w:b/>
          <w:spacing w:val="0"/>
          <w:sz w:val="22"/>
          <w:szCs w:val="24"/>
          <w:rtl/>
        </w:rPr>
        <w:t>לביא</w:t>
      </w:r>
      <w:r>
        <w:rPr>
          <w:rFonts w:ascii="Century" w:hAnsi="Century" w:hint="cs"/>
          <w:sz w:val="22"/>
          <w:rtl/>
        </w:rPr>
        <w:t>)</w:t>
      </w:r>
      <w:r w:rsidRPr="00041E5E">
        <w:rPr>
          <w:rFonts w:ascii="Century" w:hAnsi="Century"/>
          <w:sz w:val="22"/>
          <w:rtl/>
        </w:rPr>
        <w:t>)</w:t>
      </w:r>
      <w:r w:rsidRPr="00C919D3">
        <w:rPr>
          <w:rFonts w:ascii="Century" w:hAnsi="Century" w:hint="cs"/>
          <w:sz w:val="22"/>
          <w:rtl/>
        </w:rPr>
        <w:t xml:space="preserve">. זאת ועוד: </w:t>
      </w:r>
      <w:r w:rsidRPr="00C919D3">
        <w:rPr>
          <w:rFonts w:ascii="Century" w:hAnsi="Century" w:cs="Miriam" w:hint="cs"/>
          <w:b/>
          <w:spacing w:val="0"/>
          <w:sz w:val="22"/>
          <w:szCs w:val="24"/>
          <w:rtl/>
        </w:rPr>
        <w:t>בדוגמא ג'</w:t>
      </w:r>
      <w:r w:rsidRPr="00C919D3">
        <w:rPr>
          <w:rFonts w:ascii="Century" w:hAnsi="Century" w:hint="cs"/>
          <w:sz w:val="22"/>
          <w:rtl/>
        </w:rPr>
        <w:t>, ספיר, בעלת המניות שנשארת בחברה</w:t>
      </w:r>
      <w:r>
        <w:rPr>
          <w:rFonts w:ascii="Century" w:hAnsi="Century" w:hint="cs"/>
          <w:sz w:val="22"/>
          <w:rtl/>
        </w:rPr>
        <w:t>,</w:t>
      </w:r>
      <w:r w:rsidRPr="00C919D3">
        <w:rPr>
          <w:rFonts w:ascii="Century" w:hAnsi="Century" w:hint="cs"/>
          <w:sz w:val="22"/>
          <w:rtl/>
        </w:rPr>
        <w:t xml:space="preserve"> אינה מפיקה </w:t>
      </w:r>
      <w:r>
        <w:rPr>
          <w:rFonts w:ascii="Century" w:hAnsi="Century" w:hint="cs"/>
          <w:sz w:val="22"/>
          <w:rtl/>
        </w:rPr>
        <w:t xml:space="preserve">בעבור עצמה </w:t>
      </w:r>
      <w:r w:rsidRPr="00C919D3">
        <w:rPr>
          <w:rFonts w:ascii="Century" w:hAnsi="Century" w:hint="cs"/>
          <w:sz w:val="22"/>
          <w:rtl/>
        </w:rPr>
        <w:t>שום התעשרות</w:t>
      </w:r>
      <w:r>
        <w:rPr>
          <w:rFonts w:ascii="Century" w:hAnsi="Century" w:hint="cs"/>
          <w:sz w:val="22"/>
          <w:rtl/>
        </w:rPr>
        <w:t xml:space="preserve">. </w:t>
      </w:r>
      <w:r w:rsidRPr="00246CAB">
        <w:rPr>
          <w:rFonts w:ascii="Century" w:hAnsi="Century" w:hint="cs"/>
          <w:sz w:val="22"/>
          <w:rtl/>
        </w:rPr>
        <w:t>זאת, מאחר ש</w:t>
      </w:r>
      <w:r>
        <w:rPr>
          <w:rFonts w:ascii="Century" w:hAnsi="Century" w:hint="cs"/>
          <w:sz w:val="22"/>
          <w:rtl/>
        </w:rPr>
        <w:t>היא לא קיבלה לידיה, במישרין או בעקיפין, שום כסף מכספי החברה; מאחר ש</w:t>
      </w:r>
      <w:r w:rsidRPr="00246CAB">
        <w:rPr>
          <w:rFonts w:ascii="Century" w:hAnsi="Century" w:hint="cs"/>
          <w:sz w:val="22"/>
          <w:rtl/>
        </w:rPr>
        <w:t>אינה הופכת את מניות השליטה שבידה למזומנים על ידי מכירתם</w:t>
      </w:r>
      <w:r>
        <w:rPr>
          <w:rFonts w:ascii="Century" w:hAnsi="Century" w:hint="cs"/>
          <w:sz w:val="22"/>
          <w:rtl/>
        </w:rPr>
        <w:t>;</w:t>
      </w:r>
      <w:r w:rsidRPr="00246CAB">
        <w:rPr>
          <w:rFonts w:ascii="Century" w:hAnsi="Century" w:hint="cs"/>
          <w:sz w:val="22"/>
          <w:rtl/>
        </w:rPr>
        <w:t xml:space="preserve"> ומאחר שהיא ממשיכה ליטול על עצמה סיכונים עסקיים בקשרה את גורל</w:t>
      </w:r>
      <w:r>
        <w:rPr>
          <w:rFonts w:ascii="Century" w:hAnsi="Century" w:hint="cs"/>
          <w:sz w:val="22"/>
          <w:rtl/>
        </w:rPr>
        <w:t xml:space="preserve"> השקעתה בחברה </w:t>
      </w:r>
      <w:r w:rsidRPr="00246CAB">
        <w:rPr>
          <w:rFonts w:ascii="Century" w:hAnsi="Century" w:hint="cs"/>
          <w:sz w:val="22"/>
          <w:rtl/>
        </w:rPr>
        <w:t>עם גורל החברה. בהקשר זה, אין לי אלא להזכיר את המובן מאליו: ה</w:t>
      </w:r>
      <w:r>
        <w:rPr>
          <w:rFonts w:hint="cs"/>
          <w:rtl/>
        </w:rPr>
        <w:t>הצדקה למיסוי דיבידנד אינה נובעת מ"התעשרות" ערטילאית, אלא מהפיכת נכס לא נזיל מסוג מניה לכסף מזומן אצל בעל</w:t>
      </w:r>
      <w:r w:rsidRPr="00B9640E">
        <w:rPr>
          <w:rFonts w:hint="cs"/>
          <w:rtl/>
        </w:rPr>
        <w:t xml:space="preserve"> המני</w:t>
      </w:r>
      <w:r>
        <w:rPr>
          <w:rFonts w:hint="cs"/>
          <w:rtl/>
        </w:rPr>
        <w:t>ה</w:t>
      </w:r>
      <w:r w:rsidRPr="00B9640E">
        <w:rPr>
          <w:rFonts w:hint="cs"/>
          <w:rtl/>
        </w:rPr>
        <w:t xml:space="preserve"> (ראו: ע"א 217/65 </w:t>
      </w:r>
      <w:r w:rsidRPr="00246CAB">
        <w:rPr>
          <w:rFonts w:ascii="Century" w:hAnsi="Century" w:cs="Miriam" w:hint="cs"/>
          <w:b/>
          <w:spacing w:val="0"/>
          <w:sz w:val="22"/>
          <w:szCs w:val="24"/>
          <w:rtl/>
        </w:rPr>
        <w:t>כהן נ' פקיד שומה גוש דן</w:t>
      </w:r>
      <w:r w:rsidRPr="00246CAB">
        <w:rPr>
          <w:rFonts w:ascii="Century" w:hAnsi="Century" w:hint="cs"/>
          <w:sz w:val="22"/>
          <w:rtl/>
        </w:rPr>
        <w:t xml:space="preserve">, פ"ד כ(2) 421, 443-442 (1966) (להלן: עניין </w:t>
      </w:r>
      <w:r w:rsidRPr="00246CAB">
        <w:rPr>
          <w:rFonts w:ascii="Century" w:hAnsi="Century" w:cs="Miriam" w:hint="cs"/>
          <w:b/>
          <w:spacing w:val="0"/>
          <w:sz w:val="22"/>
          <w:szCs w:val="24"/>
          <w:rtl/>
        </w:rPr>
        <w:t>כהן</w:t>
      </w:r>
      <w:r w:rsidRPr="00246CAB">
        <w:rPr>
          <w:rFonts w:ascii="Century" w:hAnsi="Century" w:hint="cs"/>
          <w:sz w:val="22"/>
          <w:rtl/>
        </w:rPr>
        <w:t>);</w:t>
      </w:r>
      <w:r w:rsidRPr="00B9640E">
        <w:rPr>
          <w:rFonts w:hint="cs"/>
          <w:rtl/>
        </w:rPr>
        <w:t xml:space="preserve"> </w:t>
      </w:r>
      <w:r w:rsidRPr="00246CAB">
        <w:rPr>
          <w:rFonts w:asciiTheme="majorBidi" w:hAnsiTheme="majorBidi" w:cstheme="majorBidi"/>
        </w:rPr>
        <w:t xml:space="preserve">Charles I. </w:t>
      </w:r>
      <w:proofErr w:type="spellStart"/>
      <w:r w:rsidRPr="00246CAB">
        <w:rPr>
          <w:rFonts w:asciiTheme="majorBidi" w:hAnsiTheme="majorBidi" w:cstheme="majorBidi"/>
        </w:rPr>
        <w:t>Kingson</w:t>
      </w:r>
      <w:proofErr w:type="spellEnd"/>
      <w:r w:rsidRPr="00246CAB">
        <w:rPr>
          <w:rFonts w:asciiTheme="majorBidi" w:hAnsiTheme="majorBidi" w:cstheme="majorBidi"/>
        </w:rPr>
        <w:t xml:space="preserve">, </w:t>
      </w:r>
      <w:proofErr w:type="gramStart"/>
      <w:r w:rsidRPr="00246CAB">
        <w:rPr>
          <w:rFonts w:asciiTheme="majorBidi" w:hAnsiTheme="majorBidi" w:cstheme="majorBidi"/>
          <w:i/>
          <w:iCs/>
        </w:rPr>
        <w:t>The</w:t>
      </w:r>
      <w:proofErr w:type="gramEnd"/>
      <w:r w:rsidRPr="00246CAB">
        <w:rPr>
          <w:rFonts w:asciiTheme="majorBidi" w:hAnsiTheme="majorBidi" w:cstheme="majorBidi"/>
          <w:i/>
          <w:iCs/>
        </w:rPr>
        <w:t xml:space="preserve"> Deep Structure of Taxation: Dividend Distributions</w:t>
      </w:r>
      <w:r w:rsidRPr="00246CAB">
        <w:rPr>
          <w:rFonts w:asciiTheme="majorBidi" w:hAnsiTheme="majorBidi" w:cstheme="majorBidi"/>
        </w:rPr>
        <w:t xml:space="preserve">, 85 </w:t>
      </w:r>
      <w:r w:rsidRPr="00246CAB">
        <w:rPr>
          <w:rFonts w:asciiTheme="majorBidi" w:hAnsiTheme="majorBidi" w:cstheme="majorBidi"/>
          <w:smallCaps/>
        </w:rPr>
        <w:t>Yale L.J.</w:t>
      </w:r>
      <w:r w:rsidRPr="00246CAB">
        <w:rPr>
          <w:rFonts w:asciiTheme="majorBidi" w:hAnsiTheme="majorBidi" w:cstheme="majorBidi"/>
        </w:rPr>
        <w:t xml:space="preserve"> 861,</w:t>
      </w:r>
      <w:r w:rsidRPr="00246CAB">
        <w:rPr>
          <w:rFonts w:asciiTheme="majorBidi" w:hAnsiTheme="majorBidi" w:cstheme="majorBidi"/>
          <w:i/>
          <w:iCs/>
        </w:rPr>
        <w:t xml:space="preserve"> </w:t>
      </w:r>
      <w:r w:rsidRPr="00246CAB">
        <w:rPr>
          <w:rFonts w:asciiTheme="majorBidi" w:hAnsiTheme="majorBidi" w:cstheme="majorBidi"/>
        </w:rPr>
        <w:t>863-864 (1976)</w:t>
      </w:r>
      <w:r w:rsidRPr="00B9640E">
        <w:rPr>
          <w:rFonts w:hint="cs"/>
          <w:rtl/>
        </w:rPr>
        <w:t>).</w:t>
      </w:r>
      <w:r w:rsidRPr="00246CAB">
        <w:rPr>
          <w:rFonts w:ascii="Century" w:hAnsi="Century" w:hint="cs"/>
          <w:sz w:val="22"/>
          <w:rtl/>
        </w:rPr>
        <w:t xml:space="preserve"> הצדקה כאמור הינה חלק מעיקרון רחב יותר, ששמו "עיקרון המימוש". עיקרון זה קובע כי המדינה אינה </w:t>
      </w:r>
      <w:r>
        <w:rPr>
          <w:rFonts w:hint="cs"/>
          <w:rtl/>
        </w:rPr>
        <w:t xml:space="preserve">מטילה מס אלא על הכנסה ממומשת, ודאית ובעלת אומדן ברור אשר התקבלה בידי הנישום או שיש בכוחו לקבלהּ (ראו: עניין </w:t>
      </w:r>
      <w:r w:rsidRPr="00246CAB">
        <w:rPr>
          <w:rFonts w:ascii="Century" w:hAnsi="Century" w:cs="Miriam" w:hint="cs"/>
          <w:b/>
          <w:spacing w:val="0"/>
          <w:sz w:val="22"/>
          <w:szCs w:val="24"/>
          <w:rtl/>
        </w:rPr>
        <w:t>כהן</w:t>
      </w:r>
      <w:r w:rsidRPr="00246CAB">
        <w:rPr>
          <w:rFonts w:ascii="Century" w:hAnsi="Century" w:hint="cs"/>
          <w:sz w:val="22"/>
          <w:rtl/>
        </w:rPr>
        <w:t>, עמ' 428</w:t>
      </w:r>
      <w:r>
        <w:rPr>
          <w:rFonts w:hint="cs"/>
          <w:rtl/>
        </w:rPr>
        <w:t xml:space="preserve">; ע"א 2515/18 </w:t>
      </w:r>
      <w:r w:rsidRPr="00246CAB">
        <w:rPr>
          <w:rFonts w:ascii="Century" w:hAnsi="Century" w:cs="Miriam" w:hint="cs"/>
          <w:b/>
          <w:spacing w:val="0"/>
          <w:sz w:val="22"/>
          <w:szCs w:val="24"/>
          <w:rtl/>
        </w:rPr>
        <w:t xml:space="preserve">חברת </w:t>
      </w:r>
      <w:proofErr w:type="spellStart"/>
      <w:r w:rsidRPr="00246CAB">
        <w:rPr>
          <w:rFonts w:ascii="Century" w:hAnsi="Century" w:cs="Miriam" w:hint="cs"/>
          <w:b/>
          <w:spacing w:val="0"/>
          <w:sz w:val="22"/>
          <w:szCs w:val="24"/>
          <w:rtl/>
        </w:rPr>
        <w:t>אם.סי.אל</w:t>
      </w:r>
      <w:proofErr w:type="spellEnd"/>
      <w:r w:rsidRPr="00246CAB">
        <w:rPr>
          <w:rFonts w:ascii="Century" w:hAnsi="Century" w:cs="Miriam" w:hint="cs"/>
          <w:b/>
          <w:spacing w:val="0"/>
          <w:sz w:val="22"/>
          <w:szCs w:val="24"/>
          <w:rtl/>
        </w:rPr>
        <w:t xml:space="preserve"> קניון דרורים בע"מ נ' פקיד שומה פתח תקווה</w:t>
      </w:r>
      <w:r w:rsidRPr="00246CAB">
        <w:rPr>
          <w:rFonts w:ascii="Century" w:hAnsi="Century" w:hint="cs"/>
          <w:sz w:val="22"/>
          <w:rtl/>
        </w:rPr>
        <w:t xml:space="preserve">, עמ' 18-16 (17.6.2020) (להלן: עניין </w:t>
      </w:r>
      <w:r w:rsidRPr="00246CAB">
        <w:rPr>
          <w:rFonts w:ascii="Century" w:hAnsi="Century" w:cs="Miriam" w:hint="cs"/>
          <w:b/>
          <w:spacing w:val="0"/>
          <w:sz w:val="22"/>
          <w:szCs w:val="24"/>
          <w:rtl/>
        </w:rPr>
        <w:t>קניון דרורים</w:t>
      </w:r>
      <w:r w:rsidRPr="00246CAB">
        <w:rPr>
          <w:rFonts w:ascii="Century" w:hAnsi="Century" w:hint="cs"/>
          <w:sz w:val="22"/>
          <w:rtl/>
        </w:rPr>
        <w:t>);</w:t>
      </w:r>
      <w:r>
        <w:rPr>
          <w:rFonts w:hint="cs"/>
          <w:rtl/>
        </w:rPr>
        <w:t xml:space="preserve"> אהרן </w:t>
      </w:r>
      <w:proofErr w:type="spellStart"/>
      <w:r>
        <w:rPr>
          <w:rFonts w:hint="cs"/>
          <w:rtl/>
        </w:rPr>
        <w:t>נמדר</w:t>
      </w:r>
      <w:proofErr w:type="spellEnd"/>
      <w:r>
        <w:rPr>
          <w:rFonts w:hint="cs"/>
          <w:rtl/>
        </w:rPr>
        <w:t xml:space="preserve"> </w:t>
      </w:r>
      <w:r w:rsidRPr="00246CAB">
        <w:rPr>
          <w:rFonts w:ascii="Century" w:hAnsi="Century" w:cs="Miriam" w:hint="cs"/>
          <w:b/>
          <w:spacing w:val="0"/>
          <w:sz w:val="22"/>
          <w:szCs w:val="24"/>
          <w:rtl/>
        </w:rPr>
        <w:t xml:space="preserve">מס הכנסה </w:t>
      </w:r>
      <w:r w:rsidRPr="00246CAB">
        <w:rPr>
          <w:rFonts w:ascii="Century" w:hAnsi="Century" w:hint="cs"/>
          <w:sz w:val="22"/>
          <w:rtl/>
        </w:rPr>
        <w:t>74 (מהדורה רביעית, 2013);</w:t>
      </w:r>
      <w:r>
        <w:rPr>
          <w:rFonts w:hint="cs"/>
          <w:rtl/>
        </w:rPr>
        <w:t xml:space="preserve"> יוסף </w:t>
      </w:r>
      <w:proofErr w:type="spellStart"/>
      <w:r>
        <w:rPr>
          <w:rFonts w:hint="cs"/>
          <w:rtl/>
        </w:rPr>
        <w:t>אדרעי</w:t>
      </w:r>
      <w:proofErr w:type="spellEnd"/>
      <w:r>
        <w:rPr>
          <w:rFonts w:hint="cs"/>
          <w:rtl/>
        </w:rPr>
        <w:t xml:space="preserve"> "דוקטרינת המקור </w:t>
      </w:r>
      <w:r>
        <w:rPr>
          <w:rtl/>
        </w:rPr>
        <w:t>–</w:t>
      </w:r>
      <w:r>
        <w:rPr>
          <w:rFonts w:hint="cs"/>
          <w:rtl/>
        </w:rPr>
        <w:t xml:space="preserve"> סוף הדרך: על הגדרת המונח "הכנסה" בדין הישראלי הנוהג" </w:t>
      </w:r>
      <w:r w:rsidRPr="00246CAB">
        <w:rPr>
          <w:rFonts w:ascii="Century" w:hAnsi="Century" w:cs="Miriam" w:hint="cs"/>
          <w:b/>
          <w:spacing w:val="0"/>
          <w:sz w:val="22"/>
          <w:szCs w:val="24"/>
          <w:rtl/>
        </w:rPr>
        <w:t>משפטים</w:t>
      </w:r>
      <w:r w:rsidRPr="00246CAB">
        <w:rPr>
          <w:rFonts w:ascii="Century" w:hAnsi="Century" w:hint="cs"/>
          <w:sz w:val="22"/>
          <w:rtl/>
        </w:rPr>
        <w:t xml:space="preserve"> </w:t>
      </w:r>
      <w:r>
        <w:rPr>
          <w:rFonts w:hint="cs"/>
          <w:rtl/>
        </w:rPr>
        <w:t>25, 51-44 (תשמ"ז)).</w:t>
      </w:r>
      <w:r w:rsidRPr="00246CAB">
        <w:rPr>
          <w:rFonts w:ascii="Century" w:hAnsi="Century" w:hint="cs"/>
          <w:sz w:val="22"/>
          <w:rtl/>
        </w:rPr>
        <w:t xml:space="preserve"> </w:t>
      </w:r>
    </w:p>
    <w:p w:rsidR="00F05533" w:rsidRDefault="00F05533" w:rsidP="00F05533">
      <w:pPr>
        <w:pStyle w:val="Ruller4"/>
        <w:numPr>
          <w:ilvl w:val="0"/>
          <w:numId w:val="0"/>
        </w:numPr>
        <w:rPr>
          <w:rFonts w:ascii="Century" w:hAnsi="Century"/>
          <w:sz w:val="22"/>
        </w:rPr>
      </w:pPr>
    </w:p>
    <w:p w:rsidR="00F05533" w:rsidRPr="00246CAB" w:rsidRDefault="00F05533" w:rsidP="00F05533">
      <w:pPr>
        <w:pStyle w:val="Ruller4"/>
        <w:rPr>
          <w:rFonts w:ascii="Century" w:hAnsi="Century"/>
          <w:sz w:val="22"/>
        </w:rPr>
      </w:pPr>
      <w:r>
        <w:rPr>
          <w:rFonts w:ascii="Century" w:hAnsi="Century" w:hint="cs"/>
          <w:sz w:val="22"/>
          <w:rtl/>
        </w:rPr>
        <w:lastRenderedPageBreak/>
        <w:t xml:space="preserve">המסקנה אליה הגעתי באמצעות ניתוח של </w:t>
      </w:r>
      <w:r w:rsidRPr="00246CAB">
        <w:rPr>
          <w:rFonts w:ascii="Century" w:hAnsi="Century" w:cs="Miriam" w:hint="cs"/>
          <w:b/>
          <w:spacing w:val="0"/>
          <w:sz w:val="22"/>
          <w:szCs w:val="24"/>
          <w:rtl/>
        </w:rPr>
        <w:t>דוגמא ג'</w:t>
      </w:r>
      <w:r w:rsidRPr="00246CAB">
        <w:rPr>
          <w:rFonts w:ascii="Century" w:hAnsi="Century" w:hint="cs"/>
          <w:sz w:val="22"/>
          <w:rtl/>
        </w:rPr>
        <w:t xml:space="preserve"> </w:t>
      </w:r>
      <w:r>
        <w:rPr>
          <w:rFonts w:ascii="Century" w:hAnsi="Century"/>
          <w:sz w:val="22"/>
          <w:rtl/>
        </w:rPr>
        <w:t>–</w:t>
      </w:r>
      <w:r>
        <w:rPr>
          <w:rFonts w:ascii="Century" w:hAnsi="Century" w:hint="cs"/>
          <w:sz w:val="22"/>
          <w:rtl/>
        </w:rPr>
        <w:t xml:space="preserve"> כמושווית </w:t>
      </w:r>
      <w:r w:rsidRPr="006059BA">
        <w:rPr>
          <w:rFonts w:ascii="Century" w:hAnsi="Century" w:cs="Miriam" w:hint="cs"/>
          <w:b/>
          <w:spacing w:val="0"/>
          <w:sz w:val="22"/>
          <w:szCs w:val="24"/>
          <w:rtl/>
        </w:rPr>
        <w:t>לדוגמאות א'</w:t>
      </w:r>
      <w:r w:rsidRPr="006059BA">
        <w:rPr>
          <w:rFonts w:ascii="Century" w:hAnsi="Century" w:hint="cs"/>
          <w:sz w:val="22"/>
          <w:rtl/>
        </w:rPr>
        <w:t xml:space="preserve"> </w:t>
      </w:r>
      <w:r>
        <w:rPr>
          <w:rFonts w:ascii="Century" w:hAnsi="Century" w:hint="cs"/>
          <w:sz w:val="22"/>
          <w:rtl/>
        </w:rPr>
        <w:t>ו-</w:t>
      </w:r>
      <w:r w:rsidRPr="006059BA">
        <w:rPr>
          <w:rFonts w:ascii="Century" w:hAnsi="Century" w:cs="Miriam" w:hint="cs"/>
          <w:b/>
          <w:spacing w:val="0"/>
          <w:sz w:val="22"/>
          <w:szCs w:val="24"/>
          <w:rtl/>
        </w:rPr>
        <w:t>ב'</w:t>
      </w:r>
      <w:r>
        <w:rPr>
          <w:rFonts w:ascii="Century" w:hAnsi="Century" w:hint="cs"/>
          <w:sz w:val="22"/>
          <w:rtl/>
        </w:rPr>
        <w:t xml:space="preserve"> </w:t>
      </w:r>
      <w:r>
        <w:rPr>
          <w:rFonts w:ascii="Century" w:hAnsi="Century"/>
          <w:sz w:val="22"/>
          <w:rtl/>
        </w:rPr>
        <w:t>–</w:t>
      </w:r>
      <w:r>
        <w:rPr>
          <w:rFonts w:ascii="Century" w:hAnsi="Century" w:hint="cs"/>
          <w:sz w:val="22"/>
          <w:rtl/>
        </w:rPr>
        <w:t xml:space="preserve"> </w:t>
      </w:r>
      <w:r w:rsidRPr="00246CAB">
        <w:rPr>
          <w:rFonts w:ascii="Century" w:hAnsi="Century" w:hint="cs"/>
          <w:sz w:val="22"/>
          <w:rtl/>
        </w:rPr>
        <w:t>מעמיד</w:t>
      </w:r>
      <w:r>
        <w:rPr>
          <w:rFonts w:ascii="Century" w:hAnsi="Century" w:hint="cs"/>
          <w:sz w:val="22"/>
          <w:rtl/>
        </w:rPr>
        <w:t>ה</w:t>
      </w:r>
      <w:r w:rsidRPr="00246CAB">
        <w:rPr>
          <w:rFonts w:ascii="Century" w:hAnsi="Century" w:hint="cs"/>
          <w:sz w:val="22"/>
          <w:rtl/>
        </w:rPr>
        <w:t xml:space="preserve"> את רשות המיסים בפני קושי מעשי. מבחן המטרה הדומיננטית שבעזרתו ניתן, ולדידי, </w:t>
      </w:r>
      <w:r>
        <w:rPr>
          <w:rFonts w:ascii="Century" w:hAnsi="Century" w:hint="cs"/>
          <w:sz w:val="22"/>
          <w:rtl/>
        </w:rPr>
        <w:t xml:space="preserve">גם ראוי, להבחין בין רכישות עצמיות </w:t>
      </w:r>
      <w:r w:rsidRPr="00246CAB">
        <w:rPr>
          <w:rFonts w:ascii="Century" w:hAnsi="Century" w:hint="cs"/>
          <w:sz w:val="22"/>
          <w:rtl/>
        </w:rPr>
        <w:t xml:space="preserve">שונות </w:t>
      </w:r>
      <w:r w:rsidRPr="00246CAB">
        <w:rPr>
          <w:rFonts w:ascii="Century" w:hAnsi="Century"/>
          <w:sz w:val="22"/>
          <w:rtl/>
        </w:rPr>
        <w:t>–</w:t>
      </w:r>
      <w:r w:rsidRPr="00246CAB">
        <w:rPr>
          <w:rFonts w:ascii="Century" w:hAnsi="Century" w:hint="cs"/>
          <w:sz w:val="22"/>
          <w:rtl/>
        </w:rPr>
        <w:t xml:space="preserve"> אל</w:t>
      </w:r>
      <w:r>
        <w:rPr>
          <w:rFonts w:ascii="Century" w:hAnsi="Century" w:hint="cs"/>
          <w:sz w:val="22"/>
          <w:rtl/>
        </w:rPr>
        <w:t>ה</w:t>
      </w:r>
      <w:r w:rsidRPr="00246CAB">
        <w:rPr>
          <w:rFonts w:ascii="Century" w:hAnsi="Century" w:hint="cs"/>
          <w:sz w:val="22"/>
          <w:rtl/>
        </w:rPr>
        <w:t xml:space="preserve"> שעושות שימוש בכספי החברה כדי להיטיב עם בעלי המניות הנותרים, </w:t>
      </w:r>
      <w:r>
        <w:rPr>
          <w:rFonts w:ascii="Century" w:hAnsi="Century" w:hint="cs"/>
          <w:sz w:val="22"/>
          <w:rtl/>
        </w:rPr>
        <w:t xml:space="preserve">שממשיכים לאחוז במניותיהם, </w:t>
      </w:r>
      <w:r w:rsidRPr="00246CAB">
        <w:rPr>
          <w:rFonts w:ascii="Century" w:hAnsi="Century" w:hint="cs"/>
          <w:sz w:val="22"/>
          <w:rtl/>
        </w:rPr>
        <w:t>ואל</w:t>
      </w:r>
      <w:r>
        <w:rPr>
          <w:rFonts w:ascii="Century" w:hAnsi="Century" w:hint="cs"/>
          <w:sz w:val="22"/>
          <w:rtl/>
        </w:rPr>
        <w:t>ה</w:t>
      </w:r>
      <w:r w:rsidRPr="00246CAB">
        <w:rPr>
          <w:rFonts w:ascii="Century" w:hAnsi="Century" w:hint="cs"/>
          <w:sz w:val="22"/>
          <w:rtl/>
        </w:rPr>
        <w:t xml:space="preserve"> שבאות לקדם את מטר</w:t>
      </w:r>
      <w:r>
        <w:rPr>
          <w:rFonts w:ascii="Century" w:hAnsi="Century" w:hint="cs"/>
          <w:sz w:val="22"/>
          <w:rtl/>
        </w:rPr>
        <w:t>ו</w:t>
      </w:r>
      <w:r w:rsidRPr="00246CAB">
        <w:rPr>
          <w:rFonts w:ascii="Century" w:hAnsi="Century" w:hint="cs"/>
          <w:sz w:val="22"/>
          <w:rtl/>
        </w:rPr>
        <w:t>ת</w:t>
      </w:r>
      <w:r>
        <w:rPr>
          <w:rFonts w:ascii="Century" w:hAnsi="Century" w:hint="cs"/>
          <w:sz w:val="22"/>
          <w:rtl/>
        </w:rPr>
        <w:t>י</w:t>
      </w:r>
      <w:r w:rsidRPr="00246CAB">
        <w:rPr>
          <w:rFonts w:ascii="Century" w:hAnsi="Century" w:hint="cs"/>
          <w:sz w:val="22"/>
          <w:rtl/>
        </w:rPr>
        <w:t>ה העסקי</w:t>
      </w:r>
      <w:r>
        <w:rPr>
          <w:rFonts w:ascii="Century" w:hAnsi="Century" w:hint="cs"/>
          <w:sz w:val="22"/>
          <w:rtl/>
        </w:rPr>
        <w:t>ו</w:t>
      </w:r>
      <w:r w:rsidRPr="00246CAB">
        <w:rPr>
          <w:rFonts w:ascii="Century" w:hAnsi="Century" w:hint="cs"/>
          <w:sz w:val="22"/>
          <w:rtl/>
        </w:rPr>
        <w:t xml:space="preserve">ת של החברה הרוכשת את </w:t>
      </w:r>
      <w:r>
        <w:rPr>
          <w:rFonts w:ascii="Century" w:hAnsi="Century" w:hint="cs"/>
          <w:sz w:val="22"/>
          <w:rtl/>
        </w:rPr>
        <w:t>מניותיה</w:t>
      </w:r>
      <w:r w:rsidRPr="00246CAB">
        <w:rPr>
          <w:rFonts w:ascii="Century" w:hAnsi="Century" w:hint="cs"/>
          <w:sz w:val="22"/>
          <w:rtl/>
        </w:rPr>
        <w:t xml:space="preserve"> </w:t>
      </w:r>
      <w:r w:rsidRPr="00246CAB">
        <w:rPr>
          <w:rFonts w:ascii="Century" w:hAnsi="Century"/>
          <w:sz w:val="22"/>
          <w:rtl/>
        </w:rPr>
        <w:t>–</w:t>
      </w:r>
      <w:r w:rsidRPr="00246CAB">
        <w:rPr>
          <w:rFonts w:ascii="Century" w:hAnsi="Century" w:hint="cs"/>
          <w:sz w:val="22"/>
          <w:rtl/>
        </w:rPr>
        <w:t xml:space="preserve"> איננו קל ליישום. יתרה מכך: מבחן זה פותח פתח לניצולו של יתרון המידע על ידי הנישום במצב של מידע אסימטרי, שבו רשות המיסים יודעת על עסקיו הרבה פחות ממה שהוא יודע עליהם. במצב דברים זה, נישומים לא מעטים עלולים לנצל לרעה את תלותה של הגדרת "דיבידנד" בר-מיסוי במבחן האמורפי אשר נסוב על מטרתה הדומיננטית של הרכישה העצמית. אם הדבר יעלה בידם, יוכלו נישומים אלה לדלל את קופת החברה לטובת עצמם תוך סיכול המנגנון הדו-של</w:t>
      </w:r>
      <w:r>
        <w:rPr>
          <w:rFonts w:ascii="Century" w:hAnsi="Century" w:hint="cs"/>
          <w:sz w:val="22"/>
          <w:rtl/>
        </w:rPr>
        <w:t>בי, אשר חל על מיסוי רווחי החברה, ועל ידי כך לחמוק מתשלום מיסים.</w:t>
      </w:r>
    </w:p>
    <w:p w:rsidR="00F05533" w:rsidRDefault="00F05533" w:rsidP="00F05533">
      <w:pPr>
        <w:pStyle w:val="Ruller4"/>
        <w:numPr>
          <w:ilvl w:val="0"/>
          <w:numId w:val="0"/>
        </w:numPr>
        <w:rPr>
          <w:rFonts w:ascii="Century" w:hAnsi="Century"/>
          <w:sz w:val="22"/>
        </w:rPr>
      </w:pPr>
    </w:p>
    <w:p w:rsidR="00F05533" w:rsidRDefault="00F05533" w:rsidP="00F05533">
      <w:pPr>
        <w:pStyle w:val="Ruller4"/>
        <w:rPr>
          <w:rFonts w:ascii="Century" w:hAnsi="Century"/>
          <w:sz w:val="22"/>
        </w:rPr>
      </w:pPr>
      <w:r w:rsidRPr="000A29CD">
        <w:rPr>
          <w:rFonts w:ascii="Century" w:hAnsi="Century" w:hint="cs"/>
          <w:sz w:val="22"/>
          <w:rtl/>
        </w:rPr>
        <w:t xml:space="preserve">קושי זה הוא קושי </w:t>
      </w:r>
      <w:proofErr w:type="spellStart"/>
      <w:r w:rsidRPr="000A29CD">
        <w:rPr>
          <w:rFonts w:ascii="Century" w:hAnsi="Century" w:hint="cs"/>
          <w:sz w:val="22"/>
          <w:rtl/>
        </w:rPr>
        <w:t>אמיתי</w:t>
      </w:r>
      <w:proofErr w:type="spellEnd"/>
      <w:r>
        <w:rPr>
          <w:rFonts w:ascii="Century" w:hAnsi="Century" w:hint="cs"/>
          <w:sz w:val="22"/>
          <w:rtl/>
        </w:rPr>
        <w:t xml:space="preserve"> שאין להקל בו ראש</w:t>
      </w:r>
      <w:r w:rsidRPr="000A29CD">
        <w:rPr>
          <w:rFonts w:ascii="Century" w:hAnsi="Century" w:hint="cs"/>
          <w:sz w:val="22"/>
          <w:rtl/>
        </w:rPr>
        <w:t xml:space="preserve">. חרף היותו </w:t>
      </w:r>
      <w:proofErr w:type="spellStart"/>
      <w:r w:rsidRPr="000A29CD">
        <w:rPr>
          <w:rFonts w:ascii="Century" w:hAnsi="Century" w:hint="cs"/>
          <w:sz w:val="22"/>
          <w:rtl/>
        </w:rPr>
        <w:t>אמיתי</w:t>
      </w:r>
      <w:proofErr w:type="spellEnd"/>
      <w:r w:rsidRPr="000A29CD">
        <w:rPr>
          <w:rFonts w:ascii="Century" w:hAnsi="Century" w:hint="cs"/>
          <w:sz w:val="22"/>
          <w:rtl/>
        </w:rPr>
        <w:t xml:space="preserve">, </w:t>
      </w:r>
      <w:r>
        <w:rPr>
          <w:rFonts w:ascii="Century" w:hAnsi="Century" w:hint="cs"/>
          <w:sz w:val="22"/>
          <w:rtl/>
        </w:rPr>
        <w:t>קושי זה</w:t>
      </w:r>
      <w:r w:rsidRPr="000A29CD">
        <w:rPr>
          <w:rFonts w:ascii="Century" w:hAnsi="Century" w:hint="cs"/>
          <w:sz w:val="22"/>
          <w:rtl/>
        </w:rPr>
        <w:t xml:space="preserve"> אינו מהווה הצדקה לסיווגה הגורף של </w:t>
      </w:r>
      <w:r w:rsidRPr="00BC0DE5">
        <w:rPr>
          <w:rFonts w:ascii="Century" w:hAnsi="Century" w:cs="Miriam" w:hint="cs"/>
          <w:b/>
          <w:spacing w:val="0"/>
          <w:sz w:val="22"/>
          <w:szCs w:val="24"/>
          <w:rtl/>
        </w:rPr>
        <w:t>כל</w:t>
      </w:r>
      <w:r w:rsidRPr="000A29CD">
        <w:rPr>
          <w:rFonts w:ascii="Century" w:hAnsi="Century" w:hint="cs"/>
          <w:sz w:val="22"/>
          <w:rtl/>
        </w:rPr>
        <w:t xml:space="preserve"> רכישה עצמית דיספרופורציונית כחלוקת דיבידנד לבעלי המניות הנותרים בחברה. במקרים המיוצגים על ידי </w:t>
      </w:r>
      <w:r w:rsidRPr="004E3964">
        <w:rPr>
          <w:rFonts w:ascii="Century" w:hAnsi="Century" w:cs="Miriam" w:hint="cs"/>
          <w:b/>
          <w:spacing w:val="0"/>
          <w:sz w:val="22"/>
          <w:szCs w:val="24"/>
          <w:rtl/>
        </w:rPr>
        <w:t>דוגמא ג'</w:t>
      </w:r>
      <w:r w:rsidRPr="004E3964">
        <w:rPr>
          <w:rFonts w:ascii="Century" w:hAnsi="Century" w:hint="cs"/>
          <w:sz w:val="22"/>
          <w:rtl/>
        </w:rPr>
        <w:t xml:space="preserve"> </w:t>
      </w:r>
      <w:r w:rsidRPr="004E3964">
        <w:rPr>
          <w:rFonts w:ascii="Century" w:hAnsi="Century"/>
          <w:sz w:val="22"/>
          <w:rtl/>
        </w:rPr>
        <w:t>–</w:t>
      </w:r>
      <w:r w:rsidRPr="004E3964">
        <w:rPr>
          <w:rFonts w:ascii="Century" w:hAnsi="Century" w:hint="cs"/>
          <w:sz w:val="22"/>
          <w:rtl/>
        </w:rPr>
        <w:t xml:space="preserve"> בהם מדובר ברכישה עצמית שבאה לשרת את טובת החברה כחברה</w:t>
      </w:r>
      <w:r w:rsidRPr="000A29CD">
        <w:rPr>
          <w:rFonts w:ascii="Century" w:hAnsi="Century" w:hint="cs"/>
          <w:sz w:val="22"/>
          <w:rtl/>
        </w:rPr>
        <w:t xml:space="preserve"> </w:t>
      </w:r>
      <w:r w:rsidRPr="000A29CD">
        <w:rPr>
          <w:rFonts w:ascii="Century" w:hAnsi="Century"/>
          <w:sz w:val="22"/>
          <w:rtl/>
        </w:rPr>
        <w:t>–</w:t>
      </w:r>
      <w:r w:rsidRPr="000A29CD">
        <w:rPr>
          <w:rFonts w:ascii="Century" w:hAnsi="Century" w:hint="cs"/>
          <w:sz w:val="22"/>
          <w:rtl/>
        </w:rPr>
        <w:t xml:space="preserve"> לסיווג כזה לא תהא הצדקה. לדידי, הקושי שבו עסקינן </w:t>
      </w:r>
      <w:r>
        <w:rPr>
          <w:rFonts w:ascii="Century" w:hAnsi="Century" w:hint="cs"/>
          <w:sz w:val="22"/>
          <w:rtl/>
        </w:rPr>
        <w:t>הוא</w:t>
      </w:r>
      <w:r w:rsidRPr="000A29CD">
        <w:rPr>
          <w:rFonts w:ascii="Century" w:hAnsi="Century" w:hint="cs"/>
          <w:sz w:val="22"/>
          <w:rtl/>
        </w:rPr>
        <w:t xml:space="preserve"> קושי רגיל שמעוררים תכנוני מס. ההבחנה בין תכנון מס לגיטימי לבין תכנון מס שאינו לגיטימי </w:t>
      </w:r>
      <w:r w:rsidRPr="000A29CD">
        <w:rPr>
          <w:rFonts w:ascii="Century" w:hAnsi="Century"/>
          <w:sz w:val="22"/>
          <w:rtl/>
        </w:rPr>
        <w:t>–</w:t>
      </w:r>
      <w:r w:rsidRPr="000A29CD">
        <w:rPr>
          <w:rFonts w:ascii="Century" w:hAnsi="Century" w:hint="cs"/>
          <w:sz w:val="22"/>
          <w:rtl/>
        </w:rPr>
        <w:t xml:space="preserve"> אשר מכונה לעתים כ</w:t>
      </w:r>
      <w:r>
        <w:rPr>
          <w:rFonts w:ascii="Century" w:hAnsi="Century" w:hint="cs"/>
          <w:sz w:val="22"/>
          <w:rtl/>
        </w:rPr>
        <w:t>"</w:t>
      </w:r>
      <w:r w:rsidRPr="000A29CD">
        <w:rPr>
          <w:rFonts w:ascii="Century" w:hAnsi="Century" w:hint="cs"/>
          <w:sz w:val="22"/>
          <w:rtl/>
        </w:rPr>
        <w:t xml:space="preserve">תחמון מס" </w:t>
      </w:r>
      <w:r w:rsidRPr="000A29CD">
        <w:rPr>
          <w:rFonts w:ascii="Century" w:hAnsi="Century"/>
          <w:sz w:val="22"/>
          <w:rtl/>
        </w:rPr>
        <w:t>–</w:t>
      </w:r>
      <w:r w:rsidRPr="000A29CD">
        <w:rPr>
          <w:rFonts w:ascii="Century" w:hAnsi="Century" w:hint="cs"/>
          <w:sz w:val="22"/>
          <w:rtl/>
        </w:rPr>
        <w:t xml:space="preserve"> אכן איננה תמיד קלה, </w:t>
      </w:r>
      <w:r w:rsidRPr="006A4CB3">
        <w:rPr>
          <w:rFonts w:ascii="Century" w:hAnsi="Century" w:hint="cs"/>
          <w:sz w:val="22"/>
          <w:rtl/>
        </w:rPr>
        <w:t xml:space="preserve">אך איני רואה מנוס מעשייתה </w:t>
      </w:r>
      <w:r w:rsidRPr="00041E5E">
        <w:rPr>
          <w:rFonts w:ascii="Century" w:hAnsi="Century"/>
          <w:sz w:val="22"/>
          <w:rtl/>
        </w:rPr>
        <w:t>(</w:t>
      </w:r>
      <w:r w:rsidRPr="00041E5E">
        <w:rPr>
          <w:rFonts w:ascii="Century" w:hAnsi="Century" w:hint="eastAsia"/>
          <w:sz w:val="22"/>
          <w:rtl/>
        </w:rPr>
        <w:t>ראו</w:t>
      </w:r>
      <w:r w:rsidRPr="00041E5E">
        <w:rPr>
          <w:rFonts w:ascii="Century" w:hAnsi="Century"/>
          <w:sz w:val="22"/>
          <w:rtl/>
        </w:rPr>
        <w:t xml:space="preserve"> </w:t>
      </w:r>
      <w:r w:rsidRPr="00041E5E">
        <w:rPr>
          <w:rFonts w:ascii="Century" w:hAnsi="Century" w:hint="eastAsia"/>
          <w:sz w:val="22"/>
          <w:rtl/>
        </w:rPr>
        <w:t>והשוו</w:t>
      </w:r>
      <w:r w:rsidRPr="00041E5E">
        <w:rPr>
          <w:rFonts w:ascii="Century" w:hAnsi="Century"/>
          <w:sz w:val="22"/>
          <w:rtl/>
        </w:rPr>
        <w:t xml:space="preserve">: </w:t>
      </w:r>
      <w:r w:rsidRPr="00041E5E">
        <w:rPr>
          <w:rFonts w:ascii="Century" w:hAnsi="Century" w:hint="eastAsia"/>
          <w:sz w:val="22"/>
          <w:rtl/>
        </w:rPr>
        <w:t>דוד</w:t>
      </w:r>
      <w:r w:rsidRPr="00041E5E">
        <w:rPr>
          <w:rFonts w:ascii="Century" w:hAnsi="Century"/>
          <w:sz w:val="22"/>
          <w:rtl/>
        </w:rPr>
        <w:t xml:space="preserve"> </w:t>
      </w:r>
      <w:proofErr w:type="spellStart"/>
      <w:r w:rsidRPr="00041E5E">
        <w:rPr>
          <w:rFonts w:ascii="Century" w:hAnsi="Century" w:hint="eastAsia"/>
          <w:sz w:val="22"/>
          <w:rtl/>
        </w:rPr>
        <w:t>גליקסברג</w:t>
      </w:r>
      <w:proofErr w:type="spellEnd"/>
      <w:r w:rsidRPr="00041E5E">
        <w:rPr>
          <w:rFonts w:ascii="Century" w:hAnsi="Century"/>
          <w:sz w:val="22"/>
          <w:rtl/>
        </w:rPr>
        <w:t xml:space="preserve">, </w:t>
      </w:r>
      <w:r w:rsidRPr="00041E5E">
        <w:rPr>
          <w:rFonts w:ascii="Century" w:hAnsi="Century" w:cs="Miriam" w:hint="eastAsia"/>
          <w:b/>
          <w:spacing w:val="0"/>
          <w:sz w:val="22"/>
          <w:szCs w:val="24"/>
          <w:rtl/>
        </w:rPr>
        <w:t>גבולות</w:t>
      </w:r>
      <w:r w:rsidRPr="00041E5E">
        <w:rPr>
          <w:rFonts w:ascii="Century" w:hAnsi="Century" w:cs="Miriam"/>
          <w:b/>
          <w:spacing w:val="0"/>
          <w:sz w:val="22"/>
          <w:szCs w:val="24"/>
          <w:rtl/>
        </w:rPr>
        <w:t xml:space="preserve"> </w:t>
      </w:r>
      <w:r w:rsidRPr="00041E5E">
        <w:rPr>
          <w:rFonts w:ascii="Century" w:hAnsi="Century" w:cs="Miriam" w:hint="eastAsia"/>
          <w:b/>
          <w:spacing w:val="0"/>
          <w:sz w:val="22"/>
          <w:szCs w:val="24"/>
          <w:rtl/>
        </w:rPr>
        <w:t>תכנון</w:t>
      </w:r>
      <w:r w:rsidRPr="00041E5E">
        <w:rPr>
          <w:rFonts w:ascii="Century" w:hAnsi="Century" w:cs="Miriam"/>
          <w:b/>
          <w:spacing w:val="0"/>
          <w:sz w:val="22"/>
          <w:szCs w:val="24"/>
          <w:rtl/>
        </w:rPr>
        <w:t xml:space="preserve"> </w:t>
      </w:r>
      <w:r w:rsidRPr="00041E5E">
        <w:rPr>
          <w:rFonts w:ascii="Century" w:hAnsi="Century" w:cs="Miriam" w:hint="eastAsia"/>
          <w:b/>
          <w:spacing w:val="0"/>
          <w:sz w:val="22"/>
          <w:szCs w:val="24"/>
          <w:rtl/>
        </w:rPr>
        <w:t>המס</w:t>
      </w:r>
      <w:r w:rsidRPr="00041E5E">
        <w:rPr>
          <w:rFonts w:ascii="Century" w:hAnsi="Century" w:cs="Miriam"/>
          <w:b/>
          <w:spacing w:val="0"/>
          <w:sz w:val="22"/>
          <w:szCs w:val="24"/>
          <w:rtl/>
        </w:rPr>
        <w:t xml:space="preserve"> </w:t>
      </w:r>
      <w:r w:rsidRPr="00041E5E">
        <w:rPr>
          <w:rFonts w:ascii="Century" w:hAnsi="Century"/>
          <w:sz w:val="22"/>
          <w:rtl/>
        </w:rPr>
        <w:t>71-67 (1990)</w:t>
      </w:r>
      <w:r>
        <w:rPr>
          <w:rFonts w:ascii="Century" w:hAnsi="Century" w:hint="cs"/>
          <w:sz w:val="22"/>
          <w:rtl/>
        </w:rPr>
        <w:t xml:space="preserve"> (להלן: </w:t>
      </w:r>
      <w:proofErr w:type="spellStart"/>
      <w:r w:rsidRPr="00537C88">
        <w:rPr>
          <w:rFonts w:ascii="Century" w:hAnsi="Century" w:cs="Miriam" w:hint="cs"/>
          <w:b/>
          <w:spacing w:val="0"/>
          <w:sz w:val="22"/>
          <w:szCs w:val="24"/>
          <w:rtl/>
        </w:rPr>
        <w:t>גליקסברג</w:t>
      </w:r>
      <w:proofErr w:type="spellEnd"/>
      <w:r>
        <w:rPr>
          <w:rFonts w:ascii="Century" w:hAnsi="Century" w:hint="cs"/>
          <w:sz w:val="22"/>
          <w:rtl/>
        </w:rPr>
        <w:t xml:space="preserve">); </w:t>
      </w:r>
      <w:r w:rsidRPr="00F93A01">
        <w:rPr>
          <w:rFonts w:ascii="Arial TUR" w:hAnsi="Arial TUR"/>
          <w:sz w:val="22"/>
          <w:rtl/>
        </w:rPr>
        <w:t xml:space="preserve">ע"א 3415/97 </w:t>
      </w:r>
      <w:r w:rsidRPr="00F93A01">
        <w:rPr>
          <w:rFonts w:ascii="Century" w:hAnsi="Century" w:cs="Miriam"/>
          <w:b/>
          <w:spacing w:val="0"/>
          <w:sz w:val="22"/>
          <w:szCs w:val="24"/>
          <w:rtl/>
        </w:rPr>
        <w:t>פקיד שומה למפעלים גדולים נ' יואב רובינשטיין ושות' חברה לבניין פיתוח ומימון בע"מ</w:t>
      </w:r>
      <w:r w:rsidRPr="00F93A01">
        <w:rPr>
          <w:rFonts w:ascii="Arial TUR" w:hAnsi="Arial TUR"/>
          <w:sz w:val="22"/>
          <w:rtl/>
        </w:rPr>
        <w:t xml:space="preserve">, פ"ד </w:t>
      </w:r>
      <w:proofErr w:type="spellStart"/>
      <w:r w:rsidRPr="00F93A01">
        <w:rPr>
          <w:rFonts w:ascii="Arial TUR" w:hAnsi="Arial TUR"/>
          <w:sz w:val="22"/>
          <w:rtl/>
        </w:rPr>
        <w:t>נז</w:t>
      </w:r>
      <w:proofErr w:type="spellEnd"/>
      <w:r w:rsidRPr="00F93A01">
        <w:rPr>
          <w:rFonts w:ascii="Arial TUR" w:hAnsi="Arial TUR"/>
          <w:sz w:val="22"/>
          <w:rtl/>
        </w:rPr>
        <w:t>(5) 915</w:t>
      </w:r>
      <w:r>
        <w:rPr>
          <w:rFonts w:ascii="Arial TUR" w:hAnsi="Arial TUR" w:hint="cs"/>
          <w:sz w:val="22"/>
          <w:rtl/>
        </w:rPr>
        <w:t>, 924</w:t>
      </w:r>
      <w:r w:rsidRPr="00F93A01">
        <w:rPr>
          <w:rFonts w:ascii="Arial TUR" w:hAnsi="Arial TUR"/>
          <w:sz w:val="22"/>
          <w:rtl/>
        </w:rPr>
        <w:t xml:space="preserve"> (2003)</w:t>
      </w:r>
      <w:r w:rsidRPr="00F93A01">
        <w:rPr>
          <w:rFonts w:ascii="Arial TUR" w:hAnsi="Arial TUR" w:hint="cs"/>
          <w:sz w:val="22"/>
          <w:rtl/>
        </w:rPr>
        <w:t xml:space="preserve"> (להלן: עניין </w:t>
      </w:r>
      <w:r w:rsidRPr="00F93A01">
        <w:rPr>
          <w:rFonts w:ascii="Century" w:hAnsi="Century" w:cs="Miriam" w:hint="cs"/>
          <w:b/>
          <w:spacing w:val="0"/>
          <w:sz w:val="22"/>
          <w:szCs w:val="24"/>
          <w:rtl/>
        </w:rPr>
        <w:t>רובינשטיין</w:t>
      </w:r>
      <w:r w:rsidRPr="00F93A01">
        <w:rPr>
          <w:rFonts w:ascii="Arial TUR" w:hAnsi="Arial TUR" w:hint="cs"/>
          <w:sz w:val="22"/>
          <w:rtl/>
        </w:rPr>
        <w:t>)</w:t>
      </w:r>
      <w:r>
        <w:rPr>
          <w:rFonts w:ascii="Century" w:hAnsi="Century" w:hint="cs"/>
          <w:sz w:val="22"/>
          <w:rtl/>
        </w:rPr>
        <w:t>).</w:t>
      </w:r>
    </w:p>
    <w:p w:rsidR="00F05533" w:rsidRDefault="00F05533" w:rsidP="00F05533">
      <w:pPr>
        <w:pStyle w:val="Ruller4"/>
        <w:numPr>
          <w:ilvl w:val="0"/>
          <w:numId w:val="0"/>
        </w:numPr>
        <w:rPr>
          <w:rFonts w:ascii="Century" w:hAnsi="Century"/>
          <w:sz w:val="22"/>
        </w:rPr>
      </w:pPr>
    </w:p>
    <w:p w:rsidR="00F05533" w:rsidRPr="00746A9F" w:rsidRDefault="00F05533" w:rsidP="00746A9F">
      <w:pPr>
        <w:pStyle w:val="Ruller4"/>
        <w:rPr>
          <w:rFonts w:asciiTheme="majorBidi" w:hAnsiTheme="majorBidi" w:cstheme="majorBidi"/>
          <w:szCs w:val="24"/>
          <w:rtl/>
        </w:rPr>
      </w:pPr>
      <w:r w:rsidRPr="000A29CD">
        <w:rPr>
          <w:rFonts w:hint="cs"/>
          <w:rtl/>
        </w:rPr>
        <w:t>דיני המס העמידו לרשותם של פקידי שומה ושל בתי המשפט</w:t>
      </w:r>
      <w:r>
        <w:rPr>
          <w:rFonts w:hint="cs"/>
          <w:rtl/>
        </w:rPr>
        <w:t>, לצדם של כמה כללים פרטניים, שאינם נוגעים לענייננו-שלנו,</w:t>
      </w:r>
      <w:r w:rsidRPr="000A29CD">
        <w:rPr>
          <w:rFonts w:hint="cs"/>
          <w:rtl/>
        </w:rPr>
        <w:t xml:space="preserve"> שני כלים משפטיים עוצמתיים </w:t>
      </w:r>
      <w:r>
        <w:rPr>
          <w:rFonts w:hint="cs"/>
          <w:rtl/>
        </w:rPr>
        <w:t xml:space="preserve">אשר </w:t>
      </w:r>
      <w:r w:rsidRPr="000A29CD">
        <w:rPr>
          <w:rFonts w:hint="cs"/>
          <w:rtl/>
        </w:rPr>
        <w:t>נועדו להקל על התמודדותם עם תכנוני מס בלתי לגיטימיים</w:t>
      </w:r>
      <w:r w:rsidR="00746A9F">
        <w:rPr>
          <w:rFonts w:hint="cs"/>
          <w:rtl/>
        </w:rPr>
        <w:t xml:space="preserve"> במצב של מידע אסימטרי. </w:t>
      </w:r>
      <w:r>
        <w:rPr>
          <w:rFonts w:hint="cs"/>
          <w:rtl/>
        </w:rPr>
        <w:t xml:space="preserve">באומרי "תכנוני מס בלתי לגיטימיים", כוונתי לתכנוני מס </w:t>
      </w:r>
      <w:r w:rsidRPr="00BC0DE5">
        <w:rPr>
          <w:rFonts w:hint="cs"/>
          <w:rtl/>
        </w:rPr>
        <w:t xml:space="preserve">שעיקרם </w:t>
      </w:r>
      <w:r>
        <w:rPr>
          <w:rFonts w:hint="cs"/>
          <w:rtl/>
        </w:rPr>
        <w:t>ניסוח</w:t>
      </w:r>
      <w:r w:rsidRPr="00BC0DE5">
        <w:rPr>
          <w:rFonts w:hint="cs"/>
          <w:rtl/>
        </w:rPr>
        <w:t xml:space="preserve"> עסק</w:t>
      </w:r>
      <w:r>
        <w:rPr>
          <w:rFonts w:hint="cs"/>
          <w:rtl/>
        </w:rPr>
        <w:t>ה</w:t>
      </w:r>
      <w:r w:rsidRPr="00BC0DE5">
        <w:rPr>
          <w:rFonts w:hint="cs"/>
          <w:rtl/>
        </w:rPr>
        <w:t xml:space="preserve"> </w:t>
      </w:r>
      <w:r>
        <w:rPr>
          <w:rFonts w:hint="cs"/>
          <w:rtl/>
        </w:rPr>
        <w:t xml:space="preserve">באופן ש"עובר ליד" הגדרתה של הכנסה טעונת מס, כאשר הוא חומק ממילותיה ומרחיק מן העין את מהותו הכלכלית </w:t>
      </w:r>
      <w:proofErr w:type="spellStart"/>
      <w:r>
        <w:rPr>
          <w:rFonts w:hint="cs"/>
          <w:rtl/>
        </w:rPr>
        <w:t>האמיתית</w:t>
      </w:r>
      <w:proofErr w:type="spellEnd"/>
      <w:r>
        <w:rPr>
          <w:rFonts w:hint="cs"/>
          <w:rtl/>
        </w:rPr>
        <w:t xml:space="preserve"> של הרווח המופק מהעסקה, ולעתים אף את זהותו של מפיק הרווח </w:t>
      </w:r>
      <w:r w:rsidRPr="00041E5E">
        <w:rPr>
          <w:rtl/>
        </w:rPr>
        <w:t>(</w:t>
      </w:r>
      <w:r w:rsidR="00746A9F">
        <w:rPr>
          <w:rFonts w:hint="cs"/>
          <w:rtl/>
        </w:rPr>
        <w:t xml:space="preserve">ראו: </w:t>
      </w:r>
      <w:r w:rsidR="00746A9F" w:rsidRPr="002E1FA0">
        <w:rPr>
          <w:rFonts w:asciiTheme="majorBidi" w:hAnsiTheme="majorBidi" w:cstheme="majorBidi"/>
          <w:szCs w:val="24"/>
        </w:rPr>
        <w:t xml:space="preserve">Steven A. </w:t>
      </w:r>
      <w:proofErr w:type="gramStart"/>
      <w:r w:rsidR="00746A9F" w:rsidRPr="002E1FA0">
        <w:rPr>
          <w:rFonts w:asciiTheme="majorBidi" w:hAnsiTheme="majorBidi" w:cstheme="majorBidi"/>
          <w:szCs w:val="24"/>
        </w:rPr>
        <w:t>Dean &amp;</w:t>
      </w:r>
      <w:proofErr w:type="gramEnd"/>
      <w:r w:rsidR="00746A9F" w:rsidRPr="002E1FA0">
        <w:rPr>
          <w:rFonts w:asciiTheme="majorBidi" w:hAnsiTheme="majorBidi" w:cstheme="majorBidi"/>
          <w:szCs w:val="24"/>
        </w:rPr>
        <w:t xml:space="preserve"> Lawrence M. </w:t>
      </w:r>
      <w:proofErr w:type="spellStart"/>
      <w:r w:rsidR="00746A9F" w:rsidRPr="002E1FA0">
        <w:rPr>
          <w:rFonts w:asciiTheme="majorBidi" w:hAnsiTheme="majorBidi" w:cstheme="majorBidi"/>
          <w:szCs w:val="24"/>
        </w:rPr>
        <w:t>Solan</w:t>
      </w:r>
      <w:proofErr w:type="spellEnd"/>
      <w:r w:rsidR="00746A9F" w:rsidRPr="002E1FA0">
        <w:rPr>
          <w:rFonts w:asciiTheme="majorBidi" w:hAnsiTheme="majorBidi" w:cstheme="majorBidi"/>
          <w:szCs w:val="24"/>
        </w:rPr>
        <w:t xml:space="preserve">, </w:t>
      </w:r>
      <w:r w:rsidR="00746A9F" w:rsidRPr="002E1FA0">
        <w:rPr>
          <w:rFonts w:asciiTheme="majorBidi" w:hAnsiTheme="majorBidi" w:cstheme="majorBidi"/>
          <w:i/>
          <w:iCs/>
          <w:szCs w:val="24"/>
        </w:rPr>
        <w:t>Tax Shelters and the Code: Navigating Between</w:t>
      </w:r>
      <w:r w:rsidR="00746A9F" w:rsidRPr="002E1FA0">
        <w:rPr>
          <w:rFonts w:asciiTheme="majorBidi" w:hAnsiTheme="majorBidi" w:cstheme="majorBidi"/>
          <w:i/>
          <w:iCs/>
          <w:szCs w:val="24"/>
          <w:rtl/>
        </w:rPr>
        <w:t xml:space="preserve"> </w:t>
      </w:r>
      <w:r w:rsidR="00746A9F" w:rsidRPr="002E1FA0">
        <w:rPr>
          <w:rFonts w:asciiTheme="majorBidi" w:hAnsiTheme="majorBidi" w:cstheme="majorBidi"/>
          <w:i/>
          <w:iCs/>
          <w:szCs w:val="24"/>
        </w:rPr>
        <w:t>Text and Intent</w:t>
      </w:r>
      <w:r w:rsidR="00746A9F" w:rsidRPr="002E1FA0">
        <w:rPr>
          <w:rFonts w:asciiTheme="majorBidi" w:hAnsiTheme="majorBidi" w:cstheme="majorBidi"/>
          <w:szCs w:val="24"/>
        </w:rPr>
        <w:t xml:space="preserve">, 26 </w:t>
      </w:r>
      <w:r w:rsidR="00746A9F" w:rsidRPr="002E1FA0">
        <w:rPr>
          <w:rFonts w:asciiTheme="majorBidi" w:hAnsiTheme="majorBidi" w:cstheme="majorBidi"/>
          <w:smallCaps/>
          <w:szCs w:val="24"/>
        </w:rPr>
        <w:t>Va. Tax Rev.</w:t>
      </w:r>
      <w:r w:rsidR="00746A9F" w:rsidRPr="002E1FA0">
        <w:rPr>
          <w:rFonts w:asciiTheme="majorBidi" w:hAnsiTheme="majorBidi" w:cstheme="majorBidi"/>
          <w:szCs w:val="24"/>
        </w:rPr>
        <w:t xml:space="preserve"> 879, 882 (2007) ("[T]</w:t>
      </w:r>
      <w:proofErr w:type="spellStart"/>
      <w:r w:rsidR="00746A9F" w:rsidRPr="002E1FA0">
        <w:rPr>
          <w:rFonts w:asciiTheme="majorBidi" w:hAnsiTheme="majorBidi" w:cstheme="majorBidi"/>
          <w:szCs w:val="24"/>
        </w:rPr>
        <w:t>ax</w:t>
      </w:r>
      <w:proofErr w:type="spellEnd"/>
      <w:r w:rsidR="00746A9F" w:rsidRPr="002E1FA0">
        <w:rPr>
          <w:rFonts w:asciiTheme="majorBidi" w:hAnsiTheme="majorBidi" w:cstheme="majorBidi"/>
          <w:szCs w:val="24"/>
        </w:rPr>
        <w:t xml:space="preserve"> shelters are generally characterized as transactions that appear to comply in a </w:t>
      </w:r>
      <w:r w:rsidR="00746A9F" w:rsidRPr="002E1FA0">
        <w:rPr>
          <w:rFonts w:asciiTheme="majorBidi" w:hAnsiTheme="majorBidi" w:cstheme="majorBidi"/>
          <w:szCs w:val="24"/>
        </w:rPr>
        <w:lastRenderedPageBreak/>
        <w:t>literal manner with the Code, but which are designed to reach a tax result that Congress would not have intended.”</w:t>
      </w:r>
      <w:r w:rsidR="00746A9F" w:rsidRPr="00746A9F">
        <w:rPr>
          <w:rFonts w:ascii="Century" w:hAnsi="Century"/>
          <w:sz w:val="22"/>
        </w:rPr>
        <w:t>)</w:t>
      </w:r>
      <w:r w:rsidR="00746A9F" w:rsidRPr="00746A9F">
        <w:rPr>
          <w:rFonts w:hint="cs"/>
          <w:rtl/>
        </w:rPr>
        <w:t>;</w:t>
      </w:r>
      <w:r w:rsidR="00746A9F">
        <w:rPr>
          <w:rFonts w:asciiTheme="majorBidi" w:hAnsiTheme="majorBidi" w:cstheme="majorBidi" w:hint="cs"/>
          <w:szCs w:val="24"/>
          <w:rtl/>
        </w:rPr>
        <w:t xml:space="preserve"> </w:t>
      </w:r>
      <w:r w:rsidR="00746A9F" w:rsidRPr="00746A9F">
        <w:rPr>
          <w:rFonts w:hint="cs"/>
          <w:rtl/>
        </w:rPr>
        <w:t xml:space="preserve">כמו כן </w:t>
      </w:r>
      <w:r w:rsidRPr="00746A9F">
        <w:rPr>
          <w:rFonts w:hint="eastAsia"/>
          <w:rtl/>
        </w:rPr>
        <w:t>ראו</w:t>
      </w:r>
      <w:r w:rsidRPr="00746A9F">
        <w:rPr>
          <w:rtl/>
        </w:rPr>
        <w:t xml:space="preserve"> </w:t>
      </w:r>
      <w:r w:rsidRPr="00746A9F">
        <w:rPr>
          <w:rFonts w:hint="eastAsia"/>
          <w:rtl/>
        </w:rPr>
        <w:t>והשוו</w:t>
      </w:r>
      <w:r w:rsidRPr="00746A9F">
        <w:rPr>
          <w:rtl/>
        </w:rPr>
        <w:t xml:space="preserve">: </w:t>
      </w:r>
      <w:proofErr w:type="spellStart"/>
      <w:r w:rsidRPr="00746A9F">
        <w:rPr>
          <w:rFonts w:cs="Miriam" w:hint="eastAsia"/>
          <w:b/>
          <w:spacing w:val="0"/>
          <w:szCs w:val="24"/>
          <w:rtl/>
        </w:rPr>
        <w:t>גליקסברג</w:t>
      </w:r>
      <w:proofErr w:type="spellEnd"/>
      <w:r w:rsidRPr="00746A9F">
        <w:rPr>
          <w:rFonts w:hint="cs"/>
          <w:rtl/>
        </w:rPr>
        <w:t>,</w:t>
      </w:r>
      <w:r w:rsidRPr="00746A9F">
        <w:rPr>
          <w:rtl/>
        </w:rPr>
        <w:t xml:space="preserve"> </w:t>
      </w:r>
      <w:r w:rsidRPr="00746A9F">
        <w:rPr>
          <w:rFonts w:hint="cs"/>
          <w:rtl/>
        </w:rPr>
        <w:t>עמ' 19-2</w:t>
      </w:r>
      <w:r w:rsidRPr="00746A9F">
        <w:rPr>
          <w:rtl/>
        </w:rPr>
        <w:t>)</w:t>
      </w:r>
      <w:r w:rsidRPr="00746A9F">
        <w:rPr>
          <w:rFonts w:hint="cs"/>
          <w:rtl/>
        </w:rPr>
        <w:t>. הכלים שמאפשרים התמודדות מוצלחת עם תכנוני מס כאלה כוללים, בראש ובראשונה, את עיקרון המהות הכלכלית של העסקה, שכאמור מבכר את מהות העסקה על פני לבושה המשפטי הפורמלי (</w:t>
      </w:r>
      <w:r w:rsidRPr="00746A9F">
        <w:rPr>
          <w:rFonts w:asciiTheme="majorBidi" w:hAnsiTheme="majorBidi" w:cstheme="majorBidi"/>
          <w:szCs w:val="24"/>
        </w:rPr>
        <w:t>substance over form</w:t>
      </w:r>
      <w:r w:rsidRPr="00746A9F">
        <w:rPr>
          <w:rFonts w:hint="cs"/>
          <w:rtl/>
        </w:rPr>
        <w:t>). בהמשך הדברים, עיקרון חשוב זה ייקרא על ידי "</w:t>
      </w:r>
      <w:r w:rsidRPr="00746A9F">
        <w:rPr>
          <w:rFonts w:cs="Miriam" w:hint="eastAsia"/>
          <w:b/>
          <w:spacing w:val="0"/>
          <w:szCs w:val="24"/>
          <w:rtl/>
        </w:rPr>
        <w:t>עיקרון</w:t>
      </w:r>
      <w:r w:rsidRPr="00746A9F">
        <w:rPr>
          <w:rFonts w:cs="Miriam"/>
          <w:b/>
          <w:spacing w:val="0"/>
          <w:szCs w:val="24"/>
          <w:rtl/>
        </w:rPr>
        <w:t xml:space="preserve"> </w:t>
      </w:r>
      <w:r w:rsidRPr="00746A9F">
        <w:rPr>
          <w:rFonts w:cs="Miriam" w:hint="eastAsia"/>
          <w:b/>
          <w:spacing w:val="0"/>
          <w:szCs w:val="24"/>
          <w:rtl/>
        </w:rPr>
        <w:t>המהות</w:t>
      </w:r>
      <w:r w:rsidRPr="00746A9F">
        <w:rPr>
          <w:rFonts w:cs="Miriam"/>
          <w:b/>
          <w:spacing w:val="0"/>
          <w:szCs w:val="24"/>
          <w:rtl/>
        </w:rPr>
        <w:t xml:space="preserve"> </w:t>
      </w:r>
      <w:r w:rsidRPr="00746A9F">
        <w:rPr>
          <w:rFonts w:cs="Miriam" w:hint="eastAsia"/>
          <w:b/>
          <w:spacing w:val="0"/>
          <w:szCs w:val="24"/>
          <w:rtl/>
        </w:rPr>
        <w:t>הכלכלית</w:t>
      </w:r>
      <w:r w:rsidRPr="00746A9F">
        <w:rPr>
          <w:rFonts w:hint="cs"/>
          <w:rtl/>
        </w:rPr>
        <w:t xml:space="preserve">". כלים אלה כוללים בתוכם גם את הכלל הקבוע בסעיף 86(א) לפקודת מס הכנסה, אשר קובע כך: </w:t>
      </w:r>
    </w:p>
    <w:p w:rsidR="00F05533" w:rsidRDefault="00F05533" w:rsidP="00F05533">
      <w:pPr>
        <w:pStyle w:val="Ruller41"/>
        <w:rPr>
          <w:rFonts w:ascii="FrankRuehl" w:hAnsi="FrankRuehl"/>
          <w:color w:val="000000"/>
          <w:sz w:val="26"/>
          <w:szCs w:val="26"/>
          <w:rtl/>
        </w:rPr>
      </w:pPr>
    </w:p>
    <w:p w:rsidR="00F05533" w:rsidRPr="00961F6F" w:rsidRDefault="00F05533" w:rsidP="00F05533">
      <w:pPr>
        <w:pStyle w:val="Ruller5"/>
        <w:rPr>
          <w:rtl/>
        </w:rPr>
      </w:pPr>
      <w:r>
        <w:rPr>
          <w:rFonts w:hint="cs"/>
          <w:rtl/>
        </w:rPr>
        <w:t>"</w:t>
      </w:r>
      <w:r>
        <w:rPr>
          <w:rtl/>
        </w:rPr>
        <w:t>היה פקיד השומה סבור, כי עסקה פלונית המפחיתה, או העלולה להפחית, את סכום המס המשתלם על ידי אדם פלוני היא מלאכותית או בדויה</w:t>
      </w:r>
      <w:r>
        <w:rPr>
          <w:rFonts w:hint="cs"/>
          <w:rtl/>
        </w:rPr>
        <w:t xml:space="preserve"> [...]</w:t>
      </w:r>
      <w:r>
        <w:rPr>
          <w:rtl/>
        </w:rPr>
        <w:t xml:space="preserve"> או כי אחת ממטרותיה העיקריות של עסקה פלונית היא הימנעות ממס או הפחתת מס בלתי נאותות, רשאי הוא להתעלם מן העסקה </w:t>
      </w:r>
      <w:r>
        <w:rPr>
          <w:rFonts w:hint="cs"/>
          <w:rtl/>
        </w:rPr>
        <w:t>[...]</w:t>
      </w:r>
      <w:r>
        <w:rPr>
          <w:rtl/>
        </w:rPr>
        <w:t>, והאדם הנוגע בדבר יהא נישום לפי זה. הימנעות ממס או הפחתת מס ניתן לראותן כבלתי נאותות אפילו אינן נוגדות את החוק</w:t>
      </w:r>
      <w:r>
        <w:rPr>
          <w:rFonts w:hint="cs"/>
          <w:rtl/>
        </w:rPr>
        <w:t>".</w:t>
      </w:r>
    </w:p>
    <w:p w:rsidR="00F05533" w:rsidRDefault="00F05533" w:rsidP="00F05533">
      <w:pPr>
        <w:pStyle w:val="Ruller41"/>
        <w:rPr>
          <w:rtl/>
        </w:rPr>
      </w:pPr>
    </w:p>
    <w:p w:rsidR="00F05533" w:rsidRDefault="00F05533" w:rsidP="00F05533">
      <w:pPr>
        <w:pStyle w:val="Ruller41"/>
        <w:rPr>
          <w:rFonts w:ascii="Century" w:hAnsi="Century" w:cs="Miriam"/>
          <w:b/>
          <w:spacing w:val="0"/>
          <w:szCs w:val="24"/>
          <w:rtl/>
        </w:rPr>
      </w:pPr>
      <w:r>
        <w:rPr>
          <w:rtl/>
        </w:rPr>
        <w:tab/>
      </w:r>
      <w:r>
        <w:rPr>
          <w:rFonts w:hint="cs"/>
          <w:rtl/>
        </w:rPr>
        <w:t>כלל זה ייקרא על ידי "</w:t>
      </w:r>
      <w:r w:rsidRPr="00041E5E">
        <w:rPr>
          <w:rFonts w:ascii="Century" w:hAnsi="Century" w:cs="Miriam" w:hint="eastAsia"/>
          <w:b/>
          <w:spacing w:val="0"/>
          <w:szCs w:val="24"/>
          <w:rtl/>
        </w:rPr>
        <w:t>כלל</w:t>
      </w:r>
      <w:r w:rsidRPr="00041E5E">
        <w:rPr>
          <w:rFonts w:ascii="Century" w:hAnsi="Century" w:cs="Miriam"/>
          <w:b/>
          <w:spacing w:val="0"/>
          <w:szCs w:val="24"/>
          <w:rtl/>
        </w:rPr>
        <w:t xml:space="preserve"> </w:t>
      </w:r>
      <w:r w:rsidRPr="00041E5E">
        <w:rPr>
          <w:rFonts w:ascii="Century" w:hAnsi="Century" w:cs="Miriam" w:hint="eastAsia"/>
          <w:b/>
          <w:spacing w:val="0"/>
          <w:szCs w:val="24"/>
          <w:rtl/>
        </w:rPr>
        <w:t>ההתעלמות</w:t>
      </w:r>
      <w:r w:rsidRPr="00041E5E">
        <w:rPr>
          <w:rFonts w:ascii="Century" w:hAnsi="Century" w:cs="Miriam"/>
          <w:b/>
          <w:spacing w:val="0"/>
          <w:szCs w:val="24"/>
          <w:rtl/>
        </w:rPr>
        <w:t xml:space="preserve"> </w:t>
      </w:r>
      <w:r w:rsidRPr="00041E5E">
        <w:rPr>
          <w:rFonts w:ascii="Century" w:hAnsi="Century" w:cs="Miriam" w:hint="eastAsia"/>
          <w:b/>
          <w:spacing w:val="0"/>
          <w:szCs w:val="24"/>
          <w:rtl/>
        </w:rPr>
        <w:t>מעסקה</w:t>
      </w:r>
      <w:r w:rsidRPr="00041E5E">
        <w:rPr>
          <w:rFonts w:ascii="Century" w:hAnsi="Century" w:cs="Miriam"/>
          <w:b/>
          <w:spacing w:val="0"/>
          <w:szCs w:val="24"/>
          <w:rtl/>
        </w:rPr>
        <w:t xml:space="preserve"> </w:t>
      </w:r>
      <w:r w:rsidRPr="00041E5E">
        <w:rPr>
          <w:rFonts w:ascii="Century" w:hAnsi="Century" w:cs="Miriam" w:hint="eastAsia"/>
          <w:b/>
          <w:spacing w:val="0"/>
          <w:szCs w:val="24"/>
          <w:rtl/>
        </w:rPr>
        <w:t>מלאכותית</w:t>
      </w:r>
      <w:r>
        <w:rPr>
          <w:rFonts w:hint="cs"/>
          <w:rtl/>
        </w:rPr>
        <w:t xml:space="preserve">". </w:t>
      </w:r>
    </w:p>
    <w:p w:rsidR="00F05533" w:rsidRDefault="00F05533" w:rsidP="00F05533">
      <w:pPr>
        <w:pStyle w:val="Ruller41"/>
        <w:rPr>
          <w:rtl/>
        </w:rPr>
      </w:pPr>
    </w:p>
    <w:p w:rsidR="00F05533" w:rsidRDefault="00F05533" w:rsidP="00F05533">
      <w:pPr>
        <w:pStyle w:val="Ruller4"/>
        <w:rPr>
          <w:rtl/>
        </w:rPr>
      </w:pPr>
      <w:r>
        <w:rPr>
          <w:rFonts w:hint="cs"/>
          <w:rtl/>
        </w:rPr>
        <w:t>כאן המקום לעבור לדיון בשני הכלים המשפטיים הללו בהקשרה של רכישה עצמית דיספרופורציונית לסוגיה.</w:t>
      </w:r>
    </w:p>
    <w:p w:rsidR="00F05533" w:rsidRDefault="00F05533" w:rsidP="00F05533">
      <w:pPr>
        <w:pStyle w:val="Ruller41"/>
        <w:rPr>
          <w:rtl/>
        </w:rPr>
      </w:pPr>
    </w:p>
    <w:p w:rsidR="00F05533" w:rsidRDefault="00F05533" w:rsidP="00F05533">
      <w:pPr>
        <w:pStyle w:val="Ruller41"/>
        <w:rPr>
          <w:rFonts w:ascii="Century" w:hAnsi="Century" w:cs="Miriam"/>
          <w:b/>
          <w:spacing w:val="0"/>
          <w:szCs w:val="24"/>
          <w:rtl/>
        </w:rPr>
      </w:pPr>
      <w:r w:rsidRPr="005E4A59">
        <w:rPr>
          <w:rFonts w:ascii="Century" w:hAnsi="Century" w:cs="Miriam" w:hint="cs"/>
          <w:b/>
          <w:spacing w:val="0"/>
          <w:szCs w:val="24"/>
          <w:rtl/>
        </w:rPr>
        <w:t xml:space="preserve">רכישה עצמית דיספרופורציונית בראי של עיקרון </w:t>
      </w:r>
      <w:r>
        <w:rPr>
          <w:rFonts w:ascii="Century" w:hAnsi="Century" w:cs="Miriam" w:hint="cs"/>
          <w:b/>
          <w:spacing w:val="0"/>
          <w:szCs w:val="24"/>
          <w:rtl/>
        </w:rPr>
        <w:t>ה</w:t>
      </w:r>
      <w:r w:rsidRPr="005E4A59">
        <w:rPr>
          <w:rFonts w:ascii="Century" w:hAnsi="Century" w:cs="Miriam" w:hint="cs"/>
          <w:b/>
          <w:spacing w:val="0"/>
          <w:szCs w:val="24"/>
          <w:rtl/>
        </w:rPr>
        <w:t>מהות הכלכלית וכלל ההתעלמות מעסקה מלאכותית</w:t>
      </w:r>
    </w:p>
    <w:p w:rsidR="00F05533" w:rsidRDefault="00F05533" w:rsidP="00F05533">
      <w:pPr>
        <w:pStyle w:val="Ruller41"/>
        <w:rPr>
          <w:rFonts w:ascii="Century" w:hAnsi="Century" w:cs="Miriam"/>
          <w:b/>
          <w:spacing w:val="0"/>
          <w:szCs w:val="24"/>
          <w:rtl/>
        </w:rPr>
      </w:pPr>
    </w:p>
    <w:p w:rsidR="00F05533" w:rsidRDefault="00F05533" w:rsidP="00F05533">
      <w:pPr>
        <w:pStyle w:val="Ruller41"/>
        <w:rPr>
          <w:rFonts w:ascii="Century" w:hAnsi="Century" w:cs="Miriam"/>
          <w:b/>
          <w:spacing w:val="0"/>
          <w:szCs w:val="24"/>
          <w:rtl/>
        </w:rPr>
      </w:pPr>
      <w:r>
        <w:rPr>
          <w:rFonts w:ascii="Century" w:hAnsi="Century" w:cs="Miriam" w:hint="cs"/>
          <w:b/>
          <w:spacing w:val="0"/>
          <w:szCs w:val="24"/>
          <w:rtl/>
        </w:rPr>
        <w:t xml:space="preserve">א. </w:t>
      </w:r>
      <w:r w:rsidRPr="005E4A59">
        <w:rPr>
          <w:rFonts w:ascii="Century" w:hAnsi="Century" w:cs="Miriam" w:hint="cs"/>
          <w:b/>
          <w:spacing w:val="0"/>
          <w:szCs w:val="24"/>
          <w:rtl/>
        </w:rPr>
        <w:t xml:space="preserve">עיקרון </w:t>
      </w:r>
      <w:r>
        <w:rPr>
          <w:rFonts w:ascii="Century" w:hAnsi="Century" w:cs="Miriam" w:hint="cs"/>
          <w:b/>
          <w:spacing w:val="0"/>
          <w:szCs w:val="24"/>
          <w:rtl/>
        </w:rPr>
        <w:t>ה</w:t>
      </w:r>
      <w:r w:rsidRPr="005E4A59">
        <w:rPr>
          <w:rFonts w:ascii="Century" w:hAnsi="Century" w:cs="Miriam" w:hint="cs"/>
          <w:b/>
          <w:spacing w:val="0"/>
          <w:szCs w:val="24"/>
          <w:rtl/>
        </w:rPr>
        <w:t>מהות הכלכלית וכלל ההתעלמות מעסקה מלאכותית</w:t>
      </w:r>
      <w:r>
        <w:rPr>
          <w:rFonts w:ascii="Century" w:hAnsi="Century" w:cs="Miriam" w:hint="cs"/>
          <w:b/>
          <w:spacing w:val="0"/>
          <w:szCs w:val="24"/>
          <w:rtl/>
        </w:rPr>
        <w:t xml:space="preserve"> כ"כללי תיקון" </w:t>
      </w:r>
    </w:p>
    <w:p w:rsidR="00F05533" w:rsidRPr="005E4A59" w:rsidRDefault="00F05533" w:rsidP="00F05533">
      <w:pPr>
        <w:pStyle w:val="Ruller41"/>
        <w:rPr>
          <w:rFonts w:ascii="Century" w:hAnsi="Century" w:cs="Miriam"/>
          <w:b/>
          <w:spacing w:val="0"/>
          <w:szCs w:val="24"/>
          <w:rtl/>
        </w:rPr>
      </w:pPr>
    </w:p>
    <w:p w:rsidR="00F05533" w:rsidRDefault="00F05533" w:rsidP="00F05533">
      <w:pPr>
        <w:pStyle w:val="Ruller4"/>
        <w:rPr>
          <w:szCs w:val="22"/>
        </w:rPr>
      </w:pPr>
      <w:r>
        <w:rPr>
          <w:rFonts w:hint="cs"/>
          <w:rtl/>
        </w:rPr>
        <w:t xml:space="preserve">עיקרון המהות הכלכלית וכלל ההתעלמות מעסקה מלאכותית קשורים קשר הדוק וייחודי לרמת הפירוט והדיוק הגבוהה אשר מאפיינת את דיני המס בכללותם. לרמת הפירוט והדיוק של דינים אלה אין אח ורע זולת הכללים של דיני העונשין אשר מגדירים עבירות פליליות על ידי פירוט </w:t>
      </w:r>
      <w:proofErr w:type="spellStart"/>
      <w:r>
        <w:rPr>
          <w:rFonts w:hint="cs"/>
          <w:rtl/>
        </w:rPr>
        <w:t>מדוייק</w:t>
      </w:r>
      <w:proofErr w:type="spellEnd"/>
      <w:r>
        <w:rPr>
          <w:rFonts w:hint="cs"/>
          <w:rtl/>
        </w:rPr>
        <w:t xml:space="preserve"> של רכיביהן.</w:t>
      </w:r>
    </w:p>
    <w:p w:rsidR="00F05533" w:rsidRDefault="00F05533" w:rsidP="00F05533">
      <w:pPr>
        <w:pStyle w:val="Ruller4"/>
        <w:numPr>
          <w:ilvl w:val="0"/>
          <w:numId w:val="0"/>
        </w:numPr>
        <w:rPr>
          <w:szCs w:val="22"/>
        </w:rPr>
      </w:pPr>
    </w:p>
    <w:p w:rsidR="00F05533" w:rsidRPr="002231FC" w:rsidRDefault="00F05533" w:rsidP="00F05533">
      <w:pPr>
        <w:pStyle w:val="Ruller4"/>
        <w:rPr>
          <w:szCs w:val="22"/>
        </w:rPr>
      </w:pPr>
      <w:r>
        <w:rPr>
          <w:rFonts w:hint="cs"/>
          <w:rtl/>
        </w:rPr>
        <w:t xml:space="preserve">כללי משפט מורכבים מ"כללים", מ"סטנדרטים" </w:t>
      </w:r>
      <w:proofErr w:type="spellStart"/>
      <w:r>
        <w:rPr>
          <w:rFonts w:hint="cs"/>
          <w:rtl/>
        </w:rPr>
        <w:t>ומ"קטלוגים</w:t>
      </w:r>
      <w:proofErr w:type="spellEnd"/>
      <w:r>
        <w:rPr>
          <w:rFonts w:hint="cs"/>
          <w:rtl/>
        </w:rPr>
        <w:t xml:space="preserve">" (ראו: </w:t>
      </w:r>
      <w:r w:rsidRPr="002231FC">
        <w:rPr>
          <w:rFonts w:asciiTheme="majorBidi" w:hAnsiTheme="majorBidi" w:cstheme="majorBidi"/>
        </w:rPr>
        <w:t xml:space="preserve">Gideon </w:t>
      </w:r>
      <w:proofErr w:type="spellStart"/>
      <w:r w:rsidRPr="002231FC">
        <w:rPr>
          <w:rFonts w:asciiTheme="majorBidi" w:hAnsiTheme="majorBidi" w:cstheme="majorBidi"/>
        </w:rPr>
        <w:t>Parchomovsky</w:t>
      </w:r>
      <w:proofErr w:type="spellEnd"/>
      <w:r w:rsidRPr="002231FC">
        <w:rPr>
          <w:rFonts w:asciiTheme="majorBidi" w:hAnsiTheme="majorBidi" w:cstheme="majorBidi"/>
        </w:rPr>
        <w:t xml:space="preserve"> &amp; Alex Stein, </w:t>
      </w:r>
      <w:r w:rsidRPr="002231FC">
        <w:rPr>
          <w:rFonts w:asciiTheme="majorBidi" w:hAnsiTheme="majorBidi" w:cstheme="majorBidi"/>
          <w:i/>
          <w:iCs/>
        </w:rPr>
        <w:t>Catalogs</w:t>
      </w:r>
      <w:r w:rsidRPr="002231FC">
        <w:rPr>
          <w:rFonts w:asciiTheme="majorBidi" w:hAnsiTheme="majorBidi" w:cstheme="majorBidi"/>
        </w:rPr>
        <w:t xml:space="preserve">, 115 </w:t>
      </w:r>
      <w:r w:rsidRPr="002231FC">
        <w:rPr>
          <w:rFonts w:asciiTheme="majorBidi" w:hAnsiTheme="majorBidi" w:cstheme="majorBidi"/>
          <w:smallCaps/>
        </w:rPr>
        <w:t>Colum. L. Rev.</w:t>
      </w:r>
      <w:r w:rsidRPr="002231FC">
        <w:rPr>
          <w:rFonts w:asciiTheme="majorBidi" w:hAnsiTheme="majorBidi" w:cstheme="majorBidi"/>
        </w:rPr>
        <w:t xml:space="preserve"> 165, 165-171 (2015)</w:t>
      </w:r>
      <w:r w:rsidRPr="002231FC">
        <w:rPr>
          <w:rFonts w:ascii="Century" w:hAnsi="Century" w:hint="cs"/>
          <w:sz w:val="22"/>
          <w:rtl/>
        </w:rPr>
        <w:t xml:space="preserve"> (להלן: </w:t>
      </w:r>
      <w:proofErr w:type="spellStart"/>
      <w:r w:rsidRPr="002231FC">
        <w:rPr>
          <w:rFonts w:ascii="Century" w:hAnsi="Century" w:cs="Miriam" w:hint="cs"/>
          <w:b/>
          <w:spacing w:val="0"/>
          <w:sz w:val="22"/>
          <w:szCs w:val="24"/>
          <w:rtl/>
        </w:rPr>
        <w:t>פרחומובסקי</w:t>
      </w:r>
      <w:proofErr w:type="spellEnd"/>
      <w:r w:rsidRPr="002231FC">
        <w:rPr>
          <w:rFonts w:ascii="Century" w:hAnsi="Century" w:cs="Miriam" w:hint="cs"/>
          <w:b/>
          <w:spacing w:val="0"/>
          <w:sz w:val="22"/>
          <w:szCs w:val="24"/>
          <w:rtl/>
        </w:rPr>
        <w:t xml:space="preserve"> ושטיין</w:t>
      </w:r>
      <w:r w:rsidRPr="002231FC">
        <w:rPr>
          <w:rFonts w:ascii="Century" w:hAnsi="Century" w:hint="cs"/>
          <w:sz w:val="22"/>
          <w:rtl/>
        </w:rPr>
        <w:t>)</w:t>
      </w:r>
      <w:r>
        <w:rPr>
          <w:rFonts w:ascii="Century" w:hAnsi="Century" w:hint="cs"/>
          <w:sz w:val="22"/>
          <w:rtl/>
        </w:rPr>
        <w:t>)</w:t>
      </w:r>
      <w:r w:rsidRPr="002231FC">
        <w:rPr>
          <w:rFonts w:ascii="Century" w:hAnsi="Century" w:hint="cs"/>
          <w:sz w:val="22"/>
          <w:rtl/>
        </w:rPr>
        <w:t xml:space="preserve">; </w:t>
      </w:r>
      <w:r>
        <w:rPr>
          <w:rFonts w:hint="cs"/>
          <w:rtl/>
        </w:rPr>
        <w:t xml:space="preserve">ומבין שלוש קבוצות אלו, דיני המס שלנו בחרו כמעט תמיד בדפוס של "כללים", לצד "קטלוגים" שניסוחם דומה לזה של "כללים" (ראו: </w:t>
      </w:r>
      <w:proofErr w:type="spellStart"/>
      <w:r w:rsidRPr="002231FC">
        <w:rPr>
          <w:rFonts w:ascii="Century" w:hAnsi="Century" w:cs="Miriam" w:hint="cs"/>
          <w:b/>
          <w:spacing w:val="0"/>
          <w:sz w:val="22"/>
          <w:szCs w:val="24"/>
          <w:rtl/>
        </w:rPr>
        <w:t>פרחומובסקי</w:t>
      </w:r>
      <w:proofErr w:type="spellEnd"/>
      <w:r w:rsidRPr="002231FC">
        <w:rPr>
          <w:rFonts w:ascii="Century" w:hAnsi="Century" w:cs="Miriam" w:hint="cs"/>
          <w:b/>
          <w:spacing w:val="0"/>
          <w:sz w:val="22"/>
          <w:szCs w:val="24"/>
          <w:rtl/>
        </w:rPr>
        <w:t xml:space="preserve"> ושטיין</w:t>
      </w:r>
      <w:r>
        <w:rPr>
          <w:rFonts w:hint="cs"/>
          <w:rtl/>
        </w:rPr>
        <w:t xml:space="preserve">, עמ' 208-205). "כללים" מנוסחים בפירוט רב וברמת </w:t>
      </w:r>
      <w:r>
        <w:rPr>
          <w:rFonts w:hint="cs"/>
          <w:rtl/>
        </w:rPr>
        <w:lastRenderedPageBreak/>
        <w:t xml:space="preserve">רזולוציה גבוהה, כדוגמת האיסור </w:t>
      </w:r>
      <w:proofErr w:type="spellStart"/>
      <w:r>
        <w:rPr>
          <w:rFonts w:hint="cs"/>
          <w:rtl/>
        </w:rPr>
        <w:t>התעבורתי</w:t>
      </w:r>
      <w:proofErr w:type="spellEnd"/>
      <w:r>
        <w:rPr>
          <w:rFonts w:hint="cs"/>
          <w:rtl/>
        </w:rPr>
        <w:t xml:space="preserve"> "לנהוג בכלי רכב בשטח עירוני במהירות שאינה עולה על 50 קמ"ש". במובחן מ"כללים", "סטנדרטים" מנוסחים ברמת הפשטה גבוהה תוך שהם מזהים את התכלית החברתית שאותה הם באים להגשים. דוגמתם המובהקת </w:t>
      </w:r>
      <w:r w:rsidRPr="002231FC">
        <w:rPr>
          <w:rFonts w:ascii="Century" w:hAnsi="Century" w:hint="cs"/>
          <w:sz w:val="22"/>
          <w:rtl/>
        </w:rPr>
        <w:t>של "סטנדרטים" היא</w:t>
      </w:r>
      <w:r>
        <w:rPr>
          <w:rFonts w:hint="cs"/>
          <w:rtl/>
        </w:rPr>
        <w:t xml:space="preserve"> חובתם של נהגים לנהוג בכלי רכבם "בזהירות סבירה בהתחשב בתנאי הדרך" ולהימנע מ"נהיגה מסוכנת". </w:t>
      </w:r>
      <w:r w:rsidRPr="002231FC">
        <w:rPr>
          <w:rFonts w:ascii="Century" w:hAnsi="Century" w:hint="cs"/>
          <w:sz w:val="22"/>
          <w:rtl/>
        </w:rPr>
        <w:t xml:space="preserve">בציר </w:t>
      </w:r>
      <w:r>
        <w:rPr>
          <w:rFonts w:ascii="Century" w:hAnsi="Century" w:hint="cs"/>
          <w:sz w:val="22"/>
          <w:rtl/>
        </w:rPr>
        <w:t xml:space="preserve">אשר </w:t>
      </w:r>
      <w:r w:rsidRPr="002231FC">
        <w:rPr>
          <w:rFonts w:ascii="Century" w:hAnsi="Century" w:hint="cs"/>
          <w:sz w:val="22"/>
          <w:rtl/>
        </w:rPr>
        <w:t>מחבר בין פירוט להפשטה</w:t>
      </w:r>
      <w:r>
        <w:rPr>
          <w:rFonts w:ascii="Century" w:hAnsi="Century" w:hint="cs"/>
          <w:sz w:val="22"/>
          <w:rtl/>
        </w:rPr>
        <w:t xml:space="preserve"> </w:t>
      </w:r>
      <w:r>
        <w:rPr>
          <w:rFonts w:ascii="Century" w:hAnsi="Century"/>
          <w:sz w:val="22"/>
          <w:rtl/>
        </w:rPr>
        <w:t>–</w:t>
      </w:r>
      <w:r>
        <w:rPr>
          <w:rFonts w:ascii="Century" w:hAnsi="Century" w:hint="cs"/>
          <w:sz w:val="22"/>
          <w:rtl/>
        </w:rPr>
        <w:t xml:space="preserve"> </w:t>
      </w:r>
      <w:r w:rsidRPr="002231FC">
        <w:rPr>
          <w:rFonts w:ascii="Century" w:hAnsi="Century" w:hint="cs"/>
          <w:sz w:val="22"/>
          <w:rtl/>
        </w:rPr>
        <w:t>בין "כללים" ל</w:t>
      </w:r>
      <w:r>
        <w:rPr>
          <w:rFonts w:ascii="Century" w:hAnsi="Century" w:hint="cs"/>
          <w:sz w:val="22"/>
          <w:rtl/>
        </w:rPr>
        <w:t>"</w:t>
      </w:r>
      <w:r w:rsidRPr="002231FC">
        <w:rPr>
          <w:rFonts w:ascii="Century" w:hAnsi="Century" w:hint="cs"/>
          <w:sz w:val="22"/>
          <w:rtl/>
        </w:rPr>
        <w:t>סטנדרטים"</w:t>
      </w:r>
      <w:r>
        <w:rPr>
          <w:rFonts w:ascii="Century" w:hAnsi="Century" w:hint="cs"/>
          <w:sz w:val="22"/>
          <w:rtl/>
        </w:rPr>
        <w:t xml:space="preserve"> </w:t>
      </w:r>
      <w:r>
        <w:rPr>
          <w:rFonts w:ascii="Century" w:hAnsi="Century"/>
          <w:sz w:val="22"/>
          <w:rtl/>
        </w:rPr>
        <w:t>–</w:t>
      </w:r>
      <w:r w:rsidRPr="002231FC">
        <w:rPr>
          <w:rFonts w:ascii="Century" w:hAnsi="Century" w:hint="cs"/>
          <w:sz w:val="22"/>
          <w:rtl/>
        </w:rPr>
        <w:t xml:space="preserve"> </w:t>
      </w:r>
      <w:r>
        <w:rPr>
          <w:rFonts w:ascii="Century" w:hAnsi="Century" w:hint="cs"/>
          <w:sz w:val="22"/>
          <w:rtl/>
        </w:rPr>
        <w:t xml:space="preserve">ממוקמים </w:t>
      </w:r>
      <w:r w:rsidRPr="002231FC">
        <w:rPr>
          <w:rFonts w:ascii="Century" w:hAnsi="Century" w:hint="cs"/>
          <w:sz w:val="22"/>
          <w:rtl/>
        </w:rPr>
        <w:t>"קטלוגים"</w:t>
      </w:r>
      <w:r>
        <w:rPr>
          <w:rFonts w:ascii="Century" w:hAnsi="Century" w:hint="cs"/>
          <w:sz w:val="22"/>
          <w:rtl/>
        </w:rPr>
        <w:t xml:space="preserve"> בנקודת האמצע.</w:t>
      </w:r>
      <w:r w:rsidRPr="002231FC">
        <w:rPr>
          <w:rFonts w:ascii="Century" w:hAnsi="Century" w:hint="cs"/>
          <w:sz w:val="22"/>
          <w:rtl/>
        </w:rPr>
        <w:t xml:space="preserve"> </w:t>
      </w:r>
      <w:r>
        <w:rPr>
          <w:rFonts w:hint="cs"/>
          <w:rtl/>
        </w:rPr>
        <w:t xml:space="preserve">"קטלוג" משפטי מנוסח ככלל אשר מפרט מצבים טיפוסיים ומורה כיצד יש לנהוג בהם, תוך שהוא מבהיר כי מדובר ברשימה שאינה סגורה ושיש לכלול בתוכה מצבים נוספים הזהים במהותם למצבים הטיפוסיים שפורטו. דוגמא פשוטה של "קטלוג" היא האיסור על הכנסתם של "כלבים, חתולים, וכיוצא באלה" למקום המסומן באיסור, כדוגמת מעלית נוסעים בבניין ציבורי (ראו: </w:t>
      </w:r>
      <w:proofErr w:type="spellStart"/>
      <w:r w:rsidRPr="002231FC">
        <w:rPr>
          <w:rFonts w:ascii="Century" w:hAnsi="Century" w:cs="Miriam" w:hint="cs"/>
          <w:b/>
          <w:spacing w:val="0"/>
          <w:sz w:val="22"/>
          <w:szCs w:val="24"/>
          <w:rtl/>
        </w:rPr>
        <w:t>פרחומובסקי</w:t>
      </w:r>
      <w:proofErr w:type="spellEnd"/>
      <w:r w:rsidRPr="002231FC">
        <w:rPr>
          <w:rFonts w:ascii="Century" w:hAnsi="Century" w:cs="Miriam" w:hint="cs"/>
          <w:b/>
          <w:spacing w:val="0"/>
          <w:sz w:val="22"/>
          <w:szCs w:val="24"/>
          <w:rtl/>
        </w:rPr>
        <w:t xml:space="preserve"> ושטיין</w:t>
      </w:r>
      <w:r>
        <w:rPr>
          <w:rFonts w:hint="cs"/>
          <w:rtl/>
        </w:rPr>
        <w:t>, עמ'</w:t>
      </w:r>
      <w:r w:rsidRPr="002231FC">
        <w:rPr>
          <w:rFonts w:ascii="Century" w:hAnsi="Century" w:hint="cs"/>
          <w:sz w:val="22"/>
          <w:rtl/>
        </w:rPr>
        <w:t xml:space="preserve"> 190-172, והאסמכתאות שם).</w:t>
      </w:r>
    </w:p>
    <w:p w:rsidR="00F05533" w:rsidRPr="002231FC" w:rsidRDefault="00F05533" w:rsidP="00F05533">
      <w:pPr>
        <w:pStyle w:val="Ruller4"/>
        <w:numPr>
          <w:ilvl w:val="0"/>
          <w:numId w:val="0"/>
        </w:numPr>
        <w:rPr>
          <w:szCs w:val="22"/>
        </w:rPr>
      </w:pPr>
    </w:p>
    <w:p w:rsidR="00F05533" w:rsidRDefault="00F05533" w:rsidP="00F05533">
      <w:pPr>
        <w:pStyle w:val="Ruller4"/>
        <w:rPr>
          <w:rFonts w:ascii="Century" w:hAnsi="Century"/>
          <w:sz w:val="22"/>
        </w:rPr>
      </w:pPr>
      <w:r>
        <w:rPr>
          <w:rFonts w:hint="cs"/>
          <w:rtl/>
        </w:rPr>
        <w:t>יתרונם של "כללים" משפטיים הוא פירוט ודיוק ניסוחי, אשר מאפשר לכל הנוגעים בדבר לצפות מראש את אופן החלתו של הכלל על ידי רשויות המדינה ובתי המשפט. רמת הפירוט ודיוקם של "כללים" גם מביאים לחיסכון משמעותי בעלויות התדיינות. ברם, יתרון זה נקנה במחיר של חוסר שלמות אשר נובע משני אלה: מגבלות השפה והעדר יכולת לחזות ולהגדיר מראש את כל המצבים העתידיים בהם ראוי יהיה להחיל את הכלל על-מנת להשיג את מטרתו החברתית. כפועל יוצא מכך, "כללים" אינם יכולים לקלוע ל</w:t>
      </w:r>
      <w:r w:rsidRPr="005E7DCA">
        <w:rPr>
          <w:rFonts w:hint="cs"/>
          <w:rtl/>
        </w:rPr>
        <w:t>מטרתם</w:t>
      </w:r>
      <w:r>
        <w:rPr>
          <w:rFonts w:hint="cs"/>
          <w:rtl/>
        </w:rPr>
        <w:t xml:space="preserve"> בכל מקרה ומקרה: הם סובלים מהכללת יתר (</w:t>
      </w:r>
      <w:r w:rsidRPr="00E94AFE">
        <w:rPr>
          <w:rFonts w:asciiTheme="majorBidi" w:hAnsiTheme="majorBidi" w:cstheme="majorBidi"/>
        </w:rPr>
        <w:t>over-inclusiveness</w:t>
      </w:r>
      <w:r>
        <w:rPr>
          <w:rFonts w:hint="cs"/>
          <w:rtl/>
        </w:rPr>
        <w:t>), כאשר הם מנוסחים באופן רחב מדי ביחס למטרתם; או, לחלופין, מהכללת חֶסֶר (</w:t>
      </w:r>
      <w:r w:rsidRPr="00E94AFE">
        <w:rPr>
          <w:rFonts w:asciiTheme="majorBidi" w:hAnsiTheme="majorBidi" w:cstheme="majorBidi"/>
        </w:rPr>
        <w:t>under-inclusiveness</w:t>
      </w:r>
      <w:r>
        <w:rPr>
          <w:rFonts w:hint="cs"/>
          <w:rtl/>
        </w:rPr>
        <w:t xml:space="preserve">), כאשר הם מנוסחים באופן צר מדי ביחס למטרתם (ראו: </w:t>
      </w:r>
      <w:proofErr w:type="spellStart"/>
      <w:r w:rsidRPr="00E94AFE">
        <w:rPr>
          <w:rFonts w:ascii="Century" w:hAnsi="Century" w:cs="Miriam" w:hint="cs"/>
          <w:b/>
          <w:spacing w:val="0"/>
          <w:sz w:val="22"/>
          <w:szCs w:val="24"/>
          <w:rtl/>
        </w:rPr>
        <w:t>פרחומובסקי</w:t>
      </w:r>
      <w:proofErr w:type="spellEnd"/>
      <w:r w:rsidRPr="00E94AFE">
        <w:rPr>
          <w:rFonts w:ascii="Century" w:hAnsi="Century" w:cs="Miriam" w:hint="cs"/>
          <w:b/>
          <w:spacing w:val="0"/>
          <w:sz w:val="22"/>
          <w:szCs w:val="24"/>
          <w:rtl/>
        </w:rPr>
        <w:t xml:space="preserve"> ושטיין</w:t>
      </w:r>
      <w:r>
        <w:rPr>
          <w:rFonts w:hint="cs"/>
          <w:rtl/>
        </w:rPr>
        <w:t>, עמ'</w:t>
      </w:r>
      <w:r w:rsidRPr="00E94AFE">
        <w:rPr>
          <w:rFonts w:ascii="Century" w:hAnsi="Century" w:hint="cs"/>
          <w:sz w:val="22"/>
          <w:rtl/>
        </w:rPr>
        <w:t xml:space="preserve"> 172-171, 175, ו</w:t>
      </w:r>
      <w:r>
        <w:rPr>
          <w:rFonts w:ascii="Century" w:hAnsi="Century" w:hint="cs"/>
          <w:sz w:val="22"/>
          <w:rtl/>
        </w:rPr>
        <w:t>ה</w:t>
      </w:r>
      <w:r w:rsidRPr="00E94AFE">
        <w:rPr>
          <w:rFonts w:ascii="Century" w:hAnsi="Century" w:hint="cs"/>
          <w:sz w:val="22"/>
          <w:rtl/>
        </w:rPr>
        <w:t xml:space="preserve">אסמכתאות שם). </w:t>
      </w:r>
      <w:r w:rsidRPr="00C952B2">
        <w:rPr>
          <w:rFonts w:ascii="Century" w:hAnsi="Century" w:hint="cs"/>
          <w:sz w:val="22"/>
          <w:rtl/>
        </w:rPr>
        <w:t xml:space="preserve">"כללים" ניתנים </w:t>
      </w:r>
      <w:r>
        <w:rPr>
          <w:rFonts w:ascii="Century" w:hAnsi="Century" w:hint="cs"/>
          <w:sz w:val="22"/>
          <w:rtl/>
        </w:rPr>
        <w:t xml:space="preserve">אפוא </w:t>
      </w:r>
      <w:r w:rsidRPr="00C952B2">
        <w:rPr>
          <w:rFonts w:ascii="Century" w:hAnsi="Century" w:hint="cs"/>
          <w:sz w:val="22"/>
          <w:rtl/>
        </w:rPr>
        <w:t xml:space="preserve">לניצול לרעה כאשר ניסוחם מתיר התנהגות </w:t>
      </w:r>
      <w:r>
        <w:rPr>
          <w:rFonts w:ascii="Century" w:hAnsi="Century" w:hint="cs"/>
          <w:sz w:val="22"/>
          <w:rtl/>
        </w:rPr>
        <w:t xml:space="preserve">אשר </w:t>
      </w:r>
      <w:r w:rsidRPr="00C952B2">
        <w:rPr>
          <w:rFonts w:ascii="Century" w:hAnsi="Century" w:hint="cs"/>
          <w:sz w:val="22"/>
          <w:rtl/>
        </w:rPr>
        <w:t>מסכלת את מטרתם</w:t>
      </w:r>
      <w:r>
        <w:rPr>
          <w:rFonts w:ascii="Century" w:hAnsi="Century" w:hint="cs"/>
          <w:sz w:val="22"/>
          <w:rtl/>
        </w:rPr>
        <w:t xml:space="preserve"> </w:t>
      </w:r>
      <w:r>
        <w:rPr>
          <w:rFonts w:ascii="Century" w:hAnsi="Century"/>
          <w:sz w:val="22"/>
          <w:rtl/>
        </w:rPr>
        <w:t>–</w:t>
      </w:r>
      <w:r>
        <w:rPr>
          <w:rFonts w:ascii="Century" w:hAnsi="Century" w:hint="cs"/>
          <w:sz w:val="22"/>
          <w:rtl/>
        </w:rPr>
        <w:t xml:space="preserve"> וזוהי בעייתם המובנית. </w:t>
      </w:r>
    </w:p>
    <w:p w:rsidR="00F05533" w:rsidRDefault="00F05533" w:rsidP="00F05533">
      <w:pPr>
        <w:pStyle w:val="Ruller4"/>
        <w:numPr>
          <w:ilvl w:val="0"/>
          <w:numId w:val="0"/>
        </w:numPr>
        <w:rPr>
          <w:rFonts w:ascii="Century" w:hAnsi="Century"/>
          <w:sz w:val="22"/>
        </w:rPr>
      </w:pPr>
    </w:p>
    <w:p w:rsidR="00F05533" w:rsidRPr="008E36C1" w:rsidRDefault="00F05533" w:rsidP="00F05533">
      <w:pPr>
        <w:pStyle w:val="Ruller4"/>
        <w:rPr>
          <w:rFonts w:ascii="Century" w:hAnsi="Century"/>
          <w:sz w:val="22"/>
        </w:rPr>
      </w:pPr>
      <w:r w:rsidRPr="00CE40FA">
        <w:rPr>
          <w:rFonts w:ascii="Century" w:hAnsi="Century" w:hint="cs"/>
          <w:sz w:val="22"/>
          <w:rtl/>
        </w:rPr>
        <w:t xml:space="preserve">"קטלוגים" </w:t>
      </w:r>
      <w:r>
        <w:rPr>
          <w:rFonts w:ascii="Century" w:hAnsi="Century" w:hint="cs"/>
          <w:sz w:val="22"/>
          <w:rtl/>
        </w:rPr>
        <w:t>מטפלים בבעיה מובנית זו כל אימת ש</w:t>
      </w:r>
      <w:r w:rsidRPr="00CE40FA">
        <w:rPr>
          <w:rFonts w:ascii="Century" w:hAnsi="Century" w:hint="cs"/>
          <w:sz w:val="22"/>
          <w:rtl/>
        </w:rPr>
        <w:t xml:space="preserve">הדבר מתאפשר. ברם, הדבר אינו מתאפשר בכל מקרה ומקרה, מה גם ש"קטלוגים" אינם תמיד זמינים </w:t>
      </w:r>
      <w:r>
        <w:rPr>
          <w:rFonts w:ascii="Century" w:hAnsi="Century" w:hint="cs"/>
          <w:sz w:val="22"/>
          <w:rtl/>
        </w:rPr>
        <w:t xml:space="preserve">למנסחיהם של חוקים </w:t>
      </w:r>
      <w:r w:rsidRPr="00CE40FA">
        <w:rPr>
          <w:rFonts w:ascii="Century" w:hAnsi="Century" w:hint="cs"/>
          <w:sz w:val="22"/>
          <w:rtl/>
        </w:rPr>
        <w:t xml:space="preserve">(ראו: </w:t>
      </w:r>
      <w:proofErr w:type="spellStart"/>
      <w:r w:rsidRPr="00041E5E">
        <w:rPr>
          <w:rFonts w:ascii="Century" w:hAnsi="Century" w:cs="Miriam" w:hint="cs"/>
          <w:b/>
          <w:spacing w:val="0"/>
          <w:sz w:val="22"/>
          <w:szCs w:val="24"/>
          <w:rtl/>
        </w:rPr>
        <w:t>פרחומובסקי</w:t>
      </w:r>
      <w:proofErr w:type="spellEnd"/>
      <w:r w:rsidRPr="00041E5E">
        <w:rPr>
          <w:rFonts w:ascii="Century" w:hAnsi="Century" w:cs="Miriam" w:hint="cs"/>
          <w:b/>
          <w:spacing w:val="0"/>
          <w:sz w:val="22"/>
          <w:szCs w:val="24"/>
          <w:rtl/>
        </w:rPr>
        <w:t xml:space="preserve"> ושטיין</w:t>
      </w:r>
      <w:r w:rsidRPr="00CE40FA">
        <w:rPr>
          <w:rFonts w:ascii="Century" w:hAnsi="Century" w:hint="cs"/>
          <w:sz w:val="22"/>
          <w:rtl/>
        </w:rPr>
        <w:t xml:space="preserve">, עמ' 190-181). העדר כל סטייה ניסוחית ממטרתה של נורמה משפטית מתאפשר </w:t>
      </w:r>
      <w:r>
        <w:rPr>
          <w:rFonts w:ascii="Century" w:hAnsi="Century" w:hint="cs"/>
          <w:sz w:val="22"/>
          <w:rtl/>
        </w:rPr>
        <w:t xml:space="preserve">אך ורק בעולמם של "סטנדרטים" </w:t>
      </w:r>
      <w:r>
        <w:rPr>
          <w:rFonts w:ascii="Century" w:hAnsi="Century"/>
          <w:sz w:val="22"/>
          <w:rtl/>
        </w:rPr>
        <w:t>–</w:t>
      </w:r>
      <w:r>
        <w:rPr>
          <w:rFonts w:ascii="Century" w:hAnsi="Century" w:hint="cs"/>
          <w:sz w:val="22"/>
          <w:rtl/>
        </w:rPr>
        <w:t xml:space="preserve"> דפוס ניסוחי </w:t>
      </w:r>
      <w:r w:rsidRPr="00CE40FA">
        <w:rPr>
          <w:rFonts w:ascii="Century" w:hAnsi="Century" w:hint="cs"/>
          <w:sz w:val="22"/>
          <w:rtl/>
        </w:rPr>
        <w:t>אשר יוצר</w:t>
      </w:r>
      <w:r>
        <w:rPr>
          <w:rFonts w:ascii="Century" w:hAnsi="Century" w:hint="cs"/>
          <w:sz w:val="22"/>
          <w:rtl/>
        </w:rPr>
        <w:t xml:space="preserve"> </w:t>
      </w:r>
      <w:r w:rsidRPr="00CE40FA">
        <w:rPr>
          <w:rFonts w:ascii="Century" w:hAnsi="Century" w:hint="cs"/>
          <w:sz w:val="22"/>
          <w:rtl/>
        </w:rPr>
        <w:t xml:space="preserve">זיקה ישירה בין תכלית </w:t>
      </w:r>
      <w:r>
        <w:rPr>
          <w:rFonts w:ascii="Century" w:hAnsi="Century" w:hint="cs"/>
          <w:sz w:val="22"/>
          <w:rtl/>
        </w:rPr>
        <w:t xml:space="preserve">הנורמה לשפתה </w:t>
      </w:r>
      <w:r w:rsidRPr="00CE40FA">
        <w:rPr>
          <w:rFonts w:ascii="Century" w:hAnsi="Century" w:hint="cs"/>
          <w:sz w:val="22"/>
          <w:rtl/>
        </w:rPr>
        <w:t xml:space="preserve">על ידי מתן שיקול-דעת רחב-ידיים לרשויות המדינה </w:t>
      </w:r>
      <w:r w:rsidRPr="00CE40FA">
        <w:rPr>
          <w:rFonts w:ascii="Century" w:hAnsi="Century"/>
          <w:sz w:val="22"/>
          <w:rtl/>
        </w:rPr>
        <w:t>–</w:t>
      </w:r>
      <w:r w:rsidRPr="00CE40FA">
        <w:rPr>
          <w:rFonts w:ascii="Century" w:hAnsi="Century" w:hint="cs"/>
          <w:sz w:val="22"/>
          <w:rtl/>
        </w:rPr>
        <w:t xml:space="preserve"> ובפרט, לבתי המשפט </w:t>
      </w:r>
      <w:r w:rsidRPr="00CE40FA">
        <w:rPr>
          <w:rFonts w:ascii="Century" w:hAnsi="Century"/>
          <w:sz w:val="22"/>
          <w:rtl/>
        </w:rPr>
        <w:t>–</w:t>
      </w:r>
      <w:r w:rsidRPr="00CE40FA">
        <w:rPr>
          <w:rFonts w:ascii="Century" w:hAnsi="Century" w:hint="cs"/>
          <w:sz w:val="22"/>
          <w:rtl/>
        </w:rPr>
        <w:t xml:space="preserve"> באומר</w:t>
      </w:r>
      <w:r>
        <w:rPr>
          <w:rFonts w:ascii="Century" w:hAnsi="Century" w:hint="cs"/>
          <w:sz w:val="22"/>
          <w:rtl/>
        </w:rPr>
        <w:t>ו</w:t>
      </w:r>
      <w:r w:rsidRPr="00CE40FA">
        <w:rPr>
          <w:rFonts w:ascii="Century" w:hAnsi="Century" w:hint="cs"/>
          <w:sz w:val="22"/>
          <w:rtl/>
        </w:rPr>
        <w:t>, במילים אלה או אחרות</w:t>
      </w:r>
      <w:r>
        <w:rPr>
          <w:rFonts w:ascii="Century" w:hAnsi="Century" w:hint="cs"/>
          <w:sz w:val="22"/>
          <w:rtl/>
        </w:rPr>
        <w:t>: "</w:t>
      </w:r>
      <w:r w:rsidRPr="00CE40FA">
        <w:rPr>
          <w:rFonts w:ascii="Century" w:hAnsi="Century" w:hint="cs"/>
          <w:sz w:val="22"/>
          <w:rtl/>
        </w:rPr>
        <w:t>ק</w:t>
      </w:r>
      <w:r>
        <w:rPr>
          <w:rFonts w:ascii="Century" w:hAnsi="Century" w:hint="cs"/>
          <w:sz w:val="22"/>
          <w:rtl/>
        </w:rPr>
        <w:t>ָ</w:t>
      </w:r>
      <w:r w:rsidRPr="00CE40FA">
        <w:rPr>
          <w:rFonts w:ascii="Century" w:hAnsi="Century" w:hint="cs"/>
          <w:sz w:val="22"/>
          <w:rtl/>
        </w:rPr>
        <w:t>ב</w:t>
      </w:r>
      <w:r>
        <w:rPr>
          <w:rFonts w:ascii="Century" w:hAnsi="Century" w:hint="cs"/>
          <w:sz w:val="22"/>
          <w:rtl/>
        </w:rPr>
        <w:t>ְּ</w:t>
      </w:r>
      <w:r w:rsidRPr="00CE40FA">
        <w:rPr>
          <w:rFonts w:ascii="Century" w:hAnsi="Century" w:hint="cs"/>
          <w:sz w:val="22"/>
          <w:rtl/>
        </w:rPr>
        <w:t>לו</w:t>
      </w:r>
      <w:r>
        <w:rPr>
          <w:rFonts w:ascii="Century" w:hAnsi="Century" w:hint="cs"/>
          <w:sz w:val="22"/>
          <w:rtl/>
        </w:rPr>
        <w:t>ּ</w:t>
      </w:r>
      <w:r w:rsidRPr="00CE40FA">
        <w:rPr>
          <w:rFonts w:ascii="Century" w:hAnsi="Century" w:hint="cs"/>
          <w:sz w:val="22"/>
          <w:rtl/>
        </w:rPr>
        <w:t xml:space="preserve"> החלטות </w:t>
      </w:r>
      <w:r>
        <w:rPr>
          <w:rFonts w:ascii="Century" w:hAnsi="Century" w:hint="cs"/>
          <w:sz w:val="22"/>
          <w:rtl/>
        </w:rPr>
        <w:t>ש</w:t>
      </w:r>
      <w:r w:rsidRPr="00CE40FA">
        <w:rPr>
          <w:rFonts w:ascii="Century" w:hAnsi="Century" w:hint="cs"/>
          <w:sz w:val="22"/>
          <w:rtl/>
        </w:rPr>
        <w:t xml:space="preserve">תגשמנה בדרך ראויה את </w:t>
      </w:r>
      <w:r>
        <w:rPr>
          <w:rFonts w:ascii="Century" w:hAnsi="Century" w:hint="cs"/>
          <w:sz w:val="22"/>
          <w:rtl/>
        </w:rPr>
        <w:t>ה</w:t>
      </w:r>
      <w:r w:rsidRPr="00CE40FA">
        <w:rPr>
          <w:rFonts w:ascii="Century" w:hAnsi="Century" w:hint="cs"/>
          <w:sz w:val="22"/>
          <w:rtl/>
        </w:rPr>
        <w:t>תכלית</w:t>
      </w:r>
      <w:r>
        <w:rPr>
          <w:rFonts w:ascii="Century" w:hAnsi="Century" w:hint="cs"/>
          <w:sz w:val="22"/>
          <w:rtl/>
        </w:rPr>
        <w:t xml:space="preserve"> החברתית הנקובה</w:t>
      </w:r>
      <w:r w:rsidRPr="00CE40FA">
        <w:rPr>
          <w:rFonts w:ascii="Century" w:hAnsi="Century" w:hint="cs"/>
          <w:sz w:val="22"/>
          <w:rtl/>
        </w:rPr>
        <w:t xml:space="preserve">" (ראו: </w:t>
      </w:r>
      <w:proofErr w:type="spellStart"/>
      <w:r w:rsidRPr="00041E5E">
        <w:rPr>
          <w:rFonts w:ascii="Century" w:hAnsi="Century" w:cs="Miriam" w:hint="cs"/>
          <w:b/>
          <w:spacing w:val="0"/>
          <w:sz w:val="22"/>
          <w:szCs w:val="24"/>
          <w:rtl/>
        </w:rPr>
        <w:t>פרחומובסקי</w:t>
      </w:r>
      <w:proofErr w:type="spellEnd"/>
      <w:r w:rsidRPr="00041E5E">
        <w:rPr>
          <w:rFonts w:ascii="Century" w:hAnsi="Century" w:cs="Miriam" w:hint="cs"/>
          <w:b/>
          <w:spacing w:val="0"/>
          <w:sz w:val="22"/>
          <w:szCs w:val="24"/>
          <w:rtl/>
        </w:rPr>
        <w:t xml:space="preserve"> ושטיין</w:t>
      </w:r>
      <w:r w:rsidRPr="00CE40FA">
        <w:rPr>
          <w:rFonts w:ascii="Century" w:hAnsi="Century" w:hint="cs"/>
          <w:sz w:val="22"/>
          <w:rtl/>
        </w:rPr>
        <w:t xml:space="preserve">, עמ' </w:t>
      </w:r>
      <w:r w:rsidRPr="00CE40FA">
        <w:rPr>
          <w:rFonts w:ascii="Century" w:hAnsi="Century" w:hint="cs"/>
          <w:sz w:val="22"/>
          <w:rtl/>
        </w:rPr>
        <w:lastRenderedPageBreak/>
        <w:t>174). התוצאה אליה חותרים "סטנדרטים", אף היא נקנית במחיר חברתי לא מבוטל</w:t>
      </w:r>
      <w:r>
        <w:rPr>
          <w:rFonts w:ascii="Century" w:hAnsi="Century" w:hint="cs"/>
          <w:sz w:val="22"/>
          <w:rtl/>
        </w:rPr>
        <w:t xml:space="preserve">. </w:t>
      </w:r>
      <w:r w:rsidRPr="00CE40FA">
        <w:rPr>
          <w:rFonts w:ascii="Century" w:hAnsi="Century" w:hint="cs"/>
          <w:sz w:val="22"/>
          <w:rtl/>
        </w:rPr>
        <w:t xml:space="preserve">במקרים לא מעטים, </w:t>
      </w:r>
      <w:r>
        <w:rPr>
          <w:rFonts w:ascii="Century" w:hAnsi="Century" w:hint="cs"/>
          <w:sz w:val="22"/>
          <w:rtl/>
        </w:rPr>
        <w:t xml:space="preserve">מחיר זה כולל </w:t>
      </w:r>
      <w:r w:rsidRPr="00CE40FA">
        <w:rPr>
          <w:rFonts w:ascii="Century" w:hAnsi="Century" w:hint="cs"/>
          <w:sz w:val="22"/>
          <w:rtl/>
        </w:rPr>
        <w:t xml:space="preserve">העדר יכולת לצפות </w:t>
      </w:r>
      <w:r>
        <w:rPr>
          <w:rFonts w:ascii="Century" w:hAnsi="Century" w:hint="cs"/>
          <w:sz w:val="22"/>
          <w:rtl/>
        </w:rPr>
        <w:t xml:space="preserve">מראש </w:t>
      </w:r>
      <w:r w:rsidRPr="00CE40FA">
        <w:rPr>
          <w:rFonts w:ascii="Century" w:hAnsi="Century" w:hint="cs"/>
          <w:sz w:val="22"/>
          <w:rtl/>
        </w:rPr>
        <w:t xml:space="preserve">את אופן החלתו של "סטנדרט" </w:t>
      </w:r>
      <w:r w:rsidRPr="00CE40FA">
        <w:rPr>
          <w:rFonts w:ascii="Century" w:hAnsi="Century"/>
          <w:sz w:val="22"/>
          <w:rtl/>
        </w:rPr>
        <w:t>–</w:t>
      </w:r>
      <w:r w:rsidRPr="00CE40FA">
        <w:rPr>
          <w:rFonts w:ascii="Century" w:hAnsi="Century" w:hint="cs"/>
          <w:sz w:val="22"/>
          <w:rtl/>
        </w:rPr>
        <w:t xml:space="preserve"> דבר אשר פוגע ביכולתם של אנשים לתכנן את צעדיהם. אנשים מכלכלים את פועלם ואת עסקאותיהם בצלו של הדין (ראו, מני רבים: </w:t>
      </w:r>
      <w:r w:rsidRPr="00CE40FA">
        <w:rPr>
          <w:rFonts w:asciiTheme="majorBidi" w:hAnsiTheme="majorBidi" w:cstheme="majorBidi"/>
        </w:rPr>
        <w:t xml:space="preserve">Robert Cooter, </w:t>
      </w:r>
      <w:r w:rsidRPr="00CE40FA">
        <w:rPr>
          <w:rFonts w:asciiTheme="majorBidi" w:hAnsiTheme="majorBidi" w:cstheme="majorBidi"/>
          <w:i/>
          <w:iCs/>
        </w:rPr>
        <w:t>et al.</w:t>
      </w:r>
      <w:r w:rsidRPr="00CE40FA">
        <w:rPr>
          <w:rFonts w:asciiTheme="majorBidi" w:hAnsiTheme="majorBidi" w:cstheme="majorBidi"/>
        </w:rPr>
        <w:t xml:space="preserve">, </w:t>
      </w:r>
      <w:r w:rsidRPr="00CE40FA">
        <w:rPr>
          <w:rFonts w:asciiTheme="majorBidi" w:hAnsiTheme="majorBidi" w:cstheme="majorBidi"/>
          <w:i/>
          <w:iCs/>
        </w:rPr>
        <w:t>Bargaining in the Shadow of the Law: A Testable Model of Strategic Behavior</w:t>
      </w:r>
      <w:r w:rsidRPr="00CE40FA">
        <w:rPr>
          <w:rFonts w:asciiTheme="majorBidi" w:hAnsiTheme="majorBidi" w:cstheme="majorBidi"/>
        </w:rPr>
        <w:t xml:space="preserve">, 11 </w:t>
      </w:r>
      <w:r w:rsidRPr="00CE40FA">
        <w:rPr>
          <w:rFonts w:asciiTheme="majorBidi" w:hAnsiTheme="majorBidi" w:cstheme="majorBidi"/>
          <w:smallCaps/>
        </w:rPr>
        <w:t>J. Legal Stud.</w:t>
      </w:r>
      <w:r w:rsidRPr="00CE40FA">
        <w:rPr>
          <w:rFonts w:asciiTheme="majorBidi" w:hAnsiTheme="majorBidi" w:cstheme="majorBidi"/>
        </w:rPr>
        <w:t xml:space="preserve"> 225 (1982)</w:t>
      </w:r>
      <w:r w:rsidRPr="00CE40FA">
        <w:rPr>
          <w:rFonts w:ascii="Century" w:hAnsi="Century" w:hint="cs"/>
          <w:sz w:val="22"/>
          <w:rtl/>
        </w:rPr>
        <w:t xml:space="preserve">) </w:t>
      </w:r>
      <w:r w:rsidRPr="00CE40FA">
        <w:rPr>
          <w:rFonts w:ascii="Century" w:hAnsi="Century"/>
          <w:sz w:val="22"/>
          <w:rtl/>
        </w:rPr>
        <w:t>–</w:t>
      </w:r>
      <w:r w:rsidRPr="00CE40FA">
        <w:rPr>
          <w:rFonts w:ascii="Century" w:hAnsi="Century" w:hint="cs"/>
          <w:sz w:val="22"/>
          <w:rtl/>
        </w:rPr>
        <w:t xml:space="preserve"> דבר שקשה לעשותו כאשר הדין הוא עמום. מחיר חברתי נוסף שנגבה על ידי </w:t>
      </w:r>
      <w:r>
        <w:rPr>
          <w:rFonts w:ascii="Century" w:hAnsi="Century" w:hint="cs"/>
          <w:sz w:val="22"/>
          <w:rtl/>
        </w:rPr>
        <w:t>ה</w:t>
      </w:r>
      <w:r w:rsidRPr="00CE40FA">
        <w:rPr>
          <w:rFonts w:ascii="Century" w:hAnsi="Century" w:hint="cs"/>
          <w:sz w:val="22"/>
          <w:rtl/>
        </w:rPr>
        <w:t xml:space="preserve">בחירה ב"סטנדרטים" על-פני "כללים" ו"קטלוגים" הוא העדר אחידות ביישום </w:t>
      </w:r>
      <w:r>
        <w:rPr>
          <w:rFonts w:ascii="Century" w:hAnsi="Century" w:hint="cs"/>
          <w:sz w:val="22"/>
          <w:rtl/>
        </w:rPr>
        <w:t xml:space="preserve">הנורמה המשפטית </w:t>
      </w:r>
      <w:r w:rsidRPr="00CE40FA">
        <w:rPr>
          <w:rFonts w:ascii="Century" w:hAnsi="Century"/>
          <w:sz w:val="22"/>
          <w:rtl/>
        </w:rPr>
        <w:t>–</w:t>
      </w:r>
      <w:r w:rsidRPr="00CE40FA">
        <w:rPr>
          <w:rFonts w:ascii="Century" w:hAnsi="Century" w:hint="cs"/>
          <w:sz w:val="22"/>
          <w:rtl/>
        </w:rPr>
        <w:t xml:space="preserve"> דבר אשר עלול להביא לחוסר שוויון בפני החוק. </w:t>
      </w:r>
      <w:r>
        <w:rPr>
          <w:rFonts w:ascii="Century" w:hAnsi="Century" w:hint="cs"/>
          <w:sz w:val="22"/>
          <w:rtl/>
        </w:rPr>
        <w:t xml:space="preserve">כדי למנוע תוצאה זו של איפה-ואיפה במידה מרבית, ועל-מנת לאפשר לאזרחים לצפות מראש את אופן החלתן של נורמות משפטיות ולתכנן את צעדיהם בהתאם, </w:t>
      </w:r>
      <w:r w:rsidRPr="008E36C1">
        <w:rPr>
          <w:rFonts w:ascii="Century" w:hAnsi="Century" w:hint="cs"/>
          <w:sz w:val="22"/>
          <w:rtl/>
        </w:rPr>
        <w:t>מערכת המשפט חייבת לפעול על בסיסם של "כללים" ו"קטלוגים"</w:t>
      </w:r>
      <w:r>
        <w:rPr>
          <w:rFonts w:ascii="Century" w:hAnsi="Century" w:hint="cs"/>
          <w:sz w:val="22"/>
          <w:rtl/>
        </w:rPr>
        <w:t>.</w:t>
      </w:r>
    </w:p>
    <w:p w:rsidR="00F05533" w:rsidRPr="002445DB" w:rsidRDefault="00F05533" w:rsidP="00F05533">
      <w:pPr>
        <w:pStyle w:val="Ruller4"/>
        <w:numPr>
          <w:ilvl w:val="0"/>
          <w:numId w:val="0"/>
        </w:numPr>
        <w:rPr>
          <w:szCs w:val="22"/>
        </w:rPr>
      </w:pPr>
    </w:p>
    <w:p w:rsidR="00F05533" w:rsidRPr="0061571B" w:rsidRDefault="00F05533" w:rsidP="00F05533">
      <w:pPr>
        <w:pStyle w:val="Ruller4"/>
        <w:rPr>
          <w:rFonts w:ascii="Century" w:hAnsi="Century"/>
          <w:sz w:val="22"/>
          <w:rtl/>
        </w:rPr>
      </w:pPr>
      <w:r>
        <w:rPr>
          <w:rFonts w:ascii="Century" w:hAnsi="Century" w:hint="cs"/>
          <w:sz w:val="22"/>
          <w:rtl/>
        </w:rPr>
        <w:t xml:space="preserve">על רקע זה, ניתן להבין מדוע דיני המס מורכבים ברובם מ"כללים". אחידות במיסוי היא מעיקרי הצדק האופקי והצדק האנכי שדיני המס החלים במדינתנו באים לכונן </w:t>
      </w:r>
      <w:r w:rsidRPr="00041E5E">
        <w:rPr>
          <w:rFonts w:ascii="Century" w:hAnsi="Century"/>
          <w:sz w:val="22"/>
          <w:rtl/>
        </w:rPr>
        <w:t>(</w:t>
      </w:r>
      <w:r w:rsidRPr="00041E5E">
        <w:rPr>
          <w:rFonts w:ascii="Century" w:hAnsi="Century" w:hint="eastAsia"/>
          <w:sz w:val="22"/>
          <w:rtl/>
        </w:rPr>
        <w:t>ראו</w:t>
      </w:r>
      <w:r w:rsidRPr="00041E5E">
        <w:rPr>
          <w:rFonts w:ascii="Century" w:hAnsi="Century"/>
          <w:sz w:val="22"/>
          <w:rtl/>
        </w:rPr>
        <w:t xml:space="preserve">: </w:t>
      </w:r>
      <w:r w:rsidRPr="00041E5E">
        <w:rPr>
          <w:rFonts w:ascii="Century" w:hAnsi="Century" w:hint="eastAsia"/>
          <w:sz w:val="22"/>
          <w:rtl/>
        </w:rPr>
        <w:t>יוסף</w:t>
      </w:r>
      <w:r w:rsidRPr="00041E5E">
        <w:rPr>
          <w:rFonts w:ascii="Century" w:hAnsi="Century"/>
          <w:sz w:val="22"/>
          <w:rtl/>
        </w:rPr>
        <w:t xml:space="preserve"> </w:t>
      </w:r>
      <w:r w:rsidRPr="00041E5E">
        <w:rPr>
          <w:rFonts w:ascii="Century" w:hAnsi="Century" w:hint="eastAsia"/>
          <w:sz w:val="22"/>
          <w:rtl/>
        </w:rPr>
        <w:t>מ</w:t>
      </w:r>
      <w:r w:rsidRPr="00041E5E">
        <w:rPr>
          <w:rFonts w:ascii="Century" w:hAnsi="Century"/>
          <w:sz w:val="22"/>
          <w:rtl/>
        </w:rPr>
        <w:t xml:space="preserve">' </w:t>
      </w:r>
      <w:proofErr w:type="spellStart"/>
      <w:r w:rsidRPr="00041E5E">
        <w:rPr>
          <w:rFonts w:ascii="Century" w:hAnsi="Century" w:hint="eastAsia"/>
          <w:sz w:val="22"/>
          <w:rtl/>
        </w:rPr>
        <w:t>אדרעי</w:t>
      </w:r>
      <w:proofErr w:type="spellEnd"/>
      <w:r w:rsidRPr="00041E5E">
        <w:rPr>
          <w:rFonts w:ascii="Century" w:hAnsi="Century"/>
          <w:sz w:val="22"/>
          <w:rtl/>
        </w:rPr>
        <w:t xml:space="preserve"> </w:t>
      </w:r>
      <w:r w:rsidRPr="00041E5E">
        <w:rPr>
          <w:rFonts w:ascii="Century" w:hAnsi="Century" w:cs="Miriam" w:hint="eastAsia"/>
          <w:b/>
          <w:spacing w:val="0"/>
          <w:sz w:val="22"/>
          <w:szCs w:val="24"/>
          <w:rtl/>
        </w:rPr>
        <w:t>מבוא</w:t>
      </w:r>
      <w:r w:rsidRPr="00041E5E">
        <w:rPr>
          <w:rFonts w:ascii="Century" w:hAnsi="Century" w:cs="Miriam"/>
          <w:b/>
          <w:spacing w:val="0"/>
          <w:sz w:val="22"/>
          <w:szCs w:val="24"/>
          <w:rtl/>
        </w:rPr>
        <w:t xml:space="preserve"> </w:t>
      </w:r>
      <w:r w:rsidRPr="00041E5E">
        <w:rPr>
          <w:rFonts w:ascii="Century" w:hAnsi="Century" w:cs="Miriam" w:hint="eastAsia"/>
          <w:b/>
          <w:spacing w:val="0"/>
          <w:sz w:val="22"/>
          <w:szCs w:val="24"/>
          <w:rtl/>
        </w:rPr>
        <w:t>לתורת</w:t>
      </w:r>
      <w:r w:rsidRPr="00041E5E">
        <w:rPr>
          <w:rFonts w:ascii="Century" w:hAnsi="Century" w:cs="Miriam"/>
          <w:b/>
          <w:spacing w:val="0"/>
          <w:sz w:val="22"/>
          <w:szCs w:val="24"/>
          <w:rtl/>
        </w:rPr>
        <w:t xml:space="preserve"> </w:t>
      </w:r>
      <w:r w:rsidRPr="00041E5E">
        <w:rPr>
          <w:rFonts w:ascii="Century" w:hAnsi="Century" w:cs="Miriam" w:hint="eastAsia"/>
          <w:b/>
          <w:spacing w:val="0"/>
          <w:sz w:val="22"/>
          <w:szCs w:val="24"/>
          <w:rtl/>
        </w:rPr>
        <w:t>המסים</w:t>
      </w:r>
      <w:r w:rsidRPr="00041E5E">
        <w:rPr>
          <w:rFonts w:ascii="Century" w:hAnsi="Century"/>
          <w:sz w:val="22"/>
          <w:rtl/>
        </w:rPr>
        <w:t xml:space="preserve"> </w:t>
      </w:r>
      <w:r>
        <w:rPr>
          <w:rFonts w:ascii="Century" w:hAnsi="Century" w:hint="cs"/>
          <w:sz w:val="22"/>
          <w:rtl/>
        </w:rPr>
        <w:t>22-21, 36-34</w:t>
      </w:r>
      <w:r w:rsidRPr="00041E5E">
        <w:rPr>
          <w:rFonts w:ascii="Century" w:hAnsi="Century"/>
          <w:sz w:val="22"/>
          <w:rtl/>
        </w:rPr>
        <w:t xml:space="preserve"> (2008)</w:t>
      </w:r>
      <w:r>
        <w:rPr>
          <w:rFonts w:ascii="Century" w:hAnsi="Century" w:hint="cs"/>
          <w:sz w:val="22"/>
          <w:rtl/>
        </w:rPr>
        <w:t xml:space="preserve"> </w:t>
      </w:r>
      <w:r w:rsidRPr="00041E5E">
        <w:rPr>
          <w:rFonts w:ascii="Century" w:hAnsi="Century"/>
          <w:sz w:val="22"/>
          <w:rtl/>
        </w:rPr>
        <w:t>(</w:t>
      </w:r>
      <w:r w:rsidRPr="00041E5E">
        <w:rPr>
          <w:rFonts w:ascii="Century" w:hAnsi="Century" w:hint="eastAsia"/>
          <w:sz w:val="22"/>
          <w:rtl/>
        </w:rPr>
        <w:t>להלן</w:t>
      </w:r>
      <w:r w:rsidRPr="00041E5E">
        <w:rPr>
          <w:rFonts w:ascii="Century" w:hAnsi="Century"/>
          <w:sz w:val="22"/>
          <w:rtl/>
        </w:rPr>
        <w:t xml:space="preserve">: </w:t>
      </w:r>
      <w:proofErr w:type="spellStart"/>
      <w:r w:rsidRPr="00041E5E">
        <w:rPr>
          <w:rFonts w:ascii="Century" w:hAnsi="Century" w:cs="Miriam" w:hint="eastAsia"/>
          <w:b/>
          <w:spacing w:val="0"/>
          <w:sz w:val="22"/>
          <w:szCs w:val="24"/>
          <w:rtl/>
        </w:rPr>
        <w:t>אדרעי</w:t>
      </w:r>
      <w:proofErr w:type="spellEnd"/>
      <w:r w:rsidRPr="00041E5E">
        <w:rPr>
          <w:rFonts w:ascii="Century" w:hAnsi="Century"/>
          <w:sz w:val="22"/>
          <w:rtl/>
        </w:rPr>
        <w:t>))</w:t>
      </w:r>
      <w:r w:rsidRPr="007F1183">
        <w:rPr>
          <w:rFonts w:ascii="Century" w:hAnsi="Century" w:hint="cs"/>
          <w:sz w:val="22"/>
          <w:rtl/>
        </w:rPr>
        <w:t>.</w:t>
      </w:r>
      <w:r>
        <w:rPr>
          <w:rFonts w:ascii="Century" w:hAnsi="Century"/>
          <w:sz w:val="22"/>
        </w:rPr>
        <w:t xml:space="preserve"> </w:t>
      </w:r>
      <w:r>
        <w:rPr>
          <w:rFonts w:ascii="Century" w:hAnsi="Century" w:hint="cs"/>
          <w:sz w:val="22"/>
          <w:rtl/>
        </w:rPr>
        <w:t xml:space="preserve">צדק אופקי דורש שבעלי רווחים זהים ישלמו למדינה מס זהה בגין רווחיהם; </w:t>
      </w:r>
      <w:r w:rsidRPr="00C31923">
        <w:rPr>
          <w:rFonts w:ascii="Century" w:hAnsi="Century" w:hint="cs"/>
          <w:sz w:val="22"/>
          <w:rtl/>
        </w:rPr>
        <w:t xml:space="preserve">כאשר לפי מידת הצדק האנכי, אדם שרווחיו עולים על אלו של רעהו צריך לשלם מס אשר עולה, בהתאמה, על המס המשולם על ידי רעהו </w:t>
      </w:r>
      <w:r w:rsidRPr="00041E5E">
        <w:rPr>
          <w:rFonts w:ascii="Century" w:hAnsi="Century"/>
          <w:sz w:val="22"/>
          <w:rtl/>
        </w:rPr>
        <w:t>(</w:t>
      </w:r>
      <w:r>
        <w:rPr>
          <w:rFonts w:ascii="Century" w:hAnsi="Century" w:hint="cs"/>
          <w:sz w:val="22"/>
          <w:rtl/>
        </w:rPr>
        <w:t xml:space="preserve">ראו: </w:t>
      </w:r>
      <w:proofErr w:type="spellStart"/>
      <w:r w:rsidRPr="00041E5E">
        <w:rPr>
          <w:rFonts w:ascii="Century" w:hAnsi="Century" w:cs="Miriam" w:hint="eastAsia"/>
          <w:b/>
          <w:spacing w:val="0"/>
          <w:sz w:val="22"/>
          <w:szCs w:val="24"/>
          <w:rtl/>
        </w:rPr>
        <w:t>אדרעי</w:t>
      </w:r>
      <w:proofErr w:type="spellEnd"/>
      <w:r w:rsidRPr="00041E5E">
        <w:rPr>
          <w:rFonts w:ascii="Century" w:hAnsi="Century"/>
          <w:sz w:val="22"/>
          <w:rtl/>
        </w:rPr>
        <w:t xml:space="preserve">, </w:t>
      </w:r>
      <w:r w:rsidRPr="00041E5E">
        <w:rPr>
          <w:rFonts w:ascii="Century" w:hAnsi="Century" w:hint="eastAsia"/>
          <w:sz w:val="22"/>
          <w:rtl/>
        </w:rPr>
        <w:t>עמ</w:t>
      </w:r>
      <w:r w:rsidRPr="00041E5E">
        <w:rPr>
          <w:rFonts w:ascii="Century" w:hAnsi="Century"/>
          <w:sz w:val="22"/>
          <w:rtl/>
        </w:rPr>
        <w:t xml:space="preserve">' 101-99; </w:t>
      </w:r>
      <w:proofErr w:type="spellStart"/>
      <w:r w:rsidRPr="00041E5E">
        <w:rPr>
          <w:rFonts w:ascii="Century" w:hAnsi="Century" w:cs="Miriam" w:hint="eastAsia"/>
          <w:b/>
          <w:spacing w:val="0"/>
          <w:sz w:val="22"/>
          <w:szCs w:val="24"/>
          <w:rtl/>
        </w:rPr>
        <w:t>גליקסברג</w:t>
      </w:r>
      <w:proofErr w:type="spellEnd"/>
      <w:r w:rsidRPr="00041E5E">
        <w:rPr>
          <w:rFonts w:ascii="Century" w:hAnsi="Century"/>
          <w:sz w:val="22"/>
          <w:rtl/>
        </w:rPr>
        <w:t xml:space="preserve">, </w:t>
      </w:r>
      <w:r w:rsidRPr="00041E5E">
        <w:rPr>
          <w:rFonts w:ascii="Century" w:hAnsi="Century" w:hint="eastAsia"/>
          <w:sz w:val="22"/>
          <w:rtl/>
        </w:rPr>
        <w:t>עמ</w:t>
      </w:r>
      <w:r w:rsidRPr="00041E5E">
        <w:rPr>
          <w:rFonts w:ascii="Century" w:hAnsi="Century"/>
          <w:sz w:val="22"/>
          <w:rtl/>
        </w:rPr>
        <w:t>' 39-33)</w:t>
      </w:r>
      <w:r w:rsidRPr="00C31923">
        <w:rPr>
          <w:rFonts w:ascii="Century" w:hAnsi="Century" w:hint="cs"/>
          <w:sz w:val="22"/>
          <w:rtl/>
        </w:rPr>
        <w:t>.</w:t>
      </w:r>
      <w:r>
        <w:rPr>
          <w:rFonts w:ascii="Century" w:hAnsi="Century" w:hint="cs"/>
          <w:sz w:val="22"/>
          <w:rtl/>
        </w:rPr>
        <w:t xml:space="preserve"> מידות צדק אלו לא תבואנה לידי מימוש מיטבי בעולמם של "סטנדרטים". הדפוס של "סטנדרטים" גם אינו יכול להבטיח ש</w:t>
      </w:r>
      <w:r w:rsidRPr="0061571B">
        <w:rPr>
          <w:rFonts w:ascii="Century" w:hAnsi="Century" w:hint="cs"/>
          <w:sz w:val="22"/>
          <w:rtl/>
        </w:rPr>
        <w:t>המס ש</w:t>
      </w:r>
      <w:r>
        <w:rPr>
          <w:rFonts w:ascii="Century" w:hAnsi="Century" w:hint="cs"/>
          <w:sz w:val="22"/>
          <w:rtl/>
        </w:rPr>
        <w:t>הנישום</w:t>
      </w:r>
      <w:r w:rsidRPr="0061571B">
        <w:rPr>
          <w:rFonts w:ascii="Century" w:hAnsi="Century" w:hint="cs"/>
          <w:sz w:val="22"/>
          <w:rtl/>
        </w:rPr>
        <w:t xml:space="preserve"> עתיד לשלם למדינה </w:t>
      </w:r>
      <w:r>
        <w:rPr>
          <w:rFonts w:ascii="Century" w:hAnsi="Century" w:hint="cs"/>
          <w:sz w:val="22"/>
          <w:rtl/>
        </w:rPr>
        <w:t>יהא</w:t>
      </w:r>
      <w:r w:rsidRPr="0061571B">
        <w:rPr>
          <w:rFonts w:ascii="Century" w:hAnsi="Century" w:hint="cs"/>
          <w:sz w:val="22"/>
          <w:rtl/>
        </w:rPr>
        <w:t xml:space="preserve"> ניתן לצפייה מראש באופן </w:t>
      </w:r>
      <w:r>
        <w:rPr>
          <w:rFonts w:ascii="Century" w:hAnsi="Century" w:hint="cs"/>
          <w:sz w:val="22"/>
          <w:rtl/>
        </w:rPr>
        <w:t>אשר י</w:t>
      </w:r>
      <w:r w:rsidRPr="0061571B">
        <w:rPr>
          <w:rFonts w:ascii="Century" w:hAnsi="Century" w:hint="cs"/>
          <w:sz w:val="22"/>
          <w:rtl/>
        </w:rPr>
        <w:t>אפשר ל</w:t>
      </w:r>
      <w:r>
        <w:rPr>
          <w:rFonts w:ascii="Century" w:hAnsi="Century" w:hint="cs"/>
          <w:sz w:val="22"/>
          <w:rtl/>
        </w:rPr>
        <w:t>נישום</w:t>
      </w:r>
      <w:r w:rsidRPr="0061571B">
        <w:rPr>
          <w:rFonts w:ascii="Century" w:hAnsi="Century" w:hint="cs"/>
          <w:sz w:val="22"/>
          <w:rtl/>
        </w:rPr>
        <w:t xml:space="preserve"> להעריך את כדאיות הפעילות המתוכננת על ידו ולתמחר נכונה את עבודתו, את מוצריו ואת נכסיו (ראו: </w:t>
      </w:r>
      <w:r>
        <w:rPr>
          <w:rFonts w:ascii="Century" w:hAnsi="Century" w:hint="cs"/>
          <w:sz w:val="22"/>
          <w:rtl/>
        </w:rPr>
        <w:t xml:space="preserve">עניין </w:t>
      </w:r>
      <w:proofErr w:type="spellStart"/>
      <w:r w:rsidRPr="0061571B">
        <w:rPr>
          <w:rFonts w:ascii="Century" w:hAnsi="Century" w:cs="Miriam" w:hint="cs"/>
          <w:b/>
          <w:spacing w:val="0"/>
          <w:sz w:val="22"/>
          <w:szCs w:val="24"/>
          <w:rtl/>
        </w:rPr>
        <w:t>טוונטי</w:t>
      </w:r>
      <w:proofErr w:type="spellEnd"/>
      <w:r w:rsidRPr="0061571B">
        <w:rPr>
          <w:rFonts w:ascii="Century" w:hAnsi="Century" w:cs="Miriam" w:hint="cs"/>
          <w:b/>
          <w:spacing w:val="0"/>
          <w:sz w:val="22"/>
          <w:szCs w:val="24"/>
          <w:rtl/>
        </w:rPr>
        <w:t xml:space="preserve"> </w:t>
      </w:r>
      <w:proofErr w:type="spellStart"/>
      <w:r w:rsidRPr="0061571B">
        <w:rPr>
          <w:rFonts w:ascii="Century" w:hAnsi="Century" w:cs="Miriam" w:hint="cs"/>
          <w:b/>
          <w:spacing w:val="0"/>
          <w:sz w:val="22"/>
          <w:szCs w:val="24"/>
          <w:rtl/>
        </w:rPr>
        <w:t>האנדרד</w:t>
      </w:r>
      <w:proofErr w:type="spellEnd"/>
      <w:r>
        <w:rPr>
          <w:rFonts w:ascii="Century" w:hAnsi="Century" w:hint="cs"/>
          <w:sz w:val="22"/>
          <w:rtl/>
        </w:rPr>
        <w:t>, פסקה 36 לפסק דיני</w:t>
      </w:r>
      <w:r w:rsidRPr="0061571B">
        <w:rPr>
          <w:rFonts w:ascii="Century" w:hAnsi="Century" w:hint="cs"/>
          <w:sz w:val="22"/>
          <w:rtl/>
        </w:rPr>
        <w:t xml:space="preserve">). </w:t>
      </w:r>
      <w:r>
        <w:rPr>
          <w:rFonts w:ascii="Century" w:hAnsi="Century" w:hint="cs"/>
          <w:sz w:val="22"/>
          <w:rtl/>
        </w:rPr>
        <w:t xml:space="preserve">כפי שכבר ציינתי, </w:t>
      </w:r>
      <w:r w:rsidRPr="0061571B">
        <w:rPr>
          <w:rFonts w:ascii="Century" w:hAnsi="Century" w:hint="cs"/>
          <w:sz w:val="22"/>
          <w:rtl/>
        </w:rPr>
        <w:t>מטרה חשובה זו מושגת באופן מיטבי על ידי "כללים"</w:t>
      </w:r>
      <w:r>
        <w:rPr>
          <w:rFonts w:ascii="Century" w:hAnsi="Century" w:hint="cs"/>
          <w:sz w:val="22"/>
          <w:rtl/>
        </w:rPr>
        <w:t>,</w:t>
      </w:r>
      <w:r w:rsidRPr="0061571B">
        <w:rPr>
          <w:rFonts w:ascii="Century" w:hAnsi="Century" w:hint="cs"/>
          <w:sz w:val="22"/>
          <w:rtl/>
        </w:rPr>
        <w:t xml:space="preserve"> ו</w:t>
      </w:r>
      <w:r>
        <w:rPr>
          <w:rFonts w:ascii="Century" w:hAnsi="Century" w:hint="cs"/>
          <w:sz w:val="22"/>
          <w:rtl/>
        </w:rPr>
        <w:t xml:space="preserve">במידה לא מבוטלת גם על ידי </w:t>
      </w:r>
      <w:r w:rsidRPr="0061571B">
        <w:rPr>
          <w:rFonts w:ascii="Century" w:hAnsi="Century" w:hint="cs"/>
          <w:sz w:val="22"/>
          <w:rtl/>
        </w:rPr>
        <w:t xml:space="preserve">"קטלוגים". "כללים" ו"קטלוגים" מקדמים מטרה חשובה נוספת: תיחום סמכויותיהן של רשויות המס </w:t>
      </w:r>
      <w:r>
        <w:rPr>
          <w:rFonts w:ascii="Century" w:hAnsi="Century" w:hint="cs"/>
          <w:sz w:val="22"/>
          <w:rtl/>
        </w:rPr>
        <w:t>באופן שמגן כיאות</w:t>
      </w:r>
      <w:r w:rsidRPr="0061571B">
        <w:rPr>
          <w:rFonts w:ascii="Century" w:hAnsi="Century" w:hint="cs"/>
          <w:sz w:val="22"/>
          <w:rtl/>
        </w:rPr>
        <w:t xml:space="preserve"> על קניינו של הפרט (ראו: </w:t>
      </w:r>
      <w:r>
        <w:rPr>
          <w:rFonts w:ascii="Century" w:hAnsi="Century" w:hint="cs"/>
          <w:sz w:val="22"/>
          <w:rtl/>
        </w:rPr>
        <w:t xml:space="preserve">עניין </w:t>
      </w:r>
      <w:proofErr w:type="spellStart"/>
      <w:r w:rsidRPr="0061571B">
        <w:rPr>
          <w:rFonts w:ascii="Century" w:hAnsi="Century" w:cs="Miriam" w:hint="cs"/>
          <w:b/>
          <w:spacing w:val="0"/>
          <w:sz w:val="22"/>
          <w:szCs w:val="24"/>
          <w:rtl/>
        </w:rPr>
        <w:t>טוונטי</w:t>
      </w:r>
      <w:proofErr w:type="spellEnd"/>
      <w:r w:rsidRPr="0061571B">
        <w:rPr>
          <w:rFonts w:ascii="Century" w:hAnsi="Century" w:cs="Miriam" w:hint="cs"/>
          <w:b/>
          <w:spacing w:val="0"/>
          <w:sz w:val="22"/>
          <w:szCs w:val="24"/>
          <w:rtl/>
        </w:rPr>
        <w:t xml:space="preserve"> </w:t>
      </w:r>
      <w:proofErr w:type="spellStart"/>
      <w:r w:rsidRPr="0061571B">
        <w:rPr>
          <w:rFonts w:ascii="Century" w:hAnsi="Century" w:cs="Miriam" w:hint="cs"/>
          <w:b/>
          <w:spacing w:val="0"/>
          <w:sz w:val="22"/>
          <w:szCs w:val="24"/>
          <w:rtl/>
        </w:rPr>
        <w:t>האנדרד</w:t>
      </w:r>
      <w:proofErr w:type="spellEnd"/>
      <w:r>
        <w:rPr>
          <w:rFonts w:ascii="Century" w:hAnsi="Century" w:hint="cs"/>
          <w:sz w:val="22"/>
          <w:rtl/>
        </w:rPr>
        <w:t xml:space="preserve">, פסקה 36 לפסק דיני והאסמכתאות שם; </w:t>
      </w:r>
      <w:r w:rsidRPr="003A0B47">
        <w:rPr>
          <w:rFonts w:ascii="Arial TUR" w:hAnsi="Arial TUR"/>
          <w:rtl/>
        </w:rPr>
        <w:t xml:space="preserve">ע"א 1839/19 </w:t>
      </w:r>
      <w:r w:rsidRPr="003A0B47">
        <w:rPr>
          <w:rFonts w:ascii="Century" w:hAnsi="Century" w:cs="Miriam"/>
          <w:b/>
          <w:spacing w:val="0"/>
          <w:sz w:val="22"/>
          <w:szCs w:val="24"/>
          <w:rtl/>
        </w:rPr>
        <w:t xml:space="preserve">פקיד שומה כפר סבא נ' </w:t>
      </w:r>
      <w:proofErr w:type="spellStart"/>
      <w:r w:rsidRPr="003A0B47">
        <w:rPr>
          <w:rFonts w:ascii="Century" w:hAnsi="Century" w:cs="Miriam"/>
          <w:b/>
          <w:spacing w:val="0"/>
          <w:sz w:val="22"/>
          <w:szCs w:val="24"/>
          <w:rtl/>
        </w:rPr>
        <w:t>ריזמן</w:t>
      </w:r>
      <w:proofErr w:type="spellEnd"/>
      <w:r>
        <w:rPr>
          <w:rFonts w:ascii="Arial TUR" w:hAnsi="Arial TUR" w:hint="cs"/>
          <w:rtl/>
        </w:rPr>
        <w:t xml:space="preserve">, פסקה 37 לפסק דיני </w:t>
      </w:r>
      <w:r w:rsidRPr="003A0B47">
        <w:rPr>
          <w:rFonts w:ascii="Arial TUR" w:hAnsi="Arial TUR"/>
          <w:rtl/>
        </w:rPr>
        <w:t>(‏14.6.2021)</w:t>
      </w:r>
      <w:r>
        <w:rPr>
          <w:rFonts w:ascii="Arial TUR" w:hAnsi="Arial TUR" w:hint="cs"/>
          <w:rtl/>
        </w:rPr>
        <w:t xml:space="preserve"> (להלן: עניין </w:t>
      </w:r>
      <w:proofErr w:type="spellStart"/>
      <w:r w:rsidRPr="00041E5E">
        <w:rPr>
          <w:rFonts w:ascii="Century" w:hAnsi="Century" w:cs="Miriam" w:hint="eastAsia"/>
          <w:b/>
          <w:spacing w:val="0"/>
          <w:sz w:val="22"/>
          <w:szCs w:val="24"/>
          <w:rtl/>
        </w:rPr>
        <w:t>ריזמן</w:t>
      </w:r>
      <w:proofErr w:type="spellEnd"/>
      <w:r>
        <w:rPr>
          <w:rFonts w:ascii="Arial TUR" w:hAnsi="Arial TUR" w:hint="cs"/>
          <w:rtl/>
        </w:rPr>
        <w:t>);</w:t>
      </w:r>
      <w:r>
        <w:rPr>
          <w:rFonts w:ascii="Century" w:hAnsi="Century" w:hint="cs"/>
          <w:sz w:val="22"/>
          <w:rtl/>
        </w:rPr>
        <w:t xml:space="preserve"> </w:t>
      </w:r>
      <w:proofErr w:type="spellStart"/>
      <w:r w:rsidRPr="00041E5E">
        <w:rPr>
          <w:rFonts w:ascii="Century" w:hAnsi="Century" w:cs="Miriam" w:hint="eastAsia"/>
          <w:b/>
          <w:spacing w:val="0"/>
          <w:sz w:val="22"/>
          <w:szCs w:val="24"/>
          <w:rtl/>
        </w:rPr>
        <w:t>אדרעי</w:t>
      </w:r>
      <w:proofErr w:type="spellEnd"/>
      <w:r>
        <w:rPr>
          <w:rFonts w:ascii="Century" w:hAnsi="Century" w:hint="cs"/>
          <w:sz w:val="22"/>
          <w:rtl/>
        </w:rPr>
        <w:t>, עמ' 327-326)</w:t>
      </w:r>
      <w:r w:rsidRPr="0061571B">
        <w:rPr>
          <w:rFonts w:ascii="Century" w:hAnsi="Century" w:hint="cs"/>
          <w:sz w:val="22"/>
          <w:rtl/>
        </w:rPr>
        <w:t>.</w:t>
      </w:r>
    </w:p>
    <w:p w:rsidR="00F05533" w:rsidRPr="00A05C60" w:rsidRDefault="00F05533" w:rsidP="00F05533">
      <w:pPr>
        <w:pStyle w:val="Ruller41"/>
      </w:pPr>
    </w:p>
    <w:p w:rsidR="00F05533" w:rsidRPr="00F93A01" w:rsidRDefault="00F05533" w:rsidP="00F05533">
      <w:pPr>
        <w:pStyle w:val="Ruller4"/>
        <w:rPr>
          <w:rFonts w:ascii="Century" w:hAnsi="Century"/>
          <w:sz w:val="22"/>
        </w:rPr>
      </w:pPr>
      <w:r>
        <w:rPr>
          <w:rFonts w:ascii="Century" w:hAnsi="Century" w:hint="cs"/>
          <w:sz w:val="22"/>
          <w:rtl/>
        </w:rPr>
        <w:t xml:space="preserve">כתוצאה מהבחירה ב"כללים", דיני המס שלנו סובלים מהכללת יתר ומהכללת חסר כאחד. דוגמא בולטת וחשובה להכללת יתר מצויה בהגדרתו הרחבה של "הפסד בעסק או במשלח יד" שהיה לנישום בשנת מס </w:t>
      </w:r>
      <w:proofErr w:type="spellStart"/>
      <w:r>
        <w:rPr>
          <w:rFonts w:ascii="Century" w:hAnsi="Century" w:hint="cs"/>
          <w:sz w:val="22"/>
          <w:rtl/>
        </w:rPr>
        <w:t>מסויימת</w:t>
      </w:r>
      <w:proofErr w:type="spellEnd"/>
      <w:r>
        <w:rPr>
          <w:rFonts w:ascii="Century" w:hAnsi="Century" w:hint="cs"/>
          <w:sz w:val="22"/>
          <w:rtl/>
        </w:rPr>
        <w:t xml:space="preserve"> </w:t>
      </w:r>
      <w:r>
        <w:rPr>
          <w:rFonts w:ascii="Century" w:hAnsi="Century"/>
          <w:sz w:val="22"/>
          <w:rtl/>
        </w:rPr>
        <w:t>–</w:t>
      </w:r>
      <w:r>
        <w:rPr>
          <w:rFonts w:ascii="Century" w:hAnsi="Century" w:hint="cs"/>
          <w:sz w:val="22"/>
          <w:rtl/>
        </w:rPr>
        <w:t xml:space="preserve"> </w:t>
      </w:r>
      <w:r w:rsidRPr="00F93A01">
        <w:rPr>
          <w:rFonts w:ascii="Century" w:hAnsi="Century" w:hint="cs"/>
          <w:sz w:val="22"/>
          <w:rtl/>
        </w:rPr>
        <w:t xml:space="preserve">שנה לא טובה מהבחינה העסקית </w:t>
      </w:r>
      <w:r w:rsidRPr="00F93A01">
        <w:rPr>
          <w:rFonts w:ascii="Century" w:hAnsi="Century"/>
          <w:sz w:val="22"/>
          <w:rtl/>
        </w:rPr>
        <w:t>–</w:t>
      </w:r>
      <w:r w:rsidRPr="00F93A01">
        <w:rPr>
          <w:rFonts w:ascii="Century" w:hAnsi="Century" w:hint="cs"/>
          <w:sz w:val="22"/>
          <w:rtl/>
        </w:rPr>
        <w:t xml:space="preserve"> ושאותו זכאי הנישום לקזז כנגד הכנסותיו בשנים שאחריה, שהיו טובות יותר </w:t>
      </w:r>
      <w:r w:rsidRPr="00F93A01">
        <w:rPr>
          <w:rFonts w:ascii="Century" w:hAnsi="Century" w:hint="cs"/>
          <w:sz w:val="22"/>
          <w:rtl/>
        </w:rPr>
        <w:lastRenderedPageBreak/>
        <w:t xml:space="preserve">מבחינת עסקיו (ראו: סעיף 28 לפקודת מס הכנסה). הגדרה </w:t>
      </w:r>
      <w:r>
        <w:rPr>
          <w:rFonts w:ascii="Century" w:hAnsi="Century" w:hint="cs"/>
          <w:sz w:val="22"/>
          <w:rtl/>
        </w:rPr>
        <w:t xml:space="preserve">רחבה </w:t>
      </w:r>
      <w:r w:rsidRPr="00F93A01">
        <w:rPr>
          <w:rFonts w:ascii="Century" w:hAnsi="Century" w:hint="cs"/>
          <w:sz w:val="22"/>
          <w:rtl/>
        </w:rPr>
        <w:t>זו פתחה פתח לרכישת עסקים כושלים</w:t>
      </w:r>
      <w:r>
        <w:rPr>
          <w:rFonts w:ascii="Century" w:hAnsi="Century" w:hint="cs"/>
          <w:sz w:val="22"/>
          <w:rtl/>
        </w:rPr>
        <w:t>,</w:t>
      </w:r>
      <w:r w:rsidRPr="00F93A01">
        <w:rPr>
          <w:rFonts w:ascii="Century" w:hAnsi="Century" w:hint="cs"/>
          <w:sz w:val="22"/>
          <w:rtl/>
        </w:rPr>
        <w:t xml:space="preserve"> אשר </w:t>
      </w:r>
      <w:r>
        <w:rPr>
          <w:rFonts w:ascii="Century" w:hAnsi="Century" w:hint="cs"/>
          <w:sz w:val="22"/>
          <w:rtl/>
        </w:rPr>
        <w:t>צברו הפסדים,</w:t>
      </w:r>
      <w:r w:rsidRPr="00F93A01">
        <w:rPr>
          <w:rFonts w:ascii="Century" w:hAnsi="Century" w:hint="cs"/>
          <w:sz w:val="22"/>
          <w:rtl/>
        </w:rPr>
        <w:t xml:space="preserve"> </w:t>
      </w:r>
      <w:r>
        <w:rPr>
          <w:rFonts w:ascii="Century" w:hAnsi="Century" w:hint="cs"/>
          <w:sz w:val="22"/>
          <w:rtl/>
        </w:rPr>
        <w:t xml:space="preserve">כאשר </w:t>
      </w:r>
      <w:r w:rsidRPr="00F93A01">
        <w:rPr>
          <w:rFonts w:ascii="Century" w:hAnsi="Century" w:hint="cs"/>
          <w:sz w:val="22"/>
          <w:rtl/>
        </w:rPr>
        <w:t>מטר</w:t>
      </w:r>
      <w:r>
        <w:rPr>
          <w:rFonts w:ascii="Century" w:hAnsi="Century" w:hint="cs"/>
          <w:sz w:val="22"/>
          <w:rtl/>
        </w:rPr>
        <w:t xml:space="preserve">ותיה אינן כוללות </w:t>
      </w:r>
      <w:r w:rsidRPr="00F93A01">
        <w:rPr>
          <w:rFonts w:ascii="Century" w:hAnsi="Century" w:hint="cs"/>
          <w:sz w:val="22"/>
          <w:rtl/>
        </w:rPr>
        <w:t>הבראת העסק הכושל אלא קניית הפסדים לשם הפחתת החבות במס, ו</w:t>
      </w:r>
      <w:r>
        <w:rPr>
          <w:rFonts w:ascii="Century" w:hAnsi="Century" w:hint="cs"/>
          <w:sz w:val="22"/>
          <w:rtl/>
        </w:rPr>
        <w:t>ת</w:t>
      </w:r>
      <w:r w:rsidRPr="00F93A01">
        <w:rPr>
          <w:rFonts w:ascii="Century" w:hAnsi="Century" w:hint="cs"/>
          <w:sz w:val="22"/>
          <w:rtl/>
        </w:rPr>
        <w:t xml:space="preserve">ו לא (ראו, למשל: </w:t>
      </w:r>
      <w:r w:rsidRPr="00F93A01">
        <w:rPr>
          <w:rFonts w:ascii="Century" w:hAnsi="Century" w:hint="eastAsia"/>
          <w:sz w:val="22"/>
          <w:rtl/>
        </w:rPr>
        <w:t>ע</w:t>
      </w:r>
      <w:r w:rsidRPr="00F93A01">
        <w:rPr>
          <w:rFonts w:ascii="Century" w:hAnsi="Century"/>
          <w:sz w:val="22"/>
          <w:rtl/>
        </w:rPr>
        <w:t>"</w:t>
      </w:r>
      <w:r w:rsidRPr="00F93A01">
        <w:rPr>
          <w:rFonts w:ascii="Century" w:hAnsi="Century" w:hint="eastAsia"/>
          <w:sz w:val="22"/>
          <w:rtl/>
        </w:rPr>
        <w:t>א</w:t>
      </w:r>
      <w:r w:rsidRPr="00F93A01">
        <w:rPr>
          <w:rFonts w:ascii="Century" w:hAnsi="Century"/>
          <w:sz w:val="22"/>
          <w:rtl/>
        </w:rPr>
        <w:t xml:space="preserve"> 265/67 </w:t>
      </w:r>
      <w:r w:rsidRPr="00F93A01">
        <w:rPr>
          <w:rFonts w:ascii="Century" w:hAnsi="Century" w:cs="Miriam" w:hint="eastAsia"/>
          <w:b/>
          <w:spacing w:val="0"/>
          <w:sz w:val="22"/>
          <w:szCs w:val="24"/>
          <w:rtl/>
        </w:rPr>
        <w:t>מפי</w:t>
      </w:r>
      <w:r w:rsidRPr="00F93A01">
        <w:rPr>
          <w:rFonts w:ascii="Century" w:hAnsi="Century" w:cs="Miriam"/>
          <w:b/>
          <w:spacing w:val="0"/>
          <w:sz w:val="22"/>
          <w:szCs w:val="24"/>
          <w:rtl/>
        </w:rPr>
        <w:t xml:space="preserve"> </w:t>
      </w:r>
      <w:r w:rsidRPr="00F93A01">
        <w:rPr>
          <w:rFonts w:ascii="Century" w:hAnsi="Century" w:cs="Miriam" w:hint="eastAsia"/>
          <w:b/>
          <w:spacing w:val="0"/>
          <w:sz w:val="22"/>
          <w:szCs w:val="24"/>
          <w:rtl/>
        </w:rPr>
        <w:t>בע</w:t>
      </w:r>
      <w:r w:rsidRPr="00F93A01">
        <w:rPr>
          <w:rFonts w:ascii="Century" w:hAnsi="Century" w:cs="Miriam"/>
          <w:b/>
          <w:spacing w:val="0"/>
          <w:sz w:val="22"/>
          <w:szCs w:val="24"/>
          <w:rtl/>
        </w:rPr>
        <w:t>"</w:t>
      </w:r>
      <w:r w:rsidRPr="00F93A01">
        <w:rPr>
          <w:rFonts w:ascii="Century" w:hAnsi="Century" w:cs="Miriam" w:hint="eastAsia"/>
          <w:b/>
          <w:spacing w:val="0"/>
          <w:sz w:val="22"/>
          <w:szCs w:val="24"/>
          <w:rtl/>
        </w:rPr>
        <w:t>מ</w:t>
      </w:r>
      <w:r w:rsidRPr="00F93A01">
        <w:rPr>
          <w:rFonts w:ascii="Century" w:hAnsi="Century" w:cs="Miriam"/>
          <w:b/>
          <w:spacing w:val="0"/>
          <w:sz w:val="22"/>
          <w:szCs w:val="24"/>
          <w:rtl/>
        </w:rPr>
        <w:t xml:space="preserve"> </w:t>
      </w:r>
      <w:r w:rsidRPr="00F93A01">
        <w:rPr>
          <w:rFonts w:ascii="Century" w:hAnsi="Century" w:cs="Miriam" w:hint="eastAsia"/>
          <w:b/>
          <w:spacing w:val="0"/>
          <w:sz w:val="22"/>
          <w:szCs w:val="24"/>
          <w:rtl/>
        </w:rPr>
        <w:t>נ</w:t>
      </w:r>
      <w:r w:rsidRPr="00F93A01">
        <w:rPr>
          <w:rFonts w:ascii="Century" w:hAnsi="Century" w:cs="Miriam"/>
          <w:b/>
          <w:spacing w:val="0"/>
          <w:sz w:val="22"/>
          <w:szCs w:val="24"/>
          <w:rtl/>
        </w:rPr>
        <w:t xml:space="preserve">' </w:t>
      </w:r>
      <w:r w:rsidRPr="00F93A01">
        <w:rPr>
          <w:rFonts w:ascii="Century" w:hAnsi="Century" w:cs="Miriam" w:hint="eastAsia"/>
          <w:b/>
          <w:spacing w:val="0"/>
          <w:sz w:val="22"/>
          <w:szCs w:val="24"/>
          <w:rtl/>
        </w:rPr>
        <w:t>פקיד</w:t>
      </w:r>
      <w:r w:rsidRPr="00F93A01">
        <w:rPr>
          <w:rFonts w:ascii="Century" w:hAnsi="Century" w:cs="Miriam"/>
          <w:b/>
          <w:spacing w:val="0"/>
          <w:sz w:val="22"/>
          <w:szCs w:val="24"/>
          <w:rtl/>
        </w:rPr>
        <w:t xml:space="preserve"> </w:t>
      </w:r>
      <w:r w:rsidRPr="00F93A01">
        <w:rPr>
          <w:rFonts w:ascii="Century" w:hAnsi="Century" w:cs="Miriam" w:hint="eastAsia"/>
          <w:b/>
          <w:spacing w:val="0"/>
          <w:sz w:val="22"/>
          <w:szCs w:val="24"/>
          <w:rtl/>
        </w:rPr>
        <w:t>שומה</w:t>
      </w:r>
      <w:r w:rsidRPr="00F93A01">
        <w:rPr>
          <w:rFonts w:ascii="Century" w:hAnsi="Century" w:cs="Miriam"/>
          <w:b/>
          <w:spacing w:val="0"/>
          <w:sz w:val="22"/>
          <w:szCs w:val="24"/>
          <w:rtl/>
        </w:rPr>
        <w:t xml:space="preserve"> </w:t>
      </w:r>
      <w:r w:rsidRPr="00F93A01">
        <w:rPr>
          <w:rFonts w:ascii="Century" w:hAnsi="Century" w:cs="Miriam" w:hint="eastAsia"/>
          <w:b/>
          <w:spacing w:val="0"/>
          <w:sz w:val="22"/>
          <w:szCs w:val="24"/>
          <w:rtl/>
        </w:rPr>
        <w:t>למפעלים</w:t>
      </w:r>
      <w:r w:rsidRPr="00F93A01">
        <w:rPr>
          <w:rFonts w:ascii="Century" w:hAnsi="Century" w:cs="Miriam"/>
          <w:b/>
          <w:spacing w:val="0"/>
          <w:sz w:val="22"/>
          <w:szCs w:val="24"/>
          <w:rtl/>
        </w:rPr>
        <w:t xml:space="preserve"> </w:t>
      </w:r>
      <w:r w:rsidRPr="00F93A01">
        <w:rPr>
          <w:rFonts w:ascii="Century" w:hAnsi="Century" w:cs="Miriam" w:hint="eastAsia"/>
          <w:b/>
          <w:spacing w:val="0"/>
          <w:sz w:val="22"/>
          <w:szCs w:val="24"/>
          <w:rtl/>
        </w:rPr>
        <w:t>גדולים</w:t>
      </w:r>
      <w:r w:rsidRPr="00F93A01">
        <w:rPr>
          <w:rFonts w:ascii="Century" w:hAnsi="Century"/>
          <w:sz w:val="22"/>
          <w:rtl/>
        </w:rPr>
        <w:t xml:space="preserve">, </w:t>
      </w:r>
      <w:r w:rsidRPr="00F93A01">
        <w:rPr>
          <w:rFonts w:ascii="Century" w:hAnsi="Century" w:hint="eastAsia"/>
          <w:sz w:val="22"/>
          <w:rtl/>
        </w:rPr>
        <w:t>פ</w:t>
      </w:r>
      <w:r w:rsidRPr="00F93A01">
        <w:rPr>
          <w:rFonts w:ascii="Century" w:hAnsi="Century"/>
          <w:sz w:val="22"/>
          <w:rtl/>
        </w:rPr>
        <w:t>"</w:t>
      </w:r>
      <w:r w:rsidRPr="00F93A01">
        <w:rPr>
          <w:rFonts w:ascii="Century" w:hAnsi="Century" w:hint="eastAsia"/>
          <w:sz w:val="22"/>
          <w:rtl/>
        </w:rPr>
        <w:t>ד</w:t>
      </w:r>
      <w:r w:rsidRPr="00F93A01">
        <w:rPr>
          <w:rFonts w:ascii="Century" w:hAnsi="Century"/>
          <w:sz w:val="22"/>
          <w:rtl/>
        </w:rPr>
        <w:t xml:space="preserve"> </w:t>
      </w:r>
      <w:proofErr w:type="spellStart"/>
      <w:r w:rsidRPr="00F93A01">
        <w:rPr>
          <w:rFonts w:ascii="Century" w:hAnsi="Century" w:hint="eastAsia"/>
          <w:sz w:val="22"/>
          <w:rtl/>
        </w:rPr>
        <w:t>כא</w:t>
      </w:r>
      <w:proofErr w:type="spellEnd"/>
      <w:r w:rsidRPr="00F93A01">
        <w:rPr>
          <w:rFonts w:ascii="Century" w:hAnsi="Century"/>
          <w:sz w:val="22"/>
          <w:rtl/>
        </w:rPr>
        <w:t>(2) 593</w:t>
      </w:r>
      <w:r w:rsidRPr="00F93A01">
        <w:rPr>
          <w:rFonts w:ascii="Century" w:hAnsi="Century" w:hint="cs"/>
          <w:sz w:val="22"/>
          <w:rtl/>
        </w:rPr>
        <w:t xml:space="preserve"> (1967) (להלן: עניין </w:t>
      </w:r>
      <w:r w:rsidRPr="00F93A01">
        <w:rPr>
          <w:rFonts w:ascii="Century" w:hAnsi="Century" w:cs="Miriam" w:hint="cs"/>
          <w:b/>
          <w:spacing w:val="0"/>
          <w:sz w:val="22"/>
          <w:szCs w:val="24"/>
          <w:rtl/>
        </w:rPr>
        <w:t>מפי</w:t>
      </w:r>
      <w:r w:rsidRPr="00F93A01">
        <w:rPr>
          <w:rFonts w:ascii="Century" w:hAnsi="Century" w:hint="cs"/>
          <w:sz w:val="22"/>
          <w:rtl/>
        </w:rPr>
        <w:t xml:space="preserve">); </w:t>
      </w:r>
      <w:r w:rsidRPr="00F93A01">
        <w:rPr>
          <w:rFonts w:ascii="Arial TUR" w:hAnsi="Arial TUR" w:hint="cs"/>
          <w:sz w:val="22"/>
          <w:rtl/>
        </w:rPr>
        <w:t xml:space="preserve">וכן </w:t>
      </w:r>
      <w:r>
        <w:rPr>
          <w:rFonts w:ascii="Arial TUR" w:hAnsi="Arial TUR" w:hint="cs"/>
          <w:sz w:val="22"/>
          <w:rtl/>
        </w:rPr>
        <w:t xml:space="preserve">עניין </w:t>
      </w:r>
      <w:r w:rsidRPr="00F93A01">
        <w:rPr>
          <w:rFonts w:ascii="Century" w:hAnsi="Century" w:cs="Miriam"/>
          <w:b/>
          <w:spacing w:val="0"/>
          <w:sz w:val="22"/>
          <w:szCs w:val="24"/>
          <w:rtl/>
        </w:rPr>
        <w:t>רובינשטיין</w:t>
      </w:r>
      <w:r w:rsidRPr="00F93A01">
        <w:rPr>
          <w:rFonts w:ascii="Arial TUR" w:hAnsi="Arial TUR" w:hint="cs"/>
          <w:sz w:val="22"/>
          <w:rtl/>
        </w:rPr>
        <w:t xml:space="preserve">). </w:t>
      </w:r>
      <w:r w:rsidRPr="00F93A01">
        <w:rPr>
          <w:rFonts w:ascii="Century" w:hAnsi="Century" w:hint="cs"/>
          <w:sz w:val="22"/>
          <w:rtl/>
        </w:rPr>
        <w:t>דוגמא להכללת חסר, הקרובה לענייננו-שלנו, מצויה בגבולותיהם הצרים של המושגים "דיבידנד" ו"דיבידנד רעיוני" אשר משמשים בהגדרת החבות במס של מקבלי "דיבידנד" (ראו, בין היתר: סעיפים 77, 78 וכן פרק רביעי 1 לפקודת מס הכנסה). התייחסות הפקודה ל"דיבידנד"</w:t>
      </w:r>
      <w:r>
        <w:rPr>
          <w:rFonts w:ascii="Century" w:hAnsi="Century" w:hint="cs"/>
          <w:sz w:val="22"/>
          <w:rtl/>
        </w:rPr>
        <w:t xml:space="preserve"> </w:t>
      </w:r>
      <w:r w:rsidRPr="00F93A01">
        <w:rPr>
          <w:rFonts w:ascii="Century" w:hAnsi="Century" w:hint="cs"/>
          <w:sz w:val="22"/>
          <w:rtl/>
        </w:rPr>
        <w:t xml:space="preserve">אינה </w:t>
      </w:r>
      <w:r>
        <w:rPr>
          <w:rFonts w:ascii="Century" w:hAnsi="Century" w:hint="cs"/>
          <w:sz w:val="22"/>
          <w:rtl/>
        </w:rPr>
        <w:t xml:space="preserve">כוללת בתוכה </w:t>
      </w:r>
      <w:r w:rsidRPr="00F93A01">
        <w:rPr>
          <w:rFonts w:ascii="Century" w:hAnsi="Century" w:hint="cs"/>
          <w:sz w:val="22"/>
          <w:rtl/>
        </w:rPr>
        <w:t xml:space="preserve">את יתרון </w:t>
      </w:r>
      <w:r>
        <w:rPr>
          <w:rFonts w:ascii="Century" w:hAnsi="Century" w:hint="cs"/>
          <w:sz w:val="22"/>
          <w:rtl/>
        </w:rPr>
        <w:t xml:space="preserve">השליטה </w:t>
      </w:r>
      <w:r w:rsidRPr="00F93A01">
        <w:rPr>
          <w:rFonts w:ascii="Century" w:hAnsi="Century" w:hint="cs"/>
          <w:sz w:val="22"/>
          <w:rtl/>
        </w:rPr>
        <w:t xml:space="preserve">אשר מופק על ידי בעלי המניות בחברה </w:t>
      </w:r>
      <w:proofErr w:type="spellStart"/>
      <w:r w:rsidRPr="00F93A01">
        <w:rPr>
          <w:rFonts w:ascii="Century" w:hAnsi="Century" w:hint="cs"/>
          <w:sz w:val="22"/>
          <w:rtl/>
        </w:rPr>
        <w:t>שהחזקותיהם</w:t>
      </w:r>
      <w:proofErr w:type="spellEnd"/>
      <w:r w:rsidRPr="00F93A01">
        <w:rPr>
          <w:rFonts w:ascii="Century" w:hAnsi="Century" w:hint="cs"/>
          <w:sz w:val="22"/>
          <w:rtl/>
        </w:rPr>
        <w:t xml:space="preserve"> </w:t>
      </w:r>
      <w:r>
        <w:rPr>
          <w:rFonts w:ascii="Century" w:hAnsi="Century" w:hint="cs"/>
          <w:sz w:val="22"/>
          <w:rtl/>
        </w:rPr>
        <w:t xml:space="preserve">עולות </w:t>
      </w:r>
      <w:r w:rsidRPr="00F93A01">
        <w:rPr>
          <w:rFonts w:ascii="Century" w:hAnsi="Century" w:hint="cs"/>
          <w:sz w:val="22"/>
          <w:rtl/>
        </w:rPr>
        <w:t>בעקבות רכישה עצמית דיספרופורציונית. כללי הפקודה שעניינם מיסוי דיבידנד סובלים</w:t>
      </w:r>
      <w:r>
        <w:rPr>
          <w:rFonts w:ascii="Century" w:hAnsi="Century" w:hint="cs"/>
          <w:sz w:val="22"/>
          <w:rtl/>
        </w:rPr>
        <w:t>,</w:t>
      </w:r>
      <w:r w:rsidRPr="00F93A01">
        <w:rPr>
          <w:rFonts w:ascii="Century" w:hAnsi="Century" w:hint="cs"/>
          <w:sz w:val="22"/>
          <w:rtl/>
        </w:rPr>
        <w:t xml:space="preserve"> אפוא</w:t>
      </w:r>
      <w:r>
        <w:rPr>
          <w:rFonts w:ascii="Century" w:hAnsi="Century" w:hint="cs"/>
          <w:sz w:val="22"/>
          <w:rtl/>
        </w:rPr>
        <w:t>,</w:t>
      </w:r>
      <w:r w:rsidRPr="00F93A01">
        <w:rPr>
          <w:rFonts w:ascii="Century" w:hAnsi="Century" w:hint="cs"/>
          <w:sz w:val="22"/>
          <w:rtl/>
        </w:rPr>
        <w:t xml:space="preserve"> מהכללת חסר. ממסקנה זו לא </w:t>
      </w:r>
      <w:r>
        <w:rPr>
          <w:rFonts w:ascii="Century" w:hAnsi="Century" w:hint="cs"/>
          <w:sz w:val="22"/>
          <w:rtl/>
        </w:rPr>
        <w:t>ניתן</w:t>
      </w:r>
      <w:r w:rsidRPr="00F93A01">
        <w:rPr>
          <w:rFonts w:ascii="Century" w:hAnsi="Century" w:hint="cs"/>
          <w:sz w:val="22"/>
          <w:rtl/>
        </w:rPr>
        <w:t xml:space="preserve"> להימלט אחרי שידענו כי מהותה הכלכלית של רכישה עצמית דיספרופורציונית</w:t>
      </w:r>
      <w:r>
        <w:rPr>
          <w:rFonts w:ascii="Century" w:hAnsi="Century" w:hint="cs"/>
          <w:sz w:val="22"/>
          <w:rtl/>
        </w:rPr>
        <w:t>,</w:t>
      </w:r>
      <w:r w:rsidRPr="00F93A01">
        <w:rPr>
          <w:rFonts w:ascii="Century" w:hAnsi="Century" w:hint="cs"/>
          <w:sz w:val="22"/>
          <w:rtl/>
        </w:rPr>
        <w:t xml:space="preserve"> </w:t>
      </w:r>
      <w:r>
        <w:rPr>
          <w:rFonts w:ascii="Century" w:hAnsi="Century" w:hint="cs"/>
          <w:sz w:val="22"/>
          <w:rtl/>
        </w:rPr>
        <w:t xml:space="preserve">אשר מתבצעת במתווה אשר תואר לעיל </w:t>
      </w:r>
      <w:r w:rsidRPr="00F93A01">
        <w:rPr>
          <w:rFonts w:ascii="Century" w:hAnsi="Century" w:cs="Miriam" w:hint="cs"/>
          <w:b/>
          <w:spacing w:val="0"/>
          <w:sz w:val="22"/>
          <w:szCs w:val="24"/>
          <w:rtl/>
        </w:rPr>
        <w:t>בדוגמאות א' ו-ב'</w:t>
      </w:r>
      <w:r w:rsidRPr="00AF2980">
        <w:rPr>
          <w:rFonts w:ascii="Century" w:hAnsi="Century" w:hint="cs"/>
          <w:sz w:val="22"/>
          <w:rtl/>
        </w:rPr>
        <w:t xml:space="preserve">, </w:t>
      </w:r>
      <w:r w:rsidRPr="00F93A01">
        <w:rPr>
          <w:rFonts w:ascii="Century" w:hAnsi="Century" w:hint="cs"/>
          <w:sz w:val="22"/>
          <w:rtl/>
        </w:rPr>
        <w:t>אינה אלא חלוקת דיבידנד לבעלי המניות הנותרים</w:t>
      </w:r>
      <w:r>
        <w:rPr>
          <w:rFonts w:ascii="Century" w:hAnsi="Century" w:hint="cs"/>
          <w:sz w:val="22"/>
          <w:rtl/>
        </w:rPr>
        <w:t xml:space="preserve"> בחברה.</w:t>
      </w:r>
    </w:p>
    <w:p w:rsidR="00F05533" w:rsidRPr="00662DF9" w:rsidRDefault="00F05533" w:rsidP="00F05533">
      <w:pPr>
        <w:pStyle w:val="Ruller41"/>
      </w:pPr>
    </w:p>
    <w:p w:rsidR="00F05533" w:rsidRPr="00A25162" w:rsidRDefault="00F05533" w:rsidP="00F05533">
      <w:pPr>
        <w:pStyle w:val="Ruller4"/>
        <w:rPr>
          <w:rFonts w:ascii="Century" w:hAnsi="Century"/>
          <w:sz w:val="22"/>
        </w:rPr>
      </w:pPr>
      <w:r>
        <w:rPr>
          <w:rFonts w:hint="cs"/>
          <w:rtl/>
        </w:rPr>
        <w:t xml:space="preserve">מעצביהם של דיני המס מודעים היטב לבעיה המובנית של הכללת יתר והכללת חסר, אשר נובעת מבחירתם ב"כללים" ומקיומם של </w:t>
      </w:r>
      <w:r w:rsidRPr="00F31403">
        <w:rPr>
          <w:rFonts w:hint="cs"/>
          <w:rtl/>
        </w:rPr>
        <w:t xml:space="preserve">"סטנדרטים" </w:t>
      </w:r>
      <w:r>
        <w:rPr>
          <w:rtl/>
        </w:rPr>
        <w:t>–</w:t>
      </w:r>
      <w:r>
        <w:rPr>
          <w:rFonts w:hint="cs"/>
          <w:rtl/>
        </w:rPr>
        <w:t xml:space="preserve"> דוגמת זה שעניינו "הוצאות למטרת הכנסה" אשר מותרות </w:t>
      </w:r>
      <w:r w:rsidRPr="00184230">
        <w:rPr>
          <w:rFonts w:hint="cs"/>
          <w:rtl/>
        </w:rPr>
        <w:t xml:space="preserve">בניכוי </w:t>
      </w:r>
      <w:r w:rsidRPr="00041E5E">
        <w:rPr>
          <w:rtl/>
        </w:rPr>
        <w:t>(</w:t>
      </w:r>
      <w:r w:rsidRPr="00041E5E">
        <w:rPr>
          <w:rFonts w:hint="eastAsia"/>
          <w:rtl/>
        </w:rPr>
        <w:t>ראו</w:t>
      </w:r>
      <w:r w:rsidRPr="00041E5E">
        <w:rPr>
          <w:rtl/>
        </w:rPr>
        <w:t xml:space="preserve">: </w:t>
      </w:r>
      <w:r w:rsidRPr="00041E5E">
        <w:rPr>
          <w:rFonts w:hint="eastAsia"/>
          <w:rtl/>
        </w:rPr>
        <w:t>סעיף</w:t>
      </w:r>
      <w:r w:rsidRPr="00041E5E">
        <w:rPr>
          <w:rtl/>
        </w:rPr>
        <w:t xml:space="preserve"> 17 </w:t>
      </w:r>
      <w:r w:rsidRPr="00041E5E">
        <w:rPr>
          <w:rFonts w:hint="eastAsia"/>
          <w:rtl/>
        </w:rPr>
        <w:t>לפקודת</w:t>
      </w:r>
      <w:r w:rsidRPr="00041E5E">
        <w:rPr>
          <w:rtl/>
        </w:rPr>
        <w:t xml:space="preserve"> </w:t>
      </w:r>
      <w:r w:rsidRPr="00041E5E">
        <w:rPr>
          <w:rFonts w:hint="eastAsia"/>
          <w:rtl/>
        </w:rPr>
        <w:t>מס</w:t>
      </w:r>
      <w:r w:rsidRPr="00041E5E">
        <w:rPr>
          <w:rtl/>
        </w:rPr>
        <w:t xml:space="preserve"> </w:t>
      </w:r>
      <w:r w:rsidRPr="00041E5E">
        <w:rPr>
          <w:rFonts w:hint="eastAsia"/>
          <w:rtl/>
        </w:rPr>
        <w:t>הכנסה</w:t>
      </w:r>
      <w:r w:rsidRPr="00041E5E">
        <w:rPr>
          <w:rtl/>
        </w:rPr>
        <w:t>)</w:t>
      </w:r>
      <w:r w:rsidRPr="00184230">
        <w:rPr>
          <w:rFonts w:hint="cs"/>
          <w:rtl/>
        </w:rPr>
        <w:t xml:space="preserve"> </w:t>
      </w:r>
      <w:r w:rsidRPr="00184230">
        <w:rPr>
          <w:rtl/>
        </w:rPr>
        <w:t>–</w:t>
      </w:r>
      <w:r>
        <w:rPr>
          <w:rFonts w:hint="cs"/>
          <w:rtl/>
        </w:rPr>
        <w:t xml:space="preserve"> נורמה </w:t>
      </w:r>
      <w:proofErr w:type="spellStart"/>
      <w:r>
        <w:rPr>
          <w:rFonts w:hint="cs"/>
          <w:rtl/>
        </w:rPr>
        <w:t>מיסוית</w:t>
      </w:r>
      <w:proofErr w:type="spellEnd"/>
      <w:r>
        <w:rPr>
          <w:rFonts w:hint="cs"/>
          <w:rtl/>
        </w:rPr>
        <w:t xml:space="preserve"> נדירה. מעצביהם של דיני המס מודעים היטב גם לאפשרות הנישומים לנצל בעיה זו לרעה על ידי בחירה במילים ובמשפטים מתאימים בכתיבתם של הסכמים ומסמכי עסקה אחרים. </w:t>
      </w:r>
      <w:r w:rsidRPr="0037117D">
        <w:rPr>
          <w:rFonts w:hint="cs"/>
          <w:rtl/>
        </w:rPr>
        <w:t xml:space="preserve">מתוך מודעות זו, ביקשו </w:t>
      </w:r>
      <w:r>
        <w:rPr>
          <w:rFonts w:hint="cs"/>
          <w:rtl/>
        </w:rPr>
        <w:t xml:space="preserve">מעצביהם של דיני המס </w:t>
      </w:r>
      <w:r w:rsidRPr="0037117D">
        <w:rPr>
          <w:rFonts w:hint="cs"/>
          <w:rtl/>
        </w:rPr>
        <w:t xml:space="preserve">לפתור את הבעיה על ידי הצבת כללים </w:t>
      </w:r>
      <w:r>
        <w:rPr>
          <w:rFonts w:hint="cs"/>
          <w:rtl/>
        </w:rPr>
        <w:t xml:space="preserve">אשר נועדו </w:t>
      </w:r>
      <w:r w:rsidRPr="0037117D">
        <w:rPr>
          <w:rFonts w:hint="cs"/>
          <w:rtl/>
        </w:rPr>
        <w:t xml:space="preserve">למנוע את ניצולן לרעה של הכללת </w:t>
      </w:r>
      <w:r>
        <w:rPr>
          <w:rFonts w:hint="cs"/>
          <w:rtl/>
        </w:rPr>
        <w:t>ה</w:t>
      </w:r>
      <w:r w:rsidRPr="0037117D">
        <w:rPr>
          <w:rFonts w:hint="cs"/>
          <w:rtl/>
        </w:rPr>
        <w:t xml:space="preserve">יתר ושל הכללת </w:t>
      </w:r>
      <w:r>
        <w:rPr>
          <w:rFonts w:hint="cs"/>
          <w:rtl/>
        </w:rPr>
        <w:t>ה</w:t>
      </w:r>
      <w:r w:rsidRPr="0037117D">
        <w:rPr>
          <w:rFonts w:hint="cs"/>
          <w:rtl/>
        </w:rPr>
        <w:t>חסר על ידי נישו</w:t>
      </w:r>
      <w:r>
        <w:rPr>
          <w:rFonts w:hint="cs"/>
          <w:rtl/>
        </w:rPr>
        <w:t xml:space="preserve">מים. כללים </w:t>
      </w:r>
      <w:r w:rsidRPr="0037117D">
        <w:rPr>
          <w:rFonts w:hint="cs"/>
          <w:rtl/>
        </w:rPr>
        <w:t xml:space="preserve">אלה </w:t>
      </w:r>
      <w:r>
        <w:rPr>
          <w:rtl/>
        </w:rPr>
        <w:t>–</w:t>
      </w:r>
      <w:r>
        <w:rPr>
          <w:rFonts w:hint="cs"/>
          <w:rtl/>
        </w:rPr>
        <w:t xml:space="preserve"> שניתן וראוי להתייחס אליהם כאל "כללי תיקון", כפי שאקרא להם בהמשך דבריי </w:t>
      </w:r>
      <w:r>
        <w:rPr>
          <w:rtl/>
        </w:rPr>
        <w:t>–</w:t>
      </w:r>
      <w:r>
        <w:rPr>
          <w:rFonts w:hint="cs"/>
          <w:rtl/>
        </w:rPr>
        <w:t xml:space="preserve"> </w:t>
      </w:r>
      <w:r w:rsidRPr="0037117D">
        <w:rPr>
          <w:rFonts w:hint="cs"/>
          <w:rtl/>
        </w:rPr>
        <w:t xml:space="preserve">כוללים, בראש ובראשונה, את </w:t>
      </w:r>
      <w:r w:rsidRPr="005E4A59">
        <w:rPr>
          <w:rFonts w:hint="cs"/>
          <w:rtl/>
        </w:rPr>
        <w:t xml:space="preserve">עיקרון </w:t>
      </w:r>
      <w:r>
        <w:rPr>
          <w:rFonts w:hint="cs"/>
          <w:rtl/>
        </w:rPr>
        <w:t>ה</w:t>
      </w:r>
      <w:r w:rsidRPr="005E4A59">
        <w:rPr>
          <w:rFonts w:hint="cs"/>
          <w:rtl/>
        </w:rPr>
        <w:t>מהות הכלכלית ו</w:t>
      </w:r>
      <w:r>
        <w:rPr>
          <w:rFonts w:hint="cs"/>
          <w:rtl/>
        </w:rPr>
        <w:t xml:space="preserve">את </w:t>
      </w:r>
      <w:r w:rsidRPr="005E4A59">
        <w:rPr>
          <w:rFonts w:hint="cs"/>
          <w:rtl/>
        </w:rPr>
        <w:t>כלל ההתעלמות מעסקה מלאכותית</w:t>
      </w:r>
      <w:r w:rsidRPr="0037117D">
        <w:rPr>
          <w:rFonts w:hint="cs"/>
          <w:rtl/>
        </w:rPr>
        <w:t xml:space="preserve">. </w:t>
      </w:r>
      <w:r>
        <w:rPr>
          <w:rFonts w:hint="cs"/>
          <w:rtl/>
        </w:rPr>
        <w:t xml:space="preserve">עיקרון המהות הכלכלית וכלל ההתעלמות מעסקה מלאכותית הם בגדר כללי תיקון באשר הם באים לסגור את הפער בין "כללים" ל"סטנדרטים" בדיני מיסים ולהתמודד עם המצבים בהם הנישום מנצל לרעה את היותם של כללים צרים מדי או רחבים מדי בהתחשב בתכליתם הפיסקלית. אוסיף ואציין כי כללי תיקון אלה פועלים לצדו של כלל הפרשנות התכליתית אשר חל בדיני המיסים בהתאם להלכת </w:t>
      </w:r>
      <w:r w:rsidRPr="00320B5F">
        <w:rPr>
          <w:rFonts w:ascii="Century" w:hAnsi="Century" w:cs="Miriam" w:hint="cs"/>
          <w:b/>
          <w:spacing w:val="0"/>
          <w:sz w:val="22"/>
          <w:szCs w:val="24"/>
          <w:rtl/>
        </w:rPr>
        <w:t>קיבוץ חצור</w:t>
      </w:r>
      <w:r>
        <w:rPr>
          <w:rFonts w:ascii="Century" w:hAnsi="Century" w:hint="cs"/>
          <w:sz w:val="22"/>
          <w:rtl/>
        </w:rPr>
        <w:t xml:space="preserve">, שאף הוא בא לגשר על הפער בין "כללים" ל"סטנדרטים" </w:t>
      </w:r>
      <w:r>
        <w:rPr>
          <w:rFonts w:hint="cs"/>
          <w:rtl/>
        </w:rPr>
        <w:t xml:space="preserve">(ראו: </w:t>
      </w:r>
      <w:r w:rsidRPr="00A25162">
        <w:rPr>
          <w:rFonts w:ascii="Century" w:hAnsi="Century" w:hint="eastAsia"/>
          <w:sz w:val="22"/>
          <w:rtl/>
        </w:rPr>
        <w:t>ע</w:t>
      </w:r>
      <w:r w:rsidRPr="00A25162">
        <w:rPr>
          <w:rFonts w:ascii="Century" w:hAnsi="Century"/>
          <w:sz w:val="22"/>
          <w:rtl/>
        </w:rPr>
        <w:t>"</w:t>
      </w:r>
      <w:r w:rsidRPr="00A25162">
        <w:rPr>
          <w:rFonts w:ascii="Century" w:hAnsi="Century" w:hint="eastAsia"/>
          <w:sz w:val="22"/>
          <w:rtl/>
        </w:rPr>
        <w:t>א</w:t>
      </w:r>
      <w:r w:rsidRPr="00A25162">
        <w:rPr>
          <w:rFonts w:ascii="Century" w:hAnsi="Century"/>
          <w:sz w:val="22"/>
          <w:rtl/>
        </w:rPr>
        <w:t xml:space="preserve"> 165/82 </w:t>
      </w:r>
      <w:r w:rsidRPr="00A25162">
        <w:rPr>
          <w:rFonts w:ascii="Century" w:hAnsi="Century" w:cs="Miriam" w:hint="eastAsia"/>
          <w:b/>
          <w:spacing w:val="0"/>
          <w:sz w:val="22"/>
          <w:szCs w:val="24"/>
          <w:rtl/>
        </w:rPr>
        <w:t>קיבוץ</w:t>
      </w:r>
      <w:r w:rsidRPr="00A25162">
        <w:rPr>
          <w:rFonts w:ascii="Century" w:hAnsi="Century" w:cs="Miriam"/>
          <w:b/>
          <w:spacing w:val="0"/>
          <w:sz w:val="22"/>
          <w:szCs w:val="24"/>
          <w:rtl/>
        </w:rPr>
        <w:t xml:space="preserve"> </w:t>
      </w:r>
      <w:r w:rsidRPr="00A25162">
        <w:rPr>
          <w:rFonts w:ascii="Century" w:hAnsi="Century" w:cs="Miriam" w:hint="eastAsia"/>
          <w:b/>
          <w:spacing w:val="0"/>
          <w:sz w:val="22"/>
          <w:szCs w:val="24"/>
          <w:rtl/>
        </w:rPr>
        <w:t>חצור</w:t>
      </w:r>
      <w:r w:rsidRPr="00A25162">
        <w:rPr>
          <w:rFonts w:ascii="Century" w:hAnsi="Century" w:cs="Miriam"/>
          <w:b/>
          <w:spacing w:val="0"/>
          <w:sz w:val="22"/>
          <w:szCs w:val="24"/>
          <w:rtl/>
        </w:rPr>
        <w:t xml:space="preserve"> </w:t>
      </w:r>
      <w:r w:rsidRPr="00A25162">
        <w:rPr>
          <w:rFonts w:ascii="Century" w:hAnsi="Century" w:cs="Miriam" w:hint="eastAsia"/>
          <w:b/>
          <w:spacing w:val="0"/>
          <w:sz w:val="22"/>
          <w:szCs w:val="24"/>
          <w:rtl/>
        </w:rPr>
        <w:t>נ</w:t>
      </w:r>
      <w:r w:rsidRPr="00A25162">
        <w:rPr>
          <w:rFonts w:ascii="Century" w:hAnsi="Century" w:cs="Miriam"/>
          <w:b/>
          <w:spacing w:val="0"/>
          <w:sz w:val="22"/>
          <w:szCs w:val="24"/>
          <w:rtl/>
        </w:rPr>
        <w:t xml:space="preserve">' </w:t>
      </w:r>
      <w:r w:rsidRPr="00A25162">
        <w:rPr>
          <w:rFonts w:ascii="Century" w:hAnsi="Century" w:cs="Miriam" w:hint="eastAsia"/>
          <w:b/>
          <w:spacing w:val="0"/>
          <w:sz w:val="22"/>
          <w:szCs w:val="24"/>
          <w:rtl/>
        </w:rPr>
        <w:t>פקיד</w:t>
      </w:r>
      <w:r w:rsidRPr="00A25162">
        <w:rPr>
          <w:rFonts w:ascii="Century" w:hAnsi="Century" w:cs="Miriam"/>
          <w:b/>
          <w:spacing w:val="0"/>
          <w:sz w:val="22"/>
          <w:szCs w:val="24"/>
          <w:rtl/>
        </w:rPr>
        <w:t xml:space="preserve"> </w:t>
      </w:r>
      <w:r w:rsidRPr="00A25162">
        <w:rPr>
          <w:rFonts w:ascii="Century" w:hAnsi="Century" w:cs="Miriam" w:hint="eastAsia"/>
          <w:b/>
          <w:spacing w:val="0"/>
          <w:sz w:val="22"/>
          <w:szCs w:val="24"/>
          <w:rtl/>
        </w:rPr>
        <w:t>שומה</w:t>
      </w:r>
      <w:r w:rsidRPr="00A25162">
        <w:rPr>
          <w:rFonts w:ascii="Century" w:hAnsi="Century" w:cs="Miriam"/>
          <w:b/>
          <w:spacing w:val="0"/>
          <w:sz w:val="22"/>
          <w:szCs w:val="24"/>
          <w:rtl/>
        </w:rPr>
        <w:t xml:space="preserve"> </w:t>
      </w:r>
      <w:r w:rsidRPr="00A25162">
        <w:rPr>
          <w:rFonts w:ascii="Century" w:hAnsi="Century" w:cs="Miriam" w:hint="eastAsia"/>
          <w:b/>
          <w:spacing w:val="0"/>
          <w:sz w:val="22"/>
          <w:szCs w:val="24"/>
          <w:rtl/>
        </w:rPr>
        <w:t>רחובות</w:t>
      </w:r>
      <w:r w:rsidRPr="00A25162">
        <w:rPr>
          <w:rFonts w:ascii="Century" w:hAnsi="Century"/>
          <w:sz w:val="22"/>
          <w:rtl/>
        </w:rPr>
        <w:t xml:space="preserve">, </w:t>
      </w:r>
      <w:r w:rsidRPr="00A25162">
        <w:rPr>
          <w:rFonts w:ascii="Century" w:hAnsi="Century" w:hint="eastAsia"/>
          <w:sz w:val="22"/>
          <w:rtl/>
        </w:rPr>
        <w:t>פ</w:t>
      </w:r>
      <w:r w:rsidRPr="00A25162">
        <w:rPr>
          <w:rFonts w:ascii="Century" w:hAnsi="Century"/>
          <w:sz w:val="22"/>
          <w:rtl/>
        </w:rPr>
        <w:t>"</w:t>
      </w:r>
      <w:r w:rsidRPr="00A25162">
        <w:rPr>
          <w:rFonts w:ascii="Century" w:hAnsi="Century" w:hint="eastAsia"/>
          <w:sz w:val="22"/>
          <w:rtl/>
        </w:rPr>
        <w:t>ד</w:t>
      </w:r>
      <w:r w:rsidRPr="00A25162">
        <w:rPr>
          <w:rFonts w:ascii="Century" w:hAnsi="Century"/>
          <w:sz w:val="22"/>
          <w:rtl/>
        </w:rPr>
        <w:t xml:space="preserve"> </w:t>
      </w:r>
      <w:r w:rsidRPr="00A25162">
        <w:rPr>
          <w:rFonts w:ascii="Century" w:hAnsi="Century" w:hint="eastAsia"/>
          <w:sz w:val="22"/>
          <w:rtl/>
        </w:rPr>
        <w:t>לט</w:t>
      </w:r>
      <w:r w:rsidRPr="00A25162">
        <w:rPr>
          <w:rFonts w:ascii="Century" w:hAnsi="Century"/>
          <w:sz w:val="22"/>
          <w:rtl/>
        </w:rPr>
        <w:t>(2) 70, 75 (1985)</w:t>
      </w:r>
      <w:r>
        <w:rPr>
          <w:rFonts w:ascii="Century" w:hAnsi="Century" w:hint="cs"/>
          <w:sz w:val="22"/>
          <w:rtl/>
        </w:rPr>
        <w:t xml:space="preserve">; וכן עניין </w:t>
      </w:r>
      <w:proofErr w:type="spellStart"/>
      <w:r w:rsidRPr="00A25162">
        <w:rPr>
          <w:rFonts w:ascii="Century" w:hAnsi="Century" w:cs="Miriam" w:hint="cs"/>
          <w:b/>
          <w:spacing w:val="0"/>
          <w:sz w:val="22"/>
          <w:szCs w:val="24"/>
          <w:rtl/>
        </w:rPr>
        <w:t>טוונטי</w:t>
      </w:r>
      <w:proofErr w:type="spellEnd"/>
      <w:r w:rsidRPr="00A25162">
        <w:rPr>
          <w:rFonts w:ascii="Century" w:hAnsi="Century" w:cs="Miriam" w:hint="cs"/>
          <w:b/>
          <w:spacing w:val="0"/>
          <w:sz w:val="22"/>
          <w:szCs w:val="24"/>
          <w:rtl/>
        </w:rPr>
        <w:t xml:space="preserve"> </w:t>
      </w:r>
      <w:proofErr w:type="spellStart"/>
      <w:r w:rsidRPr="00A25162">
        <w:rPr>
          <w:rFonts w:ascii="Century" w:hAnsi="Century" w:cs="Miriam" w:hint="cs"/>
          <w:b/>
          <w:spacing w:val="0"/>
          <w:sz w:val="22"/>
          <w:szCs w:val="24"/>
          <w:rtl/>
        </w:rPr>
        <w:t>האנדרד</w:t>
      </w:r>
      <w:proofErr w:type="spellEnd"/>
      <w:r>
        <w:rPr>
          <w:rFonts w:ascii="Century" w:hAnsi="Century" w:hint="cs"/>
          <w:sz w:val="22"/>
          <w:rtl/>
        </w:rPr>
        <w:t xml:space="preserve">, פסקה 31 לפסק דיני והאסמכתאות שם). </w:t>
      </w:r>
    </w:p>
    <w:p w:rsidR="00F05533" w:rsidRPr="00A25162" w:rsidRDefault="00F05533" w:rsidP="00F05533">
      <w:pPr>
        <w:pStyle w:val="Ruller4"/>
        <w:numPr>
          <w:ilvl w:val="0"/>
          <w:numId w:val="0"/>
        </w:numPr>
        <w:rPr>
          <w:rFonts w:ascii="Century" w:hAnsi="Century"/>
          <w:sz w:val="22"/>
        </w:rPr>
      </w:pPr>
    </w:p>
    <w:p w:rsidR="00F05533" w:rsidRPr="00952865" w:rsidRDefault="00F05533" w:rsidP="00F05533">
      <w:pPr>
        <w:pStyle w:val="Ruller4"/>
        <w:rPr>
          <w:rFonts w:ascii="Century" w:hAnsi="Century"/>
          <w:sz w:val="22"/>
        </w:rPr>
      </w:pPr>
      <w:r>
        <w:rPr>
          <w:rFonts w:ascii="Century" w:hAnsi="Century" w:hint="cs"/>
          <w:sz w:val="22"/>
          <w:rtl/>
        </w:rPr>
        <w:lastRenderedPageBreak/>
        <w:t xml:space="preserve">כך למשל, הפעלתם של עיקרון המהות הכלכלית וכלל ההתעלמות מעסקה מלאכותית סיכלה את ניסיון הנישומים להפחית את </w:t>
      </w:r>
      <w:proofErr w:type="spellStart"/>
      <w:r>
        <w:rPr>
          <w:rFonts w:ascii="Century" w:hAnsi="Century" w:hint="cs"/>
          <w:sz w:val="22"/>
          <w:rtl/>
        </w:rPr>
        <w:t>חבותם</w:t>
      </w:r>
      <w:proofErr w:type="spellEnd"/>
      <w:r>
        <w:rPr>
          <w:rFonts w:ascii="Century" w:hAnsi="Century" w:hint="cs"/>
          <w:sz w:val="22"/>
          <w:rtl/>
        </w:rPr>
        <w:t xml:space="preserve"> במס על ידי קניית הפסדים לשם קיזוזם מהכנסותיהם החייבות במס (ראו, למשל: עניין </w:t>
      </w:r>
      <w:r w:rsidRPr="00456233">
        <w:rPr>
          <w:rFonts w:ascii="Century" w:hAnsi="Century" w:cs="Miriam" w:hint="cs"/>
          <w:b/>
          <w:spacing w:val="0"/>
          <w:sz w:val="22"/>
          <w:szCs w:val="24"/>
          <w:rtl/>
        </w:rPr>
        <w:t>מפי</w:t>
      </w:r>
      <w:r>
        <w:rPr>
          <w:rFonts w:ascii="Century" w:hAnsi="Century" w:hint="cs"/>
          <w:sz w:val="22"/>
          <w:rtl/>
        </w:rPr>
        <w:t xml:space="preserve"> ועניין </w:t>
      </w:r>
      <w:r w:rsidRPr="00456233">
        <w:rPr>
          <w:rFonts w:ascii="Century" w:hAnsi="Century" w:cs="Miriam" w:hint="cs"/>
          <w:b/>
          <w:spacing w:val="0"/>
          <w:sz w:val="22"/>
          <w:szCs w:val="24"/>
          <w:rtl/>
        </w:rPr>
        <w:t>רובינשטיין</w:t>
      </w:r>
      <w:r>
        <w:rPr>
          <w:rFonts w:ascii="Century" w:hAnsi="Century" w:hint="cs"/>
          <w:sz w:val="22"/>
          <w:rtl/>
        </w:rPr>
        <w:t>). הפעלתם של כללי תיקון אלה שללה גם מנישומים ביצועה של הפחתת מס בלתי ראויה באמצעות "הפשטת דיבידנד" (</w:t>
      </w:r>
      <w:r w:rsidRPr="00456233">
        <w:rPr>
          <w:rFonts w:asciiTheme="majorBidi" w:hAnsiTheme="majorBidi" w:cstheme="majorBidi"/>
          <w:szCs w:val="32"/>
        </w:rPr>
        <w:t>dividend stripping</w:t>
      </w:r>
      <w:r>
        <w:rPr>
          <w:rFonts w:ascii="Century" w:hAnsi="Century" w:hint="cs"/>
          <w:sz w:val="22"/>
          <w:rtl/>
        </w:rPr>
        <w:t xml:space="preserve">), עסקה שמתנהלת באופן הבא: בשלב הראשון, </w:t>
      </w:r>
      <w:r w:rsidRPr="00456233">
        <w:rPr>
          <w:rFonts w:ascii="Arial TUR" w:hAnsi="Arial TUR"/>
          <w:sz w:val="22"/>
          <w:rtl/>
        </w:rPr>
        <w:t xml:space="preserve">חברה קונה מניות מוכרזות-דיבידנד במחיר </w:t>
      </w:r>
      <w:r w:rsidRPr="00456233">
        <w:rPr>
          <w:rFonts w:asciiTheme="majorBidi" w:hAnsiTheme="majorBidi" w:cstheme="majorBidi"/>
          <w:szCs w:val="32"/>
        </w:rPr>
        <w:t>V+D</w:t>
      </w:r>
      <w:r>
        <w:rPr>
          <w:rFonts w:ascii="Arial TUR" w:hAnsi="Arial TUR" w:hint="cs"/>
          <w:sz w:val="22"/>
          <w:rtl/>
        </w:rPr>
        <w:t xml:space="preserve">; לאחר קניית המניות מחולק דיבידנד בשיעור </w:t>
      </w:r>
      <w:r w:rsidRPr="008D11F2">
        <w:rPr>
          <w:rFonts w:asciiTheme="majorBidi" w:hAnsiTheme="majorBidi" w:cstheme="majorBidi"/>
          <w:szCs w:val="24"/>
        </w:rPr>
        <w:t>D</w:t>
      </w:r>
      <w:r>
        <w:rPr>
          <w:rFonts w:ascii="Arial TUR" w:hAnsi="Arial TUR" w:hint="cs"/>
          <w:sz w:val="22"/>
          <w:rtl/>
        </w:rPr>
        <w:t>, שביחס אליו, בהיותה חברה, נהנית הקונה מ</w:t>
      </w:r>
      <w:r w:rsidRPr="00456233">
        <w:rPr>
          <w:rFonts w:ascii="Arial TUR" w:hAnsi="Arial TUR"/>
          <w:sz w:val="22"/>
          <w:rtl/>
        </w:rPr>
        <w:t>פטור ממ</w:t>
      </w:r>
      <w:r w:rsidRPr="00545399">
        <w:rPr>
          <w:rFonts w:ascii="Arial TUR" w:hAnsi="Arial TUR"/>
          <w:sz w:val="22"/>
          <w:rtl/>
        </w:rPr>
        <w:t>ס</w:t>
      </w:r>
      <w:r>
        <w:rPr>
          <w:rFonts w:ascii="Arial TUR" w:hAnsi="Arial TUR" w:hint="cs"/>
          <w:sz w:val="22"/>
          <w:rtl/>
        </w:rPr>
        <w:t xml:space="preserve"> </w:t>
      </w:r>
      <w:r w:rsidRPr="00041E5E">
        <w:rPr>
          <w:rFonts w:ascii="Arial TUR" w:hAnsi="Arial TUR"/>
          <w:sz w:val="22"/>
          <w:rtl/>
        </w:rPr>
        <w:t xml:space="preserve">(ראו: סעיף 126(ב) </w:t>
      </w:r>
      <w:r w:rsidRPr="00041E5E">
        <w:rPr>
          <w:rFonts w:ascii="Arial TUR" w:hAnsi="Arial TUR" w:hint="eastAsia"/>
          <w:sz w:val="22"/>
          <w:rtl/>
        </w:rPr>
        <w:t>לפקודת</w:t>
      </w:r>
      <w:r w:rsidRPr="00041E5E">
        <w:rPr>
          <w:rFonts w:ascii="Arial TUR" w:hAnsi="Arial TUR"/>
          <w:sz w:val="22"/>
          <w:rtl/>
        </w:rPr>
        <w:t xml:space="preserve"> </w:t>
      </w:r>
      <w:r w:rsidRPr="00041E5E">
        <w:rPr>
          <w:rFonts w:ascii="Arial TUR" w:hAnsi="Arial TUR" w:hint="eastAsia"/>
          <w:sz w:val="22"/>
          <w:rtl/>
        </w:rPr>
        <w:t>מס</w:t>
      </w:r>
      <w:r w:rsidRPr="00041E5E">
        <w:rPr>
          <w:rFonts w:ascii="Arial TUR" w:hAnsi="Arial TUR"/>
          <w:sz w:val="22"/>
          <w:rtl/>
        </w:rPr>
        <w:t xml:space="preserve"> </w:t>
      </w:r>
      <w:r w:rsidRPr="00041E5E">
        <w:rPr>
          <w:rFonts w:ascii="Arial TUR" w:hAnsi="Arial TUR" w:hint="eastAsia"/>
          <w:sz w:val="22"/>
          <w:rtl/>
        </w:rPr>
        <w:t>הכנסה</w:t>
      </w:r>
      <w:r w:rsidRPr="00041E5E">
        <w:rPr>
          <w:rFonts w:ascii="Arial TUR" w:hAnsi="Arial TUR"/>
          <w:sz w:val="22"/>
          <w:rtl/>
        </w:rPr>
        <w:t>)</w:t>
      </w:r>
      <w:r w:rsidRPr="00A40B19">
        <w:rPr>
          <w:rFonts w:ascii="Arial TUR" w:hAnsi="Arial TUR"/>
          <w:sz w:val="22"/>
          <w:rtl/>
        </w:rPr>
        <w:t>;</w:t>
      </w:r>
      <w:r w:rsidRPr="00456233">
        <w:rPr>
          <w:rFonts w:ascii="Arial TUR" w:hAnsi="Arial TUR"/>
          <w:sz w:val="22"/>
          <w:rtl/>
        </w:rPr>
        <w:t xml:space="preserve"> </w:t>
      </w:r>
      <w:r>
        <w:rPr>
          <w:rFonts w:ascii="Arial TUR" w:hAnsi="Arial TUR" w:hint="cs"/>
          <w:sz w:val="22"/>
          <w:rtl/>
        </w:rPr>
        <w:t xml:space="preserve">בשלב השני, </w:t>
      </w:r>
      <w:r w:rsidRPr="00456233">
        <w:rPr>
          <w:rFonts w:ascii="Arial TUR" w:hAnsi="Arial TUR"/>
          <w:sz w:val="22"/>
          <w:rtl/>
        </w:rPr>
        <w:t xml:space="preserve">מוכרת </w:t>
      </w:r>
      <w:r>
        <w:rPr>
          <w:rFonts w:ascii="Arial TUR" w:hAnsi="Arial TUR" w:hint="cs"/>
          <w:sz w:val="22"/>
          <w:rtl/>
        </w:rPr>
        <w:t xml:space="preserve">החברה </w:t>
      </w:r>
      <w:r w:rsidRPr="00456233">
        <w:rPr>
          <w:rFonts w:ascii="Arial TUR" w:hAnsi="Arial TUR"/>
          <w:sz w:val="22"/>
          <w:rtl/>
        </w:rPr>
        <w:t>את המניות במחיר</w:t>
      </w:r>
      <w:r>
        <w:rPr>
          <w:rFonts w:ascii="Arial TUR" w:hAnsi="Arial TUR" w:hint="cs"/>
          <w:sz w:val="22"/>
          <w:rtl/>
        </w:rPr>
        <w:t xml:space="preserve"> </w:t>
      </w:r>
      <w:r w:rsidRPr="006C7AC3">
        <w:rPr>
          <w:rFonts w:asciiTheme="majorBidi" w:hAnsiTheme="majorBidi" w:cstheme="majorBidi"/>
          <w:szCs w:val="32"/>
        </w:rPr>
        <w:t>V</w:t>
      </w:r>
      <w:r>
        <w:rPr>
          <w:rFonts w:ascii="Arial TUR" w:hAnsi="Arial TUR" w:hint="cs"/>
          <w:sz w:val="22"/>
          <w:rtl/>
        </w:rPr>
        <w:t>, שאחרי הפשטת הדיבידנד</w:t>
      </w:r>
      <w:r w:rsidRPr="00456233">
        <w:rPr>
          <w:rFonts w:ascii="Arial TUR" w:hAnsi="Arial TUR"/>
          <w:sz w:val="22"/>
          <w:rtl/>
        </w:rPr>
        <w:t xml:space="preserve"> </w:t>
      </w:r>
      <w:r w:rsidRPr="00456233">
        <w:rPr>
          <w:rFonts w:asciiTheme="majorBidi" w:hAnsiTheme="majorBidi" w:cstheme="majorBidi"/>
          <w:szCs w:val="32"/>
        </w:rPr>
        <w:t>D</w:t>
      </w:r>
      <w:r w:rsidRPr="00456233">
        <w:rPr>
          <w:rFonts w:ascii="Arial TUR" w:hAnsi="Arial TUR"/>
          <w:sz w:val="22"/>
          <w:rtl/>
        </w:rPr>
        <w:t xml:space="preserve">; </w:t>
      </w:r>
      <w:r w:rsidRPr="00456233">
        <w:rPr>
          <w:rtl/>
        </w:rPr>
        <w:t>ו</w:t>
      </w:r>
      <w:r>
        <w:rPr>
          <w:rFonts w:hint="cs"/>
          <w:rtl/>
        </w:rPr>
        <w:t xml:space="preserve">אחר-כך </w:t>
      </w:r>
      <w:r w:rsidRPr="00456233">
        <w:rPr>
          <w:rtl/>
        </w:rPr>
        <w:t>מקזזת את ההפסד</w:t>
      </w:r>
      <w:r>
        <w:rPr>
          <w:rFonts w:ascii="Century" w:hAnsi="Century" w:hint="cs"/>
          <w:sz w:val="22"/>
          <w:rtl/>
        </w:rPr>
        <w:t xml:space="preserve"> (</w:t>
      </w:r>
      <w:r>
        <w:rPr>
          <w:rFonts w:asciiTheme="majorBidi" w:hAnsiTheme="majorBidi" w:cstheme="majorBidi"/>
          <w:szCs w:val="32"/>
        </w:rPr>
        <w:t>D</w:t>
      </w:r>
      <w:r>
        <w:rPr>
          <w:rFonts w:ascii="Century" w:hAnsi="Century"/>
          <w:sz w:val="22"/>
          <w:rtl/>
        </w:rPr>
        <w:t>–</w:t>
      </w:r>
      <w:r>
        <w:rPr>
          <w:rFonts w:ascii="Century" w:hAnsi="Century" w:hint="cs"/>
          <w:sz w:val="22"/>
          <w:rtl/>
        </w:rPr>
        <w:t xml:space="preserve">) </w:t>
      </w:r>
      <w:r w:rsidRPr="00952865">
        <w:rPr>
          <w:rFonts w:ascii="Century" w:hAnsi="Century" w:hint="cs"/>
          <w:sz w:val="22"/>
          <w:rtl/>
        </w:rPr>
        <w:t xml:space="preserve">מהכנסותיה </w:t>
      </w:r>
      <w:r w:rsidRPr="00952865">
        <w:rPr>
          <w:rFonts w:ascii="Century" w:hAnsi="Century"/>
          <w:sz w:val="22"/>
          <w:rtl/>
        </w:rPr>
        <w:t>–</w:t>
      </w:r>
      <w:r w:rsidRPr="00952865">
        <w:rPr>
          <w:rFonts w:ascii="Century" w:hAnsi="Century" w:hint="cs"/>
          <w:sz w:val="22"/>
          <w:rtl/>
        </w:rPr>
        <w:t xml:space="preserve"> תוך שהיא מנצלת את הגדרתו הרחבה של "הפסד" בפקודת מס הכנסה לפני תיקונה בהקשרן של עסקאות כאלה בסעיף 94ג לפקודה (ראו: </w:t>
      </w:r>
      <w:r w:rsidRPr="00952865">
        <w:rPr>
          <w:rFonts w:ascii="Arial TUR" w:hAnsi="Arial TUR"/>
          <w:sz w:val="22"/>
          <w:rtl/>
        </w:rPr>
        <w:t xml:space="preserve">ע"א 2965/08 </w:t>
      </w:r>
      <w:r w:rsidRPr="00952865">
        <w:rPr>
          <w:rFonts w:ascii="Century" w:hAnsi="Century" w:cs="Miriam"/>
          <w:b/>
          <w:spacing w:val="0"/>
          <w:sz w:val="22"/>
          <w:szCs w:val="24"/>
          <w:rtl/>
        </w:rPr>
        <w:t>סגנון שרותי תקשוב בע"מ נ' פקיד שומה פתח-תקווה</w:t>
      </w:r>
      <w:r w:rsidRPr="00952865">
        <w:rPr>
          <w:rFonts w:ascii="Arial TUR" w:hAnsi="Arial TUR"/>
          <w:sz w:val="22"/>
          <w:rtl/>
        </w:rPr>
        <w:t xml:space="preserve"> (21.6.2011)</w:t>
      </w:r>
      <w:r w:rsidRPr="00952865">
        <w:rPr>
          <w:rFonts w:ascii="Arial TUR" w:hAnsi="Arial TUR" w:hint="cs"/>
          <w:sz w:val="22"/>
          <w:rtl/>
        </w:rPr>
        <w:t xml:space="preserve"> (להלן: עניין </w:t>
      </w:r>
      <w:r w:rsidRPr="00952865">
        <w:rPr>
          <w:rFonts w:ascii="Century" w:hAnsi="Century" w:cs="Miriam" w:hint="cs"/>
          <w:b/>
          <w:spacing w:val="0"/>
          <w:sz w:val="22"/>
          <w:szCs w:val="24"/>
          <w:rtl/>
        </w:rPr>
        <w:t>סגנון</w:t>
      </w:r>
      <w:r w:rsidRPr="00952865">
        <w:rPr>
          <w:rFonts w:ascii="Arial TUR" w:hAnsi="Arial TUR" w:hint="cs"/>
          <w:sz w:val="22"/>
          <w:rtl/>
        </w:rPr>
        <w:t>))</w:t>
      </w:r>
      <w:r w:rsidRPr="00952865">
        <w:rPr>
          <w:rFonts w:ascii="Arial TUR" w:hAnsi="Arial TUR"/>
          <w:sz w:val="22"/>
          <w:rtl/>
        </w:rPr>
        <w:t>.</w:t>
      </w:r>
      <w:r w:rsidRPr="00952865">
        <w:rPr>
          <w:rFonts w:ascii="Century" w:hAnsi="Century" w:hint="cs"/>
          <w:sz w:val="22"/>
          <w:rtl/>
        </w:rPr>
        <w:t xml:space="preserve"> בכל אחד מהמקרים הללו, בית משפט זה התבסס על תכליתם הפיסקלית של כללים אשר מתירים קיזוז הפסדים מן ההכנסה החייבת במס כטעם להגבלת פועלם, למרות הגדרתו הרחבה של "הפסד". כללים אלה הופעלו כדרכם של "סטנדרטים" מכוחם של עיקרון המהות הכלכלית וכלל ההתעלמות מעסקה מלאכותית. במסגרת זו של כללי תיקון, בית המשפט קבע כי הפסד בר-קיזוז אשר מקטין את חבות הנישום במס צריך להיות </w:t>
      </w:r>
      <w:proofErr w:type="spellStart"/>
      <w:r w:rsidRPr="00952865">
        <w:rPr>
          <w:rFonts w:ascii="Century" w:hAnsi="Century" w:hint="cs"/>
          <w:sz w:val="22"/>
          <w:rtl/>
        </w:rPr>
        <w:t>אמיתי</w:t>
      </w:r>
      <w:proofErr w:type="spellEnd"/>
      <w:r w:rsidRPr="00952865">
        <w:rPr>
          <w:rFonts w:ascii="Century" w:hAnsi="Century" w:hint="cs"/>
          <w:sz w:val="22"/>
          <w:rtl/>
        </w:rPr>
        <w:t xml:space="preserve"> במובן הכלכלי וקשור קשר אורגני לפעילותו המסחרית של הנישום שאינה מונעת במידה מכרעת </w:t>
      </w:r>
      <w:r w:rsidRPr="00952865">
        <w:rPr>
          <w:rFonts w:ascii="Century" w:hAnsi="Century"/>
          <w:sz w:val="22"/>
          <w:rtl/>
        </w:rPr>
        <w:t>–</w:t>
      </w:r>
      <w:r w:rsidRPr="00952865">
        <w:rPr>
          <w:rFonts w:ascii="Century" w:hAnsi="Century" w:hint="cs"/>
          <w:sz w:val="22"/>
          <w:rtl/>
        </w:rPr>
        <w:t xml:space="preserve"> ואף לא במידה משמעותית </w:t>
      </w:r>
      <w:r w:rsidRPr="00952865">
        <w:rPr>
          <w:rFonts w:ascii="Century" w:hAnsi="Century"/>
          <w:sz w:val="22"/>
          <w:rtl/>
        </w:rPr>
        <w:t>–</w:t>
      </w:r>
      <w:r w:rsidRPr="00952865">
        <w:rPr>
          <w:rFonts w:ascii="Century" w:hAnsi="Century" w:hint="cs"/>
          <w:sz w:val="22"/>
          <w:rtl/>
        </w:rPr>
        <w:t xml:space="preserve"> על ידי רצונו לחמוק מתשלו</w:t>
      </w:r>
      <w:r>
        <w:rPr>
          <w:rFonts w:ascii="Century" w:hAnsi="Century" w:hint="cs"/>
          <w:sz w:val="22"/>
          <w:rtl/>
        </w:rPr>
        <w:t>ם</w:t>
      </w:r>
      <w:r w:rsidRPr="00952865">
        <w:rPr>
          <w:rFonts w:ascii="Century" w:hAnsi="Century" w:hint="cs"/>
          <w:sz w:val="22"/>
          <w:rtl/>
        </w:rPr>
        <w:t xml:space="preserve"> מס אמת (ראו: </w:t>
      </w:r>
      <w:r w:rsidRPr="00952865">
        <w:rPr>
          <w:rFonts w:ascii="Arial TUR" w:hAnsi="Arial TUR" w:hint="cs"/>
          <w:sz w:val="22"/>
          <w:rtl/>
        </w:rPr>
        <w:t xml:space="preserve">עניין </w:t>
      </w:r>
      <w:r w:rsidRPr="00952865">
        <w:rPr>
          <w:rFonts w:ascii="Century" w:hAnsi="Century" w:cs="Miriam" w:hint="cs"/>
          <w:b/>
          <w:spacing w:val="0"/>
          <w:sz w:val="22"/>
          <w:szCs w:val="24"/>
          <w:rtl/>
        </w:rPr>
        <w:t>סגנון</w:t>
      </w:r>
      <w:r w:rsidRPr="00E13702">
        <w:rPr>
          <w:rFonts w:ascii="Century" w:hAnsi="Century" w:hint="cs"/>
          <w:sz w:val="22"/>
          <w:rtl/>
        </w:rPr>
        <w:t xml:space="preserve">, פסקה </w:t>
      </w:r>
      <w:r w:rsidRPr="00041E5E">
        <w:rPr>
          <w:rFonts w:ascii="Century" w:hAnsi="Century"/>
          <w:sz w:val="22"/>
          <w:rtl/>
        </w:rPr>
        <w:t>27)</w:t>
      </w:r>
      <w:r w:rsidRPr="00E13702">
        <w:rPr>
          <w:rFonts w:ascii="Century" w:hAnsi="Century" w:hint="cs"/>
          <w:sz w:val="22"/>
          <w:rtl/>
        </w:rPr>
        <w:t>. על בסיסו</w:t>
      </w:r>
      <w:r w:rsidRPr="00952865">
        <w:rPr>
          <w:rFonts w:ascii="Century" w:hAnsi="Century" w:hint="cs"/>
          <w:sz w:val="22"/>
          <w:rtl/>
        </w:rPr>
        <w:t xml:space="preserve"> של עיקרון זה, נקבע כי חברת נדל"ן אינה יכולה להקטין את הכנסותיה על ידי קיזוז הפסדים אשר נקנו על ידה במסגרת רכישת חברה כושלת למכירת דגי נוי (ראו: עניין </w:t>
      </w:r>
      <w:r w:rsidRPr="00952865">
        <w:rPr>
          <w:rFonts w:ascii="Century" w:hAnsi="Century" w:cs="Miriam" w:hint="cs"/>
          <w:b/>
          <w:spacing w:val="0"/>
          <w:sz w:val="22"/>
          <w:szCs w:val="24"/>
          <w:rtl/>
        </w:rPr>
        <w:t>רובינשטיין</w:t>
      </w:r>
      <w:r w:rsidRPr="00952865">
        <w:rPr>
          <w:rFonts w:ascii="Century" w:hAnsi="Century" w:hint="cs"/>
          <w:sz w:val="22"/>
          <w:rtl/>
        </w:rPr>
        <w:t xml:space="preserve">); כי חברת רהיטים מצליחה לא תוכל לקזז הפסדים בעקבות מיזוגה עם חברת רהיטים חסרת מלאי, חסרת ציוד, חסרת מוניטין, ורבת-הפסדים (ראו: עניין </w:t>
      </w:r>
      <w:r w:rsidRPr="00952865">
        <w:rPr>
          <w:rFonts w:ascii="Century" w:hAnsi="Century" w:cs="Miriam" w:hint="cs"/>
          <w:b/>
          <w:spacing w:val="0"/>
          <w:sz w:val="22"/>
          <w:szCs w:val="24"/>
          <w:rtl/>
        </w:rPr>
        <w:t>מפי</w:t>
      </w:r>
      <w:r w:rsidRPr="00952865">
        <w:rPr>
          <w:rFonts w:ascii="Century" w:hAnsi="Century" w:hint="cs"/>
          <w:sz w:val="22"/>
          <w:rtl/>
        </w:rPr>
        <w:t>); וכי ביחסיהם שבין תאגיד שמוכר מכשירים רפואיים לבין זכיינו הבלעדי, רכיש</w:t>
      </w:r>
      <w:r>
        <w:rPr>
          <w:rFonts w:ascii="Century" w:hAnsi="Century" w:hint="cs"/>
          <w:sz w:val="22"/>
          <w:rtl/>
        </w:rPr>
        <w:t xml:space="preserve">ת-חזרה </w:t>
      </w:r>
      <w:r w:rsidRPr="00952865">
        <w:rPr>
          <w:rFonts w:ascii="Century" w:hAnsi="Century" w:hint="cs"/>
          <w:sz w:val="22"/>
          <w:rtl/>
        </w:rPr>
        <w:t xml:space="preserve">של זכויות הזכיין על ידי התאגיד כמוה כפיצוי </w:t>
      </w:r>
      <w:r>
        <w:rPr>
          <w:rFonts w:ascii="Century" w:hAnsi="Century" w:hint="cs"/>
          <w:sz w:val="22"/>
          <w:rtl/>
        </w:rPr>
        <w:t xml:space="preserve">הזכיין </w:t>
      </w:r>
      <w:r w:rsidRPr="00952865">
        <w:rPr>
          <w:rFonts w:ascii="Century" w:hAnsi="Century" w:hint="cs"/>
          <w:sz w:val="22"/>
          <w:rtl/>
        </w:rPr>
        <w:t>בגין אובדן עמלות</w:t>
      </w:r>
      <w:r>
        <w:rPr>
          <w:rFonts w:ascii="Century" w:hAnsi="Century" w:hint="cs"/>
          <w:sz w:val="22"/>
          <w:rtl/>
        </w:rPr>
        <w:t>יו</w:t>
      </w:r>
      <w:r w:rsidRPr="00952865">
        <w:rPr>
          <w:rFonts w:ascii="Century" w:hAnsi="Century" w:hint="cs"/>
          <w:sz w:val="22"/>
          <w:rtl/>
        </w:rPr>
        <w:t xml:space="preserve">, אשר חייב במס </w:t>
      </w:r>
      <w:proofErr w:type="spellStart"/>
      <w:r w:rsidRPr="00952865">
        <w:rPr>
          <w:rFonts w:ascii="Century" w:hAnsi="Century" w:hint="cs"/>
          <w:sz w:val="22"/>
          <w:rtl/>
        </w:rPr>
        <w:t>פירותי</w:t>
      </w:r>
      <w:proofErr w:type="spellEnd"/>
      <w:r w:rsidRPr="00952865">
        <w:rPr>
          <w:rFonts w:ascii="Century" w:hAnsi="Century" w:hint="cs"/>
          <w:sz w:val="22"/>
          <w:rtl/>
        </w:rPr>
        <w:t xml:space="preserve"> ולא במס על רווחי הון (ראו: </w:t>
      </w:r>
      <w:r w:rsidRPr="00952865">
        <w:rPr>
          <w:rFonts w:ascii="Century" w:hAnsi="Century"/>
          <w:sz w:val="22"/>
          <w:rtl/>
        </w:rPr>
        <w:t xml:space="preserve">ע"א 5369/18 </w:t>
      </w:r>
      <w:r w:rsidRPr="00952865">
        <w:rPr>
          <w:rFonts w:ascii="Century" w:hAnsi="Century" w:cs="Miriam"/>
          <w:b/>
          <w:spacing w:val="0"/>
          <w:sz w:val="22"/>
          <w:szCs w:val="24"/>
          <w:rtl/>
        </w:rPr>
        <w:t xml:space="preserve">כץ וצמל </w:t>
      </w:r>
      <w:proofErr w:type="spellStart"/>
      <w:r w:rsidRPr="00952865">
        <w:rPr>
          <w:rFonts w:ascii="Century" w:hAnsi="Century" w:cs="Miriam"/>
          <w:b/>
          <w:spacing w:val="0"/>
          <w:sz w:val="22"/>
          <w:szCs w:val="24"/>
          <w:rtl/>
        </w:rPr>
        <w:t>מדיקל</w:t>
      </w:r>
      <w:proofErr w:type="spellEnd"/>
      <w:r w:rsidRPr="00952865">
        <w:rPr>
          <w:rFonts w:ascii="Century" w:hAnsi="Century" w:cs="Miriam"/>
          <w:b/>
          <w:spacing w:val="0"/>
          <w:sz w:val="22"/>
          <w:szCs w:val="24"/>
          <w:rtl/>
        </w:rPr>
        <w:t xml:space="preserve"> בע"מ נ' פקיד שומה פתח תקוה</w:t>
      </w:r>
      <w:r w:rsidRPr="00952865">
        <w:rPr>
          <w:rFonts w:ascii="Century" w:hAnsi="Century"/>
          <w:sz w:val="22"/>
          <w:rtl/>
        </w:rPr>
        <w:t xml:space="preserve"> (‏27.6.2021)</w:t>
      </w:r>
      <w:r w:rsidRPr="00952865">
        <w:rPr>
          <w:rFonts w:ascii="Century" w:hAnsi="Century" w:hint="cs"/>
          <w:sz w:val="22"/>
          <w:rtl/>
        </w:rPr>
        <w:t>)</w:t>
      </w:r>
      <w:r w:rsidRPr="00952865">
        <w:rPr>
          <w:rFonts w:ascii="Century" w:hAnsi="Century"/>
          <w:sz w:val="22"/>
          <w:rtl/>
        </w:rPr>
        <w:t xml:space="preserve">. </w:t>
      </w:r>
    </w:p>
    <w:p w:rsidR="00F05533" w:rsidRPr="00554BD2" w:rsidRDefault="00F05533" w:rsidP="00F05533">
      <w:pPr>
        <w:pStyle w:val="Ruller41"/>
        <w:rPr>
          <w:rFonts w:ascii="Century" w:hAnsi="Century"/>
        </w:rPr>
      </w:pPr>
    </w:p>
    <w:p w:rsidR="00F05533" w:rsidRDefault="00F05533" w:rsidP="00F05533">
      <w:pPr>
        <w:pStyle w:val="Ruller4"/>
        <w:rPr>
          <w:rFonts w:ascii="Century" w:hAnsi="Century"/>
          <w:sz w:val="22"/>
        </w:rPr>
      </w:pPr>
      <w:r>
        <w:rPr>
          <w:rFonts w:hint="cs"/>
          <w:rtl/>
        </w:rPr>
        <w:t xml:space="preserve">לצד הלכות אלה, נקבע כלל חשוב נוסף אשר מקטין את יכולתו של הנישום לנצל לרעה את יתרון המידע שבידו בעמדו מול פקיד שומה. כלל זה קובע, כי בכפוף למקרים חריגים ונדירים, קביעת מהותה של העסקה </w:t>
      </w:r>
      <w:proofErr w:type="spellStart"/>
      <w:r>
        <w:rPr>
          <w:rFonts w:hint="cs"/>
          <w:rtl/>
        </w:rPr>
        <w:t>הממוסה</w:t>
      </w:r>
      <w:proofErr w:type="spellEnd"/>
      <w:r>
        <w:rPr>
          <w:rFonts w:hint="cs"/>
          <w:rtl/>
        </w:rPr>
        <w:t xml:space="preserve"> בהתאם לעיקרון המהות הכלכלית היא פררוגטיבה של פקיד השומה, ולא של הנישום. פקיד השומה אינו כפוף לאופן שבו נוסחו מסמכי העסקה, אך הנישום עצמו כפוף, ככלל, להסכם שעשה ולאמור במסמכים </w:t>
      </w:r>
      <w:r>
        <w:rPr>
          <w:rFonts w:hint="cs"/>
          <w:rtl/>
        </w:rPr>
        <w:lastRenderedPageBreak/>
        <w:t xml:space="preserve">שיצאו מתחת לידיו (ראו: </w:t>
      </w:r>
      <w:r>
        <w:rPr>
          <w:rFonts w:ascii="Arial TUR" w:hAnsi="Arial TUR" w:hint="cs"/>
          <w:rtl/>
        </w:rPr>
        <w:t xml:space="preserve">עניין </w:t>
      </w:r>
      <w:proofErr w:type="spellStart"/>
      <w:r w:rsidRPr="003A0B47">
        <w:rPr>
          <w:rFonts w:ascii="Century" w:hAnsi="Century" w:cs="Miriam"/>
          <w:b/>
          <w:spacing w:val="0"/>
          <w:sz w:val="22"/>
          <w:szCs w:val="24"/>
          <w:rtl/>
        </w:rPr>
        <w:t>ריזמן</w:t>
      </w:r>
      <w:proofErr w:type="spellEnd"/>
      <w:r w:rsidRPr="00BC1967">
        <w:rPr>
          <w:rFonts w:ascii="Arial TUR" w:hAnsi="Arial TUR" w:hint="cs"/>
          <w:rtl/>
        </w:rPr>
        <w:t xml:space="preserve">, </w:t>
      </w:r>
      <w:r w:rsidRPr="00041E5E">
        <w:rPr>
          <w:rFonts w:ascii="Arial TUR" w:hAnsi="Arial TUR" w:hint="eastAsia"/>
          <w:rtl/>
        </w:rPr>
        <w:t>פסקאות</w:t>
      </w:r>
      <w:r w:rsidRPr="00041E5E">
        <w:rPr>
          <w:rFonts w:ascii="Arial TUR" w:hAnsi="Arial TUR"/>
          <w:rtl/>
        </w:rPr>
        <w:t xml:space="preserve"> 90-86 לפסק דיני</w:t>
      </w:r>
      <w:r w:rsidRPr="00BC1967">
        <w:rPr>
          <w:rFonts w:ascii="Arial TUR" w:hAnsi="Arial TUR" w:hint="cs"/>
          <w:rtl/>
        </w:rPr>
        <w:t xml:space="preserve">; וכן </w:t>
      </w:r>
      <w:r w:rsidRPr="00BC1967">
        <w:rPr>
          <w:rFonts w:ascii="Century" w:hAnsi="Century" w:hint="eastAsia"/>
          <w:sz w:val="22"/>
          <w:rtl/>
        </w:rPr>
        <w:t>ע</w:t>
      </w:r>
      <w:r w:rsidRPr="00BC1967">
        <w:rPr>
          <w:rFonts w:ascii="Century" w:hAnsi="Century"/>
          <w:sz w:val="22"/>
          <w:rtl/>
        </w:rPr>
        <w:t>"</w:t>
      </w:r>
      <w:r w:rsidRPr="00BC1967">
        <w:rPr>
          <w:rFonts w:ascii="Century" w:hAnsi="Century" w:hint="eastAsia"/>
          <w:sz w:val="22"/>
          <w:rtl/>
        </w:rPr>
        <w:t>א</w:t>
      </w:r>
      <w:r w:rsidRPr="00BC1967">
        <w:rPr>
          <w:rFonts w:ascii="Century" w:hAnsi="Century"/>
          <w:sz w:val="22"/>
          <w:rtl/>
        </w:rPr>
        <w:t xml:space="preserve"> 7610/19</w:t>
      </w:r>
      <w:r w:rsidRPr="003A0B47">
        <w:rPr>
          <w:rFonts w:ascii="Century" w:hAnsi="Century"/>
          <w:sz w:val="22"/>
          <w:rtl/>
        </w:rPr>
        <w:t xml:space="preserve"> </w:t>
      </w:r>
      <w:r w:rsidRPr="003A0B47">
        <w:rPr>
          <w:rFonts w:ascii="Century" w:hAnsi="Century" w:cs="Miriam" w:hint="eastAsia"/>
          <w:b/>
          <w:spacing w:val="0"/>
          <w:sz w:val="22"/>
          <w:szCs w:val="24"/>
          <w:rtl/>
        </w:rPr>
        <w:t>מנהל</w:t>
      </w:r>
      <w:r w:rsidRPr="003A0B47">
        <w:rPr>
          <w:rFonts w:ascii="Century" w:hAnsi="Century" w:cs="Miriam"/>
          <w:b/>
          <w:spacing w:val="0"/>
          <w:sz w:val="22"/>
          <w:szCs w:val="24"/>
          <w:rtl/>
        </w:rPr>
        <w:t xml:space="preserve"> </w:t>
      </w:r>
      <w:r w:rsidRPr="003A0B47">
        <w:rPr>
          <w:rFonts w:ascii="Century" w:hAnsi="Century" w:cs="Miriam" w:hint="eastAsia"/>
          <w:b/>
          <w:spacing w:val="0"/>
          <w:sz w:val="22"/>
          <w:szCs w:val="24"/>
          <w:rtl/>
        </w:rPr>
        <w:t>מס</w:t>
      </w:r>
      <w:r w:rsidRPr="003A0B47">
        <w:rPr>
          <w:rFonts w:ascii="Century" w:hAnsi="Century" w:cs="Miriam"/>
          <w:b/>
          <w:spacing w:val="0"/>
          <w:sz w:val="22"/>
          <w:szCs w:val="24"/>
          <w:rtl/>
        </w:rPr>
        <w:t xml:space="preserve"> </w:t>
      </w:r>
      <w:r w:rsidRPr="003A0B47">
        <w:rPr>
          <w:rFonts w:ascii="Century" w:hAnsi="Century" w:cs="Miriam" w:hint="eastAsia"/>
          <w:b/>
          <w:spacing w:val="0"/>
          <w:sz w:val="22"/>
          <w:szCs w:val="24"/>
          <w:rtl/>
        </w:rPr>
        <w:t>שבח</w:t>
      </w:r>
      <w:r w:rsidRPr="003A0B47">
        <w:rPr>
          <w:rFonts w:ascii="Century" w:hAnsi="Century" w:cs="Miriam"/>
          <w:b/>
          <w:spacing w:val="0"/>
          <w:sz w:val="22"/>
          <w:szCs w:val="24"/>
          <w:rtl/>
        </w:rPr>
        <w:t xml:space="preserve"> </w:t>
      </w:r>
      <w:r w:rsidRPr="003A0B47">
        <w:rPr>
          <w:rFonts w:ascii="Century" w:hAnsi="Century" w:cs="Miriam" w:hint="eastAsia"/>
          <w:b/>
          <w:spacing w:val="0"/>
          <w:sz w:val="22"/>
          <w:szCs w:val="24"/>
          <w:rtl/>
        </w:rPr>
        <w:t>תל</w:t>
      </w:r>
      <w:r w:rsidRPr="003A0B47">
        <w:rPr>
          <w:rFonts w:ascii="Century" w:hAnsi="Century" w:cs="Miriam"/>
          <w:b/>
          <w:spacing w:val="0"/>
          <w:sz w:val="22"/>
          <w:szCs w:val="24"/>
          <w:rtl/>
        </w:rPr>
        <w:t xml:space="preserve"> </w:t>
      </w:r>
      <w:r w:rsidRPr="003A0B47">
        <w:rPr>
          <w:rFonts w:ascii="Century" w:hAnsi="Century" w:cs="Miriam" w:hint="eastAsia"/>
          <w:b/>
          <w:spacing w:val="0"/>
          <w:sz w:val="22"/>
          <w:szCs w:val="24"/>
          <w:rtl/>
        </w:rPr>
        <w:t>אביב</w:t>
      </w:r>
      <w:r w:rsidRPr="003A0B47">
        <w:rPr>
          <w:rFonts w:ascii="Century" w:hAnsi="Century" w:cs="Miriam"/>
          <w:b/>
          <w:spacing w:val="0"/>
          <w:sz w:val="22"/>
          <w:szCs w:val="24"/>
          <w:rtl/>
        </w:rPr>
        <w:t xml:space="preserve"> 1 </w:t>
      </w:r>
      <w:r w:rsidRPr="003A0B47">
        <w:rPr>
          <w:rFonts w:ascii="Century" w:hAnsi="Century" w:cs="Miriam" w:hint="eastAsia"/>
          <w:b/>
          <w:spacing w:val="0"/>
          <w:sz w:val="22"/>
          <w:szCs w:val="24"/>
          <w:rtl/>
        </w:rPr>
        <w:t>נ</w:t>
      </w:r>
      <w:r w:rsidRPr="003A0B47">
        <w:rPr>
          <w:rFonts w:ascii="Century" w:hAnsi="Century" w:cs="Miriam"/>
          <w:b/>
          <w:spacing w:val="0"/>
          <w:sz w:val="22"/>
          <w:szCs w:val="24"/>
          <w:rtl/>
        </w:rPr>
        <w:t xml:space="preserve">' </w:t>
      </w:r>
      <w:proofErr w:type="spellStart"/>
      <w:r w:rsidRPr="003A0B47">
        <w:rPr>
          <w:rFonts w:ascii="Century" w:hAnsi="Century" w:cs="Miriam" w:hint="eastAsia"/>
          <w:b/>
          <w:spacing w:val="0"/>
          <w:sz w:val="22"/>
          <w:szCs w:val="24"/>
          <w:rtl/>
        </w:rPr>
        <w:t>גליס</w:t>
      </w:r>
      <w:proofErr w:type="spellEnd"/>
      <w:r w:rsidRPr="003A0B47">
        <w:rPr>
          <w:rFonts w:ascii="Century" w:hAnsi="Century"/>
          <w:sz w:val="22"/>
          <w:rtl/>
        </w:rPr>
        <w:t xml:space="preserve">, </w:t>
      </w:r>
      <w:r w:rsidRPr="003A0B47">
        <w:rPr>
          <w:rFonts w:ascii="Century" w:hAnsi="Century" w:hint="eastAsia"/>
          <w:sz w:val="22"/>
          <w:rtl/>
        </w:rPr>
        <w:t>פסקה</w:t>
      </w:r>
      <w:r w:rsidRPr="003A0B47">
        <w:rPr>
          <w:rFonts w:ascii="Century" w:hAnsi="Century"/>
          <w:sz w:val="22"/>
          <w:rtl/>
        </w:rPr>
        <w:t xml:space="preserve"> 74 (30.6.2022)</w:t>
      </w:r>
      <w:r>
        <w:rPr>
          <w:rFonts w:ascii="Century" w:hAnsi="Century" w:hint="cs"/>
          <w:sz w:val="22"/>
          <w:rtl/>
        </w:rPr>
        <w:t>)</w:t>
      </w:r>
      <w:r w:rsidRPr="003A0B47">
        <w:rPr>
          <w:rFonts w:ascii="Century" w:hAnsi="Century"/>
          <w:sz w:val="22"/>
          <w:rtl/>
        </w:rPr>
        <w:t>.</w:t>
      </w:r>
    </w:p>
    <w:p w:rsidR="00F05533" w:rsidRDefault="00F05533" w:rsidP="00F05533">
      <w:pPr>
        <w:pStyle w:val="Ruller4"/>
        <w:numPr>
          <w:ilvl w:val="0"/>
          <w:numId w:val="0"/>
        </w:numPr>
        <w:rPr>
          <w:rFonts w:ascii="Century" w:hAnsi="Century"/>
          <w:sz w:val="22"/>
        </w:rPr>
      </w:pPr>
    </w:p>
    <w:p w:rsidR="00F05533" w:rsidRPr="004D440F" w:rsidRDefault="00F05533" w:rsidP="00F05533">
      <w:pPr>
        <w:pStyle w:val="Ruller4"/>
        <w:rPr>
          <w:rFonts w:ascii="Century" w:hAnsi="Century"/>
          <w:sz w:val="22"/>
        </w:rPr>
      </w:pPr>
      <w:r w:rsidRPr="00EF0F6B">
        <w:rPr>
          <w:rFonts w:ascii="Century" w:hAnsi="Century" w:hint="cs"/>
          <w:sz w:val="22"/>
          <w:rtl/>
        </w:rPr>
        <w:t xml:space="preserve">עיקרון המהות הכלכלית וכלל ההתעלמות מעסקה מלאכותית פועלים באופנים שונים ונבדלים זה מזה. עיקרון המהות הכלכלית מסמיך </w:t>
      </w:r>
      <w:r w:rsidRPr="00EF0F6B">
        <w:rPr>
          <w:rFonts w:ascii="Century" w:hAnsi="Century"/>
          <w:sz w:val="22"/>
          <w:rtl/>
        </w:rPr>
        <w:t>–</w:t>
      </w:r>
      <w:r w:rsidRPr="00EF0F6B">
        <w:rPr>
          <w:rFonts w:ascii="Century" w:hAnsi="Century" w:hint="cs"/>
          <w:sz w:val="22"/>
          <w:rtl/>
        </w:rPr>
        <w:t xml:space="preserve"> ולדידי, גם מחייב </w:t>
      </w:r>
      <w:r w:rsidRPr="00EF0F6B">
        <w:rPr>
          <w:rFonts w:ascii="Century" w:hAnsi="Century"/>
          <w:sz w:val="22"/>
          <w:rtl/>
        </w:rPr>
        <w:t>–</w:t>
      </w:r>
      <w:r w:rsidRPr="00EF0F6B">
        <w:rPr>
          <w:rFonts w:ascii="Century" w:hAnsi="Century" w:hint="cs"/>
          <w:sz w:val="22"/>
          <w:rtl/>
        </w:rPr>
        <w:t xml:space="preserve"> את פקיד השומה לבחון את העסקה שלפניו </w:t>
      </w:r>
      <w:r>
        <w:rPr>
          <w:rFonts w:ascii="Century" w:hAnsi="Century" w:hint="cs"/>
          <w:sz w:val="22"/>
          <w:rtl/>
        </w:rPr>
        <w:t>לאור</w:t>
      </w:r>
      <w:r w:rsidRPr="00EF0F6B">
        <w:rPr>
          <w:rFonts w:ascii="Century" w:hAnsi="Century" w:hint="cs"/>
          <w:sz w:val="22"/>
          <w:rtl/>
        </w:rPr>
        <w:t xml:space="preserve"> </w:t>
      </w:r>
      <w:r>
        <w:rPr>
          <w:rFonts w:ascii="Century" w:hAnsi="Century" w:hint="cs"/>
          <w:sz w:val="22"/>
          <w:rtl/>
        </w:rPr>
        <w:t>מהותה</w:t>
      </w:r>
      <w:r w:rsidRPr="00EF0F6B">
        <w:rPr>
          <w:rFonts w:ascii="Century" w:hAnsi="Century" w:hint="cs"/>
          <w:sz w:val="22"/>
          <w:rtl/>
        </w:rPr>
        <w:t xml:space="preserve"> הכלכלית מבלי להתחשב בלבושה המשפטי הפורמלי </w:t>
      </w:r>
      <w:r>
        <w:rPr>
          <w:rFonts w:hint="cs"/>
          <w:rtl/>
        </w:rPr>
        <w:t xml:space="preserve">(ראו, למשל: ע"א 6722/99 </w:t>
      </w:r>
      <w:r w:rsidRPr="00EF0F6B">
        <w:rPr>
          <w:rFonts w:ascii="Century" w:hAnsi="Century" w:cs="Miriam" w:hint="cs"/>
          <w:b/>
          <w:spacing w:val="0"/>
          <w:sz w:val="22"/>
          <w:szCs w:val="24"/>
          <w:rtl/>
        </w:rPr>
        <w:t>מנהל מס ערך מוסף תל-אביב נ' משכנות כלל מגדלי הים התיכון בע"מ</w:t>
      </w:r>
      <w:r w:rsidRPr="00EF0F6B">
        <w:rPr>
          <w:rFonts w:ascii="Century" w:hAnsi="Century" w:hint="cs"/>
          <w:sz w:val="22"/>
          <w:rtl/>
        </w:rPr>
        <w:t xml:space="preserve">, פ"ד נח(3) 341, 347 והאסמכתאות שם (2004) </w:t>
      </w:r>
      <w:r>
        <w:rPr>
          <w:rFonts w:hint="cs"/>
          <w:rtl/>
        </w:rPr>
        <w:t xml:space="preserve">(להלן: עניין </w:t>
      </w:r>
      <w:r w:rsidRPr="00EF0F6B">
        <w:rPr>
          <w:rFonts w:ascii="Century" w:hAnsi="Century" w:cs="Miriam" w:hint="cs"/>
          <w:b/>
          <w:spacing w:val="0"/>
          <w:sz w:val="22"/>
          <w:szCs w:val="24"/>
          <w:rtl/>
        </w:rPr>
        <w:t>מגדלי הים התיכון</w:t>
      </w:r>
      <w:r>
        <w:rPr>
          <w:rFonts w:hint="cs"/>
          <w:rtl/>
        </w:rPr>
        <w:t xml:space="preserve">); </w:t>
      </w:r>
      <w:r w:rsidRPr="00EF0F6B">
        <w:rPr>
          <w:rFonts w:ascii="Century" w:hAnsi="Century" w:hint="cs"/>
          <w:sz w:val="22"/>
          <w:rtl/>
        </w:rPr>
        <w:t xml:space="preserve">ע"א 3815/99 </w:t>
      </w:r>
      <w:r w:rsidRPr="00EF0F6B">
        <w:rPr>
          <w:rFonts w:ascii="Century" w:hAnsi="Century" w:cs="Miriam" w:hint="cs"/>
          <w:b/>
          <w:spacing w:val="0"/>
          <w:sz w:val="22"/>
          <w:szCs w:val="24"/>
          <w:rtl/>
        </w:rPr>
        <w:t>טובי נ' מנהל מס שבח מקרקעין</w:t>
      </w:r>
      <w:r w:rsidRPr="00EF0F6B">
        <w:rPr>
          <w:rFonts w:ascii="Century" w:hAnsi="Century" w:hint="cs"/>
          <w:sz w:val="22"/>
          <w:rtl/>
        </w:rPr>
        <w:t xml:space="preserve">, פ"ד </w:t>
      </w:r>
      <w:proofErr w:type="spellStart"/>
      <w:r w:rsidRPr="00EF0F6B">
        <w:rPr>
          <w:rFonts w:ascii="Century" w:hAnsi="Century" w:hint="cs"/>
          <w:sz w:val="22"/>
          <w:rtl/>
        </w:rPr>
        <w:t>נז</w:t>
      </w:r>
      <w:proofErr w:type="spellEnd"/>
      <w:r w:rsidRPr="00EF0F6B">
        <w:rPr>
          <w:rFonts w:ascii="Century" w:hAnsi="Century" w:hint="cs"/>
          <w:sz w:val="22"/>
          <w:rtl/>
        </w:rPr>
        <w:t>(6) 108, 126 (2003) (</w:t>
      </w:r>
      <w:r>
        <w:rPr>
          <w:rFonts w:ascii="Century" w:hAnsi="Century" w:hint="cs"/>
          <w:sz w:val="22"/>
          <w:rtl/>
        </w:rPr>
        <w:t xml:space="preserve">להלן: </w:t>
      </w:r>
      <w:r w:rsidRPr="00EF0F6B">
        <w:rPr>
          <w:rFonts w:ascii="Century" w:hAnsi="Century" w:hint="cs"/>
          <w:sz w:val="22"/>
          <w:rtl/>
        </w:rPr>
        <w:t xml:space="preserve">עניין </w:t>
      </w:r>
      <w:r w:rsidRPr="00EF0F6B">
        <w:rPr>
          <w:rFonts w:ascii="Century" w:hAnsi="Century" w:cs="Miriam" w:hint="cs"/>
          <w:b/>
          <w:spacing w:val="0"/>
          <w:sz w:val="22"/>
          <w:szCs w:val="24"/>
          <w:rtl/>
        </w:rPr>
        <w:t>טובי</w:t>
      </w:r>
      <w:r>
        <w:rPr>
          <w:rFonts w:hint="cs"/>
          <w:rtl/>
        </w:rPr>
        <w:t xml:space="preserve">); ע"א 750/16 </w:t>
      </w:r>
      <w:proofErr w:type="spellStart"/>
      <w:r w:rsidRPr="00EF0F6B">
        <w:rPr>
          <w:rFonts w:ascii="Century" w:hAnsi="Century" w:cs="Miriam" w:hint="cs"/>
          <w:b/>
          <w:spacing w:val="0"/>
          <w:sz w:val="22"/>
          <w:szCs w:val="24"/>
          <w:rtl/>
        </w:rPr>
        <w:t>סעדטמנד</w:t>
      </w:r>
      <w:proofErr w:type="spellEnd"/>
      <w:r w:rsidRPr="00EF0F6B">
        <w:rPr>
          <w:rFonts w:ascii="Century" w:hAnsi="Century" w:cs="Miriam" w:hint="cs"/>
          <w:b/>
          <w:spacing w:val="0"/>
          <w:sz w:val="22"/>
          <w:szCs w:val="24"/>
          <w:rtl/>
        </w:rPr>
        <w:t xml:space="preserve"> נ' פקיד שומה רחובות</w:t>
      </w:r>
      <w:r>
        <w:rPr>
          <w:rFonts w:hint="cs"/>
          <w:rtl/>
        </w:rPr>
        <w:t xml:space="preserve">, פסקה 5 והאסמכתאות שם (28.2.2019) (להלן: עניין </w:t>
      </w:r>
      <w:proofErr w:type="spellStart"/>
      <w:r w:rsidRPr="00EF0F6B">
        <w:rPr>
          <w:rFonts w:ascii="Century" w:hAnsi="Century" w:cs="Miriam" w:hint="cs"/>
          <w:b/>
          <w:spacing w:val="0"/>
          <w:sz w:val="22"/>
          <w:szCs w:val="24"/>
          <w:rtl/>
        </w:rPr>
        <w:t>סעדטמנד</w:t>
      </w:r>
      <w:proofErr w:type="spellEnd"/>
      <w:r>
        <w:rPr>
          <w:rFonts w:hint="cs"/>
          <w:rtl/>
        </w:rPr>
        <w:t xml:space="preserve">); ע"א 5025/03 </w:t>
      </w:r>
      <w:r w:rsidRPr="00EF0F6B">
        <w:rPr>
          <w:rFonts w:ascii="Century" w:hAnsi="Century" w:cs="Miriam" w:hint="cs"/>
          <w:b/>
          <w:spacing w:val="0"/>
          <w:sz w:val="22"/>
          <w:szCs w:val="24"/>
          <w:rtl/>
        </w:rPr>
        <w:t xml:space="preserve">מנהל מיסוי מקרקעין אזור תל אביב נ' אורלי חברה </w:t>
      </w:r>
      <w:proofErr w:type="spellStart"/>
      <w:r w:rsidRPr="00EF0F6B">
        <w:rPr>
          <w:rFonts w:ascii="Century" w:hAnsi="Century" w:cs="Miriam" w:hint="cs"/>
          <w:b/>
          <w:spacing w:val="0"/>
          <w:sz w:val="22"/>
          <w:szCs w:val="24"/>
          <w:rtl/>
        </w:rPr>
        <w:t>לבנין</w:t>
      </w:r>
      <w:proofErr w:type="spellEnd"/>
      <w:r w:rsidRPr="00EF0F6B">
        <w:rPr>
          <w:rFonts w:ascii="Century" w:hAnsi="Century" w:cs="Miriam" w:hint="cs"/>
          <w:b/>
          <w:spacing w:val="0"/>
          <w:sz w:val="22"/>
          <w:szCs w:val="24"/>
          <w:rtl/>
        </w:rPr>
        <w:t xml:space="preserve"> ופיתוח בע"מ</w:t>
      </w:r>
      <w:r w:rsidRPr="00EF0F6B">
        <w:rPr>
          <w:rFonts w:ascii="Century" w:hAnsi="Century" w:hint="cs"/>
          <w:sz w:val="22"/>
          <w:rtl/>
        </w:rPr>
        <w:t xml:space="preserve">, פסקה 7 והאסמכתאות שם (16.8.2006) (להלן: עניין </w:t>
      </w:r>
      <w:r w:rsidRPr="00EF0F6B">
        <w:rPr>
          <w:rFonts w:ascii="Century" w:hAnsi="Century" w:cs="Miriam" w:hint="cs"/>
          <w:b/>
          <w:spacing w:val="0"/>
          <w:sz w:val="22"/>
          <w:szCs w:val="24"/>
          <w:rtl/>
        </w:rPr>
        <w:t>אורלי</w:t>
      </w:r>
      <w:r>
        <w:rPr>
          <w:rFonts w:hint="cs"/>
          <w:rtl/>
        </w:rPr>
        <w:t xml:space="preserve">); עניין </w:t>
      </w:r>
      <w:proofErr w:type="spellStart"/>
      <w:r w:rsidRPr="00041E5E">
        <w:rPr>
          <w:rFonts w:ascii="Century" w:hAnsi="Century" w:cs="Miriam" w:hint="eastAsia"/>
          <w:b/>
          <w:spacing w:val="0"/>
          <w:sz w:val="22"/>
          <w:szCs w:val="24"/>
          <w:rtl/>
        </w:rPr>
        <w:t>ריזמן</w:t>
      </w:r>
      <w:proofErr w:type="spellEnd"/>
      <w:r>
        <w:rPr>
          <w:rFonts w:hint="cs"/>
          <w:rtl/>
        </w:rPr>
        <w:t>, פסקה 84 לפסק דיני).</w:t>
      </w:r>
      <w:r w:rsidRPr="00EF0F6B">
        <w:rPr>
          <w:rFonts w:ascii="Century" w:hAnsi="Century" w:hint="cs"/>
          <w:sz w:val="22"/>
          <w:rtl/>
        </w:rPr>
        <w:t xml:space="preserve"> בהפעילו סמכות זו, נהנה פקיד השומה, ככל רשו</w:t>
      </w:r>
      <w:r>
        <w:rPr>
          <w:rFonts w:ascii="Century" w:hAnsi="Century" w:hint="cs"/>
          <w:sz w:val="22"/>
          <w:rtl/>
        </w:rPr>
        <w:t>יו</w:t>
      </w:r>
      <w:r w:rsidRPr="00EF0F6B">
        <w:rPr>
          <w:rFonts w:ascii="Century" w:hAnsi="Century" w:hint="cs"/>
          <w:sz w:val="22"/>
          <w:rtl/>
        </w:rPr>
        <w:t xml:space="preserve">ת </w:t>
      </w:r>
      <w:r>
        <w:rPr>
          <w:rFonts w:ascii="Century" w:hAnsi="Century" w:hint="cs"/>
          <w:sz w:val="22"/>
          <w:rtl/>
        </w:rPr>
        <w:t>המדינה</w:t>
      </w:r>
      <w:r w:rsidRPr="00EF0F6B">
        <w:rPr>
          <w:rFonts w:ascii="Century" w:hAnsi="Century" w:hint="cs"/>
          <w:sz w:val="22"/>
          <w:rtl/>
        </w:rPr>
        <w:t xml:space="preserve">, מחזקת התקינות </w:t>
      </w:r>
      <w:proofErr w:type="spellStart"/>
      <w:r w:rsidRPr="00EF0F6B">
        <w:rPr>
          <w:rFonts w:ascii="Century" w:hAnsi="Century" w:hint="cs"/>
          <w:sz w:val="22"/>
          <w:rtl/>
        </w:rPr>
        <w:t>המינהלית</w:t>
      </w:r>
      <w:proofErr w:type="spellEnd"/>
      <w:r w:rsidRPr="00EF0F6B">
        <w:rPr>
          <w:rFonts w:ascii="Century" w:hAnsi="Century" w:hint="cs"/>
          <w:sz w:val="22"/>
          <w:rtl/>
        </w:rPr>
        <w:t xml:space="preserve"> (</w:t>
      </w:r>
      <w:proofErr w:type="spellStart"/>
      <w:r w:rsidRPr="00EF0F6B">
        <w:rPr>
          <w:rFonts w:asciiTheme="majorBidi" w:hAnsiTheme="majorBidi" w:cstheme="majorBidi"/>
          <w:szCs w:val="24"/>
        </w:rPr>
        <w:t>omnia</w:t>
      </w:r>
      <w:proofErr w:type="spellEnd"/>
      <w:r w:rsidRPr="00EF0F6B">
        <w:rPr>
          <w:rFonts w:asciiTheme="majorBidi" w:hAnsiTheme="majorBidi" w:cstheme="majorBidi"/>
          <w:szCs w:val="24"/>
        </w:rPr>
        <w:t xml:space="preserve"> </w:t>
      </w:r>
      <w:proofErr w:type="spellStart"/>
      <w:r w:rsidRPr="00EF0F6B">
        <w:rPr>
          <w:rFonts w:asciiTheme="majorBidi" w:hAnsiTheme="majorBidi" w:cstheme="majorBidi"/>
          <w:szCs w:val="24"/>
        </w:rPr>
        <w:t>praesumuntur</w:t>
      </w:r>
      <w:proofErr w:type="spellEnd"/>
      <w:r w:rsidRPr="00EF0F6B">
        <w:rPr>
          <w:rFonts w:asciiTheme="majorBidi" w:hAnsiTheme="majorBidi" w:cstheme="majorBidi"/>
          <w:szCs w:val="24"/>
        </w:rPr>
        <w:t xml:space="preserve"> rite </w:t>
      </w:r>
      <w:proofErr w:type="spellStart"/>
      <w:r w:rsidRPr="00EF0F6B">
        <w:rPr>
          <w:rFonts w:asciiTheme="majorBidi" w:hAnsiTheme="majorBidi" w:cstheme="majorBidi"/>
          <w:szCs w:val="24"/>
        </w:rPr>
        <w:t>esse</w:t>
      </w:r>
      <w:proofErr w:type="spellEnd"/>
      <w:r w:rsidRPr="00EF0F6B">
        <w:rPr>
          <w:rFonts w:asciiTheme="majorBidi" w:hAnsiTheme="majorBidi" w:cstheme="majorBidi"/>
          <w:szCs w:val="24"/>
        </w:rPr>
        <w:t xml:space="preserve"> </w:t>
      </w:r>
      <w:proofErr w:type="spellStart"/>
      <w:r w:rsidRPr="00EF0F6B">
        <w:rPr>
          <w:rFonts w:asciiTheme="majorBidi" w:hAnsiTheme="majorBidi" w:cstheme="majorBidi"/>
          <w:szCs w:val="24"/>
        </w:rPr>
        <w:t>acta</w:t>
      </w:r>
      <w:proofErr w:type="spellEnd"/>
      <w:r w:rsidRPr="00EF0F6B">
        <w:rPr>
          <w:rFonts w:ascii="Century" w:hAnsi="Century" w:hint="cs"/>
          <w:sz w:val="22"/>
          <w:rtl/>
        </w:rPr>
        <w:t xml:space="preserve">) אשר משימה על כתפי הנישום המתנגד להחלטת פקיד השומה את הנטל להוכיח שהפקיד טעה או הפעיל את סמכותו שלא כהלכה (ראו: </w:t>
      </w:r>
      <w:r w:rsidRPr="00EF0F6B">
        <w:rPr>
          <w:rFonts w:ascii="Century" w:hAnsi="Century" w:hint="eastAsia"/>
          <w:sz w:val="22"/>
          <w:rtl/>
        </w:rPr>
        <w:t>רע</w:t>
      </w:r>
      <w:r w:rsidRPr="00EF0F6B">
        <w:rPr>
          <w:rFonts w:ascii="Century" w:hAnsi="Century"/>
          <w:sz w:val="22"/>
          <w:rtl/>
        </w:rPr>
        <w:t>"</w:t>
      </w:r>
      <w:r w:rsidRPr="00EF0F6B">
        <w:rPr>
          <w:rFonts w:ascii="Century" w:hAnsi="Century" w:hint="eastAsia"/>
          <w:sz w:val="22"/>
          <w:rtl/>
        </w:rPr>
        <w:t>א</w:t>
      </w:r>
      <w:r w:rsidRPr="00EF0F6B">
        <w:rPr>
          <w:rFonts w:ascii="Century" w:hAnsi="Century"/>
          <w:sz w:val="22"/>
          <w:rtl/>
        </w:rPr>
        <w:t xml:space="preserve"> 1436/90 </w:t>
      </w:r>
      <w:r w:rsidRPr="00EF0F6B">
        <w:rPr>
          <w:rFonts w:ascii="Century" w:hAnsi="Century" w:cs="Miriam" w:hint="eastAsia"/>
          <w:b/>
          <w:spacing w:val="0"/>
          <w:sz w:val="22"/>
          <w:szCs w:val="24"/>
          <w:rtl/>
        </w:rPr>
        <w:t>ארד</w:t>
      </w:r>
      <w:r w:rsidRPr="00EF0F6B">
        <w:rPr>
          <w:rFonts w:ascii="Century" w:hAnsi="Century" w:cs="Miriam"/>
          <w:b/>
          <w:spacing w:val="0"/>
          <w:sz w:val="22"/>
          <w:szCs w:val="24"/>
          <w:rtl/>
        </w:rPr>
        <w:t xml:space="preserve"> </w:t>
      </w:r>
      <w:r w:rsidRPr="00EF0F6B">
        <w:rPr>
          <w:rFonts w:ascii="Century" w:hAnsi="Century" w:cs="Miriam" w:hint="eastAsia"/>
          <w:b/>
          <w:spacing w:val="0"/>
          <w:sz w:val="22"/>
          <w:szCs w:val="24"/>
          <w:rtl/>
        </w:rPr>
        <w:t>נ</w:t>
      </w:r>
      <w:r w:rsidRPr="00EF0F6B">
        <w:rPr>
          <w:rFonts w:ascii="Century" w:hAnsi="Century" w:cs="Miriam"/>
          <w:b/>
          <w:spacing w:val="0"/>
          <w:sz w:val="22"/>
          <w:szCs w:val="24"/>
          <w:rtl/>
        </w:rPr>
        <w:t xml:space="preserve">' </w:t>
      </w:r>
      <w:r>
        <w:rPr>
          <w:rFonts w:ascii="Century" w:hAnsi="Century" w:cs="Miriam" w:hint="eastAsia"/>
          <w:b/>
          <w:spacing w:val="0"/>
          <w:sz w:val="22"/>
          <w:szCs w:val="24"/>
          <w:rtl/>
        </w:rPr>
        <w:t>מ</w:t>
      </w:r>
      <w:r w:rsidRPr="00EF0F6B">
        <w:rPr>
          <w:rFonts w:ascii="Century" w:hAnsi="Century" w:cs="Miriam" w:hint="eastAsia"/>
          <w:b/>
          <w:spacing w:val="0"/>
          <w:sz w:val="22"/>
          <w:szCs w:val="24"/>
          <w:rtl/>
        </w:rPr>
        <w:t>נהל</w:t>
      </w:r>
      <w:r w:rsidRPr="00EF0F6B">
        <w:rPr>
          <w:rFonts w:ascii="Century" w:hAnsi="Century" w:cs="Miriam"/>
          <w:b/>
          <w:spacing w:val="0"/>
          <w:sz w:val="22"/>
          <w:szCs w:val="24"/>
          <w:rtl/>
        </w:rPr>
        <w:t xml:space="preserve"> </w:t>
      </w:r>
      <w:r w:rsidRPr="00EF0F6B">
        <w:rPr>
          <w:rFonts w:ascii="Century" w:hAnsi="Century" w:cs="Miriam" w:hint="eastAsia"/>
          <w:b/>
          <w:spacing w:val="0"/>
          <w:sz w:val="22"/>
          <w:szCs w:val="24"/>
          <w:rtl/>
        </w:rPr>
        <w:t>מס</w:t>
      </w:r>
      <w:r w:rsidRPr="00EF0F6B">
        <w:rPr>
          <w:rFonts w:ascii="Century" w:hAnsi="Century" w:cs="Miriam"/>
          <w:b/>
          <w:spacing w:val="0"/>
          <w:sz w:val="22"/>
          <w:szCs w:val="24"/>
          <w:rtl/>
        </w:rPr>
        <w:t xml:space="preserve"> </w:t>
      </w:r>
      <w:r w:rsidRPr="00EF0F6B">
        <w:rPr>
          <w:rFonts w:ascii="Century" w:hAnsi="Century" w:cs="Miriam" w:hint="eastAsia"/>
          <w:b/>
          <w:spacing w:val="0"/>
          <w:sz w:val="22"/>
          <w:szCs w:val="24"/>
          <w:rtl/>
        </w:rPr>
        <w:t>ערך</w:t>
      </w:r>
      <w:r w:rsidRPr="00EF0F6B">
        <w:rPr>
          <w:rFonts w:ascii="Century" w:hAnsi="Century" w:cs="Miriam"/>
          <w:b/>
          <w:spacing w:val="0"/>
          <w:sz w:val="22"/>
          <w:szCs w:val="24"/>
          <w:rtl/>
        </w:rPr>
        <w:t xml:space="preserve"> </w:t>
      </w:r>
      <w:r w:rsidRPr="00EF0F6B">
        <w:rPr>
          <w:rFonts w:ascii="Century" w:hAnsi="Century" w:cs="Miriam" w:hint="eastAsia"/>
          <w:b/>
          <w:spacing w:val="0"/>
          <w:sz w:val="22"/>
          <w:szCs w:val="24"/>
          <w:rtl/>
        </w:rPr>
        <w:t>מוסף</w:t>
      </w:r>
      <w:r w:rsidRPr="00EF0F6B">
        <w:rPr>
          <w:rFonts w:ascii="Century" w:hAnsi="Century"/>
          <w:sz w:val="22"/>
          <w:rtl/>
        </w:rPr>
        <w:t xml:space="preserve">, </w:t>
      </w:r>
      <w:r w:rsidRPr="00EF0F6B">
        <w:rPr>
          <w:rFonts w:ascii="Century" w:hAnsi="Century" w:hint="eastAsia"/>
          <w:sz w:val="22"/>
          <w:rtl/>
        </w:rPr>
        <w:t>פ</w:t>
      </w:r>
      <w:r w:rsidRPr="00EF0F6B">
        <w:rPr>
          <w:rFonts w:ascii="Century" w:hAnsi="Century"/>
          <w:sz w:val="22"/>
          <w:rtl/>
        </w:rPr>
        <w:t>"</w:t>
      </w:r>
      <w:r w:rsidRPr="00EF0F6B">
        <w:rPr>
          <w:rFonts w:ascii="Century" w:hAnsi="Century" w:hint="eastAsia"/>
          <w:sz w:val="22"/>
          <w:rtl/>
        </w:rPr>
        <w:t>ד</w:t>
      </w:r>
      <w:r w:rsidRPr="00EF0F6B">
        <w:rPr>
          <w:rFonts w:ascii="Century" w:hAnsi="Century"/>
          <w:sz w:val="22"/>
          <w:rtl/>
        </w:rPr>
        <w:t xml:space="preserve"> </w:t>
      </w:r>
      <w:r w:rsidRPr="00EF0F6B">
        <w:rPr>
          <w:rFonts w:ascii="Century" w:hAnsi="Century" w:hint="eastAsia"/>
          <w:sz w:val="22"/>
          <w:rtl/>
        </w:rPr>
        <w:t>מו</w:t>
      </w:r>
      <w:r w:rsidRPr="00EF0F6B">
        <w:rPr>
          <w:rFonts w:ascii="Century" w:hAnsi="Century"/>
          <w:sz w:val="22"/>
          <w:rtl/>
        </w:rPr>
        <w:t>(5) 101, 108-107 (1992)</w:t>
      </w:r>
      <w:r w:rsidRPr="00EF0F6B">
        <w:rPr>
          <w:rFonts w:ascii="Century" w:hAnsi="Century" w:hint="cs"/>
          <w:sz w:val="22"/>
          <w:rtl/>
        </w:rPr>
        <w:t xml:space="preserve">; </w:t>
      </w:r>
      <w:r w:rsidRPr="00EF0F6B">
        <w:rPr>
          <w:rFonts w:ascii="Century" w:hAnsi="Century"/>
          <w:sz w:val="22"/>
          <w:rtl/>
        </w:rPr>
        <w:t xml:space="preserve">ע"א 11125/08 </w:t>
      </w:r>
      <w:r w:rsidRPr="00EF0F6B">
        <w:rPr>
          <w:rFonts w:ascii="Century" w:hAnsi="Century" w:cs="Miriam"/>
          <w:b/>
          <w:spacing w:val="0"/>
          <w:sz w:val="22"/>
          <w:szCs w:val="24"/>
          <w:rtl/>
        </w:rPr>
        <w:t xml:space="preserve">קווי נדל"ן </w:t>
      </w:r>
      <w:proofErr w:type="spellStart"/>
      <w:r w:rsidRPr="00EF0F6B">
        <w:rPr>
          <w:rFonts w:ascii="Century" w:hAnsi="Century" w:cs="Miriam"/>
          <w:b/>
          <w:spacing w:val="0"/>
          <w:sz w:val="22"/>
          <w:szCs w:val="24"/>
          <w:rtl/>
        </w:rPr>
        <w:t>גינדי</w:t>
      </w:r>
      <w:proofErr w:type="spellEnd"/>
      <w:r w:rsidRPr="00EF0F6B">
        <w:rPr>
          <w:rFonts w:ascii="Century" w:hAnsi="Century" w:cs="Miriam" w:hint="cs"/>
          <w:b/>
          <w:spacing w:val="0"/>
          <w:sz w:val="22"/>
          <w:szCs w:val="24"/>
          <w:rtl/>
        </w:rPr>
        <w:t xml:space="preserve"> </w:t>
      </w:r>
      <w:r w:rsidRPr="00EF0F6B">
        <w:rPr>
          <w:rFonts w:ascii="Century" w:hAnsi="Century" w:cs="Miriam"/>
          <w:b/>
          <w:spacing w:val="0"/>
          <w:sz w:val="22"/>
          <w:szCs w:val="24"/>
          <w:rtl/>
        </w:rPr>
        <w:t xml:space="preserve">– </w:t>
      </w:r>
      <w:r w:rsidRPr="00EF0F6B">
        <w:rPr>
          <w:rFonts w:ascii="Century" w:hAnsi="Century" w:cs="Miriam" w:hint="cs"/>
          <w:b/>
          <w:spacing w:val="0"/>
          <w:sz w:val="22"/>
          <w:szCs w:val="24"/>
          <w:rtl/>
        </w:rPr>
        <w:t>י</w:t>
      </w:r>
      <w:r w:rsidRPr="00EF0F6B">
        <w:rPr>
          <w:rFonts w:ascii="Century" w:hAnsi="Century" w:cs="Miriam"/>
          <w:b/>
          <w:spacing w:val="0"/>
          <w:sz w:val="22"/>
          <w:szCs w:val="24"/>
          <w:rtl/>
        </w:rPr>
        <w:t>רון בע"מ נ' מנהל מיסוי מקרקעין רחובות</w:t>
      </w:r>
      <w:r>
        <w:rPr>
          <w:rFonts w:ascii="Century" w:hAnsi="Century" w:hint="cs"/>
          <w:sz w:val="22"/>
          <w:rtl/>
        </w:rPr>
        <w:t>,</w:t>
      </w:r>
      <w:r w:rsidRPr="00EF0F6B">
        <w:rPr>
          <w:rFonts w:ascii="Century" w:hAnsi="Century" w:cs="Miriam"/>
          <w:b/>
          <w:spacing w:val="0"/>
          <w:sz w:val="22"/>
          <w:szCs w:val="24"/>
          <w:rtl/>
        </w:rPr>
        <w:t xml:space="preserve"> </w:t>
      </w:r>
      <w:r w:rsidRPr="00EF0F6B">
        <w:rPr>
          <w:rFonts w:ascii="Century" w:hAnsi="Century" w:hint="cs"/>
          <w:sz w:val="22"/>
          <w:rtl/>
        </w:rPr>
        <w:t>פסקה 9</w:t>
      </w:r>
      <w:r w:rsidRPr="00EF0F6B">
        <w:rPr>
          <w:rFonts w:ascii="Century" w:hAnsi="Century"/>
          <w:sz w:val="22"/>
          <w:rtl/>
        </w:rPr>
        <w:t xml:space="preserve"> (21.</w:t>
      </w:r>
      <w:r w:rsidRPr="00EF0F6B">
        <w:rPr>
          <w:rFonts w:ascii="Century" w:hAnsi="Century" w:hint="cs"/>
          <w:sz w:val="22"/>
          <w:rtl/>
        </w:rPr>
        <w:t>7</w:t>
      </w:r>
      <w:r w:rsidRPr="00EF0F6B">
        <w:rPr>
          <w:rFonts w:ascii="Century" w:hAnsi="Century"/>
          <w:sz w:val="22"/>
          <w:rtl/>
        </w:rPr>
        <w:t>.2011)</w:t>
      </w:r>
      <w:r w:rsidRPr="00EF0F6B">
        <w:rPr>
          <w:rFonts w:ascii="Century" w:hAnsi="Century" w:hint="cs"/>
          <w:sz w:val="22"/>
          <w:rtl/>
        </w:rPr>
        <w:t xml:space="preserve">; </w:t>
      </w:r>
      <w:r w:rsidRPr="00EF0F6B">
        <w:rPr>
          <w:rFonts w:ascii="Century" w:hAnsi="Century"/>
          <w:sz w:val="22"/>
          <w:rtl/>
        </w:rPr>
        <w:t xml:space="preserve">ע"א 8500/10 </w:t>
      </w:r>
      <w:r w:rsidRPr="00EF0F6B">
        <w:rPr>
          <w:rFonts w:ascii="Century" w:hAnsi="Century" w:cs="Miriam"/>
          <w:b/>
          <w:spacing w:val="0"/>
          <w:sz w:val="22"/>
          <w:szCs w:val="24"/>
          <w:rtl/>
        </w:rPr>
        <w:t>פרל נ' פקיד שומה 1 ירושלים</w:t>
      </w:r>
      <w:r w:rsidRPr="00EF0F6B">
        <w:rPr>
          <w:rFonts w:ascii="Century" w:hAnsi="Century" w:hint="cs"/>
          <w:sz w:val="22"/>
          <w:rtl/>
        </w:rPr>
        <w:t>, פסקה 55</w:t>
      </w:r>
      <w:r w:rsidRPr="00EF0F6B">
        <w:rPr>
          <w:rFonts w:ascii="Century" w:hAnsi="Century"/>
          <w:sz w:val="22"/>
          <w:rtl/>
        </w:rPr>
        <w:t xml:space="preserve"> (10.</w:t>
      </w:r>
      <w:r w:rsidRPr="00EF0F6B">
        <w:rPr>
          <w:rFonts w:ascii="Century" w:hAnsi="Century" w:hint="cs"/>
          <w:sz w:val="22"/>
          <w:rtl/>
        </w:rPr>
        <w:t>9</w:t>
      </w:r>
      <w:r w:rsidRPr="00EF0F6B">
        <w:rPr>
          <w:rFonts w:ascii="Century" w:hAnsi="Century"/>
          <w:sz w:val="22"/>
          <w:rtl/>
        </w:rPr>
        <w:t>.2012)</w:t>
      </w:r>
      <w:r>
        <w:rPr>
          <w:rFonts w:ascii="Century" w:hAnsi="Century" w:hint="cs"/>
          <w:sz w:val="22"/>
          <w:rtl/>
        </w:rPr>
        <w:t xml:space="preserve"> (להלן: עניין </w:t>
      </w:r>
      <w:r w:rsidRPr="00041E5E">
        <w:rPr>
          <w:rFonts w:ascii="Century" w:hAnsi="Century" w:cs="Miriam" w:hint="eastAsia"/>
          <w:b/>
          <w:spacing w:val="0"/>
          <w:sz w:val="22"/>
          <w:szCs w:val="24"/>
          <w:rtl/>
        </w:rPr>
        <w:t>פרל</w:t>
      </w:r>
      <w:r>
        <w:rPr>
          <w:rFonts w:ascii="Century" w:hAnsi="Century" w:hint="cs"/>
          <w:sz w:val="22"/>
          <w:rtl/>
        </w:rPr>
        <w:t>)</w:t>
      </w:r>
      <w:r w:rsidRPr="00EF0F6B">
        <w:rPr>
          <w:rFonts w:ascii="Century" w:hAnsi="Century" w:hint="cs"/>
          <w:sz w:val="22"/>
          <w:rtl/>
        </w:rPr>
        <w:t xml:space="preserve">; </w:t>
      </w:r>
      <w:r w:rsidRPr="00EF0F6B">
        <w:rPr>
          <w:rFonts w:ascii="Century" w:hAnsi="Century"/>
          <w:sz w:val="22"/>
          <w:rtl/>
        </w:rPr>
        <w:t xml:space="preserve">ע"א 4378/11 </w:t>
      </w:r>
      <w:r w:rsidRPr="00EF0F6B">
        <w:rPr>
          <w:rFonts w:ascii="Century" w:hAnsi="Century" w:cs="Miriam"/>
          <w:b/>
          <w:spacing w:val="0"/>
          <w:sz w:val="22"/>
          <w:szCs w:val="24"/>
          <w:rtl/>
        </w:rPr>
        <w:t>מנהל  מיסוי מקרקעין רחובות נ' תפוח פז פיתוח נדל"ן</w:t>
      </w:r>
      <w:r w:rsidRPr="00EF0F6B">
        <w:rPr>
          <w:rFonts w:ascii="Century" w:hAnsi="Century" w:hint="cs"/>
          <w:sz w:val="22"/>
          <w:rtl/>
        </w:rPr>
        <w:t xml:space="preserve">, </w:t>
      </w:r>
      <w:r w:rsidRPr="0099386A">
        <w:rPr>
          <w:rFonts w:ascii="Century" w:hAnsi="Century" w:hint="cs"/>
          <w:sz w:val="22"/>
          <w:rtl/>
        </w:rPr>
        <w:t>פסקה 5</w:t>
      </w:r>
      <w:r w:rsidRPr="0099386A">
        <w:rPr>
          <w:rFonts w:ascii="Century" w:hAnsi="Century"/>
          <w:sz w:val="22"/>
          <w:rtl/>
        </w:rPr>
        <w:t xml:space="preserve"> (</w:t>
      </w:r>
      <w:r w:rsidRPr="0099386A">
        <w:rPr>
          <w:rFonts w:ascii="Century" w:hAnsi="Century" w:hint="cs"/>
          <w:sz w:val="22"/>
          <w:rtl/>
        </w:rPr>
        <w:t>2</w:t>
      </w:r>
      <w:r w:rsidRPr="0099386A">
        <w:rPr>
          <w:rFonts w:ascii="Century" w:hAnsi="Century"/>
          <w:sz w:val="22"/>
          <w:rtl/>
        </w:rPr>
        <w:t>.</w:t>
      </w:r>
      <w:r w:rsidRPr="0099386A">
        <w:rPr>
          <w:rFonts w:ascii="Century" w:hAnsi="Century" w:hint="cs"/>
          <w:sz w:val="22"/>
          <w:rtl/>
        </w:rPr>
        <w:t>4</w:t>
      </w:r>
      <w:r w:rsidRPr="0099386A">
        <w:rPr>
          <w:rFonts w:ascii="Century" w:hAnsi="Century"/>
          <w:sz w:val="22"/>
          <w:rtl/>
        </w:rPr>
        <w:t>.2013)</w:t>
      </w:r>
      <w:r w:rsidRPr="0099386A">
        <w:rPr>
          <w:rFonts w:ascii="Century" w:hAnsi="Century" w:hint="cs"/>
          <w:sz w:val="22"/>
          <w:rtl/>
        </w:rPr>
        <w:t xml:space="preserve">). עיקרה של סמכות כאמור הוא ניתוח כלכלי של העסקה כהגדרתה על ידי הנישום ועל ידי אלה שעמם הוא נמצא בקשר חוזי </w:t>
      </w:r>
      <w:r w:rsidRPr="00041E5E">
        <w:rPr>
          <w:rFonts w:ascii="Century" w:hAnsi="Century"/>
          <w:sz w:val="22"/>
          <w:rtl/>
        </w:rPr>
        <w:t>(</w:t>
      </w:r>
      <w:r w:rsidRPr="00041E5E">
        <w:rPr>
          <w:rFonts w:ascii="Century" w:hAnsi="Century" w:hint="eastAsia"/>
          <w:sz w:val="22"/>
          <w:rtl/>
        </w:rPr>
        <w:t>ראו</w:t>
      </w:r>
      <w:r w:rsidRPr="00041E5E">
        <w:rPr>
          <w:rFonts w:ascii="Century" w:hAnsi="Century"/>
          <w:sz w:val="22"/>
          <w:rtl/>
        </w:rPr>
        <w:t xml:space="preserve">: </w:t>
      </w:r>
      <w:r>
        <w:rPr>
          <w:rFonts w:ascii="Century" w:hAnsi="Century" w:hint="cs"/>
          <w:sz w:val="22"/>
          <w:rtl/>
        </w:rPr>
        <w:t xml:space="preserve">ע"א 7493/98 </w:t>
      </w:r>
      <w:proofErr w:type="spellStart"/>
      <w:r w:rsidRPr="00041E5E">
        <w:rPr>
          <w:rFonts w:ascii="Century" w:hAnsi="Century" w:cs="Miriam" w:hint="eastAsia"/>
          <w:b/>
          <w:spacing w:val="0"/>
          <w:sz w:val="22"/>
          <w:szCs w:val="24"/>
          <w:rtl/>
        </w:rPr>
        <w:t>אינווסט</w:t>
      </w:r>
      <w:proofErr w:type="spellEnd"/>
      <w:r w:rsidRPr="00041E5E">
        <w:rPr>
          <w:rFonts w:ascii="Century" w:hAnsi="Century" w:cs="Miriam"/>
          <w:b/>
          <w:spacing w:val="0"/>
          <w:sz w:val="22"/>
          <w:szCs w:val="24"/>
          <w:rtl/>
        </w:rPr>
        <w:t xml:space="preserve"> </w:t>
      </w:r>
      <w:proofErr w:type="spellStart"/>
      <w:r w:rsidRPr="00041E5E">
        <w:rPr>
          <w:rFonts w:ascii="Century" w:hAnsi="Century" w:cs="Miriam" w:hint="eastAsia"/>
          <w:b/>
          <w:spacing w:val="0"/>
          <w:sz w:val="22"/>
          <w:szCs w:val="24"/>
          <w:rtl/>
        </w:rPr>
        <w:t>אימפקס</w:t>
      </w:r>
      <w:proofErr w:type="spellEnd"/>
      <w:r w:rsidRPr="00041E5E">
        <w:rPr>
          <w:rFonts w:ascii="Century" w:hAnsi="Century" w:cs="Miriam"/>
          <w:b/>
          <w:spacing w:val="0"/>
          <w:sz w:val="22"/>
          <w:szCs w:val="24"/>
          <w:rtl/>
        </w:rPr>
        <w:t xml:space="preserve"> </w:t>
      </w:r>
      <w:r w:rsidRPr="00041E5E">
        <w:rPr>
          <w:rFonts w:ascii="Century" w:hAnsi="Century" w:cs="Miriam" w:hint="eastAsia"/>
          <w:b/>
          <w:spacing w:val="0"/>
          <w:sz w:val="22"/>
          <w:szCs w:val="24"/>
          <w:rtl/>
        </w:rPr>
        <w:t>בע</w:t>
      </w:r>
      <w:r w:rsidRPr="00041E5E">
        <w:rPr>
          <w:rFonts w:ascii="Century" w:hAnsi="Century" w:cs="Miriam"/>
          <w:b/>
          <w:spacing w:val="0"/>
          <w:sz w:val="22"/>
          <w:szCs w:val="24"/>
          <w:rtl/>
        </w:rPr>
        <w:t>"</w:t>
      </w:r>
      <w:r w:rsidRPr="00041E5E">
        <w:rPr>
          <w:rFonts w:ascii="Century" w:hAnsi="Century" w:cs="Miriam" w:hint="eastAsia"/>
          <w:b/>
          <w:spacing w:val="0"/>
          <w:sz w:val="22"/>
          <w:szCs w:val="24"/>
          <w:rtl/>
        </w:rPr>
        <w:t>מ</w:t>
      </w:r>
      <w:r w:rsidRPr="00041E5E">
        <w:rPr>
          <w:rFonts w:ascii="Century" w:hAnsi="Century" w:cs="Miriam"/>
          <w:b/>
          <w:spacing w:val="0"/>
          <w:sz w:val="22"/>
          <w:szCs w:val="24"/>
          <w:rtl/>
        </w:rPr>
        <w:t xml:space="preserve"> </w:t>
      </w:r>
      <w:r w:rsidRPr="00041E5E">
        <w:rPr>
          <w:rFonts w:ascii="Century" w:hAnsi="Century" w:cs="Miriam" w:hint="eastAsia"/>
          <w:b/>
          <w:spacing w:val="0"/>
          <w:sz w:val="22"/>
          <w:szCs w:val="24"/>
          <w:rtl/>
        </w:rPr>
        <w:t>נ</w:t>
      </w:r>
      <w:r w:rsidRPr="00041E5E">
        <w:rPr>
          <w:rFonts w:ascii="Century" w:hAnsi="Century" w:cs="Miriam"/>
          <w:b/>
          <w:spacing w:val="0"/>
          <w:sz w:val="22"/>
          <w:szCs w:val="24"/>
          <w:rtl/>
        </w:rPr>
        <w:t xml:space="preserve">' </w:t>
      </w:r>
      <w:r w:rsidRPr="00041E5E">
        <w:rPr>
          <w:rFonts w:ascii="Century" w:hAnsi="Century" w:cs="Miriam" w:hint="eastAsia"/>
          <w:b/>
          <w:spacing w:val="0"/>
          <w:sz w:val="22"/>
          <w:szCs w:val="24"/>
          <w:rtl/>
        </w:rPr>
        <w:t>פקיד</w:t>
      </w:r>
      <w:r w:rsidRPr="00041E5E">
        <w:rPr>
          <w:rFonts w:ascii="Century" w:hAnsi="Century" w:cs="Miriam"/>
          <w:b/>
          <w:spacing w:val="0"/>
          <w:sz w:val="22"/>
          <w:szCs w:val="24"/>
          <w:rtl/>
        </w:rPr>
        <w:t xml:space="preserve"> </w:t>
      </w:r>
      <w:r w:rsidRPr="00041E5E">
        <w:rPr>
          <w:rFonts w:ascii="Century" w:hAnsi="Century" w:cs="Miriam" w:hint="eastAsia"/>
          <w:b/>
          <w:spacing w:val="0"/>
          <w:sz w:val="22"/>
          <w:szCs w:val="24"/>
          <w:rtl/>
        </w:rPr>
        <w:t>שומה</w:t>
      </w:r>
      <w:r w:rsidRPr="00041E5E">
        <w:rPr>
          <w:rFonts w:ascii="Century" w:hAnsi="Century" w:cs="Miriam"/>
          <w:b/>
          <w:spacing w:val="0"/>
          <w:sz w:val="22"/>
          <w:szCs w:val="24"/>
          <w:rtl/>
        </w:rPr>
        <w:t xml:space="preserve"> </w:t>
      </w:r>
      <w:r w:rsidRPr="00041E5E">
        <w:rPr>
          <w:rFonts w:ascii="Century" w:hAnsi="Century" w:cs="Miriam" w:hint="eastAsia"/>
          <w:b/>
          <w:spacing w:val="0"/>
          <w:sz w:val="22"/>
          <w:szCs w:val="24"/>
          <w:rtl/>
        </w:rPr>
        <w:t>תל</w:t>
      </w:r>
      <w:r w:rsidRPr="00041E5E">
        <w:rPr>
          <w:rFonts w:ascii="Century" w:hAnsi="Century" w:cs="Miriam"/>
          <w:b/>
          <w:spacing w:val="0"/>
          <w:sz w:val="22"/>
          <w:szCs w:val="24"/>
          <w:rtl/>
        </w:rPr>
        <w:t>-</w:t>
      </w:r>
      <w:r w:rsidRPr="00041E5E">
        <w:rPr>
          <w:rFonts w:ascii="Century" w:hAnsi="Century" w:cs="Miriam" w:hint="eastAsia"/>
          <w:b/>
          <w:spacing w:val="0"/>
          <w:sz w:val="22"/>
          <w:szCs w:val="24"/>
          <w:rtl/>
        </w:rPr>
        <w:t>אביב</w:t>
      </w:r>
      <w:r w:rsidRPr="00041E5E">
        <w:rPr>
          <w:rFonts w:ascii="Century" w:hAnsi="Century" w:cs="Miriam"/>
          <w:b/>
          <w:spacing w:val="0"/>
          <w:sz w:val="22"/>
          <w:szCs w:val="24"/>
          <w:rtl/>
        </w:rPr>
        <w:t xml:space="preserve"> 1</w:t>
      </w:r>
      <w:r>
        <w:rPr>
          <w:rFonts w:ascii="Century" w:hAnsi="Century" w:hint="cs"/>
          <w:sz w:val="22"/>
          <w:rtl/>
        </w:rPr>
        <w:t xml:space="preserve">, פ"ד נח(2) 241, 260-259 (2003); </w:t>
      </w:r>
      <w:r>
        <w:rPr>
          <w:rFonts w:hint="cs"/>
          <w:rtl/>
        </w:rPr>
        <w:t xml:space="preserve">אהרן יורן "סיווג שונה" של עסקה לצורך מס ומיקומה הנכון של "העסקה </w:t>
      </w:r>
      <w:r w:rsidRPr="000C1794">
        <w:rPr>
          <w:rFonts w:hint="cs"/>
          <w:rtl/>
        </w:rPr>
        <w:t xml:space="preserve">המלאכותית" </w:t>
      </w:r>
      <w:r w:rsidRPr="00005EF4">
        <w:rPr>
          <w:rFonts w:ascii="Century" w:hAnsi="Century" w:cs="Miriam" w:hint="cs"/>
          <w:b/>
          <w:spacing w:val="0"/>
          <w:sz w:val="22"/>
          <w:szCs w:val="24"/>
          <w:rtl/>
        </w:rPr>
        <w:t xml:space="preserve">משפטים </w:t>
      </w:r>
      <w:r w:rsidRPr="00005EF4">
        <w:rPr>
          <w:rFonts w:ascii="Century" w:hAnsi="Century" w:hint="cs"/>
          <w:sz w:val="22"/>
          <w:rtl/>
        </w:rPr>
        <w:t>כ 43</w:t>
      </w:r>
      <w:r>
        <w:rPr>
          <w:rFonts w:ascii="Century" w:hAnsi="Century" w:hint="cs"/>
          <w:sz w:val="22"/>
          <w:rtl/>
        </w:rPr>
        <w:t>, 48-47</w:t>
      </w:r>
      <w:r w:rsidRPr="00005EF4">
        <w:rPr>
          <w:rFonts w:ascii="Century" w:hAnsi="Century" w:hint="cs"/>
          <w:sz w:val="22"/>
          <w:rtl/>
        </w:rPr>
        <w:t xml:space="preserve"> (</w:t>
      </w:r>
      <w:proofErr w:type="spellStart"/>
      <w:r w:rsidRPr="00005EF4">
        <w:rPr>
          <w:rFonts w:ascii="Century" w:hAnsi="Century" w:hint="cs"/>
          <w:sz w:val="22"/>
          <w:rtl/>
        </w:rPr>
        <w:t>תש"ן</w:t>
      </w:r>
      <w:proofErr w:type="spellEnd"/>
      <w:r w:rsidRPr="00005EF4">
        <w:rPr>
          <w:rFonts w:ascii="Century" w:hAnsi="Century" w:hint="cs"/>
          <w:sz w:val="22"/>
          <w:rtl/>
        </w:rPr>
        <w:t>)</w:t>
      </w:r>
      <w:r>
        <w:rPr>
          <w:rFonts w:hint="cs"/>
          <w:rtl/>
        </w:rPr>
        <w:t xml:space="preserve"> (להלן: </w:t>
      </w:r>
      <w:r w:rsidRPr="004B745F">
        <w:rPr>
          <w:rFonts w:ascii="Century" w:hAnsi="Century" w:cs="Miriam" w:hint="cs"/>
          <w:b/>
          <w:spacing w:val="0"/>
          <w:sz w:val="22"/>
          <w:szCs w:val="24"/>
          <w:rtl/>
        </w:rPr>
        <w:t>יורן</w:t>
      </w:r>
      <w:r>
        <w:rPr>
          <w:rFonts w:hint="cs"/>
          <w:rtl/>
        </w:rPr>
        <w:t>)</w:t>
      </w:r>
      <w:r w:rsidRPr="00041E5E">
        <w:rPr>
          <w:rFonts w:ascii="Century" w:hAnsi="Century"/>
          <w:sz w:val="22"/>
          <w:rtl/>
        </w:rPr>
        <w:t>;</w:t>
      </w:r>
      <w:r>
        <w:rPr>
          <w:rFonts w:ascii="Century" w:hAnsi="Century" w:cs="Miriam" w:hint="cs"/>
          <w:b/>
          <w:spacing w:val="0"/>
          <w:sz w:val="22"/>
          <w:szCs w:val="24"/>
          <w:rtl/>
        </w:rPr>
        <w:t xml:space="preserve"> </w:t>
      </w:r>
      <w:proofErr w:type="spellStart"/>
      <w:r w:rsidRPr="00041E5E">
        <w:rPr>
          <w:rFonts w:ascii="Century" w:hAnsi="Century" w:cs="Miriam" w:hint="eastAsia"/>
          <w:b/>
          <w:spacing w:val="0"/>
          <w:sz w:val="22"/>
          <w:szCs w:val="24"/>
          <w:rtl/>
        </w:rPr>
        <w:t>גליקסברג</w:t>
      </w:r>
      <w:proofErr w:type="spellEnd"/>
      <w:r w:rsidRPr="00041E5E">
        <w:rPr>
          <w:rFonts w:ascii="Century" w:hAnsi="Century"/>
          <w:sz w:val="22"/>
          <w:rtl/>
        </w:rPr>
        <w:t xml:space="preserve">, </w:t>
      </w:r>
      <w:r w:rsidRPr="00041E5E">
        <w:rPr>
          <w:rFonts w:ascii="Century" w:hAnsi="Century" w:hint="eastAsia"/>
          <w:sz w:val="22"/>
          <w:rtl/>
        </w:rPr>
        <w:t>עמ</w:t>
      </w:r>
      <w:r w:rsidRPr="00041E5E">
        <w:rPr>
          <w:rFonts w:ascii="Century" w:hAnsi="Century"/>
          <w:sz w:val="22"/>
          <w:rtl/>
        </w:rPr>
        <w:t>' 14-13</w:t>
      </w:r>
      <w:r>
        <w:rPr>
          <w:rFonts w:ascii="Century" w:hAnsi="Century" w:hint="cs"/>
          <w:sz w:val="22"/>
          <w:rtl/>
        </w:rPr>
        <w:t xml:space="preserve">; </w:t>
      </w:r>
      <w:r w:rsidRPr="000C1794">
        <w:rPr>
          <w:rFonts w:hint="cs"/>
          <w:rtl/>
        </w:rPr>
        <w:t xml:space="preserve">יצחק הדרי "הנורמה האנטי-תכנוני בדיני מיסים" </w:t>
      </w:r>
      <w:r w:rsidRPr="00005EF4">
        <w:rPr>
          <w:rFonts w:ascii="Century" w:hAnsi="Century" w:cs="Miriam" w:hint="cs"/>
          <w:b/>
          <w:spacing w:val="0"/>
          <w:sz w:val="22"/>
          <w:szCs w:val="24"/>
          <w:rtl/>
        </w:rPr>
        <w:t xml:space="preserve">מיסים </w:t>
      </w:r>
      <w:proofErr w:type="spellStart"/>
      <w:r w:rsidRPr="00005EF4">
        <w:rPr>
          <w:rFonts w:ascii="Century" w:hAnsi="Century" w:hint="cs"/>
          <w:sz w:val="22"/>
          <w:rtl/>
        </w:rPr>
        <w:t>יט</w:t>
      </w:r>
      <w:proofErr w:type="spellEnd"/>
      <w:r w:rsidRPr="00005EF4">
        <w:rPr>
          <w:rFonts w:ascii="Century" w:hAnsi="Century" w:hint="cs"/>
          <w:sz w:val="22"/>
          <w:rtl/>
        </w:rPr>
        <w:t xml:space="preserve">(4) א-1, </w:t>
      </w:r>
      <w:r>
        <w:rPr>
          <w:rFonts w:ascii="Century" w:hAnsi="Century" w:hint="cs"/>
          <w:sz w:val="22"/>
          <w:rtl/>
        </w:rPr>
        <w:t xml:space="preserve">7-6 </w:t>
      </w:r>
      <w:r w:rsidRPr="00005EF4">
        <w:rPr>
          <w:rFonts w:ascii="Century" w:hAnsi="Century" w:hint="cs"/>
          <w:sz w:val="22"/>
          <w:rtl/>
        </w:rPr>
        <w:t>(2005)</w:t>
      </w:r>
      <w:r>
        <w:rPr>
          <w:rFonts w:hint="cs"/>
          <w:rtl/>
        </w:rPr>
        <w:t xml:space="preserve"> (להלן: </w:t>
      </w:r>
      <w:r w:rsidRPr="0004069D">
        <w:rPr>
          <w:rFonts w:ascii="Century" w:hAnsi="Century" w:cs="Miriam" w:hint="cs"/>
          <w:b/>
          <w:spacing w:val="0"/>
          <w:sz w:val="22"/>
          <w:szCs w:val="24"/>
          <w:rtl/>
        </w:rPr>
        <w:t>הדרי</w:t>
      </w:r>
      <w:r>
        <w:rPr>
          <w:rFonts w:hint="cs"/>
          <w:rtl/>
        </w:rPr>
        <w:t>)</w:t>
      </w:r>
      <w:r w:rsidRPr="00041E5E">
        <w:rPr>
          <w:rFonts w:ascii="Century" w:hAnsi="Century"/>
          <w:sz w:val="22"/>
          <w:rtl/>
        </w:rPr>
        <w:t>)</w:t>
      </w:r>
      <w:r w:rsidRPr="0099386A">
        <w:rPr>
          <w:rFonts w:ascii="Century" w:hAnsi="Century" w:hint="cs"/>
          <w:sz w:val="22"/>
          <w:rtl/>
        </w:rPr>
        <w:t>.</w:t>
      </w:r>
      <w:r w:rsidRPr="004D440F">
        <w:rPr>
          <w:rFonts w:ascii="Century" w:hAnsi="Century" w:hint="cs"/>
          <w:sz w:val="22"/>
          <w:rtl/>
        </w:rPr>
        <w:t xml:space="preserve"> </w:t>
      </w:r>
    </w:p>
    <w:p w:rsidR="00F05533" w:rsidRDefault="00F05533" w:rsidP="00F05533">
      <w:pPr>
        <w:pStyle w:val="Ruller4"/>
        <w:numPr>
          <w:ilvl w:val="0"/>
          <w:numId w:val="0"/>
        </w:numPr>
        <w:rPr>
          <w:rFonts w:ascii="Century" w:hAnsi="Century"/>
          <w:sz w:val="22"/>
        </w:rPr>
      </w:pPr>
    </w:p>
    <w:p w:rsidR="00F05533" w:rsidRPr="009077DA" w:rsidRDefault="00F05533" w:rsidP="00F05533">
      <w:pPr>
        <w:pStyle w:val="Ruller4"/>
        <w:rPr>
          <w:rFonts w:ascii="Century" w:hAnsi="Century"/>
          <w:sz w:val="22"/>
          <w:rtl/>
        </w:rPr>
      </w:pPr>
      <w:r w:rsidRPr="009077DA">
        <w:rPr>
          <w:rFonts w:ascii="Century" w:hAnsi="Century" w:hint="cs"/>
          <w:sz w:val="22"/>
          <w:rtl/>
        </w:rPr>
        <w:t xml:space="preserve">בשונה מעיקרון זה, כלל ההתעלמות מעסקה מלאכותית מסמיך את פקיד השומה לעשות </w:t>
      </w:r>
      <w:r w:rsidRPr="00306A96">
        <w:rPr>
          <w:rFonts w:ascii="Century" w:hAnsi="Century" w:hint="cs"/>
          <w:sz w:val="22"/>
          <w:rtl/>
        </w:rPr>
        <w:t xml:space="preserve">פעולה הדומה לזאת של "הרמת מסך" בדיני תאגידים: החלטה חריגה שמחייבת את מי שעומד מאחורי פועלו של תאגיד בתוצאות פועלו הגורמות להפסד או לנזק לזולת </w:t>
      </w:r>
      <w:r w:rsidRPr="00041E5E">
        <w:rPr>
          <w:rFonts w:ascii="Century" w:hAnsi="Century"/>
          <w:sz w:val="22"/>
          <w:rtl/>
        </w:rPr>
        <w:t>(</w:t>
      </w:r>
      <w:r w:rsidRPr="00041E5E">
        <w:rPr>
          <w:rFonts w:ascii="Century" w:hAnsi="Century" w:hint="eastAsia"/>
          <w:sz w:val="22"/>
          <w:rtl/>
        </w:rPr>
        <w:t>ראו</w:t>
      </w:r>
      <w:r>
        <w:rPr>
          <w:rFonts w:ascii="Century" w:hAnsi="Century" w:hint="cs"/>
          <w:sz w:val="22"/>
          <w:rtl/>
        </w:rPr>
        <w:t>, למשל</w:t>
      </w:r>
      <w:r w:rsidRPr="00041E5E">
        <w:rPr>
          <w:rFonts w:ascii="Century" w:hAnsi="Century"/>
          <w:sz w:val="22"/>
          <w:rtl/>
        </w:rPr>
        <w:t xml:space="preserve">: </w:t>
      </w:r>
      <w:r w:rsidRPr="00041E5E">
        <w:rPr>
          <w:rFonts w:ascii="Century" w:hAnsi="Century" w:cs="Miriam" w:hint="eastAsia"/>
          <w:b/>
          <w:spacing w:val="0"/>
          <w:sz w:val="22"/>
          <w:szCs w:val="24"/>
          <w:rtl/>
        </w:rPr>
        <w:t>פרוקצ</w:t>
      </w:r>
      <w:r w:rsidRPr="00041E5E">
        <w:rPr>
          <w:rFonts w:ascii="Century" w:hAnsi="Century" w:cs="Miriam"/>
          <w:b/>
          <w:spacing w:val="0"/>
          <w:sz w:val="22"/>
          <w:szCs w:val="24"/>
          <w:rtl/>
        </w:rPr>
        <w:t>'</w:t>
      </w:r>
      <w:r w:rsidRPr="00041E5E">
        <w:rPr>
          <w:rFonts w:ascii="Century" w:hAnsi="Century" w:cs="Miriam" w:hint="eastAsia"/>
          <w:b/>
          <w:spacing w:val="0"/>
          <w:sz w:val="22"/>
          <w:szCs w:val="24"/>
          <w:rtl/>
        </w:rPr>
        <w:t>יה</w:t>
      </w:r>
      <w:r w:rsidRPr="00041E5E">
        <w:rPr>
          <w:rFonts w:ascii="Century" w:hAnsi="Century"/>
          <w:sz w:val="22"/>
          <w:rtl/>
        </w:rPr>
        <w:t xml:space="preserve">, </w:t>
      </w:r>
      <w:r w:rsidRPr="00041E5E">
        <w:rPr>
          <w:rFonts w:ascii="Century" w:hAnsi="Century" w:hint="eastAsia"/>
          <w:sz w:val="22"/>
          <w:rtl/>
        </w:rPr>
        <w:t>עמ</w:t>
      </w:r>
      <w:r w:rsidRPr="00041E5E">
        <w:rPr>
          <w:rFonts w:ascii="Century" w:hAnsi="Century"/>
          <w:sz w:val="22"/>
          <w:rtl/>
        </w:rPr>
        <w:t xml:space="preserve">' </w:t>
      </w:r>
      <w:r>
        <w:rPr>
          <w:rFonts w:ascii="Century" w:hAnsi="Century" w:hint="cs"/>
          <w:sz w:val="22"/>
          <w:rtl/>
        </w:rPr>
        <w:t>46</w:t>
      </w:r>
      <w:r w:rsidRPr="00041E5E">
        <w:rPr>
          <w:rFonts w:ascii="Century" w:hAnsi="Century"/>
          <w:sz w:val="22"/>
          <w:rtl/>
        </w:rPr>
        <w:t>)</w:t>
      </w:r>
      <w:r w:rsidRPr="00306A96">
        <w:rPr>
          <w:rFonts w:ascii="Century" w:hAnsi="Century" w:hint="cs"/>
          <w:sz w:val="22"/>
          <w:rtl/>
        </w:rPr>
        <w:t>. בפועלו</w:t>
      </w:r>
      <w:r w:rsidRPr="009077DA">
        <w:rPr>
          <w:rFonts w:ascii="Century" w:hAnsi="Century" w:hint="cs"/>
          <w:sz w:val="22"/>
          <w:rtl/>
        </w:rPr>
        <w:t xml:space="preserve"> בגדרו של כלל ההתעלמות מעסקה מלאכותית, פקיד השומה רשאי לקבוע </w:t>
      </w:r>
      <w:r w:rsidRPr="009077DA">
        <w:rPr>
          <w:rFonts w:ascii="Century" w:hAnsi="Century"/>
          <w:sz w:val="22"/>
          <w:rtl/>
        </w:rPr>
        <w:t>–</w:t>
      </w:r>
      <w:r w:rsidRPr="009077DA">
        <w:rPr>
          <w:rFonts w:ascii="Century" w:hAnsi="Century" w:hint="cs"/>
          <w:sz w:val="22"/>
          <w:rtl/>
        </w:rPr>
        <w:t xml:space="preserve"> בנסיבות מתאימות, הנחשבות לחריגות </w:t>
      </w:r>
      <w:r w:rsidRPr="009077DA">
        <w:rPr>
          <w:rFonts w:ascii="Century" w:hAnsi="Century"/>
          <w:sz w:val="22"/>
          <w:rtl/>
        </w:rPr>
        <w:t>–</w:t>
      </w:r>
      <w:r w:rsidRPr="009077DA">
        <w:rPr>
          <w:rFonts w:ascii="Century" w:hAnsi="Century" w:hint="cs"/>
          <w:sz w:val="22"/>
          <w:rtl/>
        </w:rPr>
        <w:t xml:space="preserve"> כי הגדרת העסקה מושא ה</w:t>
      </w:r>
      <w:r w:rsidRPr="005B3449">
        <w:rPr>
          <w:rFonts w:ascii="Century" w:hAnsi="Century" w:hint="cs"/>
          <w:sz w:val="22"/>
          <w:rtl/>
        </w:rPr>
        <w:t xml:space="preserve">שומה איננה </w:t>
      </w:r>
      <w:proofErr w:type="spellStart"/>
      <w:r w:rsidRPr="005B3449">
        <w:rPr>
          <w:rFonts w:ascii="Century" w:hAnsi="Century" w:hint="cs"/>
          <w:sz w:val="22"/>
          <w:rtl/>
        </w:rPr>
        <w:t>אמיתית</w:t>
      </w:r>
      <w:proofErr w:type="spellEnd"/>
      <w:r w:rsidRPr="005B3449">
        <w:rPr>
          <w:rFonts w:ascii="Century" w:hAnsi="Century" w:hint="cs"/>
          <w:sz w:val="22"/>
          <w:rtl/>
        </w:rPr>
        <w:t xml:space="preserve"> ונבחרה כדי לשמש מסך להסתרת מהותה הכלכלית, </w:t>
      </w:r>
      <w:r>
        <w:rPr>
          <w:rFonts w:ascii="Century" w:hAnsi="Century" w:hint="cs"/>
          <w:sz w:val="22"/>
          <w:rtl/>
        </w:rPr>
        <w:t xml:space="preserve">מסך </w:t>
      </w:r>
      <w:r w:rsidRPr="005B3449">
        <w:rPr>
          <w:rFonts w:ascii="Century" w:hAnsi="Century" w:hint="cs"/>
          <w:sz w:val="22"/>
          <w:rtl/>
        </w:rPr>
        <w:lastRenderedPageBreak/>
        <w:t xml:space="preserve">שאותו יש להרים </w:t>
      </w:r>
      <w:r w:rsidRPr="00041E5E">
        <w:rPr>
          <w:rFonts w:ascii="Century" w:hAnsi="Century"/>
          <w:sz w:val="22"/>
          <w:rtl/>
        </w:rPr>
        <w:t>(</w:t>
      </w:r>
      <w:r w:rsidRPr="00041E5E">
        <w:rPr>
          <w:rFonts w:ascii="Century" w:hAnsi="Century" w:hint="eastAsia"/>
          <w:sz w:val="22"/>
          <w:rtl/>
        </w:rPr>
        <w:t>ראו</w:t>
      </w:r>
      <w:r w:rsidRPr="00041E5E">
        <w:rPr>
          <w:rFonts w:ascii="Century" w:hAnsi="Century"/>
          <w:sz w:val="22"/>
          <w:rtl/>
        </w:rPr>
        <w:t xml:space="preserve">: </w:t>
      </w:r>
      <w:r w:rsidRPr="00041E5E">
        <w:rPr>
          <w:rFonts w:ascii="Century" w:hAnsi="Century" w:hint="eastAsia"/>
          <w:sz w:val="22"/>
          <w:rtl/>
        </w:rPr>
        <w:t>עניין</w:t>
      </w:r>
      <w:r w:rsidRPr="00041E5E">
        <w:rPr>
          <w:rFonts w:ascii="Century" w:hAnsi="Century"/>
          <w:sz w:val="22"/>
          <w:rtl/>
        </w:rPr>
        <w:t xml:space="preserve"> </w:t>
      </w:r>
      <w:proofErr w:type="spellStart"/>
      <w:r w:rsidRPr="00041E5E">
        <w:rPr>
          <w:rFonts w:ascii="Century" w:hAnsi="Century" w:cs="Miriam" w:hint="eastAsia"/>
          <w:b/>
          <w:spacing w:val="0"/>
          <w:sz w:val="22"/>
          <w:szCs w:val="24"/>
          <w:rtl/>
        </w:rPr>
        <w:t>סעדטמנד</w:t>
      </w:r>
      <w:proofErr w:type="spellEnd"/>
      <w:r w:rsidRPr="00041E5E">
        <w:rPr>
          <w:rFonts w:ascii="Century" w:hAnsi="Century"/>
          <w:sz w:val="22"/>
          <w:rtl/>
        </w:rPr>
        <w:t xml:space="preserve">, </w:t>
      </w:r>
      <w:r w:rsidRPr="00041E5E">
        <w:rPr>
          <w:rFonts w:ascii="Century" w:hAnsi="Century" w:hint="eastAsia"/>
          <w:sz w:val="22"/>
          <w:rtl/>
        </w:rPr>
        <w:t>פסקה</w:t>
      </w:r>
      <w:r w:rsidRPr="00041E5E">
        <w:rPr>
          <w:rFonts w:ascii="Century" w:hAnsi="Century"/>
          <w:sz w:val="22"/>
          <w:rtl/>
        </w:rPr>
        <w:t xml:space="preserve"> 6; </w:t>
      </w:r>
      <w:r w:rsidRPr="00041E5E">
        <w:rPr>
          <w:rFonts w:ascii="Century" w:hAnsi="Century" w:hint="eastAsia"/>
          <w:sz w:val="22"/>
          <w:rtl/>
        </w:rPr>
        <w:t>עניין</w:t>
      </w:r>
      <w:r w:rsidRPr="00041E5E">
        <w:rPr>
          <w:rFonts w:ascii="Century" w:hAnsi="Century"/>
          <w:sz w:val="22"/>
          <w:rtl/>
        </w:rPr>
        <w:t xml:space="preserve"> </w:t>
      </w:r>
      <w:r w:rsidRPr="00041E5E">
        <w:rPr>
          <w:rFonts w:ascii="Century" w:hAnsi="Century" w:cs="Miriam" w:hint="eastAsia"/>
          <w:b/>
          <w:spacing w:val="0"/>
          <w:sz w:val="22"/>
          <w:szCs w:val="24"/>
          <w:rtl/>
        </w:rPr>
        <w:t>רובינשטיין</w:t>
      </w:r>
      <w:r w:rsidRPr="00041E5E">
        <w:rPr>
          <w:rFonts w:ascii="Century" w:hAnsi="Century"/>
          <w:sz w:val="22"/>
          <w:rtl/>
        </w:rPr>
        <w:t xml:space="preserve">, </w:t>
      </w:r>
      <w:r w:rsidRPr="00041E5E">
        <w:rPr>
          <w:rFonts w:ascii="Century" w:hAnsi="Century" w:hint="eastAsia"/>
          <w:sz w:val="22"/>
          <w:rtl/>
        </w:rPr>
        <w:t>פסקאות</w:t>
      </w:r>
      <w:r w:rsidRPr="00041E5E">
        <w:rPr>
          <w:rFonts w:ascii="Century" w:hAnsi="Century"/>
          <w:sz w:val="22"/>
          <w:rtl/>
        </w:rPr>
        <w:t xml:space="preserve"> 9-8, 19; </w:t>
      </w:r>
      <w:r w:rsidRPr="00041E5E">
        <w:rPr>
          <w:rFonts w:ascii="Century" w:hAnsi="Century" w:cs="Miriam" w:hint="eastAsia"/>
          <w:b/>
          <w:spacing w:val="0"/>
          <w:sz w:val="22"/>
          <w:szCs w:val="24"/>
          <w:rtl/>
        </w:rPr>
        <w:t>יורן</w:t>
      </w:r>
      <w:r w:rsidRPr="00041E5E">
        <w:rPr>
          <w:rFonts w:ascii="Century" w:hAnsi="Century"/>
          <w:sz w:val="22"/>
          <w:rtl/>
        </w:rPr>
        <w:t xml:space="preserve">, </w:t>
      </w:r>
      <w:r w:rsidRPr="00041E5E">
        <w:rPr>
          <w:rFonts w:ascii="Century" w:hAnsi="Century" w:hint="eastAsia"/>
          <w:sz w:val="22"/>
          <w:rtl/>
        </w:rPr>
        <w:t>עמ</w:t>
      </w:r>
      <w:r w:rsidRPr="00041E5E">
        <w:rPr>
          <w:rFonts w:ascii="Century" w:hAnsi="Century"/>
          <w:sz w:val="22"/>
          <w:rtl/>
        </w:rPr>
        <w:t>' 67)</w:t>
      </w:r>
      <w:r w:rsidRPr="005B3449">
        <w:rPr>
          <w:rFonts w:ascii="Century" w:hAnsi="Century" w:hint="cs"/>
          <w:sz w:val="22"/>
          <w:rtl/>
        </w:rPr>
        <w:t>. בנסיבות</w:t>
      </w:r>
      <w:r w:rsidRPr="009077DA">
        <w:rPr>
          <w:rFonts w:ascii="Century" w:hAnsi="Century" w:hint="cs"/>
          <w:sz w:val="22"/>
          <w:rtl/>
        </w:rPr>
        <w:t xml:space="preserve"> אלו, ולנוכח ייחוס האשם לנישום כמי שמנסה לחמוק מתשלו</w:t>
      </w:r>
      <w:r>
        <w:rPr>
          <w:rFonts w:ascii="Century" w:hAnsi="Century" w:hint="cs"/>
          <w:sz w:val="22"/>
          <w:rtl/>
        </w:rPr>
        <w:t>מו</w:t>
      </w:r>
      <w:r w:rsidRPr="009077DA">
        <w:rPr>
          <w:rFonts w:ascii="Century" w:hAnsi="Century" w:hint="cs"/>
          <w:sz w:val="22"/>
          <w:rtl/>
        </w:rPr>
        <w:t xml:space="preserve"> של מס אמת בדרכים-לא-דרכים, נקבעה הלכה כי פקיד השומה הוא זה שנושא בנטל השכנוע באשר להיותה של </w:t>
      </w:r>
      <w:r>
        <w:rPr>
          <w:rFonts w:ascii="Century" w:hAnsi="Century" w:hint="cs"/>
          <w:sz w:val="22"/>
          <w:rtl/>
        </w:rPr>
        <w:t>ה</w:t>
      </w:r>
      <w:r w:rsidRPr="009077DA">
        <w:rPr>
          <w:rFonts w:ascii="Century" w:hAnsi="Century" w:hint="cs"/>
          <w:sz w:val="22"/>
          <w:rtl/>
        </w:rPr>
        <w:t xml:space="preserve">עסקה מושא השומה "עסקה מלאכותית או בדויה [...] </w:t>
      </w:r>
      <w:r>
        <w:rPr>
          <w:rFonts w:hint="cs"/>
          <w:rtl/>
        </w:rPr>
        <w:t>ה</w:t>
      </w:r>
      <w:r>
        <w:rPr>
          <w:rtl/>
        </w:rPr>
        <w:t xml:space="preserve">מפחיתה, או </w:t>
      </w:r>
      <w:r>
        <w:rPr>
          <w:rFonts w:hint="cs"/>
          <w:rtl/>
        </w:rPr>
        <w:t>ה</w:t>
      </w:r>
      <w:r>
        <w:rPr>
          <w:rtl/>
        </w:rPr>
        <w:t>עלולה להפחית, את סכום המס</w:t>
      </w:r>
      <w:r>
        <w:rPr>
          <w:rFonts w:hint="cs"/>
          <w:rtl/>
        </w:rPr>
        <w:t xml:space="preserve"> [...]</w:t>
      </w:r>
      <w:r>
        <w:rPr>
          <w:rtl/>
        </w:rPr>
        <w:t xml:space="preserve"> או כי אחת ממטרותיה העיקריות </w:t>
      </w:r>
      <w:r>
        <w:rPr>
          <w:rFonts w:hint="cs"/>
          <w:rtl/>
        </w:rPr>
        <w:t>[...]</w:t>
      </w:r>
      <w:r>
        <w:rPr>
          <w:rtl/>
        </w:rPr>
        <w:t xml:space="preserve"> היא הימנעות ממס או הפחתת מס בלתי נאותות</w:t>
      </w:r>
      <w:r w:rsidRPr="009077DA">
        <w:rPr>
          <w:rFonts w:ascii="Century" w:hAnsi="Century" w:hint="cs"/>
          <w:sz w:val="22"/>
          <w:rtl/>
        </w:rPr>
        <w:t xml:space="preserve">", כאמור בסעיף 86(א) לפקודת מס הכנסה (ראו: </w:t>
      </w:r>
      <w:r w:rsidRPr="009077DA">
        <w:rPr>
          <w:rFonts w:ascii="Century" w:hAnsi="Century"/>
          <w:sz w:val="22"/>
          <w:rtl/>
        </w:rPr>
        <w:t xml:space="preserve">ע"א 102/59 </w:t>
      </w:r>
      <w:r w:rsidRPr="009077DA">
        <w:rPr>
          <w:rFonts w:ascii="Century" w:hAnsi="Century" w:cs="Miriam"/>
          <w:b/>
          <w:spacing w:val="0"/>
          <w:sz w:val="22"/>
          <w:szCs w:val="24"/>
          <w:rtl/>
        </w:rPr>
        <w:t>פקיד השומה</w:t>
      </w:r>
      <w:r w:rsidRPr="009077DA">
        <w:rPr>
          <w:rFonts w:ascii="Century" w:hAnsi="Century" w:cs="Miriam" w:hint="cs"/>
          <w:b/>
          <w:spacing w:val="0"/>
          <w:sz w:val="22"/>
          <w:szCs w:val="24"/>
          <w:rtl/>
        </w:rPr>
        <w:t xml:space="preserve"> </w:t>
      </w:r>
      <w:r w:rsidRPr="009077DA">
        <w:rPr>
          <w:rFonts w:ascii="Century" w:hAnsi="Century" w:cs="Miriam"/>
          <w:b/>
          <w:spacing w:val="0"/>
          <w:sz w:val="22"/>
          <w:szCs w:val="24"/>
          <w:rtl/>
        </w:rPr>
        <w:t>ירושלים נ' "</w:t>
      </w:r>
      <w:proofErr w:type="spellStart"/>
      <w:r w:rsidRPr="009077DA">
        <w:rPr>
          <w:rFonts w:ascii="Century" w:hAnsi="Century" w:cs="Miriam"/>
          <w:b/>
          <w:spacing w:val="0"/>
          <w:sz w:val="22"/>
          <w:szCs w:val="24"/>
          <w:rtl/>
        </w:rPr>
        <w:t>איסמר</w:t>
      </w:r>
      <w:proofErr w:type="spellEnd"/>
      <w:r w:rsidRPr="009077DA">
        <w:rPr>
          <w:rFonts w:ascii="Century" w:hAnsi="Century" w:cs="Miriam"/>
          <w:b/>
          <w:spacing w:val="0"/>
          <w:sz w:val="22"/>
          <w:szCs w:val="24"/>
          <w:rtl/>
        </w:rPr>
        <w:t>" חברה למסחר ולהשקעות בע"מ</w:t>
      </w:r>
      <w:r w:rsidRPr="009077DA">
        <w:rPr>
          <w:rFonts w:ascii="Century" w:hAnsi="Century"/>
          <w:sz w:val="22"/>
          <w:rtl/>
        </w:rPr>
        <w:t xml:space="preserve">, </w:t>
      </w:r>
      <w:r w:rsidRPr="009077DA">
        <w:rPr>
          <w:rFonts w:ascii="Century" w:hAnsi="Century" w:hint="cs"/>
          <w:sz w:val="22"/>
          <w:rtl/>
        </w:rPr>
        <w:t xml:space="preserve">פ"ד </w:t>
      </w:r>
      <w:r w:rsidRPr="009077DA">
        <w:rPr>
          <w:rFonts w:ascii="Century" w:hAnsi="Century"/>
          <w:sz w:val="22"/>
          <w:rtl/>
        </w:rPr>
        <w:t>יד</w:t>
      </w:r>
      <w:r w:rsidRPr="009077DA">
        <w:rPr>
          <w:rFonts w:ascii="Century" w:hAnsi="Century" w:hint="cs"/>
          <w:sz w:val="22"/>
          <w:rtl/>
        </w:rPr>
        <w:t xml:space="preserve"> 2165, 2170 (1960); </w:t>
      </w:r>
      <w:r w:rsidRPr="009D5A31">
        <w:rPr>
          <w:rFonts w:ascii="Century" w:hAnsi="Century"/>
          <w:sz w:val="22"/>
          <w:rtl/>
        </w:rPr>
        <w:t xml:space="preserve"> </w:t>
      </w:r>
      <w:r w:rsidRPr="009D5A31">
        <w:rPr>
          <w:rFonts w:ascii="Century" w:hAnsi="Century" w:hint="eastAsia"/>
          <w:sz w:val="22"/>
          <w:rtl/>
        </w:rPr>
        <w:t>ע</w:t>
      </w:r>
      <w:r w:rsidRPr="009D5A31">
        <w:rPr>
          <w:rFonts w:ascii="Century" w:hAnsi="Century"/>
          <w:sz w:val="22"/>
          <w:rtl/>
        </w:rPr>
        <w:t>"</w:t>
      </w:r>
      <w:r w:rsidRPr="009D5A31">
        <w:rPr>
          <w:rFonts w:ascii="Century" w:hAnsi="Century" w:hint="eastAsia"/>
          <w:sz w:val="22"/>
          <w:rtl/>
        </w:rPr>
        <w:t>א</w:t>
      </w:r>
      <w:r w:rsidRPr="009D5A31">
        <w:rPr>
          <w:rFonts w:ascii="Century" w:hAnsi="Century"/>
          <w:sz w:val="22"/>
          <w:rtl/>
        </w:rPr>
        <w:t xml:space="preserve"> 34/70 </w:t>
      </w:r>
      <w:r w:rsidRPr="009077DA">
        <w:rPr>
          <w:rFonts w:ascii="Century" w:hAnsi="Century" w:cs="Miriam"/>
          <w:b/>
          <w:spacing w:val="0"/>
          <w:sz w:val="22"/>
          <w:szCs w:val="24"/>
          <w:rtl/>
        </w:rPr>
        <w:t>בנין נ' פ</w:t>
      </w:r>
      <w:r w:rsidRPr="009077DA">
        <w:rPr>
          <w:rFonts w:ascii="Century" w:hAnsi="Century" w:cs="Miriam" w:hint="cs"/>
          <w:b/>
          <w:spacing w:val="0"/>
          <w:sz w:val="22"/>
          <w:szCs w:val="24"/>
          <w:rtl/>
        </w:rPr>
        <w:t>קיד שומה</w:t>
      </w:r>
      <w:r w:rsidRPr="009077DA">
        <w:rPr>
          <w:rFonts w:ascii="Century" w:hAnsi="Century" w:cs="Miriam"/>
          <w:b/>
          <w:spacing w:val="0"/>
          <w:sz w:val="22"/>
          <w:szCs w:val="24"/>
          <w:rtl/>
        </w:rPr>
        <w:t xml:space="preserve"> </w:t>
      </w:r>
      <w:r w:rsidRPr="009077DA">
        <w:rPr>
          <w:rFonts w:ascii="Century" w:hAnsi="Century" w:cs="Miriam" w:hint="cs"/>
          <w:b/>
          <w:spacing w:val="0"/>
          <w:sz w:val="22"/>
          <w:szCs w:val="24"/>
          <w:rtl/>
        </w:rPr>
        <w:t>תל אביב יפו</w:t>
      </w:r>
      <w:r w:rsidRPr="009077DA">
        <w:rPr>
          <w:rFonts w:ascii="Century" w:hAnsi="Century" w:cs="Miriam"/>
          <w:b/>
          <w:spacing w:val="0"/>
          <w:sz w:val="22"/>
          <w:szCs w:val="24"/>
          <w:rtl/>
        </w:rPr>
        <w:t xml:space="preserve"> 4</w:t>
      </w:r>
      <w:r w:rsidRPr="009077DA">
        <w:rPr>
          <w:rFonts w:ascii="Century" w:hAnsi="Century"/>
          <w:sz w:val="22"/>
          <w:rtl/>
        </w:rPr>
        <w:t>, פ"ד כד</w:t>
      </w:r>
      <w:r w:rsidRPr="009077DA">
        <w:rPr>
          <w:rFonts w:ascii="Century" w:hAnsi="Century" w:hint="cs"/>
          <w:sz w:val="22"/>
          <w:rtl/>
        </w:rPr>
        <w:t xml:space="preserve">(2) 425, 428 (1970); </w:t>
      </w:r>
      <w:r w:rsidRPr="009077DA">
        <w:rPr>
          <w:rFonts w:ascii="Century" w:hAnsi="Century"/>
          <w:sz w:val="22"/>
          <w:rtl/>
        </w:rPr>
        <w:t xml:space="preserve">ע"א 10666/03 </w:t>
      </w:r>
      <w:r w:rsidRPr="009077DA">
        <w:rPr>
          <w:rFonts w:ascii="Century" w:hAnsi="Century" w:cs="Miriam"/>
          <w:b/>
          <w:spacing w:val="0"/>
          <w:sz w:val="22"/>
          <w:szCs w:val="24"/>
          <w:rtl/>
        </w:rPr>
        <w:t>שטרית נ' פקיד שומה תל אביב יפו 4</w:t>
      </w:r>
      <w:r w:rsidRPr="009077DA">
        <w:rPr>
          <w:rFonts w:ascii="Century" w:hAnsi="Century" w:hint="cs"/>
          <w:sz w:val="22"/>
          <w:rtl/>
        </w:rPr>
        <w:t>, פסקה 18</w:t>
      </w:r>
      <w:r w:rsidRPr="009077DA">
        <w:rPr>
          <w:rFonts w:ascii="Century" w:hAnsi="Century"/>
          <w:sz w:val="22"/>
          <w:rtl/>
        </w:rPr>
        <w:t xml:space="preserve"> (30.</w:t>
      </w:r>
      <w:r w:rsidRPr="009077DA">
        <w:rPr>
          <w:rFonts w:ascii="Century" w:hAnsi="Century" w:hint="cs"/>
          <w:sz w:val="22"/>
          <w:rtl/>
        </w:rPr>
        <w:t>1</w:t>
      </w:r>
      <w:r w:rsidRPr="009077DA">
        <w:rPr>
          <w:rFonts w:ascii="Century" w:hAnsi="Century"/>
          <w:sz w:val="22"/>
          <w:rtl/>
        </w:rPr>
        <w:t>.2006</w:t>
      </w:r>
      <w:r w:rsidRPr="009077DA">
        <w:rPr>
          <w:rFonts w:ascii="Century" w:hAnsi="Century" w:hint="cs"/>
          <w:sz w:val="22"/>
          <w:rtl/>
        </w:rPr>
        <w:t xml:space="preserve">); </w:t>
      </w:r>
      <w:r>
        <w:rPr>
          <w:rtl/>
        </w:rPr>
        <w:t>ע</w:t>
      </w:r>
      <w:r>
        <w:rPr>
          <w:rFonts w:hint="cs"/>
          <w:rtl/>
        </w:rPr>
        <w:t xml:space="preserve">ניין </w:t>
      </w:r>
      <w:r w:rsidRPr="009077DA">
        <w:rPr>
          <w:rFonts w:ascii="Century" w:hAnsi="Century" w:cs="Miriam"/>
          <w:b/>
          <w:spacing w:val="0"/>
          <w:sz w:val="22"/>
          <w:szCs w:val="24"/>
          <w:rtl/>
        </w:rPr>
        <w:t>סגנון</w:t>
      </w:r>
      <w:r>
        <w:rPr>
          <w:rFonts w:hint="cs"/>
          <w:rtl/>
        </w:rPr>
        <w:t>, פסקה 23;</w:t>
      </w:r>
      <w:r w:rsidRPr="009077DA">
        <w:rPr>
          <w:rFonts w:ascii="Century" w:hAnsi="Century" w:hint="cs"/>
          <w:sz w:val="22"/>
          <w:rtl/>
        </w:rPr>
        <w:t xml:space="preserve"> </w:t>
      </w:r>
      <w:r w:rsidRPr="001665AA">
        <w:rPr>
          <w:rtl/>
        </w:rPr>
        <w:t xml:space="preserve">ע"א 6107/20 </w:t>
      </w:r>
      <w:r w:rsidRPr="009077DA">
        <w:rPr>
          <w:rFonts w:ascii="Century" w:hAnsi="Century" w:cs="Miriam"/>
          <w:b/>
          <w:spacing w:val="0"/>
          <w:sz w:val="22"/>
          <w:szCs w:val="24"/>
          <w:rtl/>
        </w:rPr>
        <w:t>מנהל מיסוי מקרקעין תל אביב נ' מעין</w:t>
      </w:r>
      <w:r>
        <w:rPr>
          <w:rFonts w:hint="cs"/>
          <w:rtl/>
        </w:rPr>
        <w:t xml:space="preserve">, </w:t>
      </w:r>
      <w:r w:rsidRPr="000F12E7">
        <w:rPr>
          <w:rFonts w:hint="eastAsia"/>
          <w:rtl/>
        </w:rPr>
        <w:t>פסקאות</w:t>
      </w:r>
      <w:r w:rsidRPr="000F12E7">
        <w:rPr>
          <w:rtl/>
        </w:rPr>
        <w:t xml:space="preserve"> 6-5 </w:t>
      </w:r>
      <w:r w:rsidRPr="000F12E7">
        <w:rPr>
          <w:rFonts w:hint="eastAsia"/>
          <w:rtl/>
        </w:rPr>
        <w:t>לפסק</w:t>
      </w:r>
      <w:r w:rsidRPr="000F12E7">
        <w:rPr>
          <w:rtl/>
        </w:rPr>
        <w:t xml:space="preserve"> </w:t>
      </w:r>
      <w:r w:rsidRPr="000F12E7">
        <w:rPr>
          <w:rFonts w:hint="eastAsia"/>
          <w:rtl/>
        </w:rPr>
        <w:t>דינו</w:t>
      </w:r>
      <w:r w:rsidRPr="000F12E7">
        <w:rPr>
          <w:rtl/>
        </w:rPr>
        <w:t xml:space="preserve"> </w:t>
      </w:r>
      <w:r w:rsidRPr="000F12E7">
        <w:rPr>
          <w:rFonts w:hint="eastAsia"/>
          <w:rtl/>
        </w:rPr>
        <w:t>של</w:t>
      </w:r>
      <w:r w:rsidRPr="000F12E7">
        <w:rPr>
          <w:rtl/>
        </w:rPr>
        <w:t xml:space="preserve"> </w:t>
      </w:r>
      <w:r w:rsidRPr="000F12E7">
        <w:rPr>
          <w:rFonts w:hint="eastAsia"/>
          <w:rtl/>
        </w:rPr>
        <w:t>השופט</w:t>
      </w:r>
      <w:r w:rsidRPr="000F12E7">
        <w:rPr>
          <w:rtl/>
        </w:rPr>
        <w:t xml:space="preserve"> </w:t>
      </w:r>
      <w:r w:rsidRPr="009077DA">
        <w:rPr>
          <w:rFonts w:ascii="Century" w:hAnsi="Century" w:cs="Miriam" w:hint="eastAsia"/>
          <w:b/>
          <w:spacing w:val="0"/>
          <w:sz w:val="22"/>
          <w:szCs w:val="24"/>
          <w:rtl/>
        </w:rPr>
        <w:t>ד</w:t>
      </w:r>
      <w:r w:rsidRPr="009077DA">
        <w:rPr>
          <w:rFonts w:ascii="Century" w:hAnsi="Century" w:cs="Miriam"/>
          <w:b/>
          <w:spacing w:val="0"/>
          <w:sz w:val="22"/>
          <w:szCs w:val="24"/>
          <w:rtl/>
        </w:rPr>
        <w:t xml:space="preserve">' </w:t>
      </w:r>
      <w:r w:rsidRPr="009077DA">
        <w:rPr>
          <w:rFonts w:ascii="Century" w:hAnsi="Century" w:cs="Miriam" w:hint="eastAsia"/>
          <w:b/>
          <w:spacing w:val="0"/>
          <w:sz w:val="22"/>
          <w:szCs w:val="24"/>
          <w:rtl/>
        </w:rPr>
        <w:t>מינץ</w:t>
      </w:r>
      <w:r w:rsidRPr="001665AA">
        <w:rPr>
          <w:rtl/>
        </w:rPr>
        <w:t xml:space="preserve"> (19.</w:t>
      </w:r>
      <w:r w:rsidRPr="001665AA">
        <w:rPr>
          <w:rFonts w:hint="cs"/>
          <w:rtl/>
        </w:rPr>
        <w:t>7</w:t>
      </w:r>
      <w:r w:rsidRPr="001665AA">
        <w:rPr>
          <w:rtl/>
        </w:rPr>
        <w:t>.2022)</w:t>
      </w:r>
      <w:r w:rsidRPr="009077DA">
        <w:rPr>
          <w:rFonts w:ascii="Century" w:hAnsi="Century" w:hint="cs"/>
          <w:sz w:val="22"/>
          <w:rtl/>
        </w:rPr>
        <w:t>).</w:t>
      </w:r>
    </w:p>
    <w:p w:rsidR="00F05533" w:rsidRDefault="00F05533" w:rsidP="00F05533">
      <w:pPr>
        <w:pStyle w:val="Ruller41"/>
      </w:pPr>
    </w:p>
    <w:p w:rsidR="00F05533" w:rsidRPr="00834CF1" w:rsidRDefault="00F05533" w:rsidP="00F05533">
      <w:pPr>
        <w:pStyle w:val="Ruller41"/>
        <w:rPr>
          <w:rFonts w:ascii="Century" w:hAnsi="Century" w:cs="Miriam"/>
          <w:b/>
          <w:spacing w:val="0"/>
          <w:szCs w:val="24"/>
        </w:rPr>
      </w:pPr>
      <w:r>
        <w:rPr>
          <w:rFonts w:ascii="Century" w:hAnsi="Century" w:cs="Miriam" w:hint="cs"/>
          <w:b/>
          <w:spacing w:val="0"/>
          <w:szCs w:val="24"/>
          <w:rtl/>
        </w:rPr>
        <w:t xml:space="preserve">ב. </w:t>
      </w:r>
      <w:r w:rsidRPr="00834CF1">
        <w:rPr>
          <w:rFonts w:ascii="Century" w:hAnsi="Century" w:cs="Miriam" w:hint="cs"/>
          <w:b/>
          <w:spacing w:val="0"/>
          <w:szCs w:val="24"/>
          <w:rtl/>
        </w:rPr>
        <w:t>רכישה עצמית דיספרופורציונית</w:t>
      </w:r>
      <w:r>
        <w:rPr>
          <w:rFonts w:ascii="Century" w:hAnsi="Century" w:cs="Miriam" w:hint="cs"/>
          <w:b/>
          <w:spacing w:val="0"/>
          <w:szCs w:val="24"/>
          <w:rtl/>
        </w:rPr>
        <w:t xml:space="preserve">: תכנון מס לגיטימי או </w:t>
      </w:r>
      <w:r w:rsidRPr="00834CF1">
        <w:rPr>
          <w:rFonts w:ascii="Century" w:hAnsi="Century" w:cs="Miriam" w:hint="cs"/>
          <w:b/>
          <w:spacing w:val="0"/>
          <w:szCs w:val="24"/>
          <w:rtl/>
        </w:rPr>
        <w:t>דיבידנד מוסווה</w:t>
      </w:r>
      <w:r>
        <w:rPr>
          <w:rFonts w:ascii="Century" w:hAnsi="Century" w:cs="Miriam" w:hint="cs"/>
          <w:b/>
          <w:spacing w:val="0"/>
          <w:szCs w:val="24"/>
          <w:rtl/>
        </w:rPr>
        <w:t>?</w:t>
      </w:r>
    </w:p>
    <w:p w:rsidR="00F05533" w:rsidRPr="000B437C" w:rsidRDefault="00F05533" w:rsidP="00F05533">
      <w:pPr>
        <w:pStyle w:val="Ruller4"/>
        <w:numPr>
          <w:ilvl w:val="0"/>
          <w:numId w:val="0"/>
        </w:numPr>
        <w:rPr>
          <w:rFonts w:ascii="Century" w:hAnsi="Century"/>
          <w:sz w:val="22"/>
        </w:rPr>
      </w:pPr>
    </w:p>
    <w:p w:rsidR="00F05533" w:rsidRPr="006E5B94" w:rsidRDefault="00F05533" w:rsidP="00F05533">
      <w:pPr>
        <w:pStyle w:val="Ruller4"/>
      </w:pPr>
      <w:r>
        <w:rPr>
          <w:rFonts w:ascii="Century" w:hAnsi="Century" w:hint="cs"/>
          <w:sz w:val="22"/>
          <w:rtl/>
        </w:rPr>
        <w:t xml:space="preserve">מן המקובץ עד כה עולה בבירור כי עסקאות של רכישה עצמית דיספרופורציונית מן הסוג שהודגם לעיל </w:t>
      </w:r>
      <w:r w:rsidRPr="007108F0">
        <w:rPr>
          <w:rFonts w:ascii="Century" w:hAnsi="Century" w:cs="Miriam" w:hint="cs"/>
          <w:b/>
          <w:spacing w:val="0"/>
          <w:sz w:val="22"/>
          <w:szCs w:val="24"/>
          <w:rtl/>
        </w:rPr>
        <w:t>בדוגמאות א' ו-ב'</w:t>
      </w:r>
      <w:r>
        <w:rPr>
          <w:rFonts w:ascii="Century" w:hAnsi="Century" w:hint="cs"/>
          <w:sz w:val="22"/>
          <w:rtl/>
        </w:rPr>
        <w:t xml:space="preserve"> מכילות בתוכן תשלום של דיבידנד בסכומים שונים לבעלי המניות הנותרים בחברה. </w:t>
      </w:r>
    </w:p>
    <w:p w:rsidR="00F05533" w:rsidRPr="006E5B94" w:rsidRDefault="00F05533" w:rsidP="00F05533">
      <w:pPr>
        <w:pStyle w:val="Ruller4"/>
        <w:numPr>
          <w:ilvl w:val="0"/>
          <w:numId w:val="0"/>
        </w:numPr>
      </w:pPr>
    </w:p>
    <w:p w:rsidR="00F05533" w:rsidRDefault="00F05533" w:rsidP="00F05533">
      <w:pPr>
        <w:pStyle w:val="Ruller4"/>
      </w:pPr>
      <w:r>
        <w:rPr>
          <w:rFonts w:ascii="Century" w:hAnsi="Century" w:hint="cs"/>
          <w:sz w:val="22"/>
          <w:rtl/>
        </w:rPr>
        <w:t xml:space="preserve">במובחן מדוגמאות אלה וממקרים דומים, </w:t>
      </w:r>
      <w:r>
        <w:rPr>
          <w:rFonts w:hint="cs"/>
          <w:rtl/>
        </w:rPr>
        <w:t xml:space="preserve">מקרה טיפוסי של רכישה עצמית </w:t>
      </w:r>
      <w:r w:rsidRPr="006E5B94">
        <w:rPr>
          <w:rFonts w:ascii="Century" w:hAnsi="Century" w:cs="Miriam" w:hint="cs"/>
          <w:b/>
          <w:spacing w:val="0"/>
          <w:sz w:val="22"/>
          <w:szCs w:val="24"/>
          <w:rtl/>
        </w:rPr>
        <w:t>פרופורציונלית</w:t>
      </w:r>
      <w:r>
        <w:rPr>
          <w:rFonts w:hint="cs"/>
          <w:rtl/>
        </w:rPr>
        <w:t xml:space="preserve"> אינו מעורר קשיים מיוחדים באשר לסיווג העסקה כחלוקת דיבידנד בין בעלי המניות. בכל מקרה כזה, זוכה בעל מניות בחברה לתקבול ממשי אשר ניתן וראוי לאומדו ולהטיל בגינו מס. על-פי רוב, ובהעדר נסיבות מיוחדות, סיווגו של תקבול ממשי כזה ראוי שיהא כמו הכנסה מסוג דיבידנד (ראו </w:t>
      </w:r>
      <w:r w:rsidRPr="00647B90">
        <w:rPr>
          <w:rFonts w:hint="cs"/>
          <w:rtl/>
        </w:rPr>
        <w:t xml:space="preserve">גם: סעיף </w:t>
      </w:r>
      <w:r>
        <w:rPr>
          <w:rFonts w:hint="cs"/>
          <w:rtl/>
        </w:rPr>
        <w:t>3.1</w:t>
      </w:r>
      <w:r w:rsidRPr="00647B90">
        <w:rPr>
          <w:rFonts w:hint="cs"/>
          <w:rtl/>
        </w:rPr>
        <w:t xml:space="preserve"> </w:t>
      </w:r>
      <w:r>
        <w:rPr>
          <w:rFonts w:hint="cs"/>
          <w:rtl/>
        </w:rPr>
        <w:t>ל</w:t>
      </w:r>
      <w:r w:rsidRPr="00647B90">
        <w:rPr>
          <w:rFonts w:hint="cs"/>
          <w:rtl/>
        </w:rPr>
        <w:t xml:space="preserve">חוזר </w:t>
      </w:r>
      <w:r>
        <w:rPr>
          <w:rFonts w:hint="cs"/>
          <w:rtl/>
        </w:rPr>
        <w:t>ה</w:t>
      </w:r>
      <w:r w:rsidRPr="00647B90">
        <w:rPr>
          <w:rFonts w:hint="cs"/>
          <w:rtl/>
        </w:rPr>
        <w:t xml:space="preserve">מס 2/2018; </w:t>
      </w:r>
      <w:r w:rsidRPr="006E5B94">
        <w:rPr>
          <w:rFonts w:ascii="Century" w:hAnsi="Century" w:cs="Miriam" w:hint="cs"/>
          <w:b/>
          <w:spacing w:val="0"/>
          <w:sz w:val="22"/>
          <w:szCs w:val="24"/>
          <w:rtl/>
        </w:rPr>
        <w:t>שאנן וכהן</w:t>
      </w:r>
      <w:r>
        <w:rPr>
          <w:rFonts w:hint="cs"/>
          <w:rtl/>
        </w:rPr>
        <w:t>, עמ' 458</w:t>
      </w:r>
      <w:r w:rsidRPr="00647B90">
        <w:rPr>
          <w:rFonts w:hint="cs"/>
          <w:rtl/>
        </w:rPr>
        <w:t>)</w:t>
      </w:r>
      <w:r>
        <w:rPr>
          <w:rFonts w:hint="cs"/>
          <w:rtl/>
        </w:rPr>
        <w:t xml:space="preserve"> </w:t>
      </w:r>
      <w:r>
        <w:rPr>
          <w:rtl/>
        </w:rPr>
        <w:t>–</w:t>
      </w:r>
      <w:r>
        <w:rPr>
          <w:rFonts w:hint="cs"/>
          <w:rtl/>
        </w:rPr>
        <w:t xml:space="preserve"> זאת, לנוכח תוצאותיה הכלכליות של רכישה עצמית פרופורציונלית. תוצאות אלה אינן נבדלות מחלוקת </w:t>
      </w:r>
      <w:r w:rsidRPr="007B5627">
        <w:rPr>
          <w:rFonts w:hint="cs"/>
          <w:rtl/>
        </w:rPr>
        <w:t xml:space="preserve">דיבידנד </w:t>
      </w:r>
      <w:r>
        <w:rPr>
          <w:rFonts w:hint="cs"/>
          <w:rtl/>
        </w:rPr>
        <w:t xml:space="preserve">מאחר שכל בעל מניות בחברה מקבל ממנה תשלום שתואם את </w:t>
      </w:r>
      <w:proofErr w:type="spellStart"/>
      <w:r>
        <w:rPr>
          <w:rFonts w:hint="cs"/>
          <w:rtl/>
        </w:rPr>
        <w:t>החזקותיו</w:t>
      </w:r>
      <w:proofErr w:type="spellEnd"/>
      <w:r>
        <w:rPr>
          <w:rFonts w:hint="cs"/>
          <w:rtl/>
        </w:rPr>
        <w:t xml:space="preserve"> מבלי להקטין כהוא זה את כוח השליטה שלו בחברה </w:t>
      </w:r>
      <w:r w:rsidRPr="007B5627">
        <w:rPr>
          <w:rFonts w:hint="cs"/>
          <w:rtl/>
        </w:rPr>
        <w:t xml:space="preserve">(ראו: </w:t>
      </w:r>
      <w:proofErr w:type="spellStart"/>
      <w:r w:rsidRPr="006E5B94">
        <w:rPr>
          <w:rFonts w:ascii="Century" w:hAnsi="Century" w:cs="Miriam" w:hint="cs"/>
          <w:b/>
          <w:spacing w:val="0"/>
          <w:sz w:val="22"/>
          <w:szCs w:val="24"/>
          <w:rtl/>
        </w:rPr>
        <w:t>אלקינס</w:t>
      </w:r>
      <w:proofErr w:type="spellEnd"/>
      <w:r>
        <w:rPr>
          <w:rFonts w:hint="cs"/>
          <w:rtl/>
        </w:rPr>
        <w:t xml:space="preserve">, עמ' 208-207; </w:t>
      </w:r>
      <w:r w:rsidRPr="006E5B94">
        <w:rPr>
          <w:rFonts w:ascii="Century" w:hAnsi="Century" w:cs="Miriam" w:hint="cs"/>
          <w:b/>
          <w:spacing w:val="0"/>
          <w:sz w:val="22"/>
          <w:szCs w:val="24"/>
          <w:rtl/>
        </w:rPr>
        <w:t>שאנן וכהן</w:t>
      </w:r>
      <w:r>
        <w:rPr>
          <w:rFonts w:hint="cs"/>
          <w:rtl/>
        </w:rPr>
        <w:t xml:space="preserve">, עמ' 463, 474). </w:t>
      </w:r>
    </w:p>
    <w:p w:rsidR="00F05533" w:rsidRDefault="00F05533" w:rsidP="00F05533">
      <w:pPr>
        <w:pStyle w:val="Ruller4"/>
        <w:numPr>
          <w:ilvl w:val="0"/>
          <w:numId w:val="0"/>
        </w:numPr>
      </w:pPr>
    </w:p>
    <w:p w:rsidR="00F05533" w:rsidRDefault="00F05533" w:rsidP="00F05533">
      <w:pPr>
        <w:pStyle w:val="Ruller4"/>
      </w:pPr>
      <w:r>
        <w:rPr>
          <w:rFonts w:hint="cs"/>
          <w:rtl/>
        </w:rPr>
        <w:t xml:space="preserve">סיווג תמורתו של בעל מניות המוכר את מלוא מניותיו בחברה במסגרת רכישה עצמית דיספרופורציונית, אף הוא אינו מעורר כל קושי בדיני מיסים. ברי הוא, כי בהעדר נסיבות מיוחדות תקבול כזה </w:t>
      </w:r>
      <w:proofErr w:type="spellStart"/>
      <w:r>
        <w:rPr>
          <w:rFonts w:hint="cs"/>
          <w:rtl/>
        </w:rPr>
        <w:t>ימוסה</w:t>
      </w:r>
      <w:proofErr w:type="spellEnd"/>
      <w:r>
        <w:rPr>
          <w:rFonts w:hint="cs"/>
          <w:rtl/>
        </w:rPr>
        <w:t xml:space="preserve"> כרווח הון, בהיותו תשלום בגין מכירת נכס הוני מסוג מניה (ראו, למשל: סעיף 3.2.3 לחוזר המס 2/2018; חוזר המס 10/2001; </w:t>
      </w:r>
      <w:r w:rsidRPr="00FE3032">
        <w:rPr>
          <w:rFonts w:ascii="Century" w:hAnsi="Century" w:cs="Miriam" w:hint="cs"/>
          <w:b/>
          <w:spacing w:val="0"/>
          <w:sz w:val="22"/>
          <w:szCs w:val="24"/>
          <w:rtl/>
        </w:rPr>
        <w:t>שאנן וכהן</w:t>
      </w:r>
      <w:r>
        <w:rPr>
          <w:rFonts w:hint="cs"/>
          <w:rtl/>
        </w:rPr>
        <w:t xml:space="preserve">, עמ' 464-463; </w:t>
      </w:r>
      <w:proofErr w:type="spellStart"/>
      <w:r w:rsidRPr="00FE3032">
        <w:rPr>
          <w:rFonts w:ascii="Century" w:hAnsi="Century" w:cs="Miriam" w:hint="cs"/>
          <w:b/>
          <w:spacing w:val="0"/>
          <w:sz w:val="22"/>
          <w:szCs w:val="24"/>
          <w:rtl/>
        </w:rPr>
        <w:t>אלקינס</w:t>
      </w:r>
      <w:proofErr w:type="spellEnd"/>
      <w:r>
        <w:rPr>
          <w:rFonts w:hint="cs"/>
          <w:rtl/>
        </w:rPr>
        <w:t xml:space="preserve">, עמ' 208). </w:t>
      </w:r>
    </w:p>
    <w:p w:rsidR="00F05533" w:rsidRPr="00AB3074" w:rsidRDefault="00F05533" w:rsidP="00F05533">
      <w:pPr>
        <w:pStyle w:val="Ruller4"/>
        <w:numPr>
          <w:ilvl w:val="0"/>
          <w:numId w:val="0"/>
        </w:numPr>
      </w:pPr>
    </w:p>
    <w:p w:rsidR="00F05533" w:rsidRDefault="00F05533" w:rsidP="00F05533">
      <w:pPr>
        <w:pStyle w:val="Ruller4"/>
      </w:pPr>
      <w:r>
        <w:rPr>
          <w:rFonts w:hint="cs"/>
          <w:rtl/>
        </w:rPr>
        <w:t xml:space="preserve">סיווגה של רכישה עצמית דיספרופורציונית לצרכי המיסוי </w:t>
      </w:r>
      <w:r w:rsidRPr="005D3D31">
        <w:rPr>
          <w:rFonts w:ascii="Century" w:hAnsi="Century" w:hint="cs"/>
          <w:sz w:val="22"/>
          <w:rtl/>
        </w:rPr>
        <w:t xml:space="preserve">של </w:t>
      </w:r>
      <w:r w:rsidRPr="005D3D31">
        <w:rPr>
          <w:rFonts w:ascii="Century" w:hAnsi="Century" w:cs="Miriam" w:hint="cs"/>
          <w:b/>
          <w:spacing w:val="0"/>
          <w:sz w:val="22"/>
          <w:szCs w:val="24"/>
          <w:rtl/>
        </w:rPr>
        <w:t>בעלי המניות הנותרים</w:t>
      </w:r>
      <w:r w:rsidRPr="005D3D31">
        <w:rPr>
          <w:rFonts w:hint="cs"/>
          <w:rtl/>
        </w:rPr>
        <w:t xml:space="preserve"> </w:t>
      </w:r>
      <w:r>
        <w:rPr>
          <w:rtl/>
        </w:rPr>
        <w:t>–</w:t>
      </w:r>
      <w:r>
        <w:rPr>
          <w:rFonts w:hint="cs"/>
          <w:rtl/>
        </w:rPr>
        <w:t xml:space="preserve"> אלה שלא מכרו את מניותיהם ולא קיבלו לידיהם שום כסף מכספי החברה </w:t>
      </w:r>
      <w:r>
        <w:rPr>
          <w:rtl/>
        </w:rPr>
        <w:t>–</w:t>
      </w:r>
      <w:r>
        <w:rPr>
          <w:rFonts w:hint="cs"/>
          <w:rtl/>
        </w:rPr>
        <w:t xml:space="preserve"> אינו עניין כה פשוט. מקרים כאלה מעוררים שאלה לגבי </w:t>
      </w:r>
      <w:r w:rsidRPr="005D3D31">
        <w:rPr>
          <w:rFonts w:ascii="Century" w:hAnsi="Century" w:cs="Miriam" w:hint="cs"/>
          <w:b/>
          <w:spacing w:val="0"/>
          <w:sz w:val="22"/>
          <w:szCs w:val="24"/>
          <w:rtl/>
        </w:rPr>
        <w:t>עצם קיומו של תקבול</w:t>
      </w:r>
      <w:r>
        <w:rPr>
          <w:rFonts w:hint="cs"/>
          <w:rtl/>
        </w:rPr>
        <w:t xml:space="preserve"> בר-מיסוי. יחד עם כך, הן </w:t>
      </w:r>
      <w:r w:rsidRPr="005D3D31">
        <w:rPr>
          <w:rFonts w:ascii="Century" w:hAnsi="Century" w:cs="Miriam" w:hint="cs"/>
          <w:b/>
          <w:spacing w:val="0"/>
          <w:sz w:val="22"/>
          <w:szCs w:val="24"/>
          <w:rtl/>
        </w:rPr>
        <w:t>בדוגמא א'</w:t>
      </w:r>
      <w:r>
        <w:rPr>
          <w:rFonts w:hint="cs"/>
          <w:rtl/>
        </w:rPr>
        <w:t xml:space="preserve"> והן </w:t>
      </w:r>
      <w:r w:rsidRPr="005D3D31">
        <w:rPr>
          <w:rFonts w:ascii="Century" w:hAnsi="Century" w:cs="Miriam" w:hint="cs"/>
          <w:b/>
          <w:spacing w:val="0"/>
          <w:sz w:val="22"/>
          <w:szCs w:val="24"/>
          <w:rtl/>
        </w:rPr>
        <w:t>בדוגמא ב'</w:t>
      </w:r>
      <w:r>
        <w:rPr>
          <w:rFonts w:hint="cs"/>
          <w:rtl/>
        </w:rPr>
        <w:t xml:space="preserve"> שלעיל רכישה עצמית דיספרופורציונית משאירה בידי בעלי המניות הנותרים בחברה תקבול רעיוני שאותו נכון וראוי למסות כדרכו של כסף חי שמקורו בדיבידנד </w:t>
      </w:r>
      <w:r>
        <w:rPr>
          <w:rtl/>
        </w:rPr>
        <w:t>–</w:t>
      </w:r>
      <w:r>
        <w:rPr>
          <w:rFonts w:hint="cs"/>
          <w:rtl/>
        </w:rPr>
        <w:t xml:space="preserve"> וזאת, מכמה סיבות. ראשית, כפי שכבר </w:t>
      </w:r>
      <w:proofErr w:type="spellStart"/>
      <w:r>
        <w:rPr>
          <w:rFonts w:hint="cs"/>
          <w:rtl/>
        </w:rPr>
        <w:t>צויין</w:t>
      </w:r>
      <w:proofErr w:type="spellEnd"/>
      <w:r>
        <w:rPr>
          <w:rFonts w:hint="cs"/>
          <w:rtl/>
        </w:rPr>
        <w:t xml:space="preserve"> על ידי, רכישה כאמור מגדילה את שיעור </w:t>
      </w:r>
      <w:proofErr w:type="spellStart"/>
      <w:r>
        <w:rPr>
          <w:rFonts w:hint="cs"/>
          <w:rtl/>
        </w:rPr>
        <w:t>החזקותיהם</w:t>
      </w:r>
      <w:proofErr w:type="spellEnd"/>
      <w:r>
        <w:rPr>
          <w:rFonts w:hint="cs"/>
          <w:rtl/>
        </w:rPr>
        <w:t xml:space="preserve"> של בעלי המניות הנותרים על חשבון חלקיהם של בעלי המניות המוכרים, מבלי להוריד את ערכן של המניות שבידיהם (ראו: </w:t>
      </w:r>
      <w:proofErr w:type="spellStart"/>
      <w:r w:rsidRPr="005D3D31">
        <w:rPr>
          <w:rFonts w:ascii="Century" w:hAnsi="Century" w:cs="Miriam" w:hint="cs"/>
          <w:b/>
          <w:spacing w:val="0"/>
          <w:sz w:val="22"/>
          <w:szCs w:val="24"/>
          <w:rtl/>
        </w:rPr>
        <w:t>אלקינס</w:t>
      </w:r>
      <w:proofErr w:type="spellEnd"/>
      <w:r>
        <w:rPr>
          <w:rFonts w:hint="cs"/>
          <w:rtl/>
        </w:rPr>
        <w:t xml:space="preserve">, עמ' 209-208; </w:t>
      </w:r>
      <w:r w:rsidRPr="005D3D31">
        <w:rPr>
          <w:rFonts w:ascii="Century" w:hAnsi="Century" w:cs="Miriam" w:hint="cs"/>
          <w:b/>
          <w:spacing w:val="0"/>
          <w:sz w:val="22"/>
          <w:szCs w:val="24"/>
          <w:rtl/>
        </w:rPr>
        <w:t>שאנן וכהן</w:t>
      </w:r>
      <w:r>
        <w:rPr>
          <w:rFonts w:hint="cs"/>
          <w:rtl/>
        </w:rPr>
        <w:t xml:space="preserve">, עמ' 463). </w:t>
      </w:r>
      <w:r w:rsidRPr="005D3D31">
        <w:rPr>
          <w:rFonts w:ascii="Century" w:hAnsi="Century" w:cs="Miriam" w:hint="cs"/>
          <w:b/>
          <w:spacing w:val="0"/>
          <w:sz w:val="22"/>
          <w:szCs w:val="24"/>
          <w:rtl/>
        </w:rPr>
        <w:t>בחברה פרטית אשר נשלטת על ידי בעלי מניות מעטים, מהלך כזה יטיב ברוב המקרים עם בעלי המניות הנותרים מבלי להביא כל תועלת ממשית לחברה ולעסקיה</w:t>
      </w:r>
      <w:r w:rsidRPr="009D5A31">
        <w:rPr>
          <w:rFonts w:ascii="Century" w:hAnsi="Century"/>
          <w:sz w:val="22"/>
          <w:rtl/>
        </w:rPr>
        <w:t>.</w:t>
      </w:r>
      <w:r>
        <w:rPr>
          <w:rFonts w:hint="cs"/>
          <w:rtl/>
        </w:rPr>
        <w:t xml:space="preserve"> אשר על כן, מבחינת מהותו הכלכלית, מהלך כאמור כמוהו כמשיכת כספי החברה על ידי בעלי המניות הנותרים בחברה, שמטרתה </w:t>
      </w:r>
      <w:r>
        <w:rPr>
          <w:rtl/>
        </w:rPr>
        <w:t>–</w:t>
      </w:r>
      <w:r>
        <w:rPr>
          <w:rFonts w:hint="cs"/>
          <w:rtl/>
        </w:rPr>
        <w:t xml:space="preserve"> תשלום דמי פרישה לבעלי המניות המעוניינים למכור את מניותיהם כדי לפרוש מהחברה; או, לחלופין, לשרת את בעלי המניות הנותרים ולהגדיל את </w:t>
      </w:r>
      <w:proofErr w:type="spellStart"/>
      <w:r>
        <w:rPr>
          <w:rFonts w:hint="cs"/>
          <w:rtl/>
        </w:rPr>
        <w:t>החזקותיהם</w:t>
      </w:r>
      <w:proofErr w:type="spellEnd"/>
      <w:r>
        <w:rPr>
          <w:rFonts w:hint="cs"/>
          <w:rtl/>
        </w:rPr>
        <w:t xml:space="preserve"> על חשבון בעל המניות הפורש (ראו: </w:t>
      </w:r>
      <w:proofErr w:type="spellStart"/>
      <w:r w:rsidRPr="005D3D31">
        <w:rPr>
          <w:rFonts w:ascii="Century" w:hAnsi="Century" w:cs="Miriam" w:hint="cs"/>
          <w:b/>
          <w:spacing w:val="0"/>
          <w:sz w:val="22"/>
          <w:szCs w:val="24"/>
          <w:rtl/>
        </w:rPr>
        <w:t>סוארי</w:t>
      </w:r>
      <w:proofErr w:type="spellEnd"/>
      <w:r w:rsidRPr="005D3D31">
        <w:rPr>
          <w:rFonts w:ascii="Century" w:hAnsi="Century" w:cs="Miriam" w:hint="cs"/>
          <w:b/>
          <w:spacing w:val="0"/>
          <w:sz w:val="22"/>
          <w:szCs w:val="24"/>
          <w:rtl/>
        </w:rPr>
        <w:t xml:space="preserve">, רווה </w:t>
      </w:r>
      <w:proofErr w:type="spellStart"/>
      <w:r w:rsidRPr="005D3D31">
        <w:rPr>
          <w:rFonts w:ascii="Century" w:hAnsi="Century" w:cs="Miriam" w:hint="cs"/>
          <w:b/>
          <w:spacing w:val="0"/>
          <w:sz w:val="22"/>
          <w:szCs w:val="24"/>
          <w:rtl/>
        </w:rPr>
        <w:t>ופסרמן</w:t>
      </w:r>
      <w:proofErr w:type="spellEnd"/>
      <w:r>
        <w:rPr>
          <w:rFonts w:hint="cs"/>
          <w:rtl/>
        </w:rPr>
        <w:t xml:space="preserve">, עמ' 71). כל אימת שמשיכת כספים זו אינה בגדר הלוואת בעלים, שאותה יש להחזיר לחברה בתוספת תשואה מקובלת, היא בגדר דיבידנד שבגינו חייבים בעלי המניות הנותרים לשלם מס </w:t>
      </w:r>
      <w:r>
        <w:rPr>
          <w:rtl/>
        </w:rPr>
        <w:t>–</w:t>
      </w:r>
      <w:r>
        <w:rPr>
          <w:rFonts w:hint="cs"/>
          <w:rtl/>
        </w:rPr>
        <w:t xml:space="preserve"> כל אחד לפי מדרגת המס שלו. אם נסבור אחרת, נמצא את עצמנו מתירים לבעלי המניות הנותרים לדלל את כספי החברה על ידי שימוש עצמי בכספיה </w:t>
      </w:r>
      <w:r>
        <w:rPr>
          <w:rtl/>
        </w:rPr>
        <w:t>–</w:t>
      </w:r>
      <w:r>
        <w:rPr>
          <w:rFonts w:hint="cs"/>
          <w:rtl/>
        </w:rPr>
        <w:t xml:space="preserve"> מהלך שמסכל את תכליותיו של מודל המיסוי הדו-שלבי (ראו והשוו: ע"א 8847/13 </w:t>
      </w:r>
      <w:r w:rsidRPr="005D3D31">
        <w:rPr>
          <w:rFonts w:ascii="Century" w:hAnsi="Century" w:cs="Miriam" w:hint="cs"/>
          <w:b/>
          <w:spacing w:val="0"/>
          <w:sz w:val="22"/>
          <w:szCs w:val="24"/>
          <w:rtl/>
        </w:rPr>
        <w:t>שפירא נ' פקיד שומה גוש דן</w:t>
      </w:r>
      <w:r w:rsidRPr="005D3D31">
        <w:rPr>
          <w:rFonts w:ascii="Century" w:hAnsi="Century" w:hint="cs"/>
          <w:sz w:val="22"/>
          <w:rtl/>
        </w:rPr>
        <w:t>, פסקה 3 והאסמכתאות שם (5.9.2016)</w:t>
      </w:r>
      <w:r>
        <w:rPr>
          <w:rFonts w:hint="cs"/>
          <w:rtl/>
        </w:rPr>
        <w:t xml:space="preserve">; עניין </w:t>
      </w:r>
      <w:r w:rsidRPr="005D3D31">
        <w:rPr>
          <w:rFonts w:ascii="Century" w:hAnsi="Century" w:cs="Miriam" w:hint="cs"/>
          <w:b/>
          <w:spacing w:val="0"/>
          <w:sz w:val="22"/>
          <w:szCs w:val="24"/>
          <w:rtl/>
        </w:rPr>
        <w:t>קניון דרורים</w:t>
      </w:r>
      <w:r>
        <w:rPr>
          <w:rFonts w:hint="cs"/>
          <w:rtl/>
        </w:rPr>
        <w:t xml:space="preserve">, פסקה 27). </w:t>
      </w:r>
    </w:p>
    <w:p w:rsidR="00F05533" w:rsidRDefault="00F05533" w:rsidP="00F05533">
      <w:pPr>
        <w:pStyle w:val="Ruller4"/>
        <w:numPr>
          <w:ilvl w:val="0"/>
          <w:numId w:val="0"/>
        </w:numPr>
      </w:pPr>
    </w:p>
    <w:p w:rsidR="00F05533" w:rsidRDefault="00F05533" w:rsidP="00F05533">
      <w:pPr>
        <w:pStyle w:val="Ruller4"/>
      </w:pPr>
      <w:r>
        <w:rPr>
          <w:rFonts w:hint="cs"/>
          <w:rtl/>
        </w:rPr>
        <w:t xml:space="preserve">בנסיבות כאלה, יהא זה צודק מצד פקיד השומה לסווג את ההטבה שבידי בעלי המניות הנותרים כדיבידנד החייב במס על בסיסו של עיקרון המהות הכלכלית (ראו והשוו: עניין </w:t>
      </w:r>
      <w:r w:rsidRPr="00906777">
        <w:rPr>
          <w:rFonts w:ascii="Century" w:hAnsi="Century" w:cs="Miriam" w:hint="cs"/>
          <w:b/>
          <w:spacing w:val="0"/>
          <w:sz w:val="22"/>
          <w:szCs w:val="24"/>
          <w:rtl/>
        </w:rPr>
        <w:t>מגדלי הים התיכון</w:t>
      </w:r>
      <w:r w:rsidRPr="00906777">
        <w:rPr>
          <w:rFonts w:ascii="Century" w:hAnsi="Century" w:hint="cs"/>
          <w:sz w:val="22"/>
          <w:rtl/>
        </w:rPr>
        <w:t xml:space="preserve">, עמ' 347 והאסמכתאות שם; עניין </w:t>
      </w:r>
      <w:r w:rsidRPr="00906777">
        <w:rPr>
          <w:rFonts w:ascii="Century" w:hAnsi="Century" w:cs="Miriam" w:hint="cs"/>
          <w:b/>
          <w:spacing w:val="0"/>
          <w:sz w:val="22"/>
          <w:szCs w:val="24"/>
          <w:rtl/>
        </w:rPr>
        <w:t>טובי</w:t>
      </w:r>
      <w:r w:rsidRPr="00906777">
        <w:rPr>
          <w:rFonts w:ascii="Century" w:hAnsi="Century" w:hint="cs"/>
          <w:sz w:val="22"/>
          <w:rtl/>
        </w:rPr>
        <w:t>, עמ' 126</w:t>
      </w:r>
      <w:r>
        <w:rPr>
          <w:rFonts w:hint="cs"/>
          <w:rtl/>
        </w:rPr>
        <w:t xml:space="preserve">; עניין </w:t>
      </w:r>
      <w:proofErr w:type="spellStart"/>
      <w:r w:rsidRPr="00906777">
        <w:rPr>
          <w:rFonts w:ascii="Century" w:hAnsi="Century" w:cs="Miriam" w:hint="cs"/>
          <w:b/>
          <w:spacing w:val="0"/>
          <w:sz w:val="22"/>
          <w:szCs w:val="24"/>
          <w:rtl/>
        </w:rPr>
        <w:t>סעדטמנד</w:t>
      </w:r>
      <w:proofErr w:type="spellEnd"/>
      <w:r w:rsidRPr="00906777">
        <w:rPr>
          <w:rFonts w:ascii="Century" w:hAnsi="Century" w:hint="cs"/>
          <w:sz w:val="22"/>
          <w:rtl/>
        </w:rPr>
        <w:t xml:space="preserve">, </w:t>
      </w:r>
      <w:r>
        <w:rPr>
          <w:rFonts w:hint="cs"/>
          <w:rtl/>
        </w:rPr>
        <w:t xml:space="preserve">פסקה 5 והאסמכתאות שם; עניין </w:t>
      </w:r>
      <w:r w:rsidRPr="00906777">
        <w:rPr>
          <w:rFonts w:ascii="Century" w:hAnsi="Century" w:cs="Miriam" w:hint="cs"/>
          <w:b/>
          <w:spacing w:val="0"/>
          <w:sz w:val="22"/>
          <w:szCs w:val="24"/>
          <w:rtl/>
        </w:rPr>
        <w:t>אורלי</w:t>
      </w:r>
      <w:r>
        <w:rPr>
          <w:rFonts w:hint="cs"/>
          <w:rtl/>
        </w:rPr>
        <w:t xml:space="preserve">, פסקה 7 והאסמכתאות שם; </w:t>
      </w:r>
      <w:proofErr w:type="spellStart"/>
      <w:r w:rsidRPr="00906777">
        <w:rPr>
          <w:rFonts w:ascii="Century" w:hAnsi="Century" w:cs="Miriam" w:hint="cs"/>
          <w:b/>
          <w:spacing w:val="0"/>
          <w:sz w:val="22"/>
          <w:szCs w:val="24"/>
          <w:rtl/>
        </w:rPr>
        <w:t>אלקינס</w:t>
      </w:r>
      <w:proofErr w:type="spellEnd"/>
      <w:r>
        <w:rPr>
          <w:rFonts w:hint="cs"/>
          <w:rtl/>
        </w:rPr>
        <w:t xml:space="preserve">, עמ' 208; </w:t>
      </w:r>
      <w:proofErr w:type="spellStart"/>
      <w:r w:rsidRPr="00906777">
        <w:rPr>
          <w:rFonts w:ascii="Century" w:hAnsi="Century" w:cs="Miriam" w:hint="cs"/>
          <w:b/>
          <w:spacing w:val="0"/>
          <w:sz w:val="22"/>
          <w:szCs w:val="24"/>
          <w:rtl/>
        </w:rPr>
        <w:t>סוארי</w:t>
      </w:r>
      <w:proofErr w:type="spellEnd"/>
      <w:r w:rsidRPr="00906777">
        <w:rPr>
          <w:rFonts w:ascii="Century" w:hAnsi="Century" w:cs="Miriam" w:hint="cs"/>
          <w:b/>
          <w:spacing w:val="0"/>
          <w:sz w:val="22"/>
          <w:szCs w:val="24"/>
          <w:rtl/>
        </w:rPr>
        <w:t xml:space="preserve">, רווה </w:t>
      </w:r>
      <w:proofErr w:type="spellStart"/>
      <w:r w:rsidRPr="00906777">
        <w:rPr>
          <w:rFonts w:ascii="Century" w:hAnsi="Century" w:cs="Miriam" w:hint="cs"/>
          <w:b/>
          <w:spacing w:val="0"/>
          <w:sz w:val="22"/>
          <w:szCs w:val="24"/>
          <w:rtl/>
        </w:rPr>
        <w:t>ופסרמן</w:t>
      </w:r>
      <w:proofErr w:type="spellEnd"/>
      <w:r>
        <w:rPr>
          <w:rFonts w:hint="cs"/>
          <w:rtl/>
        </w:rPr>
        <w:t>, עמ' 191-185, 209-208</w:t>
      </w:r>
      <w:r w:rsidRPr="00906777">
        <w:rPr>
          <w:rFonts w:ascii="Century" w:hAnsi="Century" w:hint="cs"/>
          <w:sz w:val="22"/>
          <w:rtl/>
        </w:rPr>
        <w:t xml:space="preserve">; </w:t>
      </w:r>
      <w:r>
        <w:rPr>
          <w:rFonts w:hint="cs"/>
          <w:rtl/>
        </w:rPr>
        <w:t xml:space="preserve">צבי פרידמן ושלמה זרחיה "דיבידנדים, הפחתת הון ורכישה עצמית של מניות </w:t>
      </w:r>
      <w:r>
        <w:rPr>
          <w:rtl/>
        </w:rPr>
        <w:t>–</w:t>
      </w:r>
      <w:r>
        <w:rPr>
          <w:rFonts w:hint="cs"/>
          <w:rtl/>
        </w:rPr>
        <w:t xml:space="preserve"> השלכות המס לפי פקודת החברות הישנה ולפי חוק החברות החדש </w:t>
      </w:r>
      <w:r w:rsidRPr="00906777">
        <w:rPr>
          <w:rFonts w:ascii="Century" w:hAnsi="Century" w:cs="Miriam" w:hint="cs"/>
          <w:b/>
          <w:spacing w:val="0"/>
          <w:sz w:val="22"/>
          <w:szCs w:val="24"/>
          <w:rtl/>
        </w:rPr>
        <w:t xml:space="preserve">מיסים </w:t>
      </w:r>
      <w:proofErr w:type="spellStart"/>
      <w:r w:rsidRPr="00906777">
        <w:rPr>
          <w:rFonts w:ascii="Century" w:hAnsi="Century" w:hint="cs"/>
          <w:sz w:val="22"/>
          <w:rtl/>
        </w:rPr>
        <w:t>יג</w:t>
      </w:r>
      <w:proofErr w:type="spellEnd"/>
      <w:r w:rsidRPr="00906777">
        <w:rPr>
          <w:rFonts w:ascii="Century" w:hAnsi="Century" w:hint="cs"/>
          <w:sz w:val="22"/>
          <w:rtl/>
        </w:rPr>
        <w:t xml:space="preserve">(4) א-74, 87 (1999); אמנון רפאל ודן </w:t>
      </w:r>
      <w:proofErr w:type="spellStart"/>
      <w:r w:rsidRPr="00906777">
        <w:rPr>
          <w:rFonts w:ascii="Century" w:hAnsi="Century" w:hint="cs"/>
          <w:sz w:val="22"/>
          <w:rtl/>
        </w:rPr>
        <w:t>ריטר</w:t>
      </w:r>
      <w:proofErr w:type="spellEnd"/>
      <w:r w:rsidRPr="00906777">
        <w:rPr>
          <w:rFonts w:ascii="Century" w:hAnsi="Century" w:hint="cs"/>
          <w:sz w:val="22"/>
          <w:rtl/>
        </w:rPr>
        <w:t xml:space="preserve"> "רכישה עצמית של מניות בראי דיני המס: החוק וחוזר המס </w:t>
      </w:r>
      <w:r w:rsidRPr="00906777">
        <w:rPr>
          <w:rFonts w:ascii="Century" w:hAnsi="Century"/>
          <w:sz w:val="22"/>
          <w:rtl/>
        </w:rPr>
        <w:t>–</w:t>
      </w:r>
      <w:r w:rsidRPr="00906777">
        <w:rPr>
          <w:rFonts w:ascii="Century" w:hAnsi="Century" w:hint="cs"/>
          <w:sz w:val="22"/>
          <w:rtl/>
        </w:rPr>
        <w:t xml:space="preserve"> סיבוב ראשון </w:t>
      </w:r>
      <w:r w:rsidRPr="00906777">
        <w:rPr>
          <w:rFonts w:ascii="Century" w:hAnsi="Century" w:cs="Miriam" w:hint="cs"/>
          <w:b/>
          <w:spacing w:val="0"/>
          <w:sz w:val="22"/>
          <w:szCs w:val="24"/>
          <w:rtl/>
        </w:rPr>
        <w:t xml:space="preserve">מיסים </w:t>
      </w:r>
      <w:proofErr w:type="spellStart"/>
      <w:r w:rsidRPr="00906777">
        <w:rPr>
          <w:rFonts w:ascii="Century" w:hAnsi="Century" w:hint="cs"/>
          <w:sz w:val="22"/>
          <w:rtl/>
        </w:rPr>
        <w:t>יז</w:t>
      </w:r>
      <w:proofErr w:type="spellEnd"/>
      <w:r w:rsidRPr="00906777">
        <w:rPr>
          <w:rFonts w:ascii="Century" w:hAnsi="Century" w:hint="cs"/>
          <w:sz w:val="22"/>
          <w:rtl/>
        </w:rPr>
        <w:t>(2) א-144, 152 (2003)</w:t>
      </w:r>
      <w:r>
        <w:rPr>
          <w:rFonts w:hint="cs"/>
          <w:rtl/>
        </w:rPr>
        <w:t xml:space="preserve">). במקרים כדוגמת אלה, פקיד השומה לא יידרש, על-פי רוב, להפעיל את כלל ההתעלמות מעסקה מלאכותית, אך הכלל הזה יישאר שמור בארגז כליו למקרים </w:t>
      </w:r>
      <w:r>
        <w:rPr>
          <w:rFonts w:hint="cs"/>
          <w:rtl/>
        </w:rPr>
        <w:lastRenderedPageBreak/>
        <w:t xml:space="preserve">המתאימים לכך </w:t>
      </w:r>
      <w:r>
        <w:rPr>
          <w:rtl/>
        </w:rPr>
        <w:t>–</w:t>
      </w:r>
      <w:r>
        <w:rPr>
          <w:rFonts w:hint="cs"/>
          <w:rtl/>
        </w:rPr>
        <w:t xml:space="preserve"> ובפרט, לנסיבות בהן ייעשה ניסיון להסוות את משיכת כספי החברה על ידי בעלי המניות הנותרים. ודוק: במקרים כאלה, פקיד השומה לא יהא </w:t>
      </w:r>
      <w:proofErr w:type="spellStart"/>
      <w:r>
        <w:rPr>
          <w:rFonts w:hint="cs"/>
          <w:rtl/>
        </w:rPr>
        <w:t>מחוייב</w:t>
      </w:r>
      <w:proofErr w:type="spellEnd"/>
      <w:r>
        <w:rPr>
          <w:rFonts w:hint="cs"/>
          <w:rtl/>
        </w:rPr>
        <w:t xml:space="preserve"> לקבוע כי משיכת הכספים האמורה מהווה דיבידנד. בנסיבות המתאימות לכך, משיכה רעיונית של כספי החברה יכול שתסווג כ"משיכה" כפשוטה לעניינו של סעיף 3(ט1) לפקודת מס הכנסה </w:t>
      </w:r>
      <w:r>
        <w:rPr>
          <w:rtl/>
        </w:rPr>
        <w:t>–</w:t>
      </w:r>
      <w:r>
        <w:rPr>
          <w:rFonts w:hint="cs"/>
          <w:rtl/>
        </w:rPr>
        <w:t xml:space="preserve"> אשר מורה כי אי-החזרת הכספים תוביל למיסוי המשיכה כדיבידנד </w:t>
      </w:r>
      <w:r>
        <w:rPr>
          <w:rtl/>
        </w:rPr>
        <w:t>–</w:t>
      </w:r>
      <w:r>
        <w:rPr>
          <w:rFonts w:hint="cs"/>
          <w:rtl/>
        </w:rPr>
        <w:t xml:space="preserve"> או בכל אופן אחר הנלמד מן הנסיבות (ראו והשוו: סעיף 86(א) לפקודה; </w:t>
      </w:r>
      <w:r w:rsidRPr="00041E5E">
        <w:rPr>
          <w:rFonts w:ascii="Century" w:hAnsi="Century" w:cs="Miriam" w:hint="eastAsia"/>
          <w:b/>
          <w:spacing w:val="0"/>
          <w:sz w:val="22"/>
          <w:szCs w:val="24"/>
          <w:rtl/>
        </w:rPr>
        <w:t>יורן</w:t>
      </w:r>
      <w:r>
        <w:rPr>
          <w:rFonts w:hint="cs"/>
          <w:rtl/>
        </w:rPr>
        <w:t>,</w:t>
      </w:r>
      <w:r>
        <w:rPr>
          <w:rFonts w:ascii="Century" w:hAnsi="Century" w:hint="cs"/>
          <w:sz w:val="22"/>
          <w:rtl/>
        </w:rPr>
        <w:t xml:space="preserve"> עמ'</w:t>
      </w:r>
      <w:r w:rsidRPr="00005EF4">
        <w:rPr>
          <w:rFonts w:ascii="Century" w:hAnsi="Century" w:hint="cs"/>
          <w:sz w:val="22"/>
          <w:rtl/>
        </w:rPr>
        <w:t xml:space="preserve"> </w:t>
      </w:r>
      <w:r>
        <w:rPr>
          <w:rFonts w:ascii="Century" w:hAnsi="Century" w:hint="cs"/>
          <w:sz w:val="22"/>
          <w:rtl/>
        </w:rPr>
        <w:t>48-47</w:t>
      </w:r>
      <w:r w:rsidRPr="000C1794">
        <w:rPr>
          <w:rFonts w:hint="cs"/>
          <w:rtl/>
        </w:rPr>
        <w:t xml:space="preserve">; </w:t>
      </w:r>
      <w:r w:rsidRPr="00041E5E">
        <w:rPr>
          <w:rFonts w:ascii="Century" w:hAnsi="Century" w:cs="Miriam" w:hint="eastAsia"/>
          <w:b/>
          <w:spacing w:val="0"/>
          <w:sz w:val="22"/>
          <w:szCs w:val="24"/>
          <w:rtl/>
        </w:rPr>
        <w:t>הדרי</w:t>
      </w:r>
      <w:r>
        <w:rPr>
          <w:rFonts w:hint="cs"/>
          <w:rtl/>
        </w:rPr>
        <w:t xml:space="preserve">, עמ' </w:t>
      </w:r>
      <w:r w:rsidRPr="00005EF4">
        <w:rPr>
          <w:rFonts w:ascii="Century" w:hAnsi="Century" w:hint="cs"/>
          <w:sz w:val="22"/>
          <w:rtl/>
        </w:rPr>
        <w:t>3, 11-6</w:t>
      </w:r>
      <w:r>
        <w:rPr>
          <w:rFonts w:hint="cs"/>
          <w:rtl/>
        </w:rPr>
        <w:t xml:space="preserve">; </w:t>
      </w:r>
      <w:proofErr w:type="spellStart"/>
      <w:r w:rsidRPr="00041E5E">
        <w:rPr>
          <w:rFonts w:ascii="Century" w:hAnsi="Century" w:cs="Miriam" w:hint="eastAsia"/>
          <w:b/>
          <w:spacing w:val="0"/>
          <w:sz w:val="22"/>
          <w:szCs w:val="24"/>
          <w:rtl/>
        </w:rPr>
        <w:t>גוז</w:t>
      </w:r>
      <w:proofErr w:type="spellEnd"/>
      <w:r w:rsidRPr="00041E5E">
        <w:rPr>
          <w:rFonts w:ascii="Century" w:hAnsi="Century" w:cs="Miriam"/>
          <w:b/>
          <w:spacing w:val="0"/>
          <w:sz w:val="22"/>
          <w:szCs w:val="24"/>
          <w:rtl/>
        </w:rPr>
        <w:t>-</w:t>
      </w:r>
      <w:r w:rsidRPr="00041E5E">
        <w:rPr>
          <w:rFonts w:ascii="Century" w:hAnsi="Century" w:cs="Miriam" w:hint="eastAsia"/>
          <w:b/>
          <w:spacing w:val="0"/>
          <w:sz w:val="22"/>
          <w:szCs w:val="24"/>
          <w:rtl/>
        </w:rPr>
        <w:t>לביא</w:t>
      </w:r>
      <w:r>
        <w:rPr>
          <w:rFonts w:hint="cs"/>
          <w:rtl/>
        </w:rPr>
        <w:t xml:space="preserve">, עמ' </w:t>
      </w:r>
      <w:r w:rsidRPr="00005EF4">
        <w:rPr>
          <w:rFonts w:ascii="Century" w:hAnsi="Century" w:hint="cs"/>
          <w:sz w:val="22"/>
          <w:rtl/>
        </w:rPr>
        <w:t>91-80</w:t>
      </w:r>
      <w:r>
        <w:rPr>
          <w:rFonts w:ascii="Century" w:hAnsi="Century" w:hint="cs"/>
          <w:sz w:val="22"/>
          <w:rtl/>
        </w:rPr>
        <w:t>).</w:t>
      </w:r>
    </w:p>
    <w:p w:rsidR="00F05533" w:rsidRDefault="00F05533" w:rsidP="00F05533">
      <w:pPr>
        <w:pStyle w:val="Ruller4"/>
        <w:numPr>
          <w:ilvl w:val="0"/>
          <w:numId w:val="0"/>
        </w:numPr>
      </w:pPr>
      <w:r>
        <w:t xml:space="preserve"> </w:t>
      </w:r>
    </w:p>
    <w:p w:rsidR="00F05533" w:rsidRDefault="00F05533" w:rsidP="00F05533">
      <w:pPr>
        <w:pStyle w:val="Ruller4"/>
      </w:pPr>
      <w:r>
        <w:rPr>
          <w:rFonts w:hint="cs"/>
          <w:rtl/>
        </w:rPr>
        <w:t xml:space="preserve">אשר על כן, במקרים של רכישה עצמית דיספרופורציונית אשר מבוצעת על ידי </w:t>
      </w:r>
      <w:r w:rsidRPr="0070746E">
        <w:rPr>
          <w:rFonts w:ascii="Century" w:hAnsi="Century" w:hint="cs"/>
          <w:sz w:val="22"/>
          <w:rtl/>
        </w:rPr>
        <w:t>חברת מעטים</w:t>
      </w:r>
      <w:r w:rsidRPr="00812FFB">
        <w:rPr>
          <w:rFonts w:hint="cs"/>
          <w:rtl/>
        </w:rPr>
        <w:t xml:space="preserve"> </w:t>
      </w:r>
      <w:r w:rsidRPr="0070746E">
        <w:rPr>
          <w:rtl/>
        </w:rPr>
        <w:t>–</w:t>
      </w:r>
      <w:r w:rsidRPr="0070746E">
        <w:rPr>
          <w:rFonts w:hint="cs"/>
          <w:rtl/>
        </w:rPr>
        <w:t xml:space="preserve"> אם לא על ידי כל חברה פרטית </w:t>
      </w:r>
      <w:r w:rsidRPr="0070746E">
        <w:rPr>
          <w:rtl/>
        </w:rPr>
        <w:t>–</w:t>
      </w:r>
      <w:r>
        <w:rPr>
          <w:rFonts w:hint="cs"/>
          <w:rtl/>
        </w:rPr>
        <w:t xml:space="preserve"> קמה </w:t>
      </w:r>
      <w:r w:rsidRPr="00A54E3E">
        <w:rPr>
          <w:rFonts w:ascii="Century" w:hAnsi="Century" w:cs="Miriam" w:hint="cs"/>
          <w:b/>
          <w:spacing w:val="0"/>
          <w:sz w:val="22"/>
          <w:szCs w:val="24"/>
          <w:rtl/>
        </w:rPr>
        <w:t>חזקה עובדתית</w:t>
      </w:r>
      <w:r>
        <w:rPr>
          <w:rFonts w:hint="cs"/>
          <w:rtl/>
        </w:rPr>
        <w:t xml:space="preserve"> כי בעלי המניות הנותרים אשר הגדילו את </w:t>
      </w:r>
      <w:proofErr w:type="spellStart"/>
      <w:r>
        <w:rPr>
          <w:rFonts w:hint="cs"/>
          <w:rtl/>
        </w:rPr>
        <w:t>החזקותיהם</w:t>
      </w:r>
      <w:proofErr w:type="spellEnd"/>
      <w:r>
        <w:rPr>
          <w:rFonts w:hint="cs"/>
          <w:rtl/>
        </w:rPr>
        <w:t xml:space="preserve"> בחברה חילקו לעצמם דיבידנד או משכו מהחברה כספים במובנו של סעיף 3(ט1) לפקודת מס הכנסה </w:t>
      </w:r>
      <w:r w:rsidRPr="002653CB">
        <w:rPr>
          <w:rFonts w:ascii="Century" w:hAnsi="Century" w:hint="cs"/>
          <w:sz w:val="22"/>
          <w:rtl/>
        </w:rPr>
        <w:t>(ראו</w:t>
      </w:r>
      <w:r>
        <w:rPr>
          <w:rFonts w:ascii="Century" w:hAnsi="Century" w:hint="cs"/>
          <w:sz w:val="22"/>
          <w:rtl/>
        </w:rPr>
        <w:t xml:space="preserve"> והשוו</w:t>
      </w:r>
      <w:r w:rsidRPr="002653CB">
        <w:rPr>
          <w:rFonts w:ascii="Century" w:hAnsi="Century" w:hint="cs"/>
          <w:sz w:val="22"/>
          <w:rtl/>
        </w:rPr>
        <w:t xml:space="preserve">: </w:t>
      </w:r>
      <w:proofErr w:type="spellStart"/>
      <w:r w:rsidRPr="00D33667">
        <w:rPr>
          <w:rFonts w:asciiTheme="majorBidi" w:hAnsiTheme="majorBidi" w:cstheme="majorBidi"/>
          <w:szCs w:val="32"/>
        </w:rPr>
        <w:t>Chirelstein</w:t>
      </w:r>
      <w:proofErr w:type="spellEnd"/>
      <w:r w:rsidRPr="002653CB">
        <w:rPr>
          <w:rFonts w:ascii="Century" w:hAnsi="Century" w:hint="cs"/>
          <w:sz w:val="22"/>
          <w:rtl/>
        </w:rPr>
        <w:t>, עמ' 739, 750).</w:t>
      </w:r>
      <w:r>
        <w:rPr>
          <w:rFonts w:hint="cs"/>
          <w:rtl/>
        </w:rPr>
        <w:t xml:space="preserve"> </w:t>
      </w:r>
      <w:r w:rsidRPr="0021404F">
        <w:rPr>
          <w:rFonts w:hint="cs"/>
          <w:rtl/>
        </w:rPr>
        <w:t>משיכת דיבידנד כאמור יכולה לכלול או לא לכלול את חלוקתו</w:t>
      </w:r>
      <w:r>
        <w:rPr>
          <w:rFonts w:hint="cs"/>
          <w:rtl/>
        </w:rPr>
        <w:t xml:space="preserve"> גם</w:t>
      </w:r>
      <w:r w:rsidRPr="0021404F">
        <w:rPr>
          <w:rFonts w:hint="cs"/>
          <w:rtl/>
        </w:rPr>
        <w:t xml:space="preserve"> לבעלי המניות הפורשים מהחברה, כפי שתואר </w:t>
      </w:r>
      <w:r w:rsidRPr="0021404F">
        <w:rPr>
          <w:rFonts w:ascii="Century" w:hAnsi="Century" w:cs="Miriam" w:hint="cs"/>
          <w:b/>
          <w:spacing w:val="0"/>
          <w:sz w:val="22"/>
          <w:szCs w:val="24"/>
          <w:rtl/>
        </w:rPr>
        <w:t>בדוגמאות א' ו-ב</w:t>
      </w:r>
      <w:r w:rsidRPr="0021404F">
        <w:rPr>
          <w:rFonts w:hint="cs"/>
          <w:rtl/>
        </w:rPr>
        <w:t xml:space="preserve"> דלעיל; ובהקשר זה, כל מקרה פרטי ראוי שייבדק ויוכרע לגופו בהתאם לנסיבותיו.</w:t>
      </w:r>
      <w:r>
        <w:rPr>
          <w:rFonts w:hint="cs"/>
          <w:rtl/>
        </w:rPr>
        <w:t xml:space="preserve"> חזקה עובדתית זו תעביר אל מי שמבקש להפריכה את נטל הבאת הראיות בלבד, להבדיל מנטל השכנוע אשר חל על המקרה. בדרך זו, תהא החזקה</w:t>
      </w:r>
      <w:r w:rsidRPr="005F3AC7">
        <w:rPr>
          <w:rFonts w:ascii="Century" w:hAnsi="Century" w:hint="cs"/>
          <w:sz w:val="22"/>
          <w:rtl/>
        </w:rPr>
        <w:t xml:space="preserve"> ניתנת לסתירה, </w:t>
      </w:r>
      <w:r>
        <w:rPr>
          <w:rFonts w:hint="cs"/>
          <w:rtl/>
        </w:rPr>
        <w:t xml:space="preserve">כפי שקרה </w:t>
      </w:r>
      <w:r w:rsidRPr="005F3AC7">
        <w:rPr>
          <w:rFonts w:ascii="Century" w:hAnsi="Century" w:cs="Miriam" w:hint="cs"/>
          <w:b/>
          <w:spacing w:val="0"/>
          <w:sz w:val="22"/>
          <w:szCs w:val="24"/>
          <w:rtl/>
        </w:rPr>
        <w:t>בדוגמא ג'</w:t>
      </w:r>
      <w:r>
        <w:rPr>
          <w:rFonts w:hint="cs"/>
          <w:rtl/>
        </w:rPr>
        <w:t xml:space="preserve"> </w:t>
      </w:r>
      <w:r>
        <w:rPr>
          <w:rtl/>
        </w:rPr>
        <w:t>–</w:t>
      </w:r>
      <w:r>
        <w:rPr>
          <w:rFonts w:hint="cs"/>
          <w:rtl/>
        </w:rPr>
        <w:t xml:space="preserve"> מקרה שבו רכישה עצמית, הגם שבוצעה על ידי חברה פרטית, נועדה בעיקרה לקדם את עסקי החברה כחברה. במקרים כמו זה של </w:t>
      </w:r>
      <w:r w:rsidRPr="005F3AC7">
        <w:rPr>
          <w:rFonts w:ascii="Century" w:hAnsi="Century" w:cs="Miriam" w:hint="cs"/>
          <w:b/>
          <w:spacing w:val="0"/>
          <w:sz w:val="22"/>
          <w:szCs w:val="24"/>
          <w:rtl/>
        </w:rPr>
        <w:t>דוגמא ג'</w:t>
      </w:r>
      <w:r>
        <w:rPr>
          <w:rFonts w:hint="cs"/>
          <w:rtl/>
        </w:rPr>
        <w:t xml:space="preserve"> </w:t>
      </w:r>
      <w:r>
        <w:rPr>
          <w:rtl/>
        </w:rPr>
        <w:t>–</w:t>
      </w:r>
      <w:r>
        <w:rPr>
          <w:rFonts w:hint="cs"/>
          <w:rtl/>
        </w:rPr>
        <w:t xml:space="preserve"> בהם השינוי במבנה ההון של חברה, אשר מתחולל בעקבות רכישה עצמית דיספרופורציונית, משרת בעיקר את טובת החברה כחברה </w:t>
      </w:r>
      <w:r>
        <w:rPr>
          <w:rtl/>
        </w:rPr>
        <w:t>–</w:t>
      </w:r>
      <w:r>
        <w:rPr>
          <w:rFonts w:hint="cs"/>
          <w:rtl/>
        </w:rPr>
        <w:t xml:space="preserve"> ההטבה שצומחת ממנו לבעלי המניות הנותרים לא תהא בת-מיסוי. הטבה אינצידנטלי</w:t>
      </w:r>
      <w:r>
        <w:rPr>
          <w:rFonts w:hint="eastAsia"/>
          <w:rtl/>
        </w:rPr>
        <w:t>ת</w:t>
      </w:r>
      <w:r>
        <w:rPr>
          <w:rFonts w:hint="cs"/>
          <w:rtl/>
        </w:rPr>
        <w:t xml:space="preserve"> זו תהא בבחינת "זה נהנה, וזה לא חסר" (בבא קמא, כ, ע"א).</w:t>
      </w:r>
    </w:p>
    <w:p w:rsidR="00F05533" w:rsidRPr="00414C2B" w:rsidRDefault="00F05533" w:rsidP="00F05533">
      <w:pPr>
        <w:pStyle w:val="Ruller4"/>
        <w:numPr>
          <w:ilvl w:val="0"/>
          <w:numId w:val="0"/>
        </w:numPr>
      </w:pPr>
    </w:p>
    <w:p w:rsidR="00F05533" w:rsidRDefault="00F05533" w:rsidP="00F05533">
      <w:pPr>
        <w:pStyle w:val="Ruller4"/>
      </w:pPr>
      <w:r>
        <w:rPr>
          <w:rFonts w:hint="cs"/>
          <w:rtl/>
        </w:rPr>
        <w:t xml:space="preserve">במקרה של </w:t>
      </w:r>
      <w:r w:rsidRPr="0021404F">
        <w:rPr>
          <w:rFonts w:hint="cs"/>
          <w:rtl/>
        </w:rPr>
        <w:t>רכישה עצמית</w:t>
      </w:r>
      <w:r>
        <w:rPr>
          <w:rFonts w:hint="cs"/>
          <w:rtl/>
        </w:rPr>
        <w:t xml:space="preserve"> דיספרופורציונית המתבצעת על ידי </w:t>
      </w:r>
      <w:r w:rsidRPr="00D33667">
        <w:rPr>
          <w:rFonts w:ascii="Century" w:hAnsi="Century" w:cs="Miriam" w:hint="cs"/>
          <w:b/>
          <w:spacing w:val="0"/>
          <w:sz w:val="22"/>
          <w:szCs w:val="24"/>
          <w:rtl/>
        </w:rPr>
        <w:t>חברה ציבורית</w:t>
      </w:r>
      <w:r w:rsidRPr="00D33667">
        <w:rPr>
          <w:rFonts w:hint="cs"/>
          <w:rtl/>
        </w:rPr>
        <w:t xml:space="preserve"> </w:t>
      </w:r>
      <w:r w:rsidRPr="0021404F">
        <w:rPr>
          <w:rFonts w:hint="cs"/>
          <w:rtl/>
        </w:rPr>
        <w:t>שמניותיה נסחרות בבורסה לניירות ערך</w:t>
      </w:r>
      <w:r>
        <w:rPr>
          <w:rFonts w:hint="cs"/>
          <w:rtl/>
        </w:rPr>
        <w:t xml:space="preserve">, הדברים יהיו שונים בתכלית. </w:t>
      </w:r>
      <w:r w:rsidRPr="0021404F">
        <w:rPr>
          <w:rFonts w:hint="cs"/>
          <w:rtl/>
        </w:rPr>
        <w:t>אצל חברה בורסאית בעלת מבנה החזקות מבוזר</w:t>
      </w:r>
      <w:r>
        <w:rPr>
          <w:rFonts w:hint="cs"/>
          <w:rtl/>
        </w:rPr>
        <w:t xml:space="preserve">, רכישה עצמית לא תשרת, על-פי רוב, את ענייניהם של בעלי המניות הנותרים שהשפעתם על ניהול החברה הינה מועטה (ראו, למשל: </w:t>
      </w:r>
      <w:r w:rsidRPr="00837709">
        <w:rPr>
          <w:rFonts w:ascii="Century" w:hAnsi="Century" w:cs="Miriam" w:hint="cs"/>
          <w:b/>
          <w:spacing w:val="0"/>
          <w:sz w:val="22"/>
          <w:szCs w:val="24"/>
          <w:rtl/>
        </w:rPr>
        <w:t>שאנן וכהן</w:t>
      </w:r>
      <w:r>
        <w:rPr>
          <w:rFonts w:hint="cs"/>
          <w:rtl/>
        </w:rPr>
        <w:t xml:space="preserve">, עמ' 489). רכישה כאמור </w:t>
      </w:r>
      <w:r>
        <w:rPr>
          <w:rtl/>
        </w:rPr>
        <w:t>–</w:t>
      </w:r>
      <w:r>
        <w:rPr>
          <w:rFonts w:hint="cs"/>
          <w:rtl/>
        </w:rPr>
        <w:t xml:space="preserve"> </w:t>
      </w:r>
      <w:r w:rsidRPr="00837709">
        <w:rPr>
          <w:rFonts w:ascii="Century" w:hAnsi="Century" w:cs="Miriam" w:hint="cs"/>
          <w:b/>
          <w:spacing w:val="0"/>
          <w:sz w:val="22"/>
          <w:szCs w:val="24"/>
          <w:rtl/>
        </w:rPr>
        <w:t>כש</w:t>
      </w:r>
      <w:r>
        <w:rPr>
          <w:rFonts w:ascii="Century" w:hAnsi="Century" w:cs="Miriam" w:hint="cs"/>
          <w:b/>
          <w:spacing w:val="0"/>
          <w:sz w:val="22"/>
          <w:szCs w:val="24"/>
          <w:rtl/>
        </w:rPr>
        <w:t xml:space="preserve">היא </w:t>
      </w:r>
      <w:r w:rsidRPr="00837709">
        <w:rPr>
          <w:rFonts w:ascii="Century" w:hAnsi="Century" w:cs="Miriam" w:hint="cs"/>
          <w:b/>
          <w:spacing w:val="0"/>
          <w:sz w:val="22"/>
          <w:szCs w:val="24"/>
          <w:rtl/>
        </w:rPr>
        <w:t>לעצמ</w:t>
      </w:r>
      <w:r>
        <w:rPr>
          <w:rFonts w:ascii="Century" w:hAnsi="Century" w:cs="Miriam" w:hint="cs"/>
          <w:b/>
          <w:spacing w:val="0"/>
          <w:sz w:val="22"/>
          <w:szCs w:val="24"/>
          <w:rtl/>
        </w:rPr>
        <w:t>ה</w:t>
      </w:r>
      <w:r>
        <w:rPr>
          <w:rFonts w:hint="cs"/>
          <w:rtl/>
        </w:rPr>
        <w:t xml:space="preserve"> </w:t>
      </w:r>
      <w:r>
        <w:rPr>
          <w:rtl/>
        </w:rPr>
        <w:t>–</w:t>
      </w:r>
      <w:r>
        <w:rPr>
          <w:rFonts w:hint="cs"/>
          <w:rtl/>
        </w:rPr>
        <w:t xml:space="preserve"> אינו עולה כדי משיכה רעיונית של כספי החברה ואינה מקיימת את התנאים בהם ראוי </w:t>
      </w:r>
      <w:proofErr w:type="spellStart"/>
      <w:r>
        <w:rPr>
          <w:rFonts w:hint="cs"/>
          <w:rtl/>
        </w:rPr>
        <w:t>למסותה</w:t>
      </w:r>
      <w:proofErr w:type="spellEnd"/>
      <w:r>
        <w:rPr>
          <w:rFonts w:hint="cs"/>
          <w:rtl/>
        </w:rPr>
        <w:t xml:space="preserve"> על-פי עיקרון המימוש </w:t>
      </w:r>
      <w:r w:rsidRPr="002653CB">
        <w:rPr>
          <w:rFonts w:ascii="Century" w:hAnsi="Century" w:hint="cs"/>
          <w:sz w:val="22"/>
          <w:rtl/>
        </w:rPr>
        <w:t xml:space="preserve">(ראו, למשל: </w:t>
      </w:r>
      <w:proofErr w:type="spellStart"/>
      <w:r w:rsidRPr="00D33667">
        <w:rPr>
          <w:rFonts w:asciiTheme="majorBidi" w:hAnsiTheme="majorBidi" w:cstheme="majorBidi"/>
          <w:szCs w:val="32"/>
        </w:rPr>
        <w:t>Chirelstein</w:t>
      </w:r>
      <w:proofErr w:type="spellEnd"/>
      <w:r w:rsidRPr="002653CB">
        <w:rPr>
          <w:rFonts w:ascii="Century" w:hAnsi="Century" w:hint="cs"/>
          <w:sz w:val="22"/>
          <w:rtl/>
        </w:rPr>
        <w:t>,</w:t>
      </w:r>
      <w:r>
        <w:rPr>
          <w:rFonts w:ascii="Century" w:hAnsi="Century" w:hint="cs"/>
          <w:sz w:val="22"/>
          <w:rtl/>
        </w:rPr>
        <w:t xml:space="preserve"> עמ'</w:t>
      </w:r>
      <w:r w:rsidRPr="002653CB">
        <w:rPr>
          <w:rFonts w:ascii="Century" w:hAnsi="Century" w:hint="cs"/>
          <w:sz w:val="22"/>
          <w:rtl/>
        </w:rPr>
        <w:t xml:space="preserve"> 739).</w:t>
      </w:r>
      <w:r>
        <w:rPr>
          <w:rFonts w:hint="cs"/>
          <w:rtl/>
        </w:rPr>
        <w:t xml:space="preserve"> בהקשר זה אדגיש כי השינוי אשר חל ברכיבי השליטה בחברה במקרים כאלה הינו נעדר אומדן כלכלי-עצמאי במועד הרכישה העצמית. בנסיבות כאלה, נכון יהיה לתמחר את השינוי כרכיב במקור הוני אשר, כלל, נאמד וממוסה במועד המימוש בפועל: מועד מכירתה של </w:t>
      </w:r>
      <w:proofErr w:type="spellStart"/>
      <w:r>
        <w:rPr>
          <w:rFonts w:hint="cs"/>
          <w:rtl/>
        </w:rPr>
        <w:t>דבוקת</w:t>
      </w:r>
      <w:proofErr w:type="spellEnd"/>
      <w:r>
        <w:rPr>
          <w:rFonts w:hint="cs"/>
          <w:rtl/>
        </w:rPr>
        <w:t xml:space="preserve"> המניות על ידי בעליהן.</w:t>
      </w:r>
    </w:p>
    <w:p w:rsidR="00F05533" w:rsidRDefault="00F05533" w:rsidP="00F05533">
      <w:pPr>
        <w:pStyle w:val="Ruller4"/>
        <w:numPr>
          <w:ilvl w:val="0"/>
          <w:numId w:val="0"/>
        </w:numPr>
      </w:pPr>
      <w:r>
        <w:rPr>
          <w:rFonts w:hint="cs"/>
          <w:rtl/>
        </w:rPr>
        <w:lastRenderedPageBreak/>
        <w:t xml:space="preserve"> </w:t>
      </w:r>
    </w:p>
    <w:p w:rsidR="00F05533" w:rsidRDefault="00F05533" w:rsidP="00F05533">
      <w:pPr>
        <w:pStyle w:val="Ruller4"/>
        <w:rPr>
          <w:rtl/>
        </w:rPr>
      </w:pPr>
      <w:r>
        <w:rPr>
          <w:rFonts w:hint="cs"/>
          <w:rtl/>
        </w:rPr>
        <w:t xml:space="preserve">במקרים של </w:t>
      </w:r>
      <w:r w:rsidRPr="0021404F">
        <w:rPr>
          <w:rFonts w:hint="cs"/>
          <w:rtl/>
        </w:rPr>
        <w:t>רכישה עצמית דיספרופורציונית</w:t>
      </w:r>
      <w:r>
        <w:rPr>
          <w:rFonts w:hint="cs"/>
          <w:rtl/>
        </w:rPr>
        <w:t xml:space="preserve"> אשר מבוצעת על ידי </w:t>
      </w:r>
      <w:r w:rsidRPr="006812B1">
        <w:rPr>
          <w:rFonts w:ascii="Century" w:hAnsi="Century" w:cs="Miriam" w:hint="cs"/>
          <w:b/>
          <w:spacing w:val="0"/>
          <w:sz w:val="22"/>
          <w:szCs w:val="24"/>
          <w:rtl/>
        </w:rPr>
        <w:t>חברה ציבורית</w:t>
      </w:r>
      <w:r>
        <w:rPr>
          <w:rFonts w:hint="cs"/>
          <w:rtl/>
        </w:rPr>
        <w:t xml:space="preserve"> תקום אפוא </w:t>
      </w:r>
      <w:r w:rsidRPr="006812B1">
        <w:rPr>
          <w:rFonts w:ascii="Century" w:hAnsi="Century" w:hint="cs"/>
          <w:sz w:val="22"/>
          <w:rtl/>
        </w:rPr>
        <w:t>חזקה עובדתית</w:t>
      </w:r>
      <w:r>
        <w:rPr>
          <w:rFonts w:hint="cs"/>
          <w:rtl/>
        </w:rPr>
        <w:t xml:space="preserve"> כי בעלי המניות הנותרים </w:t>
      </w:r>
      <w:r w:rsidRPr="006812B1">
        <w:rPr>
          <w:rFonts w:ascii="Century" w:hAnsi="Century" w:cs="Miriam" w:hint="cs"/>
          <w:b/>
          <w:spacing w:val="0"/>
          <w:sz w:val="22"/>
          <w:szCs w:val="24"/>
          <w:rtl/>
        </w:rPr>
        <w:t>אינם</w:t>
      </w:r>
      <w:r>
        <w:rPr>
          <w:rFonts w:hint="cs"/>
          <w:rtl/>
        </w:rPr>
        <w:t xml:space="preserve"> זוכים לשום הטבה אישית בת-מיסוי. חזקה זו אף היא תהא ניתנת לסתירה. כמו כל החזקות העובדתיות, היא תעביר אל מי שיבקש להפריכה אך ורק את נטל הבאת ראיות, מבלי לשנות כהוא זה את נטל השכנוע. למשל: פקיד השומה יוכל להפריך את החזקה על ידי הבאת ראיות אשר מצביעות על כך שקבוצה גדולה של בעלי מניות בחברה ציבורית היא זאת שעומדת מאחורי הרכישה העצמית, כאשר מטרת פועלם של חבריה היא להנציח את שליטתם בחברה. </w:t>
      </w:r>
      <w:r w:rsidRPr="00895466">
        <w:rPr>
          <w:rFonts w:hint="eastAsia"/>
          <w:rtl/>
        </w:rPr>
        <w:t>דוגמא</w:t>
      </w:r>
      <w:r w:rsidRPr="00895466">
        <w:rPr>
          <w:rtl/>
        </w:rPr>
        <w:t xml:space="preserve"> </w:t>
      </w:r>
      <w:r>
        <w:rPr>
          <w:rFonts w:hint="eastAsia"/>
          <w:rtl/>
        </w:rPr>
        <w:t>נוספ</w:t>
      </w:r>
      <w:r w:rsidRPr="00895466">
        <w:rPr>
          <w:rFonts w:hint="eastAsia"/>
          <w:rtl/>
        </w:rPr>
        <w:t>ת</w:t>
      </w:r>
      <w:r w:rsidRPr="00895466">
        <w:rPr>
          <w:rtl/>
        </w:rPr>
        <w:t xml:space="preserve"> </w:t>
      </w:r>
      <w:r w:rsidRPr="00895466">
        <w:rPr>
          <w:rFonts w:hint="eastAsia"/>
          <w:rtl/>
        </w:rPr>
        <w:t>ל</w:t>
      </w:r>
      <w:r>
        <w:rPr>
          <w:rFonts w:hint="cs"/>
          <w:rtl/>
        </w:rPr>
        <w:t>הפרכת</w:t>
      </w:r>
      <w:r w:rsidRPr="00895466">
        <w:rPr>
          <w:rtl/>
        </w:rPr>
        <w:t xml:space="preserve"> </w:t>
      </w:r>
      <w:r w:rsidRPr="00895466">
        <w:rPr>
          <w:rFonts w:hint="eastAsia"/>
          <w:rtl/>
        </w:rPr>
        <w:t>החזקה</w:t>
      </w:r>
      <w:r>
        <w:rPr>
          <w:rFonts w:hint="cs"/>
          <w:rtl/>
        </w:rPr>
        <w:t xml:space="preserve"> האמורה</w:t>
      </w:r>
      <w:r w:rsidRPr="00895466">
        <w:rPr>
          <w:rtl/>
        </w:rPr>
        <w:t xml:space="preserve"> </w:t>
      </w:r>
      <w:r>
        <w:rPr>
          <w:rFonts w:hint="cs"/>
          <w:rtl/>
        </w:rPr>
        <w:t>מצויה ב</w:t>
      </w:r>
      <w:r w:rsidRPr="00895466">
        <w:rPr>
          <w:rFonts w:hint="eastAsia"/>
          <w:rtl/>
        </w:rPr>
        <w:t>מקרה</w:t>
      </w:r>
      <w:r w:rsidRPr="00895466">
        <w:rPr>
          <w:rtl/>
        </w:rPr>
        <w:t xml:space="preserve"> </w:t>
      </w:r>
      <w:r w:rsidRPr="00895466">
        <w:rPr>
          <w:rFonts w:hint="eastAsia"/>
          <w:rtl/>
        </w:rPr>
        <w:t>בו</w:t>
      </w:r>
      <w:r w:rsidRPr="00895466">
        <w:rPr>
          <w:rtl/>
        </w:rPr>
        <w:t xml:space="preserve"> </w:t>
      </w:r>
      <w:r w:rsidRPr="00895466">
        <w:rPr>
          <w:rFonts w:hint="eastAsia"/>
          <w:rtl/>
        </w:rPr>
        <w:t>חברה</w:t>
      </w:r>
      <w:r w:rsidRPr="00895466">
        <w:rPr>
          <w:rtl/>
        </w:rPr>
        <w:t xml:space="preserve"> </w:t>
      </w:r>
      <w:r w:rsidRPr="00895466">
        <w:rPr>
          <w:rFonts w:hint="eastAsia"/>
          <w:rtl/>
        </w:rPr>
        <w:t>ציבורית</w:t>
      </w:r>
      <w:r w:rsidRPr="00895466">
        <w:rPr>
          <w:rtl/>
        </w:rPr>
        <w:t xml:space="preserve"> </w:t>
      </w:r>
      <w:r>
        <w:rPr>
          <w:rFonts w:hint="cs"/>
          <w:rtl/>
        </w:rPr>
        <w:t>קונה</w:t>
      </w:r>
      <w:r w:rsidRPr="00895466">
        <w:rPr>
          <w:rtl/>
        </w:rPr>
        <w:t xml:space="preserve"> </w:t>
      </w:r>
      <w:r w:rsidRPr="00895466">
        <w:rPr>
          <w:rFonts w:hint="eastAsia"/>
          <w:rtl/>
        </w:rPr>
        <w:t>חלק</w:t>
      </w:r>
      <w:r w:rsidRPr="00895466">
        <w:rPr>
          <w:rtl/>
        </w:rPr>
        <w:t xml:space="preserve"> </w:t>
      </w:r>
      <w:r w:rsidRPr="00895466">
        <w:rPr>
          <w:rFonts w:hint="eastAsia"/>
          <w:rtl/>
        </w:rPr>
        <w:t>קטן</w:t>
      </w:r>
      <w:r w:rsidRPr="00895466">
        <w:rPr>
          <w:rtl/>
        </w:rPr>
        <w:t xml:space="preserve"> </w:t>
      </w:r>
      <w:r w:rsidRPr="00895466">
        <w:rPr>
          <w:rFonts w:hint="eastAsia"/>
          <w:rtl/>
        </w:rPr>
        <w:t>ממניותיו</w:t>
      </w:r>
      <w:r w:rsidRPr="00895466">
        <w:rPr>
          <w:rtl/>
        </w:rPr>
        <w:t xml:space="preserve"> </w:t>
      </w:r>
      <w:r w:rsidRPr="00895466">
        <w:rPr>
          <w:rFonts w:hint="eastAsia"/>
          <w:rtl/>
        </w:rPr>
        <w:t>של</w:t>
      </w:r>
      <w:r w:rsidRPr="00895466">
        <w:rPr>
          <w:rtl/>
        </w:rPr>
        <w:t xml:space="preserve"> </w:t>
      </w:r>
      <w:r w:rsidRPr="00895466">
        <w:rPr>
          <w:rFonts w:hint="eastAsia"/>
          <w:rtl/>
        </w:rPr>
        <w:t>בעל</w:t>
      </w:r>
      <w:r w:rsidRPr="00895466">
        <w:rPr>
          <w:rtl/>
        </w:rPr>
        <w:t xml:space="preserve"> </w:t>
      </w:r>
      <w:r w:rsidRPr="00895466">
        <w:rPr>
          <w:rFonts w:hint="eastAsia"/>
          <w:rtl/>
        </w:rPr>
        <w:t>השליטה</w:t>
      </w:r>
      <w:r w:rsidRPr="00895466">
        <w:rPr>
          <w:rtl/>
        </w:rPr>
        <w:t xml:space="preserve">, </w:t>
      </w:r>
      <w:r w:rsidRPr="00895466">
        <w:rPr>
          <w:rFonts w:hint="eastAsia"/>
          <w:rtl/>
        </w:rPr>
        <w:t>באופן</w:t>
      </w:r>
      <w:r w:rsidRPr="00895466">
        <w:rPr>
          <w:rtl/>
        </w:rPr>
        <w:t xml:space="preserve"> </w:t>
      </w:r>
      <w:r>
        <w:rPr>
          <w:rFonts w:hint="cs"/>
          <w:rtl/>
        </w:rPr>
        <w:t>שאינו משנה את מצבו</w:t>
      </w:r>
      <w:r w:rsidRPr="00895466">
        <w:rPr>
          <w:rtl/>
        </w:rPr>
        <w:t xml:space="preserve"> </w:t>
      </w:r>
      <w:r w:rsidRPr="00895466">
        <w:rPr>
          <w:rFonts w:hint="eastAsia"/>
          <w:rtl/>
        </w:rPr>
        <w:t>כבעל</w:t>
      </w:r>
      <w:r w:rsidRPr="00895466">
        <w:rPr>
          <w:rtl/>
        </w:rPr>
        <w:t xml:space="preserve"> </w:t>
      </w:r>
      <w:r w:rsidRPr="00895466">
        <w:rPr>
          <w:rFonts w:hint="eastAsia"/>
          <w:rtl/>
        </w:rPr>
        <w:t>השליטה</w:t>
      </w:r>
      <w:r w:rsidRPr="00895466">
        <w:rPr>
          <w:rtl/>
        </w:rPr>
        <w:t xml:space="preserve"> </w:t>
      </w:r>
      <w:r w:rsidRPr="00895466">
        <w:rPr>
          <w:rFonts w:hint="eastAsia"/>
          <w:rtl/>
        </w:rPr>
        <w:t>בחברה</w:t>
      </w:r>
      <w:r w:rsidRPr="00895466">
        <w:rPr>
          <w:rtl/>
        </w:rPr>
        <w:t xml:space="preserve">. </w:t>
      </w:r>
      <w:r w:rsidRPr="00895466">
        <w:rPr>
          <w:rFonts w:hint="eastAsia"/>
          <w:rtl/>
        </w:rPr>
        <w:t>ב</w:t>
      </w:r>
      <w:r>
        <w:rPr>
          <w:rFonts w:hint="cs"/>
          <w:rtl/>
        </w:rPr>
        <w:t>דרך זו</w:t>
      </w:r>
      <w:r w:rsidRPr="00895466">
        <w:rPr>
          <w:rtl/>
        </w:rPr>
        <w:t xml:space="preserve"> </w:t>
      </w:r>
      <w:r w:rsidRPr="00895466">
        <w:rPr>
          <w:rFonts w:hint="eastAsia"/>
          <w:rtl/>
        </w:rPr>
        <w:t>משתמש</w:t>
      </w:r>
      <w:r w:rsidRPr="00895466">
        <w:rPr>
          <w:rtl/>
        </w:rPr>
        <w:t xml:space="preserve"> </w:t>
      </w:r>
      <w:r w:rsidRPr="00895466">
        <w:rPr>
          <w:rFonts w:hint="eastAsia"/>
          <w:rtl/>
        </w:rPr>
        <w:t>בעל</w:t>
      </w:r>
      <w:r w:rsidRPr="00895466">
        <w:rPr>
          <w:rtl/>
        </w:rPr>
        <w:t xml:space="preserve"> </w:t>
      </w:r>
      <w:r w:rsidRPr="00895466">
        <w:rPr>
          <w:rFonts w:hint="eastAsia"/>
          <w:rtl/>
        </w:rPr>
        <w:t>השליטה</w:t>
      </w:r>
      <w:r w:rsidRPr="00895466">
        <w:rPr>
          <w:rtl/>
        </w:rPr>
        <w:t xml:space="preserve"> – </w:t>
      </w:r>
      <w:r>
        <w:rPr>
          <w:rFonts w:hint="cs"/>
          <w:rtl/>
        </w:rPr>
        <w:t>ש</w:t>
      </w:r>
      <w:r w:rsidRPr="00895466">
        <w:rPr>
          <w:rFonts w:hint="eastAsia"/>
          <w:rtl/>
        </w:rPr>
        <w:t>ביכולתו</w:t>
      </w:r>
      <w:r w:rsidRPr="00895466">
        <w:rPr>
          <w:rtl/>
        </w:rPr>
        <w:t xml:space="preserve"> </w:t>
      </w:r>
      <w:r w:rsidRPr="00895466">
        <w:rPr>
          <w:rFonts w:hint="eastAsia"/>
          <w:rtl/>
        </w:rPr>
        <w:t>להכווין</w:t>
      </w:r>
      <w:r w:rsidRPr="00895466">
        <w:rPr>
          <w:rtl/>
        </w:rPr>
        <w:t xml:space="preserve"> </w:t>
      </w:r>
      <w:r w:rsidRPr="00895466">
        <w:rPr>
          <w:rFonts w:hint="eastAsia"/>
          <w:rtl/>
        </w:rPr>
        <w:t>את</w:t>
      </w:r>
      <w:r w:rsidRPr="00895466">
        <w:rPr>
          <w:rtl/>
        </w:rPr>
        <w:t xml:space="preserve"> </w:t>
      </w:r>
      <w:r w:rsidRPr="00895466">
        <w:rPr>
          <w:rFonts w:hint="eastAsia"/>
          <w:rtl/>
        </w:rPr>
        <w:t>פעילות</w:t>
      </w:r>
      <w:r w:rsidRPr="00895466">
        <w:rPr>
          <w:rtl/>
        </w:rPr>
        <w:t xml:space="preserve"> </w:t>
      </w:r>
      <w:r w:rsidRPr="00895466">
        <w:rPr>
          <w:rFonts w:hint="eastAsia"/>
          <w:rtl/>
        </w:rPr>
        <w:t>החברה</w:t>
      </w:r>
      <w:r w:rsidRPr="00895466">
        <w:rPr>
          <w:rtl/>
        </w:rPr>
        <w:t xml:space="preserve"> </w:t>
      </w:r>
      <w:r>
        <w:rPr>
          <w:rFonts w:hint="cs"/>
          <w:rtl/>
        </w:rPr>
        <w:t xml:space="preserve">בהתאם לרצונותיו </w:t>
      </w:r>
      <w:r w:rsidRPr="00895466">
        <w:rPr>
          <w:rtl/>
        </w:rPr>
        <w:t xml:space="preserve">– </w:t>
      </w:r>
      <w:r w:rsidRPr="00895466">
        <w:rPr>
          <w:rFonts w:hint="eastAsia"/>
          <w:rtl/>
        </w:rPr>
        <w:t>בכספי</w:t>
      </w:r>
      <w:r w:rsidRPr="00895466">
        <w:rPr>
          <w:rtl/>
        </w:rPr>
        <w:t xml:space="preserve"> </w:t>
      </w:r>
      <w:r w:rsidRPr="00895466">
        <w:rPr>
          <w:rFonts w:hint="eastAsia"/>
          <w:rtl/>
        </w:rPr>
        <w:t>החברה</w:t>
      </w:r>
      <w:r w:rsidRPr="00895466">
        <w:rPr>
          <w:rtl/>
        </w:rPr>
        <w:t xml:space="preserve"> </w:t>
      </w:r>
      <w:r w:rsidRPr="00895466">
        <w:rPr>
          <w:rFonts w:hint="eastAsia"/>
          <w:rtl/>
        </w:rPr>
        <w:t>על</w:t>
      </w:r>
      <w:r>
        <w:rPr>
          <w:rFonts w:hint="cs"/>
          <w:rtl/>
        </w:rPr>
        <w:t>-</w:t>
      </w:r>
      <w:r w:rsidRPr="00895466">
        <w:rPr>
          <w:rFonts w:hint="eastAsia"/>
          <w:rtl/>
        </w:rPr>
        <w:t>מנת</w:t>
      </w:r>
      <w:r w:rsidRPr="00895466">
        <w:rPr>
          <w:rtl/>
        </w:rPr>
        <w:t xml:space="preserve"> </w:t>
      </w:r>
      <w:r w:rsidRPr="00895466">
        <w:rPr>
          <w:rFonts w:hint="eastAsia"/>
          <w:rtl/>
        </w:rPr>
        <w:t>למשוך</w:t>
      </w:r>
      <w:r w:rsidRPr="00895466">
        <w:rPr>
          <w:rtl/>
        </w:rPr>
        <w:t xml:space="preserve"> </w:t>
      </w:r>
      <w:r w:rsidRPr="00895466">
        <w:rPr>
          <w:rFonts w:hint="eastAsia"/>
          <w:rtl/>
        </w:rPr>
        <w:t>לעצמו</w:t>
      </w:r>
      <w:r w:rsidRPr="00895466">
        <w:rPr>
          <w:rtl/>
        </w:rPr>
        <w:t xml:space="preserve"> </w:t>
      </w:r>
      <w:r w:rsidRPr="00895466">
        <w:rPr>
          <w:rFonts w:hint="eastAsia"/>
          <w:rtl/>
        </w:rPr>
        <w:t>דיבידנד</w:t>
      </w:r>
      <w:r w:rsidRPr="00895466">
        <w:rPr>
          <w:rtl/>
        </w:rPr>
        <w:t xml:space="preserve">, </w:t>
      </w:r>
      <w:r w:rsidRPr="00895466">
        <w:rPr>
          <w:rFonts w:hint="eastAsia"/>
          <w:rtl/>
        </w:rPr>
        <w:t>תוך</w:t>
      </w:r>
      <w:r w:rsidRPr="00895466">
        <w:rPr>
          <w:rtl/>
        </w:rPr>
        <w:t xml:space="preserve"> </w:t>
      </w:r>
      <w:r w:rsidRPr="00895466">
        <w:rPr>
          <w:rFonts w:hint="eastAsia"/>
          <w:rtl/>
        </w:rPr>
        <w:t>שהוא</w:t>
      </w:r>
      <w:r w:rsidRPr="00895466">
        <w:rPr>
          <w:rtl/>
        </w:rPr>
        <w:t xml:space="preserve"> </w:t>
      </w:r>
      <w:r w:rsidRPr="00895466">
        <w:rPr>
          <w:rFonts w:hint="eastAsia"/>
          <w:rtl/>
        </w:rPr>
        <w:t>מתחמק</w:t>
      </w:r>
      <w:r w:rsidRPr="00895466">
        <w:rPr>
          <w:rtl/>
        </w:rPr>
        <w:t xml:space="preserve"> </w:t>
      </w:r>
      <w:r w:rsidRPr="00895466">
        <w:rPr>
          <w:rFonts w:hint="eastAsia"/>
          <w:rtl/>
        </w:rPr>
        <w:t>מתשלום</w:t>
      </w:r>
      <w:r w:rsidRPr="00895466">
        <w:rPr>
          <w:rtl/>
        </w:rPr>
        <w:t xml:space="preserve"> </w:t>
      </w:r>
      <w:r w:rsidRPr="00895466">
        <w:rPr>
          <w:rFonts w:hint="eastAsia"/>
          <w:rtl/>
        </w:rPr>
        <w:t>מס</w:t>
      </w:r>
      <w:r>
        <w:rPr>
          <w:rFonts w:hint="cs"/>
          <w:rtl/>
        </w:rPr>
        <w:t xml:space="preserve"> אמת</w:t>
      </w:r>
      <w:r w:rsidRPr="00895466">
        <w:rPr>
          <w:rtl/>
        </w:rPr>
        <w:t xml:space="preserve">. </w:t>
      </w:r>
      <w:r w:rsidRPr="00895466">
        <w:rPr>
          <w:rFonts w:hint="eastAsia"/>
          <w:rtl/>
        </w:rPr>
        <w:t>רכישה</w:t>
      </w:r>
      <w:r w:rsidRPr="00895466">
        <w:rPr>
          <w:rtl/>
        </w:rPr>
        <w:t xml:space="preserve"> </w:t>
      </w:r>
      <w:r w:rsidRPr="00895466">
        <w:rPr>
          <w:rFonts w:hint="eastAsia"/>
          <w:rtl/>
        </w:rPr>
        <w:t>כאמור</w:t>
      </w:r>
      <w:r w:rsidRPr="00895466">
        <w:rPr>
          <w:rtl/>
        </w:rPr>
        <w:t xml:space="preserve"> </w:t>
      </w:r>
      <w:r w:rsidRPr="00895466">
        <w:rPr>
          <w:rFonts w:hint="eastAsia"/>
          <w:rtl/>
        </w:rPr>
        <w:t>מובילה</w:t>
      </w:r>
      <w:r w:rsidRPr="00895466">
        <w:rPr>
          <w:rtl/>
        </w:rPr>
        <w:t xml:space="preserve"> </w:t>
      </w:r>
      <w:r w:rsidRPr="00895466">
        <w:rPr>
          <w:rFonts w:hint="eastAsia"/>
          <w:rtl/>
        </w:rPr>
        <w:t>להתעשרותו</w:t>
      </w:r>
      <w:r w:rsidRPr="00895466">
        <w:rPr>
          <w:rtl/>
        </w:rPr>
        <w:t xml:space="preserve"> </w:t>
      </w:r>
      <w:r w:rsidRPr="00895466">
        <w:rPr>
          <w:rFonts w:hint="eastAsia"/>
          <w:rtl/>
        </w:rPr>
        <w:t>של</w:t>
      </w:r>
      <w:r w:rsidRPr="00895466">
        <w:rPr>
          <w:rtl/>
        </w:rPr>
        <w:t xml:space="preserve"> </w:t>
      </w:r>
      <w:r w:rsidRPr="00895466">
        <w:rPr>
          <w:rFonts w:hint="eastAsia"/>
          <w:rtl/>
        </w:rPr>
        <w:t>בעל</w:t>
      </w:r>
      <w:r w:rsidRPr="00895466">
        <w:rPr>
          <w:rtl/>
        </w:rPr>
        <w:t xml:space="preserve"> </w:t>
      </w:r>
      <w:r w:rsidRPr="00895466">
        <w:rPr>
          <w:rFonts w:hint="eastAsia"/>
          <w:rtl/>
        </w:rPr>
        <w:t>השליטה</w:t>
      </w:r>
      <w:r>
        <w:rPr>
          <w:rFonts w:hint="cs"/>
          <w:rtl/>
        </w:rPr>
        <w:t xml:space="preserve">: </w:t>
      </w:r>
      <w:r w:rsidRPr="00895466">
        <w:rPr>
          <w:rFonts w:hint="eastAsia"/>
          <w:rtl/>
        </w:rPr>
        <w:t>היא</w:t>
      </w:r>
      <w:r w:rsidRPr="00895466">
        <w:rPr>
          <w:rtl/>
        </w:rPr>
        <w:t xml:space="preserve"> </w:t>
      </w:r>
      <w:r w:rsidRPr="00895466">
        <w:rPr>
          <w:rFonts w:hint="eastAsia"/>
          <w:rtl/>
        </w:rPr>
        <w:t>הופכת</w:t>
      </w:r>
      <w:r w:rsidRPr="00895466">
        <w:rPr>
          <w:rtl/>
        </w:rPr>
        <w:t xml:space="preserve"> </w:t>
      </w:r>
      <w:r w:rsidRPr="00895466">
        <w:rPr>
          <w:rFonts w:hint="eastAsia"/>
          <w:rtl/>
        </w:rPr>
        <w:t>נכס</w:t>
      </w:r>
      <w:r w:rsidRPr="00895466">
        <w:rPr>
          <w:rtl/>
        </w:rPr>
        <w:t xml:space="preserve"> </w:t>
      </w:r>
      <w:r w:rsidRPr="00895466">
        <w:rPr>
          <w:rFonts w:hint="eastAsia"/>
          <w:rtl/>
        </w:rPr>
        <w:t>לא</w:t>
      </w:r>
      <w:r w:rsidRPr="00895466">
        <w:rPr>
          <w:rtl/>
        </w:rPr>
        <w:t xml:space="preserve"> </w:t>
      </w:r>
      <w:r w:rsidRPr="00895466">
        <w:rPr>
          <w:rFonts w:hint="eastAsia"/>
          <w:rtl/>
        </w:rPr>
        <w:t>נזיל</w:t>
      </w:r>
      <w:r w:rsidRPr="00895466">
        <w:rPr>
          <w:rtl/>
        </w:rPr>
        <w:t xml:space="preserve"> </w:t>
      </w:r>
      <w:r w:rsidRPr="00895466">
        <w:rPr>
          <w:rFonts w:hint="eastAsia"/>
          <w:rtl/>
        </w:rPr>
        <w:t>מסוג</w:t>
      </w:r>
      <w:r w:rsidRPr="00895466">
        <w:rPr>
          <w:rtl/>
        </w:rPr>
        <w:t xml:space="preserve"> </w:t>
      </w:r>
      <w:r w:rsidRPr="00895466">
        <w:rPr>
          <w:rFonts w:hint="eastAsia"/>
          <w:rtl/>
        </w:rPr>
        <w:t>מניה</w:t>
      </w:r>
      <w:r w:rsidRPr="00895466">
        <w:rPr>
          <w:rtl/>
        </w:rPr>
        <w:t xml:space="preserve"> </w:t>
      </w:r>
      <w:r w:rsidRPr="00895466">
        <w:rPr>
          <w:rFonts w:hint="eastAsia"/>
          <w:rtl/>
        </w:rPr>
        <w:t>לכסף</w:t>
      </w:r>
      <w:r w:rsidRPr="00895466">
        <w:rPr>
          <w:rtl/>
        </w:rPr>
        <w:t xml:space="preserve"> </w:t>
      </w:r>
      <w:r w:rsidRPr="00895466">
        <w:rPr>
          <w:rFonts w:hint="eastAsia"/>
          <w:rtl/>
        </w:rPr>
        <w:t>מזומן</w:t>
      </w:r>
      <w:r w:rsidRPr="00895466">
        <w:rPr>
          <w:rtl/>
        </w:rPr>
        <w:t xml:space="preserve"> </w:t>
      </w:r>
      <w:r w:rsidRPr="00895466">
        <w:rPr>
          <w:rFonts w:hint="eastAsia"/>
          <w:rtl/>
        </w:rPr>
        <w:t>שהחברה</w:t>
      </w:r>
      <w:r w:rsidRPr="00895466">
        <w:rPr>
          <w:rtl/>
        </w:rPr>
        <w:t xml:space="preserve"> </w:t>
      </w:r>
      <w:r w:rsidRPr="00895466">
        <w:rPr>
          <w:rFonts w:hint="eastAsia"/>
          <w:rtl/>
        </w:rPr>
        <w:t>מעבירה</w:t>
      </w:r>
      <w:r w:rsidRPr="00895466">
        <w:rPr>
          <w:rtl/>
        </w:rPr>
        <w:t xml:space="preserve"> </w:t>
      </w:r>
      <w:r w:rsidRPr="00895466">
        <w:rPr>
          <w:rFonts w:hint="eastAsia"/>
          <w:rtl/>
        </w:rPr>
        <w:t>לכיסו</w:t>
      </w:r>
      <w:r>
        <w:rPr>
          <w:rFonts w:hint="cs"/>
          <w:rtl/>
        </w:rPr>
        <w:t>;</w:t>
      </w:r>
      <w:r w:rsidRPr="00895466">
        <w:rPr>
          <w:rtl/>
        </w:rPr>
        <w:t xml:space="preserve"> </w:t>
      </w:r>
      <w:r>
        <w:rPr>
          <w:rFonts w:hint="cs"/>
          <w:rtl/>
        </w:rPr>
        <w:t xml:space="preserve">ואבהיר כי </w:t>
      </w:r>
      <w:r w:rsidRPr="00033088">
        <w:rPr>
          <w:rFonts w:hint="cs"/>
          <w:rtl/>
        </w:rPr>
        <w:t>דוגמא</w:t>
      </w:r>
      <w:r>
        <w:rPr>
          <w:rFonts w:hint="cs"/>
          <w:rtl/>
        </w:rPr>
        <w:t>ות אלו הן אחדות מני רבות.</w:t>
      </w:r>
    </w:p>
    <w:p w:rsidR="00F05533" w:rsidRPr="00BD5D22" w:rsidRDefault="00F05533" w:rsidP="00F05533">
      <w:pPr>
        <w:pStyle w:val="Ruller41"/>
      </w:pPr>
    </w:p>
    <w:p w:rsidR="00F05533" w:rsidRDefault="00F05533" w:rsidP="00F05533">
      <w:pPr>
        <w:pStyle w:val="Ruller4"/>
      </w:pPr>
      <w:r>
        <w:rPr>
          <w:rFonts w:hint="cs"/>
          <w:rtl/>
        </w:rPr>
        <w:t xml:space="preserve">חזקות עובדתיות אלה תהיינה, כמובן, קשורות לנטלי ההוכחה הנלווים לעיקרון המהות הכלכלית ולכלל ההתעלמות מעסקה מלאכותית. במקרה של רכישה עצמית דיספרופורציונית המבוצעת על ידי חברת מעטים, נישום שראיותיו מהוות משקל-נגד לחזקה ומנטרלות אותה ימנע את הוכחת קיומה של עסקה מלאכותית על ידי פקיד השומה. זאת, מאחר שפקיד השומה נדרש להוכיח את מלאכותיות העסקה ואת ניסיון הנישום להתחמק מתשלום מס אמת לפי </w:t>
      </w:r>
      <w:r w:rsidRPr="00D95361">
        <w:rPr>
          <w:rFonts w:hint="cs"/>
          <w:rtl/>
        </w:rPr>
        <w:t xml:space="preserve">מאזן ההסתברויות </w:t>
      </w:r>
      <w:r w:rsidRPr="00041E5E">
        <w:rPr>
          <w:rtl/>
        </w:rPr>
        <w:t>(</w:t>
      </w:r>
      <w:r w:rsidRPr="00041E5E">
        <w:rPr>
          <w:rFonts w:hint="eastAsia"/>
          <w:rtl/>
        </w:rPr>
        <w:t>ראו</w:t>
      </w:r>
      <w:r w:rsidRPr="00041E5E">
        <w:rPr>
          <w:rtl/>
        </w:rPr>
        <w:t xml:space="preserve"> </w:t>
      </w:r>
      <w:r w:rsidRPr="00041E5E">
        <w:rPr>
          <w:rFonts w:hint="eastAsia"/>
          <w:rtl/>
        </w:rPr>
        <w:t>והשוו</w:t>
      </w:r>
      <w:r w:rsidRPr="00041E5E">
        <w:rPr>
          <w:rtl/>
        </w:rPr>
        <w:t>:</w:t>
      </w:r>
      <w:r>
        <w:rPr>
          <w:rFonts w:hint="cs"/>
          <w:rtl/>
        </w:rPr>
        <w:t xml:space="preserve"> עניין </w:t>
      </w:r>
      <w:r w:rsidRPr="00556914">
        <w:rPr>
          <w:rFonts w:ascii="Century" w:hAnsi="Century" w:cs="Miriam" w:hint="cs"/>
          <w:b/>
          <w:spacing w:val="0"/>
          <w:sz w:val="22"/>
          <w:szCs w:val="24"/>
          <w:rtl/>
        </w:rPr>
        <w:t>פרל</w:t>
      </w:r>
      <w:r>
        <w:rPr>
          <w:rFonts w:hint="cs"/>
          <w:rtl/>
        </w:rPr>
        <w:t>, פסקה 4;</w:t>
      </w:r>
      <w:r w:rsidRPr="00041E5E">
        <w:rPr>
          <w:rtl/>
        </w:rPr>
        <w:t xml:space="preserve"> </w:t>
      </w:r>
      <w:proofErr w:type="spellStart"/>
      <w:r w:rsidRPr="00556914">
        <w:rPr>
          <w:rFonts w:ascii="Century" w:hAnsi="Century" w:cs="Miriam" w:hint="eastAsia"/>
          <w:b/>
          <w:spacing w:val="0"/>
          <w:sz w:val="22"/>
          <w:szCs w:val="24"/>
          <w:rtl/>
        </w:rPr>
        <w:t>גליקסברג</w:t>
      </w:r>
      <w:proofErr w:type="spellEnd"/>
      <w:r w:rsidRPr="00041E5E">
        <w:rPr>
          <w:rtl/>
        </w:rPr>
        <w:t xml:space="preserve">, </w:t>
      </w:r>
      <w:r w:rsidRPr="00041E5E">
        <w:rPr>
          <w:rFonts w:hint="eastAsia"/>
          <w:rtl/>
        </w:rPr>
        <w:t>עמ</w:t>
      </w:r>
      <w:r w:rsidRPr="00041E5E">
        <w:rPr>
          <w:rtl/>
        </w:rPr>
        <w:t xml:space="preserve">' 115-113; </w:t>
      </w:r>
      <w:r w:rsidRPr="00041E5E">
        <w:rPr>
          <w:rFonts w:hint="eastAsia"/>
          <w:rtl/>
        </w:rPr>
        <w:t>דוד</w:t>
      </w:r>
      <w:r w:rsidRPr="00041E5E">
        <w:rPr>
          <w:rtl/>
        </w:rPr>
        <w:t xml:space="preserve"> </w:t>
      </w:r>
      <w:proofErr w:type="spellStart"/>
      <w:r w:rsidRPr="00041E5E">
        <w:rPr>
          <w:rFonts w:hint="eastAsia"/>
          <w:rtl/>
        </w:rPr>
        <w:t>גליקסברג</w:t>
      </w:r>
      <w:proofErr w:type="spellEnd"/>
      <w:r w:rsidRPr="00041E5E">
        <w:rPr>
          <w:rtl/>
        </w:rPr>
        <w:t xml:space="preserve"> "</w:t>
      </w:r>
      <w:r w:rsidRPr="00041E5E">
        <w:rPr>
          <w:rFonts w:hint="eastAsia"/>
          <w:rtl/>
        </w:rPr>
        <w:t>סמכות</w:t>
      </w:r>
      <w:r w:rsidRPr="00041E5E">
        <w:rPr>
          <w:rtl/>
        </w:rPr>
        <w:t xml:space="preserve"> </w:t>
      </w:r>
      <w:r w:rsidRPr="00041E5E">
        <w:rPr>
          <w:rFonts w:hint="eastAsia"/>
          <w:rtl/>
        </w:rPr>
        <w:t>הסיווג</w:t>
      </w:r>
      <w:r w:rsidRPr="00041E5E">
        <w:rPr>
          <w:rtl/>
        </w:rPr>
        <w:t xml:space="preserve"> </w:t>
      </w:r>
      <w:r w:rsidRPr="00041E5E">
        <w:rPr>
          <w:rFonts w:hint="eastAsia"/>
          <w:rtl/>
        </w:rPr>
        <w:t>מחדש</w:t>
      </w:r>
      <w:r w:rsidRPr="00041E5E">
        <w:rPr>
          <w:rtl/>
        </w:rPr>
        <w:t xml:space="preserve"> </w:t>
      </w:r>
      <w:r w:rsidRPr="00041E5E">
        <w:rPr>
          <w:rFonts w:hint="eastAsia"/>
          <w:rtl/>
        </w:rPr>
        <w:t>והנורמות</w:t>
      </w:r>
      <w:r w:rsidRPr="00041E5E">
        <w:rPr>
          <w:rtl/>
        </w:rPr>
        <w:t xml:space="preserve"> </w:t>
      </w:r>
      <w:r w:rsidRPr="00041E5E">
        <w:rPr>
          <w:rFonts w:hint="eastAsia"/>
          <w:rtl/>
        </w:rPr>
        <w:t>האנטי</w:t>
      </w:r>
      <w:r w:rsidRPr="00041E5E">
        <w:rPr>
          <w:rtl/>
        </w:rPr>
        <w:t>-</w:t>
      </w:r>
      <w:r w:rsidRPr="00041E5E">
        <w:rPr>
          <w:rFonts w:hint="eastAsia"/>
          <w:rtl/>
        </w:rPr>
        <w:t>תכנוניות</w:t>
      </w:r>
      <w:r w:rsidRPr="00041E5E">
        <w:rPr>
          <w:rtl/>
        </w:rPr>
        <w:t xml:space="preserve">: </w:t>
      </w:r>
      <w:r w:rsidRPr="00041E5E">
        <w:rPr>
          <w:rFonts w:hint="eastAsia"/>
          <w:rtl/>
        </w:rPr>
        <w:t>העדפת</w:t>
      </w:r>
      <w:r w:rsidRPr="00041E5E">
        <w:rPr>
          <w:rtl/>
        </w:rPr>
        <w:t xml:space="preserve"> </w:t>
      </w:r>
      <w:r w:rsidRPr="00041E5E">
        <w:rPr>
          <w:rFonts w:hint="eastAsia"/>
          <w:rtl/>
        </w:rPr>
        <w:t>התפיסה</w:t>
      </w:r>
      <w:r w:rsidRPr="00041E5E">
        <w:rPr>
          <w:rtl/>
        </w:rPr>
        <w:t xml:space="preserve"> </w:t>
      </w:r>
      <w:r w:rsidRPr="00041E5E">
        <w:rPr>
          <w:rFonts w:hint="eastAsia"/>
          <w:rtl/>
        </w:rPr>
        <w:t>הפונקציונלית</w:t>
      </w:r>
      <w:r w:rsidRPr="00041E5E">
        <w:rPr>
          <w:rtl/>
        </w:rPr>
        <w:t xml:space="preserve"> </w:t>
      </w:r>
      <w:r w:rsidRPr="00041E5E">
        <w:rPr>
          <w:rFonts w:hint="eastAsia"/>
          <w:rtl/>
        </w:rPr>
        <w:t>על</w:t>
      </w:r>
      <w:r w:rsidRPr="00041E5E">
        <w:rPr>
          <w:rtl/>
        </w:rPr>
        <w:t xml:space="preserve"> </w:t>
      </w:r>
      <w:r w:rsidRPr="00041E5E">
        <w:rPr>
          <w:rFonts w:hint="eastAsia"/>
          <w:rtl/>
        </w:rPr>
        <w:t>פני</w:t>
      </w:r>
      <w:r w:rsidRPr="00041E5E">
        <w:rPr>
          <w:rtl/>
        </w:rPr>
        <w:t xml:space="preserve"> </w:t>
      </w:r>
      <w:r w:rsidRPr="00041E5E">
        <w:rPr>
          <w:rFonts w:hint="eastAsia"/>
          <w:rtl/>
        </w:rPr>
        <w:t>התפיסה</w:t>
      </w:r>
      <w:r w:rsidRPr="00041E5E">
        <w:rPr>
          <w:rtl/>
        </w:rPr>
        <w:t xml:space="preserve"> </w:t>
      </w:r>
      <w:r w:rsidRPr="00041E5E">
        <w:rPr>
          <w:rFonts w:hint="eastAsia"/>
          <w:rtl/>
        </w:rPr>
        <w:t>הקונספטואלית</w:t>
      </w:r>
      <w:r w:rsidRPr="00041E5E">
        <w:rPr>
          <w:rtl/>
        </w:rPr>
        <w:t xml:space="preserve">" </w:t>
      </w:r>
      <w:r w:rsidRPr="00556914">
        <w:rPr>
          <w:rFonts w:ascii="Century" w:hAnsi="Century" w:cs="Miriam" w:hint="eastAsia"/>
          <w:b/>
          <w:spacing w:val="0"/>
          <w:sz w:val="22"/>
          <w:szCs w:val="24"/>
          <w:rtl/>
        </w:rPr>
        <w:t>משפטים</w:t>
      </w:r>
      <w:r w:rsidRPr="00556914">
        <w:rPr>
          <w:rFonts w:ascii="Century" w:hAnsi="Century" w:cs="Miriam"/>
          <w:b/>
          <w:spacing w:val="0"/>
          <w:sz w:val="22"/>
          <w:szCs w:val="24"/>
          <w:rtl/>
        </w:rPr>
        <w:t xml:space="preserve"> </w:t>
      </w:r>
      <w:r w:rsidRPr="00556914">
        <w:rPr>
          <w:rFonts w:ascii="Century" w:hAnsi="Century" w:hint="eastAsia"/>
          <w:sz w:val="22"/>
          <w:rtl/>
        </w:rPr>
        <w:t>ל</w:t>
      </w:r>
      <w:r w:rsidRPr="00556914">
        <w:rPr>
          <w:rFonts w:ascii="Century" w:hAnsi="Century"/>
          <w:sz w:val="22"/>
          <w:rtl/>
        </w:rPr>
        <w:t xml:space="preserve"> 545,</w:t>
      </w:r>
      <w:r w:rsidRPr="00041E5E">
        <w:rPr>
          <w:rtl/>
        </w:rPr>
        <w:t xml:space="preserve"> 571-567, 577-574 (</w:t>
      </w:r>
      <w:r w:rsidRPr="00041E5E">
        <w:rPr>
          <w:rFonts w:hint="eastAsia"/>
          <w:rtl/>
        </w:rPr>
        <w:t>תש</w:t>
      </w:r>
      <w:r w:rsidRPr="00041E5E">
        <w:rPr>
          <w:rtl/>
        </w:rPr>
        <w:t>"</w:t>
      </w:r>
      <w:r w:rsidRPr="00041E5E">
        <w:rPr>
          <w:rFonts w:hint="eastAsia"/>
          <w:rtl/>
        </w:rPr>
        <w:t>ס</w:t>
      </w:r>
      <w:r w:rsidRPr="00041E5E">
        <w:rPr>
          <w:rtl/>
        </w:rPr>
        <w:t>))</w:t>
      </w:r>
      <w:r w:rsidRPr="00D95361">
        <w:rPr>
          <w:rFonts w:hint="cs"/>
          <w:rtl/>
        </w:rPr>
        <w:t xml:space="preserve">. </w:t>
      </w:r>
      <w:r>
        <w:rPr>
          <w:rFonts w:hint="cs"/>
          <w:rtl/>
        </w:rPr>
        <w:t xml:space="preserve">לפיכך, ידו של הנישום תהא על העליונה במצב של "תיקו ראייתי" כאשר כפות המאזניים בשאלה "דיבידנד או לא?" תהיינה מעויינות; וכך הוא גם, כמובן, כאשר הראיות שמביא הנישום מפריכות את חזקת הדיבידנד מניה וביה. </w:t>
      </w:r>
      <w:r w:rsidRPr="00036F92">
        <w:rPr>
          <w:rFonts w:hint="cs"/>
          <w:rtl/>
        </w:rPr>
        <w:t xml:space="preserve">במקרה שבו פקיד השומה בוחר להפעיל את עיקרון המהות הכלכלית, רק </w:t>
      </w:r>
      <w:r w:rsidRPr="00036F92">
        <w:rPr>
          <w:rFonts w:hint="eastAsia"/>
          <w:rtl/>
        </w:rPr>
        <w:t>הפרכת</w:t>
      </w:r>
      <w:r w:rsidRPr="00036F92">
        <w:rPr>
          <w:rtl/>
        </w:rPr>
        <w:t xml:space="preserve"> </w:t>
      </w:r>
      <w:r w:rsidRPr="00036F92">
        <w:rPr>
          <w:rFonts w:hint="eastAsia"/>
          <w:rtl/>
        </w:rPr>
        <w:t>החזקה</w:t>
      </w:r>
      <w:r w:rsidRPr="00036F92">
        <w:rPr>
          <w:rtl/>
        </w:rPr>
        <w:t xml:space="preserve"> </w:t>
      </w:r>
      <w:r w:rsidRPr="00036F92">
        <w:rPr>
          <w:rFonts w:hint="cs"/>
          <w:rtl/>
        </w:rPr>
        <w:t>במאזן ההסתברויות תוכיח את צדקת עמדתו של הנישום כי אין מדובר בדיבידנד.</w:t>
      </w:r>
      <w:r>
        <w:rPr>
          <w:rFonts w:hint="cs"/>
          <w:rtl/>
        </w:rPr>
        <w:t xml:space="preserve"> </w:t>
      </w:r>
      <w:r w:rsidRPr="00036F92">
        <w:rPr>
          <w:rFonts w:hint="cs"/>
          <w:rtl/>
        </w:rPr>
        <w:t xml:space="preserve">זאת, בשל </w:t>
      </w:r>
      <w:r w:rsidRPr="00036F92">
        <w:rPr>
          <w:rFonts w:hint="eastAsia"/>
          <w:rtl/>
        </w:rPr>
        <w:t>חזקת</w:t>
      </w:r>
      <w:r w:rsidRPr="00036F92">
        <w:rPr>
          <w:rtl/>
        </w:rPr>
        <w:t xml:space="preserve"> </w:t>
      </w:r>
      <w:r w:rsidRPr="00036F92">
        <w:rPr>
          <w:rFonts w:hint="eastAsia"/>
          <w:rtl/>
        </w:rPr>
        <w:t>התקינות</w:t>
      </w:r>
      <w:r w:rsidRPr="00036F92">
        <w:rPr>
          <w:rtl/>
        </w:rPr>
        <w:t xml:space="preserve"> </w:t>
      </w:r>
      <w:r w:rsidRPr="00036F92">
        <w:rPr>
          <w:rFonts w:hint="eastAsia"/>
          <w:rtl/>
        </w:rPr>
        <w:t>אשר</w:t>
      </w:r>
      <w:r w:rsidRPr="00036F92">
        <w:rPr>
          <w:rtl/>
        </w:rPr>
        <w:t xml:space="preserve"> </w:t>
      </w:r>
      <w:r w:rsidRPr="00036F92">
        <w:rPr>
          <w:rFonts w:hint="eastAsia"/>
          <w:rtl/>
        </w:rPr>
        <w:t>נזקפת</w:t>
      </w:r>
      <w:r w:rsidRPr="00036F92">
        <w:rPr>
          <w:rtl/>
        </w:rPr>
        <w:t xml:space="preserve"> </w:t>
      </w:r>
      <w:r w:rsidRPr="00036F92">
        <w:rPr>
          <w:rFonts w:hint="eastAsia"/>
          <w:rtl/>
        </w:rPr>
        <w:t>לזכותו</w:t>
      </w:r>
      <w:r w:rsidRPr="00036F92">
        <w:rPr>
          <w:rtl/>
        </w:rPr>
        <w:t xml:space="preserve"> </w:t>
      </w:r>
      <w:r w:rsidRPr="00036F92">
        <w:rPr>
          <w:rFonts w:hint="eastAsia"/>
          <w:rtl/>
        </w:rPr>
        <w:t>של</w:t>
      </w:r>
      <w:r w:rsidRPr="00036F92">
        <w:rPr>
          <w:rtl/>
        </w:rPr>
        <w:t xml:space="preserve"> </w:t>
      </w:r>
      <w:r w:rsidRPr="00036F92">
        <w:rPr>
          <w:rFonts w:hint="eastAsia"/>
          <w:rtl/>
        </w:rPr>
        <w:t>פקיד</w:t>
      </w:r>
      <w:r w:rsidRPr="00036F92">
        <w:rPr>
          <w:rtl/>
        </w:rPr>
        <w:t xml:space="preserve"> </w:t>
      </w:r>
      <w:r w:rsidRPr="00036F92">
        <w:rPr>
          <w:rFonts w:hint="eastAsia"/>
          <w:rtl/>
        </w:rPr>
        <w:t>השומה</w:t>
      </w:r>
      <w:r w:rsidRPr="00036F92">
        <w:rPr>
          <w:rFonts w:hint="cs"/>
          <w:rtl/>
        </w:rPr>
        <w:t>,</w:t>
      </w:r>
      <w:r w:rsidRPr="00036F92">
        <w:rPr>
          <w:rtl/>
        </w:rPr>
        <w:t xml:space="preserve"> </w:t>
      </w:r>
      <w:r w:rsidRPr="00036F92">
        <w:rPr>
          <w:rFonts w:hint="cs"/>
          <w:rtl/>
        </w:rPr>
        <w:t xml:space="preserve">שגם אותה הנישום נדרש </w:t>
      </w:r>
      <w:r w:rsidRPr="00036F92">
        <w:rPr>
          <w:rFonts w:hint="eastAsia"/>
          <w:rtl/>
        </w:rPr>
        <w:t>להפריך</w:t>
      </w:r>
      <w:r w:rsidRPr="00036F92">
        <w:rPr>
          <w:rtl/>
        </w:rPr>
        <w:t xml:space="preserve"> </w:t>
      </w:r>
      <w:r w:rsidRPr="00036F92">
        <w:rPr>
          <w:rFonts w:hint="eastAsia"/>
          <w:rtl/>
        </w:rPr>
        <w:t>לפי</w:t>
      </w:r>
      <w:r w:rsidRPr="00036F92">
        <w:rPr>
          <w:rtl/>
        </w:rPr>
        <w:t xml:space="preserve"> </w:t>
      </w:r>
      <w:r w:rsidRPr="00036F92">
        <w:rPr>
          <w:rFonts w:hint="eastAsia"/>
          <w:rtl/>
        </w:rPr>
        <w:t>מאזן</w:t>
      </w:r>
      <w:r w:rsidRPr="00036F92">
        <w:rPr>
          <w:rtl/>
        </w:rPr>
        <w:t xml:space="preserve"> </w:t>
      </w:r>
      <w:r w:rsidRPr="00036F92">
        <w:rPr>
          <w:rFonts w:hint="eastAsia"/>
          <w:rtl/>
        </w:rPr>
        <w:t>ההסתברויות</w:t>
      </w:r>
      <w:r w:rsidRPr="00036F92">
        <w:rPr>
          <w:rFonts w:hint="cs"/>
          <w:rtl/>
        </w:rPr>
        <w:t xml:space="preserve"> </w:t>
      </w:r>
      <w:r w:rsidRPr="00036F92">
        <w:rPr>
          <w:rtl/>
        </w:rPr>
        <w:t>(</w:t>
      </w:r>
      <w:r w:rsidRPr="00036F92">
        <w:rPr>
          <w:rFonts w:hint="eastAsia"/>
          <w:rtl/>
        </w:rPr>
        <w:t>ראו</w:t>
      </w:r>
      <w:r w:rsidRPr="00036F92">
        <w:rPr>
          <w:rFonts w:hint="cs"/>
          <w:rtl/>
        </w:rPr>
        <w:t xml:space="preserve"> והשוו</w:t>
      </w:r>
      <w:r w:rsidRPr="00036F92">
        <w:rPr>
          <w:rtl/>
        </w:rPr>
        <w:t xml:space="preserve">: </w:t>
      </w:r>
      <w:r w:rsidRPr="00D15672">
        <w:rPr>
          <w:rFonts w:ascii="Century" w:hAnsi="Century" w:cs="Miriam" w:hint="eastAsia"/>
          <w:b/>
          <w:spacing w:val="0"/>
          <w:sz w:val="22"/>
          <w:szCs w:val="24"/>
          <w:rtl/>
        </w:rPr>
        <w:t>שם</w:t>
      </w:r>
      <w:r w:rsidRPr="00036F92">
        <w:rPr>
          <w:rFonts w:hint="cs"/>
          <w:rtl/>
        </w:rPr>
        <w:t xml:space="preserve">; ע"א 7909/16 </w:t>
      </w:r>
      <w:r w:rsidRPr="00D15672">
        <w:rPr>
          <w:rFonts w:ascii="Century" w:hAnsi="Century" w:cs="Miriam" w:hint="cs"/>
          <w:b/>
          <w:spacing w:val="0"/>
          <w:sz w:val="22"/>
          <w:szCs w:val="24"/>
          <w:rtl/>
        </w:rPr>
        <w:t xml:space="preserve">סיף מתכות בע"מ נ' הממונה האזורי </w:t>
      </w:r>
      <w:r w:rsidRPr="00D15672">
        <w:rPr>
          <w:rFonts w:ascii="Century" w:hAnsi="Century" w:cs="Miriam"/>
          <w:b/>
          <w:spacing w:val="0"/>
          <w:sz w:val="22"/>
          <w:szCs w:val="24"/>
          <w:rtl/>
        </w:rPr>
        <w:t>–</w:t>
      </w:r>
      <w:r w:rsidRPr="00D15672">
        <w:rPr>
          <w:rFonts w:ascii="Century" w:hAnsi="Century" w:cs="Miriam" w:hint="cs"/>
          <w:b/>
          <w:spacing w:val="0"/>
          <w:sz w:val="22"/>
          <w:szCs w:val="24"/>
          <w:rtl/>
        </w:rPr>
        <w:t xml:space="preserve"> אגף המכס ומע"מ</w:t>
      </w:r>
      <w:r w:rsidRPr="00D15672">
        <w:rPr>
          <w:rFonts w:ascii="Century" w:hAnsi="Century"/>
          <w:sz w:val="22"/>
          <w:rtl/>
        </w:rPr>
        <w:t xml:space="preserve">, </w:t>
      </w:r>
      <w:r w:rsidRPr="00D15672">
        <w:rPr>
          <w:rFonts w:ascii="Century" w:hAnsi="Century" w:hint="cs"/>
          <w:sz w:val="22"/>
          <w:rtl/>
        </w:rPr>
        <w:t>פסקה 25 (26.4.2018)</w:t>
      </w:r>
      <w:r w:rsidRPr="00036F92">
        <w:rPr>
          <w:rFonts w:hint="cs"/>
          <w:rtl/>
        </w:rPr>
        <w:t xml:space="preserve">; ע"א 562/08 </w:t>
      </w:r>
      <w:r w:rsidRPr="00D15672">
        <w:rPr>
          <w:rFonts w:ascii="Century" w:hAnsi="Century" w:cs="Miriam" w:hint="eastAsia"/>
          <w:b/>
          <w:spacing w:val="0"/>
          <w:sz w:val="22"/>
          <w:szCs w:val="24"/>
          <w:rtl/>
        </w:rPr>
        <w:t>בן</w:t>
      </w:r>
      <w:r w:rsidRPr="00D15672">
        <w:rPr>
          <w:rFonts w:ascii="Century" w:hAnsi="Century" w:cs="Miriam"/>
          <w:b/>
          <w:spacing w:val="0"/>
          <w:sz w:val="22"/>
          <w:szCs w:val="24"/>
          <w:rtl/>
        </w:rPr>
        <w:t xml:space="preserve"> </w:t>
      </w:r>
      <w:r w:rsidRPr="00D15672">
        <w:rPr>
          <w:rFonts w:ascii="Century" w:hAnsi="Century" w:cs="Miriam" w:hint="eastAsia"/>
          <w:b/>
          <w:spacing w:val="0"/>
          <w:sz w:val="22"/>
          <w:szCs w:val="24"/>
          <w:rtl/>
        </w:rPr>
        <w:t>חיים</w:t>
      </w:r>
      <w:r w:rsidRPr="00D15672">
        <w:rPr>
          <w:rFonts w:ascii="Century" w:hAnsi="Century" w:cs="Miriam"/>
          <w:b/>
          <w:spacing w:val="0"/>
          <w:sz w:val="22"/>
          <w:szCs w:val="24"/>
          <w:rtl/>
        </w:rPr>
        <w:t xml:space="preserve"> </w:t>
      </w:r>
      <w:r w:rsidRPr="00D15672">
        <w:rPr>
          <w:rFonts w:ascii="Century" w:hAnsi="Century" w:cs="Miriam" w:hint="eastAsia"/>
          <w:b/>
          <w:spacing w:val="0"/>
          <w:sz w:val="22"/>
          <w:szCs w:val="24"/>
          <w:rtl/>
        </w:rPr>
        <w:t>נ</w:t>
      </w:r>
      <w:r w:rsidRPr="00D15672">
        <w:rPr>
          <w:rFonts w:ascii="Century" w:hAnsi="Century" w:cs="Miriam"/>
          <w:b/>
          <w:spacing w:val="0"/>
          <w:sz w:val="22"/>
          <w:szCs w:val="24"/>
          <w:rtl/>
        </w:rPr>
        <w:t xml:space="preserve">' </w:t>
      </w:r>
      <w:r w:rsidRPr="00D15672">
        <w:rPr>
          <w:rFonts w:ascii="Century" w:hAnsi="Century" w:cs="Miriam" w:hint="eastAsia"/>
          <w:b/>
          <w:spacing w:val="0"/>
          <w:sz w:val="22"/>
          <w:szCs w:val="24"/>
          <w:rtl/>
        </w:rPr>
        <w:t>פקיד</w:t>
      </w:r>
      <w:r w:rsidRPr="00D15672">
        <w:rPr>
          <w:rFonts w:ascii="Century" w:hAnsi="Century" w:cs="Miriam"/>
          <w:b/>
          <w:spacing w:val="0"/>
          <w:sz w:val="22"/>
          <w:szCs w:val="24"/>
          <w:rtl/>
        </w:rPr>
        <w:t xml:space="preserve"> </w:t>
      </w:r>
      <w:r w:rsidRPr="00D15672">
        <w:rPr>
          <w:rFonts w:ascii="Century" w:hAnsi="Century" w:cs="Miriam" w:hint="eastAsia"/>
          <w:b/>
          <w:spacing w:val="0"/>
          <w:sz w:val="22"/>
          <w:szCs w:val="24"/>
          <w:rtl/>
        </w:rPr>
        <w:t>שומה</w:t>
      </w:r>
      <w:r w:rsidRPr="00D15672">
        <w:rPr>
          <w:rFonts w:ascii="Century" w:hAnsi="Century" w:cs="Miriam"/>
          <w:b/>
          <w:spacing w:val="0"/>
          <w:sz w:val="22"/>
          <w:szCs w:val="24"/>
          <w:rtl/>
        </w:rPr>
        <w:t xml:space="preserve"> </w:t>
      </w:r>
      <w:r w:rsidRPr="00D15672">
        <w:rPr>
          <w:rFonts w:ascii="Century" w:hAnsi="Century" w:cs="Miriam" w:hint="eastAsia"/>
          <w:b/>
          <w:spacing w:val="0"/>
          <w:sz w:val="22"/>
          <w:szCs w:val="24"/>
          <w:rtl/>
        </w:rPr>
        <w:t>אשקלון</w:t>
      </w:r>
      <w:r w:rsidRPr="00036F92">
        <w:rPr>
          <w:rFonts w:hint="cs"/>
          <w:rtl/>
        </w:rPr>
        <w:t>, פסקה 25 (16.11.2011)</w:t>
      </w:r>
      <w:r w:rsidRPr="00036F92">
        <w:rPr>
          <w:rtl/>
        </w:rPr>
        <w:t>)</w:t>
      </w:r>
      <w:r w:rsidRPr="00036F92">
        <w:rPr>
          <w:rFonts w:hint="cs"/>
          <w:rtl/>
        </w:rPr>
        <w:t>.</w:t>
      </w:r>
    </w:p>
    <w:p w:rsidR="00F05533" w:rsidRPr="00D95361" w:rsidRDefault="00F05533" w:rsidP="00F05533">
      <w:pPr>
        <w:pStyle w:val="Ruller4"/>
        <w:numPr>
          <w:ilvl w:val="0"/>
          <w:numId w:val="0"/>
        </w:numPr>
      </w:pPr>
    </w:p>
    <w:p w:rsidR="00F05533" w:rsidRPr="00AB358C" w:rsidRDefault="00F05533" w:rsidP="00F05533">
      <w:pPr>
        <w:pStyle w:val="Ruller4"/>
      </w:pPr>
      <w:r w:rsidRPr="00F942E2">
        <w:rPr>
          <w:rFonts w:hint="cs"/>
          <w:rtl/>
        </w:rPr>
        <w:lastRenderedPageBreak/>
        <w:t xml:space="preserve">במקרה של רכישה עצמית דיספרופורציונית המבוצעת על ידי </w:t>
      </w:r>
      <w:r w:rsidRPr="00D15672">
        <w:rPr>
          <w:rFonts w:ascii="Century" w:hAnsi="Century" w:cs="Miriam" w:hint="cs"/>
          <w:b/>
          <w:spacing w:val="0"/>
          <w:sz w:val="22"/>
          <w:szCs w:val="24"/>
          <w:rtl/>
        </w:rPr>
        <w:t>חברה ציבורית</w:t>
      </w:r>
      <w:r w:rsidRPr="00F942E2">
        <w:rPr>
          <w:rFonts w:hint="cs"/>
          <w:rtl/>
        </w:rPr>
        <w:t xml:space="preserve">, הפרכת החזקה בדבר העדר מימוש על ידי פקיד השומה תוביל, ברגיל, </w:t>
      </w:r>
      <w:r w:rsidRPr="00895466">
        <w:rPr>
          <w:rFonts w:hint="cs"/>
          <w:rtl/>
        </w:rPr>
        <w:t xml:space="preserve">לקבלת עמדתו בגדרו של כל אחד מכללי התיקון האמורים. בפועלו לפי עיקרון המהות הכלכלית, פקיד השומה </w:t>
      </w:r>
      <w:proofErr w:type="spellStart"/>
      <w:r w:rsidRPr="00895466">
        <w:rPr>
          <w:rFonts w:hint="cs"/>
          <w:rtl/>
        </w:rPr>
        <w:t>יהנה</w:t>
      </w:r>
      <w:proofErr w:type="spellEnd"/>
      <w:r w:rsidRPr="00895466">
        <w:rPr>
          <w:rFonts w:hint="cs"/>
          <w:rtl/>
        </w:rPr>
        <w:t xml:space="preserve"> מחזקת התקינות, שאותה הנישום לא יוכל לסתור. בפועלו במסגרתו של סעיף 86(א) לפקודת מס הכנסה וכלל ההתעלמות מעסקה מלאכותית, הפרכת החזקה כאמור תשמש, ברגיל, הוכחה כי עסקינן בעסקה מלאכותית ובהימנעות ב</w:t>
      </w:r>
      <w:r w:rsidRPr="00AB358C">
        <w:rPr>
          <w:rFonts w:hint="cs"/>
          <w:rtl/>
        </w:rPr>
        <w:t xml:space="preserve">לתי נאותה מתשלום מס </w:t>
      </w:r>
      <w:r>
        <w:rPr>
          <w:rFonts w:hint="cs"/>
          <w:rtl/>
        </w:rPr>
        <w:t xml:space="preserve">אמת </w:t>
      </w:r>
      <w:r w:rsidRPr="00AB358C">
        <w:rPr>
          <w:rFonts w:hint="cs"/>
          <w:rtl/>
        </w:rPr>
        <w:t>מצד הנישום.</w:t>
      </w:r>
    </w:p>
    <w:p w:rsidR="00F05533" w:rsidRDefault="00F05533" w:rsidP="00F05533">
      <w:pPr>
        <w:pStyle w:val="Ruller4"/>
        <w:numPr>
          <w:ilvl w:val="0"/>
          <w:numId w:val="0"/>
        </w:numPr>
      </w:pPr>
    </w:p>
    <w:p w:rsidR="00F05533" w:rsidRPr="006B2B35" w:rsidRDefault="00F05533" w:rsidP="00F05533">
      <w:pPr>
        <w:pStyle w:val="Ruller41"/>
        <w:rPr>
          <w:rFonts w:ascii="Century" w:hAnsi="Century" w:cs="Miriam"/>
          <w:b/>
          <w:spacing w:val="0"/>
          <w:szCs w:val="24"/>
          <w:rtl/>
        </w:rPr>
      </w:pPr>
      <w:r w:rsidRPr="006B2B35">
        <w:rPr>
          <w:rFonts w:ascii="Century" w:hAnsi="Century" w:cs="Miriam" w:hint="cs"/>
          <w:b/>
          <w:spacing w:val="0"/>
          <w:szCs w:val="24"/>
          <w:rtl/>
        </w:rPr>
        <w:t>מן הכלל אל הפרט</w:t>
      </w:r>
    </w:p>
    <w:p w:rsidR="00F05533" w:rsidRDefault="00F05533" w:rsidP="00F05533">
      <w:pPr>
        <w:pStyle w:val="Ruller41"/>
        <w:rPr>
          <w:rtl/>
        </w:rPr>
      </w:pPr>
    </w:p>
    <w:p w:rsidR="00F05533" w:rsidRDefault="00F05533" w:rsidP="00F05533">
      <w:pPr>
        <w:pStyle w:val="Ruller4"/>
        <w:rPr>
          <w:rtl/>
        </w:rPr>
      </w:pPr>
      <w:r>
        <w:rPr>
          <w:rFonts w:hint="cs"/>
          <w:rtl/>
        </w:rPr>
        <w:t xml:space="preserve">אקדים ואומר כי אם תתקבל דעתי, נדחה את שני הערעורים ונותיר על כנן את הכרעותיהם של בית משפט קמא-חיפה בעניין </w:t>
      </w:r>
      <w:r w:rsidRPr="00C8646B">
        <w:rPr>
          <w:rFonts w:ascii="Century" w:hAnsi="Century" w:cs="Miriam" w:hint="cs"/>
          <w:b/>
          <w:spacing w:val="0"/>
          <w:sz w:val="22"/>
          <w:szCs w:val="24"/>
          <w:rtl/>
        </w:rPr>
        <w:t>בית חוסן</w:t>
      </w:r>
      <w:r w:rsidRPr="00C57529">
        <w:rPr>
          <w:rFonts w:hint="cs"/>
          <w:rtl/>
        </w:rPr>
        <w:t xml:space="preserve"> </w:t>
      </w:r>
      <w:r>
        <w:rPr>
          <w:rFonts w:hint="cs"/>
          <w:rtl/>
        </w:rPr>
        <w:t xml:space="preserve">ושל בית משפט קמא-ב"ש בעניין </w:t>
      </w:r>
      <w:r w:rsidRPr="00C8646B">
        <w:rPr>
          <w:rFonts w:ascii="Century" w:hAnsi="Century" w:cs="Miriam" w:hint="cs"/>
          <w:b/>
          <w:spacing w:val="0"/>
          <w:sz w:val="22"/>
          <w:szCs w:val="24"/>
          <w:rtl/>
        </w:rPr>
        <w:t>סיידה</w:t>
      </w:r>
      <w:r>
        <w:rPr>
          <w:rFonts w:hint="cs"/>
          <w:rtl/>
        </w:rPr>
        <w:t xml:space="preserve">. בכל אחד מהמקרים הללו, בית המשפט הפעיל את עיקרון המהות הכלכלית בהתייחס לנסיבותיו הפרטניות של המקרה. עיקרון זה הופעל בדרך של קביעת ממצאים עובדתיים, ובממצאים אלו אין כל סיבה שנתערב: כך מורה לנו הלכת אי-ההתערבות אשר </w:t>
      </w:r>
      <w:proofErr w:type="spellStart"/>
      <w:r>
        <w:rPr>
          <w:rFonts w:hint="cs"/>
          <w:rtl/>
        </w:rPr>
        <w:t>נקוטה</w:t>
      </w:r>
      <w:proofErr w:type="spellEnd"/>
      <w:r>
        <w:rPr>
          <w:rFonts w:hint="cs"/>
          <w:rtl/>
        </w:rPr>
        <w:t xml:space="preserve"> בידינו מקדמת דנא (ראו, למשל: ע"א 6907/16 </w:t>
      </w:r>
      <w:proofErr w:type="spellStart"/>
      <w:r w:rsidRPr="00694267">
        <w:rPr>
          <w:rFonts w:ascii="Century" w:hAnsi="Century" w:cs="Miriam" w:hint="cs"/>
          <w:b/>
          <w:spacing w:val="0"/>
          <w:sz w:val="22"/>
          <w:szCs w:val="24"/>
          <w:rtl/>
        </w:rPr>
        <w:t>אקרמן</w:t>
      </w:r>
      <w:proofErr w:type="spellEnd"/>
      <w:r w:rsidRPr="00694267">
        <w:rPr>
          <w:rFonts w:ascii="Century" w:hAnsi="Century" w:cs="Miriam" w:hint="cs"/>
          <w:b/>
          <w:spacing w:val="0"/>
          <w:sz w:val="22"/>
          <w:szCs w:val="24"/>
          <w:rtl/>
        </w:rPr>
        <w:t xml:space="preserve"> נ' כפיר קבלנות בניין בע"מ</w:t>
      </w:r>
      <w:r>
        <w:rPr>
          <w:rFonts w:hint="cs"/>
          <w:rtl/>
        </w:rPr>
        <w:t xml:space="preserve">, פסקה 21 (20.12.2017); ע"א 4814/09 </w:t>
      </w:r>
      <w:r w:rsidRPr="00694267">
        <w:rPr>
          <w:rFonts w:ascii="Century" w:hAnsi="Century" w:cs="Miriam" w:hint="cs"/>
          <w:b/>
          <w:spacing w:val="0"/>
          <w:sz w:val="22"/>
          <w:szCs w:val="24"/>
          <w:rtl/>
        </w:rPr>
        <w:t>טמפו תעשיות בירה בע"מ נ' מדינת ישראל</w:t>
      </w:r>
      <w:r w:rsidRPr="00694267">
        <w:rPr>
          <w:rFonts w:ascii="Century" w:hAnsi="Century" w:hint="cs"/>
          <w:sz w:val="22"/>
          <w:rtl/>
        </w:rPr>
        <w:t>, פסקה 24 (22.12.2010)</w:t>
      </w:r>
      <w:r>
        <w:rPr>
          <w:rFonts w:hint="cs"/>
          <w:rtl/>
        </w:rPr>
        <w:t xml:space="preserve">). </w:t>
      </w:r>
    </w:p>
    <w:p w:rsidR="00F05533" w:rsidRDefault="00F05533" w:rsidP="00F05533">
      <w:pPr>
        <w:pStyle w:val="Ruller4"/>
        <w:numPr>
          <w:ilvl w:val="0"/>
          <w:numId w:val="0"/>
        </w:numPr>
        <w:rPr>
          <w:rtl/>
        </w:rPr>
      </w:pPr>
    </w:p>
    <w:p w:rsidR="00F05533" w:rsidRPr="00C0060E" w:rsidRDefault="00F05533" w:rsidP="00F05533">
      <w:pPr>
        <w:pStyle w:val="Ruller41"/>
        <w:rPr>
          <w:rtl/>
        </w:rPr>
      </w:pPr>
      <w:r w:rsidRPr="00951E27">
        <w:rPr>
          <w:rFonts w:ascii="Century" w:hAnsi="Century" w:cs="Miriam" w:hint="cs"/>
          <w:b/>
          <w:spacing w:val="0"/>
          <w:szCs w:val="24"/>
          <w:rtl/>
        </w:rPr>
        <w:t>הכרעה בעניין בית חוסן</w:t>
      </w:r>
      <w:r>
        <w:rPr>
          <w:rFonts w:ascii="Century" w:hAnsi="Century" w:cs="Miriam" w:hint="cs"/>
          <w:b/>
          <w:spacing w:val="0"/>
          <w:szCs w:val="24"/>
          <w:rtl/>
        </w:rPr>
        <w:t xml:space="preserve"> </w:t>
      </w:r>
    </w:p>
    <w:p w:rsidR="00F05533" w:rsidRDefault="00F05533" w:rsidP="00F05533">
      <w:pPr>
        <w:pStyle w:val="Ruller4"/>
        <w:numPr>
          <w:ilvl w:val="0"/>
          <w:numId w:val="0"/>
        </w:numPr>
      </w:pPr>
    </w:p>
    <w:p w:rsidR="00F05533" w:rsidRDefault="00F05533" w:rsidP="00F05533">
      <w:pPr>
        <w:pStyle w:val="Ruller4"/>
        <w:rPr>
          <w:rtl/>
        </w:rPr>
      </w:pPr>
      <w:r>
        <w:rPr>
          <w:rFonts w:hint="cs"/>
          <w:rtl/>
        </w:rPr>
        <w:t xml:space="preserve">בית משפט קמא-חיפה קבע, כאמור, כי אין מקום לראות בעסקת הרכישה העצמית שבוצעה בעניין </w:t>
      </w:r>
      <w:r w:rsidRPr="008C2495">
        <w:rPr>
          <w:rFonts w:ascii="Century" w:hAnsi="Century" w:cs="Miriam" w:hint="cs"/>
          <w:b/>
          <w:spacing w:val="0"/>
          <w:sz w:val="22"/>
          <w:szCs w:val="24"/>
          <w:rtl/>
        </w:rPr>
        <w:t>בית חוסן</w:t>
      </w:r>
      <w:r w:rsidRPr="00694267">
        <w:rPr>
          <w:rFonts w:ascii="Century" w:hAnsi="Century" w:hint="cs"/>
          <w:sz w:val="22"/>
          <w:rtl/>
        </w:rPr>
        <w:t xml:space="preserve"> </w:t>
      </w:r>
      <w:r>
        <w:rPr>
          <w:rFonts w:hint="cs"/>
          <w:rtl/>
        </w:rPr>
        <w:t xml:space="preserve">אירוע מס אצל בעלי המניות הנותרים בחברה. קביעה זו מקובלת עלי לחלוטין. </w:t>
      </w:r>
    </w:p>
    <w:p w:rsidR="00F05533" w:rsidRPr="008C2495" w:rsidRDefault="00F05533" w:rsidP="00F05533">
      <w:pPr>
        <w:pStyle w:val="Ruller41"/>
      </w:pPr>
    </w:p>
    <w:p w:rsidR="00F05533" w:rsidRPr="00A22B2C" w:rsidRDefault="00F05533" w:rsidP="00F05533">
      <w:pPr>
        <w:pStyle w:val="Ruller4"/>
        <w:rPr>
          <w:rFonts w:ascii="Century" w:hAnsi="Century"/>
          <w:sz w:val="22"/>
          <w:rtl/>
        </w:rPr>
      </w:pPr>
      <w:r w:rsidRPr="008C2495">
        <w:rPr>
          <w:rFonts w:ascii="Century" w:hAnsi="Century" w:hint="cs"/>
          <w:sz w:val="22"/>
          <w:rtl/>
        </w:rPr>
        <w:t xml:space="preserve">עסקת הרכישה העצמית </w:t>
      </w:r>
      <w:proofErr w:type="spellStart"/>
      <w:r>
        <w:rPr>
          <w:rFonts w:ascii="Century" w:hAnsi="Century" w:hint="cs"/>
          <w:sz w:val="22"/>
          <w:rtl/>
        </w:rPr>
        <w:t>דשם</w:t>
      </w:r>
      <w:proofErr w:type="spellEnd"/>
      <w:r>
        <w:rPr>
          <w:rFonts w:ascii="Century" w:hAnsi="Century" w:hint="cs"/>
          <w:sz w:val="22"/>
          <w:rtl/>
        </w:rPr>
        <w:t xml:space="preserve"> </w:t>
      </w:r>
      <w:proofErr w:type="spellStart"/>
      <w:r>
        <w:rPr>
          <w:rFonts w:ascii="Century" w:hAnsi="Century" w:hint="cs"/>
          <w:sz w:val="22"/>
          <w:rtl/>
        </w:rPr>
        <w:t>היתה</w:t>
      </w:r>
      <w:proofErr w:type="spellEnd"/>
      <w:r w:rsidRPr="008C2495">
        <w:rPr>
          <w:rFonts w:ascii="Century" w:hAnsi="Century" w:hint="cs"/>
          <w:sz w:val="22"/>
          <w:rtl/>
        </w:rPr>
        <w:t xml:space="preserve"> תוצר של </w:t>
      </w:r>
      <w:r>
        <w:rPr>
          <w:rFonts w:hint="cs"/>
          <w:rtl/>
        </w:rPr>
        <w:t xml:space="preserve">הסכם הפשרה אשר נחתם בין ציפורה לחברה במטרה לשים קץ לסכסוך שהיה קיים בתוך החברה ואיים לשתק את פועלה. סכסוך זה הגיע לשיאו במסגרת התביעה שהגישה ציפורה נגד החברה ומנהליה. במסגרתו של הסכם הפשרה, הוחלט כי החברה תרכוש את מלוא מניותיה של ציפורה בבית חוסן ובתמורה תמשוך ציפורה את תביעתה. טענותיה של </w:t>
      </w:r>
      <w:r>
        <w:rPr>
          <w:rFonts w:ascii="Century" w:hAnsi="Century" w:hint="cs"/>
          <w:sz w:val="22"/>
          <w:rtl/>
        </w:rPr>
        <w:t xml:space="preserve">ציפורה במסגרת תביעתה, שסולקה כאמור, </w:t>
      </w:r>
      <w:r>
        <w:rPr>
          <w:rFonts w:hint="cs"/>
          <w:rtl/>
        </w:rPr>
        <w:t xml:space="preserve">נסובו על אופן ניהולה של החברה בראי הכללים שעניינם </w:t>
      </w:r>
      <w:r w:rsidRPr="00720859">
        <w:rPr>
          <w:rFonts w:ascii="Century" w:hAnsi="Century" w:hint="cs"/>
          <w:sz w:val="22"/>
          <w:rtl/>
        </w:rPr>
        <w:t xml:space="preserve">ממשל תאגידי. </w:t>
      </w:r>
      <w:r>
        <w:rPr>
          <w:rFonts w:ascii="Century" w:hAnsi="Century" w:hint="cs"/>
          <w:sz w:val="22"/>
          <w:rtl/>
        </w:rPr>
        <w:t xml:space="preserve">על בסיסן של טענות אלו, </w:t>
      </w:r>
      <w:r w:rsidRPr="00720859">
        <w:rPr>
          <w:rFonts w:ascii="Century" w:hAnsi="Century" w:hint="cs"/>
          <w:sz w:val="22"/>
          <w:rtl/>
        </w:rPr>
        <w:t>ביקשה ציפורה סעד</w:t>
      </w:r>
      <w:r>
        <w:rPr>
          <w:rFonts w:ascii="Century" w:hAnsi="Century" w:hint="cs"/>
          <w:sz w:val="22"/>
          <w:rtl/>
        </w:rPr>
        <w:t>ים</w:t>
      </w:r>
      <w:r w:rsidRPr="00720859">
        <w:rPr>
          <w:rFonts w:ascii="Century" w:hAnsi="Century" w:hint="cs"/>
          <w:sz w:val="22"/>
          <w:rtl/>
        </w:rPr>
        <w:t xml:space="preserve"> להסרת קיפוח המיעוט</w:t>
      </w:r>
      <w:r>
        <w:rPr>
          <w:rFonts w:ascii="Century" w:hAnsi="Century" w:hint="cs"/>
          <w:sz w:val="22"/>
          <w:rtl/>
        </w:rPr>
        <w:t>. כמו כן ביקשה היא לקבל לידיה</w:t>
      </w:r>
      <w:r w:rsidRPr="00720859">
        <w:rPr>
          <w:rFonts w:ascii="Century" w:hAnsi="Century" w:hint="cs"/>
          <w:sz w:val="22"/>
          <w:rtl/>
        </w:rPr>
        <w:t xml:space="preserve"> </w:t>
      </w:r>
      <w:r>
        <w:rPr>
          <w:rFonts w:ascii="Century" w:hAnsi="Century" w:hint="cs"/>
          <w:sz w:val="22"/>
          <w:rtl/>
        </w:rPr>
        <w:t xml:space="preserve">מהחברה </w:t>
      </w:r>
      <w:r w:rsidRPr="00720859">
        <w:rPr>
          <w:rFonts w:ascii="Century" w:hAnsi="Century" w:hint="cs"/>
          <w:sz w:val="22"/>
          <w:rtl/>
        </w:rPr>
        <w:t>פרוטוקולים</w:t>
      </w:r>
      <w:r>
        <w:rPr>
          <w:rFonts w:ascii="Century" w:hAnsi="Century" w:hint="cs"/>
          <w:sz w:val="22"/>
          <w:rtl/>
        </w:rPr>
        <w:t>,</w:t>
      </w:r>
      <w:r w:rsidRPr="00720859">
        <w:rPr>
          <w:rFonts w:ascii="Century" w:hAnsi="Century" w:hint="cs"/>
          <w:sz w:val="22"/>
          <w:rtl/>
        </w:rPr>
        <w:t xml:space="preserve"> דו</w:t>
      </w:r>
      <w:r>
        <w:rPr>
          <w:rFonts w:ascii="Century" w:hAnsi="Century" w:hint="cs"/>
          <w:sz w:val="22"/>
          <w:rtl/>
        </w:rPr>
        <w:t>"</w:t>
      </w:r>
      <w:r w:rsidRPr="00720859">
        <w:rPr>
          <w:rFonts w:ascii="Century" w:hAnsi="Century" w:hint="cs"/>
          <w:sz w:val="22"/>
          <w:rtl/>
        </w:rPr>
        <w:t xml:space="preserve">חות ודיווחים אשר </w:t>
      </w:r>
      <w:r>
        <w:rPr>
          <w:rFonts w:ascii="Century" w:hAnsi="Century" w:hint="cs"/>
          <w:sz w:val="22"/>
          <w:rtl/>
        </w:rPr>
        <w:t xml:space="preserve">אמורים היו </w:t>
      </w:r>
      <w:r w:rsidRPr="00720859">
        <w:rPr>
          <w:rFonts w:ascii="Century" w:hAnsi="Century" w:hint="cs"/>
          <w:sz w:val="22"/>
          <w:rtl/>
        </w:rPr>
        <w:t xml:space="preserve">לקדם </w:t>
      </w:r>
      <w:r w:rsidRPr="00720859">
        <w:rPr>
          <w:rFonts w:ascii="Century" w:hAnsi="Century" w:hint="cs"/>
          <w:sz w:val="22"/>
          <w:rtl/>
        </w:rPr>
        <w:lastRenderedPageBreak/>
        <w:t>את מכירת מניותיה לצד</w:t>
      </w:r>
      <w:r>
        <w:rPr>
          <w:rFonts w:ascii="Century" w:hAnsi="Century" w:hint="cs"/>
          <w:sz w:val="22"/>
          <w:rtl/>
        </w:rPr>
        <w:t xml:space="preserve">דים שלישיים. </w:t>
      </w:r>
      <w:r w:rsidRPr="00720859">
        <w:rPr>
          <w:rFonts w:ascii="Century" w:hAnsi="Century" w:hint="cs"/>
          <w:sz w:val="22"/>
          <w:rtl/>
        </w:rPr>
        <w:t>זאת ועוד</w:t>
      </w:r>
      <w:r>
        <w:rPr>
          <w:rFonts w:ascii="Century" w:hAnsi="Century" w:hint="cs"/>
          <w:sz w:val="22"/>
          <w:rtl/>
        </w:rPr>
        <w:t>:</w:t>
      </w:r>
      <w:r w:rsidRPr="00720859">
        <w:rPr>
          <w:rFonts w:ascii="Century" w:hAnsi="Century" w:hint="cs"/>
          <w:sz w:val="22"/>
          <w:rtl/>
        </w:rPr>
        <w:t xml:space="preserve"> בית משפט קמא-חיפה </w:t>
      </w:r>
      <w:r>
        <w:rPr>
          <w:rFonts w:ascii="Century" w:hAnsi="Century" w:hint="cs"/>
          <w:sz w:val="22"/>
          <w:rtl/>
        </w:rPr>
        <w:t xml:space="preserve">עמד בפסק דינו </w:t>
      </w:r>
      <w:r w:rsidRPr="00720859">
        <w:rPr>
          <w:rFonts w:ascii="Century" w:hAnsi="Century" w:hint="cs"/>
          <w:sz w:val="22"/>
          <w:rtl/>
        </w:rPr>
        <w:t xml:space="preserve">על הצורך של בית חוסן לעמוד בתנאי פרוגרמה 2016 </w:t>
      </w:r>
      <w:r w:rsidRPr="00720859">
        <w:rPr>
          <w:rFonts w:ascii="Century" w:hAnsi="Century"/>
          <w:sz w:val="22"/>
          <w:rtl/>
        </w:rPr>
        <w:t>–</w:t>
      </w:r>
      <w:r w:rsidRPr="00720859">
        <w:rPr>
          <w:rFonts w:ascii="Century" w:hAnsi="Century" w:hint="cs"/>
          <w:sz w:val="22"/>
          <w:rtl/>
        </w:rPr>
        <w:t xml:space="preserve"> </w:t>
      </w:r>
      <w:r>
        <w:rPr>
          <w:rFonts w:ascii="Century" w:hAnsi="Century" w:hint="cs"/>
          <w:sz w:val="22"/>
          <w:rtl/>
        </w:rPr>
        <w:t>אסופת</w:t>
      </w:r>
      <w:r w:rsidRPr="00720859">
        <w:rPr>
          <w:rFonts w:ascii="Century" w:hAnsi="Century" w:hint="cs"/>
          <w:sz w:val="22"/>
          <w:rtl/>
        </w:rPr>
        <w:t xml:space="preserve"> דרישות שמשרד הבריאות </w:t>
      </w:r>
      <w:r>
        <w:rPr>
          <w:rFonts w:ascii="Century" w:hAnsi="Century" w:hint="cs"/>
          <w:sz w:val="22"/>
          <w:rtl/>
        </w:rPr>
        <w:t xml:space="preserve">הציב </w:t>
      </w:r>
      <w:r w:rsidRPr="00720859">
        <w:rPr>
          <w:rFonts w:ascii="Century" w:hAnsi="Century" w:hint="cs"/>
          <w:sz w:val="22"/>
          <w:rtl/>
        </w:rPr>
        <w:t>לחברה כתנאי להמשך הפעלת</w:t>
      </w:r>
      <w:r>
        <w:rPr>
          <w:rFonts w:ascii="Century" w:hAnsi="Century" w:hint="cs"/>
          <w:sz w:val="22"/>
          <w:rtl/>
        </w:rPr>
        <w:t>ו של</w:t>
      </w:r>
      <w:r w:rsidRPr="00720859">
        <w:rPr>
          <w:rFonts w:ascii="Century" w:hAnsi="Century" w:hint="cs"/>
          <w:sz w:val="22"/>
          <w:rtl/>
        </w:rPr>
        <w:t xml:space="preserve"> המוסד הגריאטרי שבשטחה</w:t>
      </w:r>
      <w:r>
        <w:rPr>
          <w:rFonts w:ascii="Century" w:hAnsi="Century" w:hint="cs"/>
          <w:sz w:val="22"/>
          <w:rtl/>
        </w:rPr>
        <w:t xml:space="preserve">. עמידה בדרישות אלה חייבה את בעלי המניות לגייס כספים </w:t>
      </w:r>
      <w:r w:rsidRPr="00720859">
        <w:rPr>
          <w:rFonts w:ascii="Century" w:hAnsi="Century" w:hint="cs"/>
          <w:sz w:val="22"/>
          <w:rtl/>
        </w:rPr>
        <w:t>ל</w:t>
      </w:r>
      <w:r>
        <w:rPr>
          <w:rFonts w:ascii="Century" w:hAnsi="Century" w:hint="cs"/>
          <w:sz w:val="22"/>
          <w:rtl/>
        </w:rPr>
        <w:t>נוכח</w:t>
      </w:r>
      <w:r w:rsidRPr="00720859">
        <w:rPr>
          <w:rFonts w:ascii="Century" w:hAnsi="Century" w:hint="cs"/>
          <w:sz w:val="22"/>
          <w:rtl/>
        </w:rPr>
        <w:t xml:space="preserve"> מצבה הכלכלי הרעוע של החברה </w:t>
      </w:r>
      <w:r>
        <w:rPr>
          <w:rFonts w:ascii="Century" w:hAnsi="Century" w:hint="cs"/>
          <w:sz w:val="22"/>
          <w:rtl/>
        </w:rPr>
        <w:t>ב</w:t>
      </w:r>
      <w:r w:rsidRPr="00720859">
        <w:rPr>
          <w:rFonts w:ascii="Century" w:hAnsi="Century" w:hint="cs"/>
          <w:sz w:val="22"/>
          <w:rtl/>
        </w:rPr>
        <w:t xml:space="preserve">אותה </w:t>
      </w:r>
      <w:r>
        <w:rPr>
          <w:rFonts w:ascii="Century" w:hAnsi="Century" w:hint="cs"/>
          <w:sz w:val="22"/>
          <w:rtl/>
        </w:rPr>
        <w:t>ה</w:t>
      </w:r>
      <w:r w:rsidRPr="00720859">
        <w:rPr>
          <w:rFonts w:ascii="Century" w:hAnsi="Century" w:hint="cs"/>
          <w:sz w:val="22"/>
          <w:rtl/>
        </w:rPr>
        <w:t xml:space="preserve">עת. </w:t>
      </w:r>
      <w:r>
        <w:rPr>
          <w:rFonts w:ascii="Century" w:hAnsi="Century" w:hint="cs"/>
          <w:sz w:val="22"/>
          <w:rtl/>
        </w:rPr>
        <w:t xml:space="preserve">אולם </w:t>
      </w:r>
      <w:r w:rsidRPr="00720859">
        <w:rPr>
          <w:rFonts w:ascii="Century" w:hAnsi="Century" w:hint="cs"/>
          <w:sz w:val="22"/>
          <w:rtl/>
        </w:rPr>
        <w:t xml:space="preserve">ציפורה </w:t>
      </w:r>
      <w:r>
        <w:rPr>
          <w:rFonts w:ascii="Century" w:hAnsi="Century" w:hint="cs"/>
          <w:sz w:val="22"/>
          <w:rtl/>
        </w:rPr>
        <w:t xml:space="preserve">סירבה </w:t>
      </w:r>
      <w:r w:rsidRPr="00720859">
        <w:rPr>
          <w:rFonts w:ascii="Century" w:hAnsi="Century" w:hint="cs"/>
          <w:sz w:val="22"/>
          <w:rtl/>
        </w:rPr>
        <w:t>להשקיע כספים נוספים בחברה</w:t>
      </w:r>
      <w:r>
        <w:rPr>
          <w:rFonts w:ascii="Century" w:hAnsi="Century" w:hint="cs"/>
          <w:sz w:val="22"/>
          <w:rtl/>
        </w:rPr>
        <w:t xml:space="preserve"> ואף סירבה </w:t>
      </w:r>
      <w:r w:rsidRPr="00720859">
        <w:rPr>
          <w:rFonts w:ascii="Century" w:hAnsi="Century" w:hint="cs"/>
          <w:sz w:val="22"/>
          <w:rtl/>
        </w:rPr>
        <w:t>לחתום על ערבויות ו</w:t>
      </w:r>
      <w:r>
        <w:rPr>
          <w:rFonts w:ascii="Century" w:hAnsi="Century" w:hint="cs"/>
          <w:sz w:val="22"/>
          <w:rtl/>
        </w:rPr>
        <w:t xml:space="preserve">על </w:t>
      </w:r>
      <w:r w:rsidRPr="00720859">
        <w:rPr>
          <w:rFonts w:ascii="Century" w:hAnsi="Century" w:hint="cs"/>
          <w:sz w:val="22"/>
          <w:rtl/>
        </w:rPr>
        <w:t xml:space="preserve">מסמכים </w:t>
      </w:r>
      <w:r>
        <w:rPr>
          <w:rFonts w:ascii="Century" w:hAnsi="Century" w:hint="cs"/>
          <w:sz w:val="22"/>
          <w:rtl/>
        </w:rPr>
        <w:t xml:space="preserve">אחרים שהחברה </w:t>
      </w:r>
      <w:proofErr w:type="spellStart"/>
      <w:r>
        <w:rPr>
          <w:rFonts w:ascii="Century" w:hAnsi="Century" w:hint="cs"/>
          <w:sz w:val="22"/>
          <w:rtl/>
        </w:rPr>
        <w:t>היתה</w:t>
      </w:r>
      <w:proofErr w:type="spellEnd"/>
      <w:r>
        <w:rPr>
          <w:rFonts w:ascii="Century" w:hAnsi="Century" w:hint="cs"/>
          <w:sz w:val="22"/>
          <w:rtl/>
        </w:rPr>
        <w:t xml:space="preserve"> זקוקה להם כדי לקבל </w:t>
      </w:r>
      <w:r w:rsidRPr="00A22B2C">
        <w:rPr>
          <w:rFonts w:ascii="Century" w:hAnsi="Century" w:hint="cs"/>
          <w:sz w:val="22"/>
          <w:rtl/>
        </w:rPr>
        <w:t>הלוואות שהיו נחוצות ל</w:t>
      </w:r>
      <w:r>
        <w:rPr>
          <w:rFonts w:ascii="Century" w:hAnsi="Century" w:hint="cs"/>
          <w:sz w:val="22"/>
          <w:rtl/>
        </w:rPr>
        <w:t xml:space="preserve">פעילותה התקינה. התנהלותה של ציפורה </w:t>
      </w:r>
      <w:r w:rsidRPr="00A22B2C">
        <w:rPr>
          <w:rFonts w:ascii="Century" w:hAnsi="Century"/>
          <w:sz w:val="22"/>
          <w:rtl/>
        </w:rPr>
        <w:t>–</w:t>
      </w:r>
      <w:r w:rsidRPr="00A22B2C">
        <w:rPr>
          <w:rFonts w:ascii="Century" w:hAnsi="Century" w:hint="cs"/>
          <w:sz w:val="22"/>
          <w:rtl/>
        </w:rPr>
        <w:t xml:space="preserve"> כך נקבע </w:t>
      </w:r>
      <w:r w:rsidRPr="00A22B2C">
        <w:rPr>
          <w:rFonts w:ascii="Century" w:hAnsi="Century"/>
          <w:sz w:val="22"/>
          <w:rtl/>
        </w:rPr>
        <w:t>–</w:t>
      </w:r>
      <w:r w:rsidRPr="00A22B2C">
        <w:rPr>
          <w:rFonts w:ascii="Century" w:hAnsi="Century" w:hint="cs"/>
          <w:sz w:val="22"/>
          <w:rtl/>
        </w:rPr>
        <w:t xml:space="preserve"> </w:t>
      </w:r>
      <w:r>
        <w:rPr>
          <w:rFonts w:ascii="Century" w:hAnsi="Century" w:hint="cs"/>
          <w:sz w:val="22"/>
          <w:rtl/>
        </w:rPr>
        <w:t>הע</w:t>
      </w:r>
      <w:r w:rsidRPr="00A22B2C">
        <w:rPr>
          <w:rFonts w:ascii="Century" w:hAnsi="Century" w:hint="cs"/>
          <w:sz w:val="22"/>
          <w:rtl/>
        </w:rPr>
        <w:t>מיד</w:t>
      </w:r>
      <w:r>
        <w:rPr>
          <w:rFonts w:ascii="Century" w:hAnsi="Century" w:hint="cs"/>
          <w:sz w:val="22"/>
          <w:rtl/>
        </w:rPr>
        <w:t>ה</w:t>
      </w:r>
      <w:r w:rsidRPr="00A22B2C">
        <w:rPr>
          <w:rFonts w:ascii="Century" w:hAnsi="Century" w:hint="cs"/>
          <w:sz w:val="22"/>
          <w:rtl/>
        </w:rPr>
        <w:t xml:space="preserve"> את החברה בפני סכנה ממשית </w:t>
      </w:r>
      <w:r>
        <w:rPr>
          <w:rFonts w:ascii="Century" w:hAnsi="Century" w:hint="cs"/>
          <w:sz w:val="22"/>
          <w:rtl/>
        </w:rPr>
        <w:t>של חדלות פירעון</w:t>
      </w:r>
      <w:r w:rsidRPr="00A22B2C">
        <w:rPr>
          <w:rFonts w:ascii="Century" w:hAnsi="Century" w:hint="cs"/>
          <w:sz w:val="22"/>
          <w:rtl/>
        </w:rPr>
        <w:t xml:space="preserve"> ו</w:t>
      </w:r>
      <w:r>
        <w:rPr>
          <w:rFonts w:ascii="Century" w:hAnsi="Century" w:hint="cs"/>
          <w:sz w:val="22"/>
          <w:rtl/>
        </w:rPr>
        <w:t xml:space="preserve">חיסול עסקיה. בית המשפט העריך כי סכנה כאמור </w:t>
      </w:r>
      <w:r w:rsidRPr="00A22B2C">
        <w:rPr>
          <w:rFonts w:ascii="Century" w:hAnsi="Century" w:hint="cs"/>
          <w:sz w:val="22"/>
          <w:rtl/>
        </w:rPr>
        <w:t>הצדיק</w:t>
      </w:r>
      <w:r>
        <w:rPr>
          <w:rFonts w:ascii="Century" w:hAnsi="Century" w:hint="cs"/>
          <w:sz w:val="22"/>
          <w:rtl/>
        </w:rPr>
        <w:t xml:space="preserve">ה </w:t>
      </w:r>
      <w:r>
        <w:rPr>
          <w:rFonts w:ascii="Century" w:hAnsi="Century"/>
          <w:sz w:val="22"/>
          <w:rtl/>
        </w:rPr>
        <w:t>–</w:t>
      </w:r>
      <w:r>
        <w:rPr>
          <w:rFonts w:ascii="Century" w:hAnsi="Century" w:hint="cs"/>
          <w:sz w:val="22"/>
          <w:rtl/>
        </w:rPr>
        <w:t xml:space="preserve"> </w:t>
      </w:r>
      <w:r w:rsidRPr="00A22B2C">
        <w:rPr>
          <w:rFonts w:ascii="Century" w:hAnsi="Century" w:hint="cs"/>
          <w:sz w:val="22"/>
          <w:rtl/>
        </w:rPr>
        <w:t>ואף חייב</w:t>
      </w:r>
      <w:r>
        <w:rPr>
          <w:rFonts w:ascii="Century" w:hAnsi="Century" w:hint="cs"/>
          <w:sz w:val="22"/>
          <w:rtl/>
        </w:rPr>
        <w:t xml:space="preserve">ה </w:t>
      </w:r>
      <w:r>
        <w:rPr>
          <w:rFonts w:ascii="Century" w:hAnsi="Century"/>
          <w:sz w:val="22"/>
          <w:rtl/>
        </w:rPr>
        <w:t>–</w:t>
      </w:r>
      <w:r w:rsidRPr="00A22B2C">
        <w:rPr>
          <w:rFonts w:ascii="Century" w:hAnsi="Century" w:hint="cs"/>
          <w:sz w:val="22"/>
          <w:rtl/>
        </w:rPr>
        <w:t xml:space="preserve"> את </w:t>
      </w:r>
      <w:r>
        <w:rPr>
          <w:rFonts w:ascii="Century" w:hAnsi="Century" w:hint="cs"/>
          <w:sz w:val="22"/>
          <w:rtl/>
        </w:rPr>
        <w:t>המהלך של קניית פרישתה של ציפורה מ</w:t>
      </w:r>
      <w:r w:rsidRPr="00A22B2C">
        <w:rPr>
          <w:rFonts w:ascii="Century" w:hAnsi="Century" w:hint="cs"/>
          <w:sz w:val="22"/>
          <w:rtl/>
        </w:rPr>
        <w:t>החברה</w:t>
      </w:r>
      <w:r>
        <w:rPr>
          <w:rFonts w:ascii="Century" w:hAnsi="Century" w:hint="cs"/>
          <w:sz w:val="22"/>
          <w:rtl/>
        </w:rPr>
        <w:t xml:space="preserve"> על ידי החברה</w:t>
      </w:r>
      <w:r w:rsidRPr="00A22B2C">
        <w:rPr>
          <w:rFonts w:ascii="Century" w:hAnsi="Century" w:hint="cs"/>
          <w:sz w:val="22"/>
          <w:rtl/>
        </w:rPr>
        <w:t>.</w:t>
      </w:r>
    </w:p>
    <w:p w:rsidR="00F05533" w:rsidRPr="005F3692" w:rsidRDefault="00F05533" w:rsidP="00F05533">
      <w:pPr>
        <w:pStyle w:val="Ruller41"/>
      </w:pPr>
    </w:p>
    <w:p w:rsidR="00F05533" w:rsidRDefault="00F05533" w:rsidP="00F05533">
      <w:pPr>
        <w:pStyle w:val="Ruller4"/>
        <w:rPr>
          <w:rtl/>
        </w:rPr>
      </w:pPr>
      <w:r w:rsidRPr="007E38EC">
        <w:rPr>
          <w:rFonts w:ascii="Century" w:hAnsi="Century" w:hint="cs"/>
          <w:sz w:val="22"/>
          <w:rtl/>
        </w:rPr>
        <w:t xml:space="preserve">לאור האמור, </w:t>
      </w:r>
      <w:r>
        <w:rPr>
          <w:rFonts w:ascii="Century" w:hAnsi="Century" w:hint="cs"/>
          <w:sz w:val="22"/>
          <w:rtl/>
        </w:rPr>
        <w:t xml:space="preserve">אין לי אלא להסכים עם </w:t>
      </w:r>
      <w:r>
        <w:rPr>
          <w:rFonts w:hint="cs"/>
          <w:rtl/>
        </w:rPr>
        <w:t xml:space="preserve">בית משפט קמא-חיפה כי הרכישה העצמית שבוצעה כאמור נועדה </w:t>
      </w:r>
      <w:r w:rsidRPr="008B074D">
        <w:rPr>
          <w:rFonts w:ascii="Century" w:hAnsi="Century" w:hint="cs"/>
          <w:sz w:val="22"/>
          <w:rtl/>
        </w:rPr>
        <w:t>לפתור סכסוך שהיה ונותר במישור היחסים התאגידי</w:t>
      </w:r>
      <w:r>
        <w:rPr>
          <w:rFonts w:ascii="Century" w:hAnsi="Century" w:hint="cs"/>
          <w:sz w:val="22"/>
          <w:rtl/>
        </w:rPr>
        <w:t>,</w:t>
      </w:r>
      <w:r w:rsidRPr="008B074D">
        <w:rPr>
          <w:rFonts w:ascii="Century" w:hAnsi="Century" w:hint="cs"/>
          <w:sz w:val="22"/>
          <w:rtl/>
        </w:rPr>
        <w:t xml:space="preserve"> להבדיל מ</w:t>
      </w:r>
      <w:r>
        <w:rPr>
          <w:rFonts w:ascii="Century" w:hAnsi="Century" w:hint="cs"/>
          <w:sz w:val="22"/>
          <w:rtl/>
        </w:rPr>
        <w:t>אי-ההסכמות</w:t>
      </w:r>
      <w:r w:rsidRPr="008B074D">
        <w:rPr>
          <w:rFonts w:ascii="Century" w:hAnsi="Century" w:hint="cs"/>
          <w:sz w:val="22"/>
          <w:rtl/>
        </w:rPr>
        <w:t xml:space="preserve"> </w:t>
      </w:r>
      <w:r>
        <w:rPr>
          <w:rFonts w:ascii="Century" w:hAnsi="Century" w:hint="cs"/>
          <w:sz w:val="22"/>
          <w:rtl/>
        </w:rPr>
        <w:t>ששררו בין</w:t>
      </w:r>
      <w:r w:rsidRPr="008B074D">
        <w:rPr>
          <w:rFonts w:ascii="Century" w:hAnsi="Century" w:hint="cs"/>
          <w:sz w:val="22"/>
          <w:rtl/>
        </w:rPr>
        <w:t xml:space="preserve"> בעלי המניות</w:t>
      </w:r>
      <w:r>
        <w:rPr>
          <w:rFonts w:ascii="Century" w:hAnsi="Century" w:hint="cs"/>
          <w:sz w:val="22"/>
          <w:rtl/>
        </w:rPr>
        <w:t xml:space="preserve"> </w:t>
      </w:r>
      <w:r w:rsidRPr="008B074D">
        <w:rPr>
          <w:rFonts w:ascii="Century" w:hAnsi="Century" w:hint="cs"/>
          <w:sz w:val="22"/>
          <w:rtl/>
        </w:rPr>
        <w:t>בכובעם הפרטי.</w:t>
      </w:r>
      <w:r w:rsidRPr="005F3692">
        <w:rPr>
          <w:rFonts w:hint="cs"/>
          <w:rtl/>
        </w:rPr>
        <w:t xml:space="preserve"> </w:t>
      </w:r>
      <w:r>
        <w:rPr>
          <w:rFonts w:ascii="Century" w:hAnsi="Century" w:hint="cs"/>
          <w:sz w:val="22"/>
          <w:rtl/>
        </w:rPr>
        <w:t xml:space="preserve">מבין שלוש הדוגמאות שבאמצעותן ביקשתי לבאר את הסוגיה הלא פשוטה אשר הונחה על שולחננו, רכישה עצמית זו קרובה יותר </w:t>
      </w:r>
      <w:r w:rsidRPr="008B074D">
        <w:rPr>
          <w:rFonts w:ascii="Century" w:hAnsi="Century" w:cs="Miriam" w:hint="cs"/>
          <w:b/>
          <w:spacing w:val="0"/>
          <w:sz w:val="22"/>
          <w:szCs w:val="24"/>
          <w:rtl/>
        </w:rPr>
        <w:t>לדוגמא ג'</w:t>
      </w:r>
      <w:r>
        <w:rPr>
          <w:rFonts w:ascii="Century" w:hAnsi="Century" w:hint="cs"/>
          <w:sz w:val="22"/>
          <w:rtl/>
        </w:rPr>
        <w:t xml:space="preserve"> מאשר </w:t>
      </w:r>
      <w:r w:rsidRPr="008B074D">
        <w:rPr>
          <w:rFonts w:ascii="Century" w:hAnsi="Century" w:cs="Miriam" w:hint="cs"/>
          <w:b/>
          <w:spacing w:val="0"/>
          <w:sz w:val="22"/>
          <w:szCs w:val="24"/>
          <w:rtl/>
        </w:rPr>
        <w:t>לדוגמאות א' ו-ב'</w:t>
      </w:r>
      <w:r>
        <w:rPr>
          <w:rFonts w:ascii="Century" w:hAnsi="Century" w:hint="cs"/>
          <w:sz w:val="22"/>
          <w:rtl/>
        </w:rPr>
        <w:t>. זאת, מאחר ש</w:t>
      </w:r>
      <w:r>
        <w:rPr>
          <w:rFonts w:hint="cs"/>
          <w:rtl/>
        </w:rPr>
        <w:t xml:space="preserve">לבית חוסן </w:t>
      </w:r>
      <w:r>
        <w:rPr>
          <w:rtl/>
        </w:rPr>
        <w:t>–</w:t>
      </w:r>
      <w:r>
        <w:rPr>
          <w:rFonts w:hint="cs"/>
          <w:rtl/>
        </w:rPr>
        <w:t xml:space="preserve"> כישות עצמאית ונפרדת </w:t>
      </w:r>
      <w:r>
        <w:rPr>
          <w:rtl/>
        </w:rPr>
        <w:t>–</w:t>
      </w:r>
      <w:r>
        <w:rPr>
          <w:rFonts w:hint="cs"/>
          <w:rtl/>
        </w:rPr>
        <w:t xml:space="preserve"> היה אינטרס כלכלי לגיטימי משל עצמה לפתרון הסכסוך באמצעות רכישת מניותיה של ציפורה. קידומו של אינטרס זה </w:t>
      </w:r>
      <w:r>
        <w:rPr>
          <w:rFonts w:ascii="Century" w:hAnsi="Century" w:hint="cs"/>
          <w:sz w:val="22"/>
          <w:rtl/>
        </w:rPr>
        <w:t xml:space="preserve">היה בגדר המטרה הדומיננטית של הרכישה העצמית. </w:t>
      </w:r>
      <w:r>
        <w:rPr>
          <w:rFonts w:hint="cs"/>
          <w:rtl/>
        </w:rPr>
        <w:t xml:space="preserve">אשר על כן, העובדה </w:t>
      </w:r>
      <w:r>
        <w:rPr>
          <w:rFonts w:ascii="Century" w:hAnsi="Century" w:hint="cs"/>
          <w:sz w:val="22"/>
          <w:rtl/>
        </w:rPr>
        <w:t xml:space="preserve">שהרכישה שבוצעה כדי "לקנות את ציפורה החוצה" </w:t>
      </w:r>
      <w:r>
        <w:rPr>
          <w:rFonts w:hint="cs"/>
          <w:rtl/>
        </w:rPr>
        <w:t xml:space="preserve">הטיבה </w:t>
      </w:r>
      <w:r w:rsidRPr="00CE6872">
        <w:rPr>
          <w:rFonts w:ascii="Century" w:hAnsi="Century" w:cs="Miriam" w:hint="cs"/>
          <w:b/>
          <w:spacing w:val="0"/>
          <w:sz w:val="22"/>
          <w:szCs w:val="24"/>
          <w:rtl/>
        </w:rPr>
        <w:t>גם</w:t>
      </w:r>
      <w:r>
        <w:rPr>
          <w:rFonts w:hint="cs"/>
          <w:rtl/>
        </w:rPr>
        <w:t xml:space="preserve"> עם בעלי המניות הנותרים בחברה אינה מעלה ואינה מורידה. </w:t>
      </w:r>
    </w:p>
    <w:p w:rsidR="00F05533" w:rsidRDefault="00F05533" w:rsidP="00F05533">
      <w:pPr>
        <w:pStyle w:val="Ruller41"/>
        <w:rPr>
          <w:rtl/>
        </w:rPr>
      </w:pPr>
    </w:p>
    <w:p w:rsidR="00F05533" w:rsidRDefault="00F05533" w:rsidP="00F05533">
      <w:pPr>
        <w:pStyle w:val="Ruller4"/>
      </w:pPr>
      <w:r>
        <w:rPr>
          <w:rFonts w:hint="cs"/>
          <w:rtl/>
        </w:rPr>
        <w:t xml:space="preserve">לאור האמור, סבורני כי עלינו לדחות את הערעור בעניין </w:t>
      </w:r>
      <w:r w:rsidRPr="00332BD2">
        <w:rPr>
          <w:rFonts w:ascii="Century" w:hAnsi="Century" w:cs="Miriam" w:hint="cs"/>
          <w:b/>
          <w:spacing w:val="0"/>
          <w:sz w:val="22"/>
          <w:szCs w:val="24"/>
          <w:rtl/>
        </w:rPr>
        <w:t xml:space="preserve">בית חוסן </w:t>
      </w:r>
      <w:r>
        <w:rPr>
          <w:rFonts w:hint="cs"/>
          <w:rtl/>
        </w:rPr>
        <w:t xml:space="preserve">ולהותיר את פסק דינו של בית משפט קמא-חיפה על כנו. </w:t>
      </w:r>
    </w:p>
    <w:p w:rsidR="00F05533" w:rsidRDefault="00F05533" w:rsidP="00F05533">
      <w:pPr>
        <w:pStyle w:val="Ruller4"/>
        <w:numPr>
          <w:ilvl w:val="0"/>
          <w:numId w:val="0"/>
        </w:numPr>
      </w:pPr>
    </w:p>
    <w:p w:rsidR="00F05533" w:rsidRDefault="00F05533" w:rsidP="00F05533">
      <w:pPr>
        <w:pStyle w:val="Ruller4"/>
      </w:pPr>
      <w:r>
        <w:rPr>
          <w:rFonts w:hint="cs"/>
          <w:rtl/>
        </w:rPr>
        <w:t xml:space="preserve">בשולי הדברים, מוצא אני לנכון להוסיף ולהעיר כי השלכות הרכישה העצמית, אשר בוצעה בעניין </w:t>
      </w:r>
      <w:r w:rsidRPr="00BA7F73">
        <w:rPr>
          <w:rFonts w:ascii="Century" w:hAnsi="Century" w:cs="Miriam" w:hint="cs"/>
          <w:b/>
          <w:spacing w:val="0"/>
          <w:sz w:val="22"/>
          <w:szCs w:val="24"/>
          <w:rtl/>
        </w:rPr>
        <w:t>בית חוסן</w:t>
      </w:r>
      <w:r>
        <w:rPr>
          <w:rFonts w:hint="cs"/>
          <w:rtl/>
        </w:rPr>
        <w:t>, על מיסי מקרקעין לא הובאו לפנינו ולא נדונו על ידינו. השלכות אלו, ככל שישנן, אינן מהוות אפוא חלק מפסק דיננו.</w:t>
      </w:r>
    </w:p>
    <w:p w:rsidR="00F05533" w:rsidRDefault="00F05533" w:rsidP="00F05533">
      <w:pPr>
        <w:pStyle w:val="Ruller4"/>
        <w:numPr>
          <w:ilvl w:val="0"/>
          <w:numId w:val="0"/>
        </w:numPr>
        <w:rPr>
          <w:rFonts w:ascii="Century" w:hAnsi="Century" w:cs="Miriam"/>
          <w:b/>
          <w:spacing w:val="0"/>
          <w:szCs w:val="24"/>
          <w:rtl/>
        </w:rPr>
      </w:pPr>
    </w:p>
    <w:p w:rsidR="00F05533" w:rsidRPr="00B316BF" w:rsidRDefault="00F05533" w:rsidP="00F05533">
      <w:pPr>
        <w:pStyle w:val="Ruller4"/>
        <w:numPr>
          <w:ilvl w:val="0"/>
          <w:numId w:val="0"/>
        </w:numPr>
        <w:rPr>
          <w:rFonts w:ascii="Century" w:hAnsi="Century" w:cs="Miriam"/>
          <w:b/>
          <w:spacing w:val="0"/>
          <w:szCs w:val="24"/>
          <w:rtl/>
        </w:rPr>
      </w:pPr>
      <w:r w:rsidRPr="00B316BF">
        <w:rPr>
          <w:rFonts w:ascii="Century" w:hAnsi="Century" w:cs="Miriam" w:hint="cs"/>
          <w:b/>
          <w:spacing w:val="0"/>
          <w:szCs w:val="24"/>
          <w:rtl/>
        </w:rPr>
        <w:t>הכרעה בעניין סיידה</w:t>
      </w:r>
    </w:p>
    <w:p w:rsidR="00F05533" w:rsidRDefault="00F05533" w:rsidP="00F05533">
      <w:pPr>
        <w:pStyle w:val="Ruller41"/>
        <w:rPr>
          <w:rtl/>
        </w:rPr>
      </w:pPr>
    </w:p>
    <w:p w:rsidR="00F05533" w:rsidRDefault="00F05533" w:rsidP="00F05533">
      <w:pPr>
        <w:pStyle w:val="Ruller4"/>
        <w:rPr>
          <w:rtl/>
        </w:rPr>
      </w:pPr>
      <w:r>
        <w:rPr>
          <w:rFonts w:hint="cs"/>
          <w:rtl/>
        </w:rPr>
        <w:t xml:space="preserve">הכרעתו של בית משפט קמא-ב"ש באשר למהותה הכלכלית של הרכישה העצמית שבוצעה בעניין </w:t>
      </w:r>
      <w:r w:rsidRPr="00C13414">
        <w:rPr>
          <w:rFonts w:ascii="Century" w:hAnsi="Century" w:cs="Miriam" w:hint="cs"/>
          <w:b/>
          <w:spacing w:val="0"/>
          <w:sz w:val="22"/>
          <w:szCs w:val="24"/>
          <w:rtl/>
        </w:rPr>
        <w:t>סיידה</w:t>
      </w:r>
      <w:r>
        <w:rPr>
          <w:rFonts w:hint="cs"/>
          <w:rtl/>
        </w:rPr>
        <w:t xml:space="preserve">, אף היא מקובלת עלי. </w:t>
      </w:r>
    </w:p>
    <w:p w:rsidR="00F05533" w:rsidRPr="008469B0" w:rsidRDefault="00F05533" w:rsidP="00F05533">
      <w:pPr>
        <w:pStyle w:val="Ruller41"/>
      </w:pPr>
    </w:p>
    <w:p w:rsidR="00F05533" w:rsidRDefault="00F05533" w:rsidP="00F05533">
      <w:pPr>
        <w:pStyle w:val="Ruller4"/>
      </w:pPr>
      <w:r>
        <w:rPr>
          <w:rFonts w:hint="cs"/>
          <w:rtl/>
        </w:rPr>
        <w:t xml:space="preserve">בעניין זה קבע בית המשפט כי מטרתה הדומיננטית של הרכישה העצמית </w:t>
      </w:r>
      <w:proofErr w:type="spellStart"/>
      <w:r>
        <w:rPr>
          <w:rFonts w:hint="cs"/>
          <w:rtl/>
        </w:rPr>
        <w:t>דשם</w:t>
      </w:r>
      <w:proofErr w:type="spellEnd"/>
      <w:r>
        <w:rPr>
          <w:rFonts w:hint="cs"/>
          <w:rtl/>
        </w:rPr>
        <w:t xml:space="preserve"> </w:t>
      </w:r>
      <w:proofErr w:type="spellStart"/>
      <w:r>
        <w:rPr>
          <w:rFonts w:ascii="Century" w:hAnsi="Century" w:hint="cs"/>
          <w:sz w:val="22"/>
          <w:rtl/>
        </w:rPr>
        <w:t>היתה</w:t>
      </w:r>
      <w:proofErr w:type="spellEnd"/>
      <w:r>
        <w:rPr>
          <w:rFonts w:ascii="Century" w:hAnsi="Century" w:hint="cs"/>
          <w:sz w:val="22"/>
          <w:rtl/>
        </w:rPr>
        <w:t xml:space="preserve"> שינוי במבנה </w:t>
      </w:r>
      <w:proofErr w:type="spellStart"/>
      <w:r>
        <w:rPr>
          <w:rFonts w:ascii="Century" w:hAnsi="Century" w:hint="cs"/>
          <w:sz w:val="22"/>
          <w:rtl/>
        </w:rPr>
        <w:t>ההחזקות</w:t>
      </w:r>
      <w:proofErr w:type="spellEnd"/>
      <w:r>
        <w:rPr>
          <w:rFonts w:ascii="Century" w:hAnsi="Century" w:hint="cs"/>
          <w:sz w:val="22"/>
          <w:rtl/>
        </w:rPr>
        <w:t xml:space="preserve"> בחברה </w:t>
      </w:r>
      <w:r>
        <w:rPr>
          <w:rFonts w:ascii="Century" w:hAnsi="Century"/>
          <w:sz w:val="22"/>
          <w:rtl/>
        </w:rPr>
        <w:t>–</w:t>
      </w:r>
      <w:r>
        <w:rPr>
          <w:rFonts w:ascii="Century" w:hAnsi="Century" w:hint="cs"/>
          <w:sz w:val="22"/>
          <w:rtl/>
        </w:rPr>
        <w:t xml:space="preserve"> זאת, מבלי שיתלווה לכך אינטרס של החברה כחברה. מהות כלכלית זו נלמדה מהסכם המכר המשולש אשר נחתם בין הצדדים: מאיר סיידה </w:t>
      </w:r>
      <w:r>
        <w:rPr>
          <w:rFonts w:ascii="Century" w:hAnsi="Century"/>
          <w:sz w:val="22"/>
          <w:rtl/>
        </w:rPr>
        <w:t>–</w:t>
      </w:r>
      <w:r>
        <w:rPr>
          <w:rFonts w:ascii="Century" w:hAnsi="Century" w:hint="cs"/>
          <w:sz w:val="22"/>
          <w:rtl/>
        </w:rPr>
        <w:t xml:space="preserve"> אחיו יוחנן </w:t>
      </w:r>
      <w:r>
        <w:rPr>
          <w:rFonts w:ascii="Century" w:hAnsi="Century"/>
          <w:sz w:val="22"/>
          <w:rtl/>
        </w:rPr>
        <w:t>–</w:t>
      </w:r>
      <w:r>
        <w:rPr>
          <w:rFonts w:ascii="Century" w:hAnsi="Century" w:hint="cs"/>
          <w:sz w:val="22"/>
          <w:rtl/>
        </w:rPr>
        <w:t xml:space="preserve"> והחברה. הסכם זה </w:t>
      </w:r>
      <w:r>
        <w:rPr>
          <w:rFonts w:hint="cs"/>
          <w:rtl/>
        </w:rPr>
        <w:t xml:space="preserve">הוא בבחינת דבר שמעיד על עצמו: ממנו עולה </w:t>
      </w:r>
      <w:r w:rsidRPr="00BA7F73">
        <w:rPr>
          <w:rFonts w:ascii="Century" w:hAnsi="Century" w:hint="cs"/>
          <w:sz w:val="22"/>
          <w:rtl/>
        </w:rPr>
        <w:t xml:space="preserve">כי תכליתה </w:t>
      </w:r>
      <w:r>
        <w:rPr>
          <w:rFonts w:hint="cs"/>
          <w:rtl/>
        </w:rPr>
        <w:t xml:space="preserve">העיקרית, עד-כדי-בלעדית, </w:t>
      </w:r>
      <w:r w:rsidRPr="00BA7F73">
        <w:rPr>
          <w:rFonts w:ascii="Century" w:hAnsi="Century" w:hint="cs"/>
          <w:sz w:val="22"/>
          <w:rtl/>
        </w:rPr>
        <w:t xml:space="preserve">של הרכישה העצמית </w:t>
      </w:r>
      <w:proofErr w:type="spellStart"/>
      <w:r>
        <w:rPr>
          <w:rFonts w:ascii="Century" w:hAnsi="Century" w:hint="cs"/>
          <w:sz w:val="22"/>
          <w:rtl/>
        </w:rPr>
        <w:t>היתה</w:t>
      </w:r>
      <w:proofErr w:type="spellEnd"/>
      <w:r>
        <w:rPr>
          <w:rFonts w:ascii="Century" w:hAnsi="Century" w:hint="cs"/>
          <w:sz w:val="22"/>
          <w:rtl/>
        </w:rPr>
        <w:t xml:space="preserve"> </w:t>
      </w:r>
      <w:r>
        <w:rPr>
          <w:rFonts w:hint="cs"/>
          <w:rtl/>
        </w:rPr>
        <w:t xml:space="preserve">העברת השליטה בחברה לידי מאיר סיידה </w:t>
      </w:r>
      <w:r>
        <w:rPr>
          <w:rtl/>
        </w:rPr>
        <w:t>–</w:t>
      </w:r>
      <w:r>
        <w:rPr>
          <w:rFonts w:hint="cs"/>
          <w:rtl/>
        </w:rPr>
        <w:t xml:space="preserve"> דבר שנעשה תוך שימוש בכספי החברה. כאמור, הסכם זה נוסח כהסכם משולש בין מאיר סיידה, אחיו יוחנן, והחברה </w:t>
      </w:r>
      <w:r>
        <w:rPr>
          <w:rtl/>
        </w:rPr>
        <w:t>–</w:t>
      </w:r>
      <w:r>
        <w:rPr>
          <w:rFonts w:hint="cs"/>
          <w:rtl/>
        </w:rPr>
        <w:t xml:space="preserve"> זאת, חרף החלטת האחים שתהא זו החברה לבדה אשר תרכוש את מניותיו של יוחנן. הסכם זה מכיל בתוכו, בין היתר, את הצהרתה של רעייתו של יוחנן סיידה בדבר ויתור על מלוא זכויותיה במניות בעלה, לצד האישור בדבר מודעותה להסתמכותו של מאיר סיידה על הצהרתה האמורה (ראו: עמ' 40 למוצגי המערער). אלה הם סממנים מובהקים לכך שמבחינת מהותה הכלכלית של עסקת הרכישה העצמית, הרוכש </w:t>
      </w:r>
      <w:proofErr w:type="spellStart"/>
      <w:r>
        <w:rPr>
          <w:rFonts w:hint="cs"/>
          <w:rtl/>
        </w:rPr>
        <w:t>האמיתי</w:t>
      </w:r>
      <w:proofErr w:type="spellEnd"/>
      <w:r>
        <w:rPr>
          <w:rFonts w:hint="cs"/>
          <w:rtl/>
        </w:rPr>
        <w:t xml:space="preserve"> של מניות יוחנן היה מאיר סיידה, ולא החברה. </w:t>
      </w:r>
    </w:p>
    <w:p w:rsidR="00F05533" w:rsidRDefault="00F05533" w:rsidP="00F05533">
      <w:pPr>
        <w:pStyle w:val="Ruller4"/>
        <w:numPr>
          <w:ilvl w:val="0"/>
          <w:numId w:val="0"/>
        </w:numPr>
        <w:rPr>
          <w:rtl/>
        </w:rPr>
      </w:pPr>
    </w:p>
    <w:p w:rsidR="00F05533" w:rsidRPr="00B705BC" w:rsidRDefault="00F05533" w:rsidP="00F05533">
      <w:pPr>
        <w:pStyle w:val="Ruller4"/>
      </w:pPr>
      <w:r>
        <w:rPr>
          <w:rFonts w:hint="cs"/>
          <w:rtl/>
        </w:rPr>
        <w:t xml:space="preserve">שימוש זה בכספי החברה כמוהו כמשיכת כספי החברה על ידי מאיר סיידה למטרותיו שלו. מכאן עולה המסקנה הברורה כי מאיר סיידה רכש את מניותיו של אחיו באמצעות כספי החברה </w:t>
      </w:r>
      <w:r>
        <w:rPr>
          <w:rtl/>
        </w:rPr>
        <w:t>–</w:t>
      </w:r>
      <w:r>
        <w:rPr>
          <w:rFonts w:hint="cs"/>
          <w:rtl/>
        </w:rPr>
        <w:t xml:space="preserve"> </w:t>
      </w:r>
      <w:r w:rsidRPr="00B705BC">
        <w:rPr>
          <w:rFonts w:hint="cs"/>
          <w:rtl/>
        </w:rPr>
        <w:t xml:space="preserve">במתווה שהודגם לעיל באמצעות </w:t>
      </w:r>
      <w:r w:rsidRPr="00B705BC">
        <w:rPr>
          <w:rFonts w:ascii="Century" w:hAnsi="Century" w:cs="Miriam" w:hint="cs"/>
          <w:b/>
          <w:spacing w:val="0"/>
          <w:sz w:val="22"/>
          <w:szCs w:val="24"/>
          <w:rtl/>
        </w:rPr>
        <w:t>דוגמא ב'</w:t>
      </w:r>
      <w:r w:rsidRPr="00B705BC">
        <w:rPr>
          <w:rFonts w:hint="cs"/>
          <w:rtl/>
        </w:rPr>
        <w:t xml:space="preserve"> או, למצער, על ידי </w:t>
      </w:r>
      <w:r w:rsidRPr="00B705BC">
        <w:rPr>
          <w:rFonts w:ascii="Century" w:hAnsi="Century" w:cs="Miriam" w:hint="cs"/>
          <w:b/>
          <w:spacing w:val="0"/>
          <w:sz w:val="22"/>
          <w:szCs w:val="24"/>
          <w:rtl/>
        </w:rPr>
        <w:t>דוגמא א'</w:t>
      </w:r>
      <w:r w:rsidRPr="00B705BC">
        <w:rPr>
          <w:rFonts w:hint="cs"/>
          <w:rtl/>
        </w:rPr>
        <w:t>.</w:t>
      </w:r>
    </w:p>
    <w:p w:rsidR="00F05533" w:rsidRDefault="00F05533" w:rsidP="00F05533">
      <w:pPr>
        <w:pStyle w:val="Ruller4"/>
        <w:numPr>
          <w:ilvl w:val="0"/>
          <w:numId w:val="0"/>
        </w:numPr>
      </w:pPr>
    </w:p>
    <w:p w:rsidR="00F05533" w:rsidRDefault="00F05533" w:rsidP="00F05533">
      <w:pPr>
        <w:pStyle w:val="Ruller4"/>
      </w:pPr>
      <w:r>
        <w:rPr>
          <w:rFonts w:hint="cs"/>
          <w:rtl/>
        </w:rPr>
        <w:t>מסקנה זו נתמכת על ידי ראיות נוספות, כדלקמן:</w:t>
      </w:r>
    </w:p>
    <w:p w:rsidR="00F05533" w:rsidRDefault="00F05533" w:rsidP="00F05533">
      <w:pPr>
        <w:pStyle w:val="Ruller4"/>
        <w:numPr>
          <w:ilvl w:val="0"/>
          <w:numId w:val="0"/>
        </w:numPr>
      </w:pPr>
      <w:r>
        <w:rPr>
          <w:rFonts w:hint="cs"/>
          <w:rtl/>
        </w:rPr>
        <w:t xml:space="preserve"> </w:t>
      </w:r>
    </w:p>
    <w:p w:rsidR="00F05533" w:rsidRDefault="00F05533" w:rsidP="00F05533">
      <w:pPr>
        <w:pStyle w:val="Ruller4"/>
        <w:numPr>
          <w:ilvl w:val="0"/>
          <w:numId w:val="23"/>
        </w:numPr>
      </w:pPr>
      <w:r w:rsidRPr="004E3A9B">
        <w:rPr>
          <w:rFonts w:ascii="Century" w:hAnsi="Century" w:cs="Miriam" w:hint="cs"/>
          <w:b/>
          <w:spacing w:val="0"/>
          <w:sz w:val="22"/>
          <w:szCs w:val="24"/>
          <w:rtl/>
        </w:rPr>
        <w:t>עדותו של מאיר סיידה לפני בית משפט קמא-ב"ש.</w:t>
      </w:r>
      <w:r>
        <w:rPr>
          <w:rFonts w:hint="cs"/>
          <w:rtl/>
        </w:rPr>
        <w:t xml:space="preserve"> סיידה העיד כי הבחירה במתווה הרכישה העצמית נבעה מכך שלא היו לו כספים אשר נדרשו לרכישת מניותיו של אחיו. סיידה בחר שלא להיעזר במימון חיצוני לצורך רכישת המניות. חלף זאת, הוא ביצע את עסקת הרכישה בדרך המשתלמת ביותר מבחינתו. מהלך זה העשיר את מאיר סיידה בשני מישורים. </w:t>
      </w:r>
      <w:r w:rsidRPr="004E3A9B">
        <w:rPr>
          <w:rFonts w:ascii="Century" w:hAnsi="Century" w:cs="Miriam" w:hint="cs"/>
          <w:b/>
          <w:spacing w:val="0"/>
          <w:sz w:val="22"/>
          <w:szCs w:val="24"/>
          <w:rtl/>
        </w:rPr>
        <w:t>הראשון</w:t>
      </w:r>
      <w:r>
        <w:rPr>
          <w:rFonts w:hint="cs"/>
          <w:rtl/>
        </w:rPr>
        <w:t xml:space="preserve"> </w:t>
      </w:r>
      <w:proofErr w:type="spellStart"/>
      <w:r>
        <w:rPr>
          <w:rFonts w:hint="cs"/>
          <w:rtl/>
        </w:rPr>
        <w:t>מביניהם</w:t>
      </w:r>
      <w:proofErr w:type="spellEnd"/>
      <w:r>
        <w:rPr>
          <w:rFonts w:hint="cs"/>
          <w:rtl/>
        </w:rPr>
        <w:t xml:space="preserve"> הוא החיסכון בעלויות הריבית בגין ההלוואה שסיידה היה נדרש לקחת אילו היה בוחר לממן בעצמו את רכישת המניות; ובתוך כך, עצם הצורך בהחזרת כספי ההלוואה למלווה. בעלויות אלו נשאה במקומו חברת השתיל, אשר נדרשה ליטול הלוואה לצורך רכישת המניות. </w:t>
      </w:r>
      <w:r>
        <w:rPr>
          <w:rFonts w:ascii="Century" w:hAnsi="Century" w:cs="Miriam" w:hint="cs"/>
          <w:b/>
          <w:spacing w:val="0"/>
          <w:sz w:val="22"/>
          <w:szCs w:val="24"/>
          <w:rtl/>
        </w:rPr>
        <w:t xml:space="preserve">המישור </w:t>
      </w:r>
      <w:r w:rsidRPr="00AA05C3">
        <w:rPr>
          <w:rFonts w:ascii="Century" w:hAnsi="Century" w:cs="Miriam" w:hint="cs"/>
          <w:b/>
          <w:spacing w:val="0"/>
          <w:sz w:val="22"/>
          <w:szCs w:val="24"/>
          <w:rtl/>
        </w:rPr>
        <w:t>השני</w:t>
      </w:r>
      <w:r>
        <w:rPr>
          <w:rFonts w:hint="cs"/>
          <w:rtl/>
        </w:rPr>
        <w:t xml:space="preserve"> הוא ההטבה בדמות החיסכון במס שמאיר סיידה היה נדרש לשלם </w:t>
      </w:r>
      <w:r>
        <w:rPr>
          <w:rFonts w:hint="cs"/>
          <w:rtl/>
        </w:rPr>
        <w:lastRenderedPageBreak/>
        <w:t xml:space="preserve">אילו היה בוחר לממן את הרכישה באמצעות דיבידנד שהיה נמשך על ידו מהחברה. </w:t>
      </w:r>
    </w:p>
    <w:p w:rsidR="00F05533" w:rsidRDefault="00F05533" w:rsidP="00F05533">
      <w:pPr>
        <w:pStyle w:val="Ruller4"/>
        <w:numPr>
          <w:ilvl w:val="0"/>
          <w:numId w:val="0"/>
        </w:numPr>
        <w:ind w:left="1523"/>
      </w:pPr>
    </w:p>
    <w:p w:rsidR="00F05533" w:rsidRPr="001E3CEE" w:rsidRDefault="00F05533" w:rsidP="00F05533">
      <w:pPr>
        <w:pStyle w:val="Ruller4"/>
        <w:numPr>
          <w:ilvl w:val="0"/>
          <w:numId w:val="23"/>
        </w:numPr>
      </w:pPr>
      <w:r w:rsidRPr="0047252A">
        <w:rPr>
          <w:rFonts w:ascii="Century" w:hAnsi="Century" w:cs="Miriam" w:hint="cs"/>
          <w:b/>
          <w:spacing w:val="0"/>
          <w:sz w:val="22"/>
          <w:szCs w:val="24"/>
          <w:rtl/>
        </w:rPr>
        <w:t>התמורה ששולמה ליוחנן סיידה בעד מניותיו.</w:t>
      </w:r>
      <w:r w:rsidRPr="00AA05C3">
        <w:rPr>
          <w:rFonts w:ascii="Arial TUR" w:hAnsi="Arial TUR" w:hint="cs"/>
          <w:sz w:val="22"/>
          <w:rtl/>
        </w:rPr>
        <w:t xml:space="preserve"> </w:t>
      </w:r>
      <w:r>
        <w:rPr>
          <w:rFonts w:ascii="Arial TUR" w:hAnsi="Arial TUR" w:hint="cs"/>
          <w:sz w:val="22"/>
          <w:rtl/>
        </w:rPr>
        <w:t xml:space="preserve">קביעתה של </w:t>
      </w:r>
      <w:r w:rsidRPr="00AA05C3">
        <w:rPr>
          <w:rFonts w:ascii="Arial TUR" w:hAnsi="Arial TUR" w:hint="cs"/>
          <w:sz w:val="22"/>
          <w:rtl/>
        </w:rPr>
        <w:t xml:space="preserve">תמורה כאמור </w:t>
      </w:r>
      <w:r>
        <w:rPr>
          <w:rFonts w:ascii="Arial TUR" w:hAnsi="Arial TUR" w:hint="cs"/>
          <w:sz w:val="22"/>
          <w:rtl/>
        </w:rPr>
        <w:t xml:space="preserve">התבססה </w:t>
      </w:r>
      <w:r w:rsidRPr="00AA05C3">
        <w:rPr>
          <w:rFonts w:ascii="Arial TUR" w:hAnsi="Arial TUR" w:hint="cs"/>
          <w:sz w:val="22"/>
          <w:rtl/>
        </w:rPr>
        <w:t xml:space="preserve">על הערכת שווי </w:t>
      </w:r>
      <w:r>
        <w:rPr>
          <w:rFonts w:ascii="Arial TUR" w:hAnsi="Arial TUR" w:hint="cs"/>
          <w:sz w:val="22"/>
          <w:rtl/>
        </w:rPr>
        <w:t xml:space="preserve">החברה, </w:t>
      </w:r>
      <w:r w:rsidRPr="00AA05C3">
        <w:rPr>
          <w:rFonts w:ascii="Arial TUR" w:hAnsi="Arial TUR" w:hint="cs"/>
          <w:sz w:val="22"/>
          <w:rtl/>
        </w:rPr>
        <w:t>ש</w:t>
      </w:r>
      <w:r>
        <w:rPr>
          <w:rFonts w:ascii="Arial TUR" w:hAnsi="Arial TUR" w:hint="cs"/>
          <w:sz w:val="22"/>
          <w:rtl/>
        </w:rPr>
        <w:t>נעשתה</w:t>
      </w:r>
      <w:r w:rsidRPr="00AA05C3">
        <w:rPr>
          <w:rFonts w:ascii="Arial TUR" w:hAnsi="Arial TUR" w:hint="cs"/>
          <w:sz w:val="22"/>
          <w:rtl/>
        </w:rPr>
        <w:t xml:space="preserve"> כאשר </w:t>
      </w:r>
      <w:r>
        <w:rPr>
          <w:rFonts w:ascii="Arial TUR" w:hAnsi="Arial TUR" w:hint="cs"/>
          <w:sz w:val="22"/>
          <w:rtl/>
        </w:rPr>
        <w:t xml:space="preserve">שני האחים </w:t>
      </w:r>
      <w:r w:rsidRPr="00AA05C3">
        <w:rPr>
          <w:rFonts w:ascii="Arial TUR" w:hAnsi="Arial TUR" w:hint="cs"/>
          <w:sz w:val="22"/>
          <w:rtl/>
        </w:rPr>
        <w:t xml:space="preserve">שקלו את היפרדותם בדרך של </w:t>
      </w:r>
      <w:r>
        <w:rPr>
          <w:rFonts w:ascii="Arial TUR" w:hAnsi="Arial TUR" w:hint="cs"/>
          <w:sz w:val="22"/>
          <w:rtl/>
        </w:rPr>
        <w:t xml:space="preserve">התמחרות בינם לבין עצמם מבלי להשתמש בכספי החברה. </w:t>
      </w:r>
    </w:p>
    <w:p w:rsidR="00F05533" w:rsidRPr="001E3CEE" w:rsidRDefault="00F05533" w:rsidP="00F05533">
      <w:pPr>
        <w:pStyle w:val="Ruller4"/>
        <w:numPr>
          <w:ilvl w:val="0"/>
          <w:numId w:val="0"/>
        </w:numPr>
        <w:ind w:left="1523"/>
      </w:pPr>
    </w:p>
    <w:p w:rsidR="00F05533" w:rsidRPr="001E3CEE" w:rsidRDefault="00F05533" w:rsidP="00F05533">
      <w:pPr>
        <w:pStyle w:val="Ruller4"/>
        <w:numPr>
          <w:ilvl w:val="0"/>
          <w:numId w:val="23"/>
        </w:numPr>
        <w:rPr>
          <w:rFonts w:ascii="Century" w:hAnsi="Century" w:cs="Miriam"/>
          <w:b/>
          <w:spacing w:val="0"/>
          <w:sz w:val="22"/>
          <w:szCs w:val="24"/>
          <w:rtl/>
        </w:rPr>
      </w:pPr>
      <w:r w:rsidRPr="00BD21E7">
        <w:rPr>
          <w:rFonts w:ascii="Century" w:hAnsi="Century" w:cs="Miriam" w:hint="cs"/>
          <w:b/>
          <w:spacing w:val="0"/>
          <w:sz w:val="22"/>
          <w:szCs w:val="24"/>
          <w:rtl/>
        </w:rPr>
        <w:t>העובדה כי ההחלטה בדבר ביצוע הרכישה העצמית התקבלה על ידי שני האחים בצוותא-</w:t>
      </w:r>
      <w:proofErr w:type="spellStart"/>
      <w:r w:rsidRPr="00BD21E7">
        <w:rPr>
          <w:rFonts w:ascii="Century" w:hAnsi="Century" w:cs="Miriam" w:hint="cs"/>
          <w:b/>
          <w:spacing w:val="0"/>
          <w:sz w:val="22"/>
          <w:szCs w:val="24"/>
          <w:rtl/>
        </w:rPr>
        <w:t>חדא</w:t>
      </w:r>
      <w:proofErr w:type="spellEnd"/>
      <w:r w:rsidRPr="001E3CEE">
        <w:rPr>
          <w:rFonts w:ascii="Century" w:hAnsi="Century" w:cs="Miriam" w:hint="cs"/>
          <w:b/>
          <w:spacing w:val="0"/>
          <w:sz w:val="22"/>
          <w:szCs w:val="24"/>
          <w:rtl/>
        </w:rPr>
        <w:t xml:space="preserve">. </w:t>
      </w:r>
      <w:r>
        <w:rPr>
          <w:rFonts w:hint="cs"/>
          <w:rtl/>
        </w:rPr>
        <w:t xml:space="preserve">כך עולה מהעדויות שנשמעו בפני בית משפט קמא ומהמוצהר בהסכם הרכישה גופו: "מאיר [סיידה </w:t>
      </w:r>
      <w:r>
        <w:rPr>
          <w:rtl/>
        </w:rPr>
        <w:t>–</w:t>
      </w:r>
      <w:r>
        <w:rPr>
          <w:rFonts w:hint="cs"/>
          <w:rtl/>
        </w:rPr>
        <w:t xml:space="preserve"> א.ש.] ויוחנן [האח </w:t>
      </w:r>
      <w:r>
        <w:rPr>
          <w:rtl/>
        </w:rPr>
        <w:t>–</w:t>
      </w:r>
      <w:r>
        <w:rPr>
          <w:rFonts w:hint="cs"/>
          <w:rtl/>
        </w:rPr>
        <w:t xml:space="preserve"> א.ש.] הסכימו כי החברה תרכוש את המניות בתמורה הנקובה בהסכם". כל זאת, מבלי לציין את תכליות הרכישה (ראו: עמ' 32 למוצגי המערער). </w:t>
      </w:r>
    </w:p>
    <w:p w:rsidR="00F05533" w:rsidRPr="006D70A3" w:rsidRDefault="00F05533" w:rsidP="00F05533">
      <w:pPr>
        <w:pStyle w:val="Ruller41"/>
        <w:rPr>
          <w:rtl/>
        </w:rPr>
      </w:pPr>
    </w:p>
    <w:p w:rsidR="00F05533" w:rsidRDefault="00F05533" w:rsidP="00F05533">
      <w:pPr>
        <w:pStyle w:val="Ruller4"/>
        <w:rPr>
          <w:rtl/>
        </w:rPr>
      </w:pPr>
      <w:r>
        <w:rPr>
          <w:rFonts w:hint="cs"/>
          <w:rtl/>
        </w:rPr>
        <w:t>אשר על כן, הנני מצטרף לקביעותיו של בית משפט קמא-ב"ש באשר לממצאים כדלקמן:</w:t>
      </w:r>
    </w:p>
    <w:p w:rsidR="00F05533" w:rsidRDefault="00F05533" w:rsidP="00F05533">
      <w:pPr>
        <w:pStyle w:val="Ruller41"/>
        <w:rPr>
          <w:rtl/>
        </w:rPr>
      </w:pPr>
    </w:p>
    <w:p w:rsidR="00F05533" w:rsidRDefault="00F05533" w:rsidP="00F05533">
      <w:pPr>
        <w:pStyle w:val="Ruller5"/>
        <w:rPr>
          <w:rtl/>
        </w:rPr>
      </w:pPr>
      <w:r>
        <w:rPr>
          <w:rFonts w:hint="cs"/>
          <w:rtl/>
        </w:rPr>
        <w:t>"</w:t>
      </w:r>
      <w:r>
        <w:rPr>
          <w:rtl/>
        </w:rPr>
        <w:t>העודפים שימשו למימון רכישת הזכויות בחברה, חלף מימון עצמי של הרכישה על ידי המערער, באמצעות הון עצמי או באמצעות מימון חיצוני כגון הלוואה בנקאית אישית. אילו היה מימון העסקה נעשה בדרך אחרת, ולא באמצעות רכישה עצמית של המניות, ואילו תמורת המניות הייתה משולמת מכספו הפרטי של המערער, או מהלוואה שנטל במישרין, היה האח משלם מס על רווח הון במכירת המניות, כפי ששילם בפועל, ואולם העודפים היו נותרים בחברה, ובעתיד, כאשר היו מחולקים למערער כדיבידנד, היה המערער משלם בגינם מס הכנסה להשלמת שיעור המס השולי. ואולם שעה שנעשה כאמור שימוש בעודפים למימון רכישת המניות, ולאחר הרכישה העצמית לא קיימים עוד עודפים בידי החברה, לא ניתן יהיה לחלקם בעתיד כדיבידנד ולחייבם במס במועד עתידי כלשהו. לא מדובר אפוא בהקדמת עיתוי אירוע המס, אלא בעקיפת אירוע המס החל בחלוקת הדיבידנד. הואיל והעודפים חולקו במסגרת הרכישה העצמית, לא ניתן יהיה לחלקם בעתיד כדיבידנד וכפועל יוצא לא יחויבו עודפים אלו במס לעולם</w:t>
      </w:r>
      <w:r>
        <w:rPr>
          <w:rFonts w:hint="cs"/>
          <w:rtl/>
        </w:rPr>
        <w:t>" (ראו: פסק הדין קמא-ב"ש, פסקה 80).</w:t>
      </w:r>
    </w:p>
    <w:p w:rsidR="00F05533" w:rsidRDefault="00F05533" w:rsidP="00F05533">
      <w:pPr>
        <w:pStyle w:val="Ruller5"/>
        <w:rPr>
          <w:rtl/>
        </w:rPr>
      </w:pPr>
    </w:p>
    <w:p w:rsidR="00F05533" w:rsidRDefault="00F05533" w:rsidP="00F05533">
      <w:pPr>
        <w:pStyle w:val="Ruller41"/>
        <w:rPr>
          <w:rtl/>
        </w:rPr>
      </w:pPr>
    </w:p>
    <w:p w:rsidR="00F05533" w:rsidRDefault="00F05533" w:rsidP="00F05533">
      <w:pPr>
        <w:pStyle w:val="Ruller4"/>
      </w:pPr>
      <w:r>
        <w:rPr>
          <w:rFonts w:hint="cs"/>
          <w:rtl/>
        </w:rPr>
        <w:lastRenderedPageBreak/>
        <w:t xml:space="preserve">בשולי הדברים, אציין כי איני קובע דבר בנוגע לאומדן התקבול שהתקבל על ידי מאיר סיידה, אשר נעשה על ידי בית המשפט. אומדן זה נסמך על טענותיהם החלופיות של סיידה ושל פקיד השומה (ראו: שם, פסקאות 15, 17, 94 ו-97), וביחס אליו לא הוגש ערעור. אומדן זה יישאר אפוא על כנו מטעמים פרוצדורליים, למרות שלטעמי-שלי עסקת הרכישה העצמית אשר נעשתה, כפי שנעשתה, בעניין </w:t>
      </w:r>
      <w:r w:rsidRPr="006471B4">
        <w:rPr>
          <w:rFonts w:ascii="Century" w:hAnsi="Century" w:cs="Miriam" w:hint="cs"/>
          <w:b/>
          <w:spacing w:val="0"/>
          <w:sz w:val="22"/>
          <w:szCs w:val="24"/>
          <w:rtl/>
        </w:rPr>
        <w:t>סיידה</w:t>
      </w:r>
      <w:r>
        <w:rPr>
          <w:rFonts w:hint="cs"/>
          <w:rtl/>
        </w:rPr>
        <w:t xml:space="preserve"> קרובה יותר לסוג העסקאות </w:t>
      </w:r>
      <w:r w:rsidRPr="00BD21E7">
        <w:rPr>
          <w:rFonts w:hint="cs"/>
          <w:rtl/>
        </w:rPr>
        <w:t xml:space="preserve">המיוצג לעיל על ידי </w:t>
      </w:r>
      <w:r w:rsidRPr="00BD21E7">
        <w:rPr>
          <w:rFonts w:ascii="Century" w:hAnsi="Century" w:cs="Miriam" w:hint="cs"/>
          <w:b/>
          <w:spacing w:val="0"/>
          <w:sz w:val="22"/>
          <w:szCs w:val="24"/>
          <w:rtl/>
        </w:rPr>
        <w:t>דוגמא ב'</w:t>
      </w:r>
      <w:r>
        <w:rPr>
          <w:rFonts w:hint="cs"/>
          <w:rtl/>
        </w:rPr>
        <w:t xml:space="preserve">. בדוגמא זו, כזכור, מדובר בדיבידנד שהתקבל </w:t>
      </w:r>
      <w:r w:rsidRPr="00C81DDC">
        <w:rPr>
          <w:rFonts w:ascii="Century" w:hAnsi="Century" w:cs="Miriam" w:hint="cs"/>
          <w:b/>
          <w:spacing w:val="0"/>
          <w:sz w:val="22"/>
          <w:szCs w:val="24"/>
          <w:rtl/>
        </w:rPr>
        <w:t>במלואו</w:t>
      </w:r>
      <w:r>
        <w:rPr>
          <w:rFonts w:hint="cs"/>
          <w:rtl/>
        </w:rPr>
        <w:t xml:space="preserve"> על ידי בעלת המניות שנשארה בחברה </w:t>
      </w:r>
      <w:r>
        <w:rPr>
          <w:rtl/>
        </w:rPr>
        <w:t>–</w:t>
      </w:r>
      <w:r>
        <w:rPr>
          <w:rFonts w:hint="cs"/>
          <w:rtl/>
        </w:rPr>
        <w:t xml:space="preserve"> זאת, במובחן </w:t>
      </w:r>
      <w:r w:rsidRPr="006471B4">
        <w:rPr>
          <w:rFonts w:ascii="Century" w:hAnsi="Century" w:cs="Miriam" w:hint="cs"/>
          <w:b/>
          <w:spacing w:val="0"/>
          <w:sz w:val="22"/>
          <w:szCs w:val="24"/>
          <w:rtl/>
        </w:rPr>
        <w:t>מדוגמא א'</w:t>
      </w:r>
      <w:r w:rsidRPr="006471B4">
        <w:rPr>
          <w:rFonts w:hint="cs"/>
          <w:rtl/>
        </w:rPr>
        <w:t xml:space="preserve"> </w:t>
      </w:r>
      <w:r>
        <w:rPr>
          <w:rFonts w:hint="cs"/>
          <w:rtl/>
        </w:rPr>
        <w:t xml:space="preserve">בה חולק הדיבידנד לכלל בעלי המניות עובר לרכישה העצמית הדיספרופורציונית. </w:t>
      </w:r>
    </w:p>
    <w:p w:rsidR="00F05533" w:rsidRPr="006471B4" w:rsidRDefault="00F05533" w:rsidP="00F05533">
      <w:pPr>
        <w:pStyle w:val="Ruller4"/>
        <w:numPr>
          <w:ilvl w:val="0"/>
          <w:numId w:val="0"/>
        </w:numPr>
        <w:rPr>
          <w:rtl/>
        </w:rPr>
      </w:pPr>
    </w:p>
    <w:p w:rsidR="00F05533" w:rsidRPr="00B43757" w:rsidRDefault="00F05533" w:rsidP="00F05533">
      <w:pPr>
        <w:pStyle w:val="Ruller41"/>
        <w:rPr>
          <w:rFonts w:ascii="Century" w:hAnsi="Century" w:cs="Miriam"/>
          <w:b/>
          <w:spacing w:val="0"/>
          <w:szCs w:val="24"/>
          <w:rtl/>
        </w:rPr>
      </w:pPr>
      <w:r w:rsidRPr="00B43757">
        <w:rPr>
          <w:rFonts w:ascii="Century" w:hAnsi="Century" w:cs="Miriam" w:hint="cs"/>
          <w:b/>
          <w:spacing w:val="0"/>
          <w:szCs w:val="24"/>
          <w:rtl/>
        </w:rPr>
        <w:t>סוף דבר</w:t>
      </w:r>
    </w:p>
    <w:p w:rsidR="00F05533" w:rsidRDefault="00F05533" w:rsidP="00F05533">
      <w:pPr>
        <w:pStyle w:val="Ruller41"/>
        <w:rPr>
          <w:rtl/>
        </w:rPr>
      </w:pPr>
    </w:p>
    <w:p w:rsidR="00F05533" w:rsidRDefault="00F05533" w:rsidP="00F05533">
      <w:pPr>
        <w:pStyle w:val="Ruller4"/>
      </w:pPr>
      <w:r>
        <w:rPr>
          <w:rFonts w:hint="cs"/>
          <w:rtl/>
        </w:rPr>
        <w:t xml:space="preserve">אם דעתי תישמע אפוא, שני הערעורים אשר מונחים לפנינו יידחו ופסקי הדין קמא יוותרו על כנם. </w:t>
      </w:r>
    </w:p>
    <w:p w:rsidR="00F05533" w:rsidRDefault="00F05533" w:rsidP="00F05533">
      <w:pPr>
        <w:pStyle w:val="Ruller4"/>
        <w:numPr>
          <w:ilvl w:val="0"/>
          <w:numId w:val="0"/>
        </w:numPr>
      </w:pPr>
    </w:p>
    <w:p w:rsidR="00F05533" w:rsidRDefault="00F05533" w:rsidP="00F05533">
      <w:pPr>
        <w:pStyle w:val="Ruller4"/>
        <w:rPr>
          <w:rtl/>
        </w:rPr>
      </w:pPr>
      <w:r>
        <w:rPr>
          <w:rFonts w:hint="cs"/>
          <w:rtl/>
        </w:rPr>
        <w:t>תוצאה זו מחייבת כי כל אחד מן המערערים יישא בהוצאות המשיבים בערעורו-שלו. אשר על כן, המערער בע"א 9308/20 יישא בהוצאות המשיבים בסך כולל של 50,000 ש"ח; והמערער בע"א 8116/21 יישא בהוצאות המשיב בסך כולל של 50,000 ש"ח.</w:t>
      </w:r>
    </w:p>
    <w:p w:rsidR="00A9741D" w:rsidRDefault="00A9741D" w:rsidP="00A9741D">
      <w:pPr>
        <w:pStyle w:val="Ruller41"/>
        <w:rPr>
          <w:rtl/>
        </w:rPr>
      </w:pPr>
    </w:p>
    <w:p w:rsidR="00A9741D" w:rsidRPr="007B0518" w:rsidRDefault="00A9741D" w:rsidP="00A9741D">
      <w:pPr>
        <w:pStyle w:val="Ruller41"/>
        <w:rPr>
          <w:rFonts w:ascii="Century" w:hAnsi="Century" w:cs="Miriam"/>
          <w:b/>
          <w:spacing w:val="0"/>
          <w:szCs w:val="24"/>
          <w:rtl/>
        </w:rPr>
      </w:pPr>
      <w:r w:rsidRPr="007B0518">
        <w:rPr>
          <w:rFonts w:ascii="Century" w:hAnsi="Century" w:cs="Miriam" w:hint="cs"/>
          <w:b/>
          <w:spacing w:val="0"/>
          <w:szCs w:val="24"/>
          <w:rtl/>
        </w:rPr>
        <w:t>התייחסות לחוות דעתה של השופטת ר' רונן</w:t>
      </w:r>
    </w:p>
    <w:p w:rsidR="003715B8" w:rsidRDefault="003715B8" w:rsidP="00673AFD">
      <w:pPr>
        <w:pStyle w:val="Ruller41"/>
        <w:rPr>
          <w:rFonts w:ascii="Garamond" w:hAnsi="Garamond"/>
          <w:sz w:val="24"/>
          <w:rtl/>
        </w:rPr>
      </w:pPr>
    </w:p>
    <w:p w:rsidR="006B6970" w:rsidRDefault="006B6970" w:rsidP="006B6970">
      <w:pPr>
        <w:pStyle w:val="Ruller4"/>
      </w:pPr>
      <w:r>
        <w:rPr>
          <w:rFonts w:hint="cs"/>
          <w:rtl/>
        </w:rPr>
        <w:t xml:space="preserve">לאחר כתיבת שורות אלה, הגיעה אליי חוות דעתה של חברתי השופטת </w:t>
      </w:r>
      <w:r w:rsidRPr="007B0518">
        <w:rPr>
          <w:rFonts w:ascii="Century" w:hAnsi="Century" w:cs="Miriam" w:hint="cs"/>
          <w:b/>
          <w:spacing w:val="0"/>
          <w:sz w:val="22"/>
          <w:szCs w:val="24"/>
          <w:rtl/>
        </w:rPr>
        <w:t>ר' רונן</w:t>
      </w:r>
      <w:r>
        <w:rPr>
          <w:rFonts w:hint="cs"/>
          <w:rtl/>
        </w:rPr>
        <w:t xml:space="preserve">. שקלתי את דבריה בכובד ראש ונשארתי איתן בדעתי. </w:t>
      </w:r>
    </w:p>
    <w:p w:rsidR="006B6970" w:rsidRDefault="006B6970" w:rsidP="006B6970">
      <w:pPr>
        <w:pStyle w:val="Ruller4"/>
        <w:numPr>
          <w:ilvl w:val="0"/>
          <w:numId w:val="0"/>
        </w:numPr>
      </w:pPr>
    </w:p>
    <w:p w:rsidR="006B6970" w:rsidRDefault="006B6970" w:rsidP="006B6970">
      <w:pPr>
        <w:pStyle w:val="Ruller4"/>
        <w:rPr>
          <w:rtl/>
        </w:rPr>
      </w:pPr>
      <w:r>
        <w:rPr>
          <w:rFonts w:hint="cs"/>
          <w:rtl/>
        </w:rPr>
        <w:t xml:space="preserve">חברתי מבקשת לקבוע כלל אפריורי בגדרם של דיני המס, אשר יפעל כאקסיומה חובקת-כל שאינה ניתנת לסתירה. כלל גורף זה קובע כי </w:t>
      </w:r>
      <w:r w:rsidRPr="00AB450C">
        <w:rPr>
          <w:rFonts w:ascii="Century" w:hAnsi="Century" w:cs="Miriam" w:hint="cs"/>
          <w:b/>
          <w:spacing w:val="0"/>
          <w:sz w:val="22"/>
          <w:szCs w:val="24"/>
          <w:rtl/>
        </w:rPr>
        <w:t>כל</w:t>
      </w:r>
      <w:r>
        <w:rPr>
          <w:rFonts w:hint="cs"/>
          <w:rtl/>
        </w:rPr>
        <w:t xml:space="preserve"> רכישה עצמית דיספרופורציונית שמתבצעת במסגרתה של חברת מעטים </w:t>
      </w:r>
      <w:r>
        <w:rPr>
          <w:rtl/>
        </w:rPr>
        <w:t>–</w:t>
      </w:r>
      <w:r>
        <w:rPr>
          <w:rFonts w:hint="cs"/>
          <w:rtl/>
        </w:rPr>
        <w:t xml:space="preserve"> אשר רוכשת, מכספה-שלה, את מניותיו של </w:t>
      </w:r>
      <w:r w:rsidRPr="00B27C47">
        <w:rPr>
          <w:rFonts w:ascii="Century" w:hAnsi="Century" w:hint="cs"/>
          <w:sz w:val="22"/>
          <w:rtl/>
        </w:rPr>
        <w:t>בעל המניות הפורש</w:t>
      </w:r>
      <w:r>
        <w:rPr>
          <w:rFonts w:hint="cs"/>
          <w:rtl/>
        </w:rPr>
        <w:t xml:space="preserve"> </w:t>
      </w:r>
      <w:r>
        <w:rPr>
          <w:rtl/>
        </w:rPr>
        <w:t>–</w:t>
      </w:r>
      <w:r>
        <w:rPr>
          <w:rFonts w:hint="cs"/>
          <w:rtl/>
        </w:rPr>
        <w:t xml:space="preserve"> מהווה תשלום דיבידנד אשר מחולק פרו-</w:t>
      </w:r>
      <w:proofErr w:type="spellStart"/>
      <w:r>
        <w:rPr>
          <w:rFonts w:hint="cs"/>
          <w:rtl/>
        </w:rPr>
        <w:t>רטה</w:t>
      </w:r>
      <w:proofErr w:type="spellEnd"/>
      <w:r>
        <w:rPr>
          <w:rFonts w:hint="cs"/>
          <w:rtl/>
        </w:rPr>
        <w:t xml:space="preserve"> בין בעל המניות הפורש לבין בעל המניות שנשאר בחברה עם </w:t>
      </w:r>
      <w:proofErr w:type="spellStart"/>
      <w:r>
        <w:rPr>
          <w:rFonts w:hint="cs"/>
          <w:rtl/>
        </w:rPr>
        <w:t>החזקותיו</w:t>
      </w:r>
      <w:proofErr w:type="spellEnd"/>
      <w:r>
        <w:rPr>
          <w:rFonts w:hint="cs"/>
          <w:rtl/>
        </w:rPr>
        <w:t xml:space="preserve">, חלוקה שאחריה רוכש בעל המניות שנשאר החברה, מכספי הדיבידנד שקיבל, את מניותיו של הפורש. הווה אומר: </w:t>
      </w:r>
      <w:r w:rsidRPr="00333F32">
        <w:rPr>
          <w:rFonts w:asciiTheme="majorBidi" w:hAnsiTheme="majorBidi" w:cstheme="majorBidi"/>
        </w:rPr>
        <w:t>one size fits all</w:t>
      </w:r>
      <w:r>
        <w:rPr>
          <w:rFonts w:hint="cs"/>
          <w:rtl/>
        </w:rPr>
        <w:t>.</w:t>
      </w:r>
    </w:p>
    <w:p w:rsidR="006B6970" w:rsidRPr="00333F32" w:rsidRDefault="006B6970" w:rsidP="006B6970">
      <w:pPr>
        <w:pStyle w:val="Ruller41"/>
      </w:pPr>
    </w:p>
    <w:p w:rsidR="006B6970" w:rsidRDefault="006B6970" w:rsidP="006B6970">
      <w:pPr>
        <w:pStyle w:val="Ruller4"/>
        <w:numPr>
          <w:ilvl w:val="0"/>
          <w:numId w:val="0"/>
        </w:numPr>
      </w:pPr>
    </w:p>
    <w:p w:rsidR="006B6970" w:rsidRDefault="006B6970" w:rsidP="006B6970">
      <w:pPr>
        <w:pStyle w:val="Ruller4"/>
        <w:rPr>
          <w:rtl/>
        </w:rPr>
      </w:pPr>
      <w:r>
        <w:rPr>
          <w:rFonts w:hint="cs"/>
          <w:rtl/>
        </w:rPr>
        <w:lastRenderedPageBreak/>
        <w:t xml:space="preserve">עם תוצאה זו אין בידי להסכים. מושכלת יסוד בדיני </w:t>
      </w:r>
      <w:r w:rsidRPr="006C0F44">
        <w:rPr>
          <w:rFonts w:hint="cs"/>
          <w:rtl/>
        </w:rPr>
        <w:t>המס היא</w:t>
      </w:r>
      <w:r>
        <w:rPr>
          <w:rFonts w:hint="cs"/>
          <w:rtl/>
        </w:rPr>
        <w:t xml:space="preserve"> שמס הכנסה, כמו יתר מיסי המדינה, מוטל על </w:t>
      </w:r>
      <w:r w:rsidRPr="00311705">
        <w:rPr>
          <w:rFonts w:ascii="Century" w:hAnsi="Century" w:cs="Miriam" w:hint="cs"/>
          <w:b/>
          <w:spacing w:val="0"/>
          <w:sz w:val="22"/>
          <w:szCs w:val="24"/>
          <w:rtl/>
        </w:rPr>
        <w:t>אירוע מס</w:t>
      </w:r>
      <w:r>
        <w:rPr>
          <w:rFonts w:ascii="Century" w:hAnsi="Century" w:cs="Miriam" w:hint="cs"/>
          <w:b/>
          <w:spacing w:val="0"/>
          <w:sz w:val="22"/>
          <w:szCs w:val="24"/>
          <w:rtl/>
        </w:rPr>
        <w:t xml:space="preserve"> </w:t>
      </w:r>
      <w:proofErr w:type="spellStart"/>
      <w:r>
        <w:rPr>
          <w:rFonts w:ascii="Century" w:hAnsi="Century" w:cs="Miriam" w:hint="cs"/>
          <w:b/>
          <w:spacing w:val="0"/>
          <w:sz w:val="22"/>
          <w:szCs w:val="24"/>
          <w:rtl/>
        </w:rPr>
        <w:t>אמיתי</w:t>
      </w:r>
      <w:proofErr w:type="spellEnd"/>
      <w:r>
        <w:rPr>
          <w:rFonts w:ascii="Century" w:hAnsi="Century" w:hint="cs"/>
          <w:sz w:val="22"/>
          <w:rtl/>
        </w:rPr>
        <w:t xml:space="preserve">: באין אירוע מס, לא ניתן לחייב את הנישום במס. </w:t>
      </w:r>
      <w:r w:rsidRPr="008670B9">
        <w:rPr>
          <w:rFonts w:ascii="Century" w:hAnsi="Century" w:hint="cs"/>
          <w:sz w:val="22"/>
          <w:rtl/>
        </w:rPr>
        <w:t xml:space="preserve">לעניין זה, אירוע מס הוא פעילות כלכלית </w:t>
      </w:r>
      <w:proofErr w:type="spellStart"/>
      <w:r w:rsidRPr="008670B9">
        <w:rPr>
          <w:rFonts w:ascii="Century" w:hAnsi="Century" w:hint="cs"/>
          <w:sz w:val="22"/>
          <w:rtl/>
        </w:rPr>
        <w:t>אמיתית</w:t>
      </w:r>
      <w:proofErr w:type="spellEnd"/>
      <w:r w:rsidRPr="008670B9">
        <w:rPr>
          <w:rFonts w:ascii="Century" w:hAnsi="Century" w:hint="cs"/>
          <w:sz w:val="22"/>
          <w:rtl/>
        </w:rPr>
        <w:t xml:space="preserve"> אשר התרחשה במציאות ואשר יצרה </w:t>
      </w:r>
      <w:r>
        <w:rPr>
          <w:rFonts w:ascii="Century" w:hAnsi="Century" w:hint="cs"/>
          <w:sz w:val="22"/>
          <w:rtl/>
        </w:rPr>
        <w:t xml:space="preserve">אצל הנישום </w:t>
      </w:r>
      <w:r w:rsidRPr="008670B9">
        <w:rPr>
          <w:rFonts w:ascii="Century" w:hAnsi="Century" w:hint="cs"/>
          <w:sz w:val="22"/>
          <w:rtl/>
        </w:rPr>
        <w:t xml:space="preserve">רווח </w:t>
      </w:r>
      <w:r>
        <w:rPr>
          <w:rFonts w:ascii="Century" w:hAnsi="Century" w:hint="cs"/>
          <w:sz w:val="22"/>
          <w:rtl/>
        </w:rPr>
        <w:t xml:space="preserve">ודאי, </w:t>
      </w:r>
      <w:r w:rsidRPr="008670B9">
        <w:rPr>
          <w:rFonts w:ascii="Century" w:hAnsi="Century" w:hint="cs"/>
          <w:sz w:val="22"/>
          <w:rtl/>
        </w:rPr>
        <w:t xml:space="preserve">ממומש </w:t>
      </w:r>
      <w:r>
        <w:rPr>
          <w:rFonts w:ascii="Century" w:hAnsi="Century" w:hint="cs"/>
          <w:sz w:val="22"/>
          <w:rtl/>
        </w:rPr>
        <w:t>בר-כימות.</w:t>
      </w:r>
    </w:p>
    <w:p w:rsidR="006B6970" w:rsidRPr="00CB6E5A" w:rsidRDefault="006B6970" w:rsidP="006B6970">
      <w:pPr>
        <w:pStyle w:val="Ruller41"/>
      </w:pPr>
    </w:p>
    <w:p w:rsidR="006B6970" w:rsidRDefault="006B6970" w:rsidP="006B6970">
      <w:pPr>
        <w:pStyle w:val="Ruller4"/>
      </w:pPr>
      <w:r>
        <w:rPr>
          <w:rFonts w:ascii="Century" w:hAnsi="Century" w:hint="cs"/>
          <w:sz w:val="22"/>
          <w:rtl/>
        </w:rPr>
        <w:t xml:space="preserve">הבה נניח </w:t>
      </w:r>
      <w:r>
        <w:rPr>
          <w:rFonts w:ascii="Century" w:hAnsi="Century"/>
          <w:sz w:val="22"/>
          <w:rtl/>
        </w:rPr>
        <w:t>–</w:t>
      </w:r>
      <w:r>
        <w:rPr>
          <w:rFonts w:ascii="Century" w:hAnsi="Century" w:hint="cs"/>
          <w:sz w:val="22"/>
          <w:rtl/>
        </w:rPr>
        <w:t xml:space="preserve"> כפי שהנחתי אני </w:t>
      </w:r>
      <w:r w:rsidRPr="00857F8F">
        <w:rPr>
          <w:rFonts w:ascii="Century" w:hAnsi="Century" w:cs="Miriam" w:hint="cs"/>
          <w:b/>
          <w:spacing w:val="0"/>
          <w:sz w:val="22"/>
          <w:szCs w:val="24"/>
          <w:rtl/>
        </w:rPr>
        <w:t>בדוגמא ג'</w:t>
      </w:r>
      <w:r>
        <w:rPr>
          <w:rFonts w:hint="cs"/>
          <w:rtl/>
        </w:rPr>
        <w:t xml:space="preserve"> לעיל, וכפי שקבע בית משפט קמא-חיפה בעניין </w:t>
      </w:r>
      <w:r w:rsidRPr="000C7418">
        <w:rPr>
          <w:rFonts w:ascii="Century" w:hAnsi="Century" w:cs="Miriam" w:hint="cs"/>
          <w:b/>
          <w:spacing w:val="0"/>
          <w:sz w:val="22"/>
          <w:szCs w:val="24"/>
          <w:rtl/>
        </w:rPr>
        <w:t>בית חוסן</w:t>
      </w:r>
      <w:r>
        <w:rPr>
          <w:rtl/>
        </w:rPr>
        <w:t xml:space="preserve"> –</w:t>
      </w:r>
      <w:r>
        <w:rPr>
          <w:rFonts w:hint="cs"/>
          <w:rtl/>
        </w:rPr>
        <w:t xml:space="preserve"> כי בידינו ממצאים עובדתיים כדלקמן: </w:t>
      </w:r>
    </w:p>
    <w:p w:rsidR="006B6970" w:rsidRDefault="006B6970" w:rsidP="006B6970">
      <w:pPr>
        <w:pStyle w:val="Ruller4"/>
        <w:numPr>
          <w:ilvl w:val="0"/>
          <w:numId w:val="0"/>
        </w:numPr>
        <w:rPr>
          <w:rtl/>
        </w:rPr>
      </w:pPr>
    </w:p>
    <w:p w:rsidR="006B6970" w:rsidRDefault="006B6970" w:rsidP="006B6970">
      <w:pPr>
        <w:pStyle w:val="Ruller4"/>
        <w:numPr>
          <w:ilvl w:val="0"/>
          <w:numId w:val="24"/>
        </w:numPr>
      </w:pPr>
      <w:r>
        <w:rPr>
          <w:rFonts w:hint="cs"/>
          <w:rtl/>
        </w:rPr>
        <w:t>חברת מעטים רכשה את מניותיו של בעל המניות הפורש במטרה לקדם את עסקיה.</w:t>
      </w:r>
    </w:p>
    <w:p w:rsidR="006B6970" w:rsidRDefault="006B6970" w:rsidP="006B6970">
      <w:pPr>
        <w:pStyle w:val="Ruller4"/>
        <w:numPr>
          <w:ilvl w:val="0"/>
          <w:numId w:val="0"/>
        </w:numPr>
        <w:ind w:left="720"/>
      </w:pPr>
    </w:p>
    <w:p w:rsidR="006B6970" w:rsidRDefault="006B6970" w:rsidP="006B6970">
      <w:pPr>
        <w:pStyle w:val="Ruller4"/>
        <w:numPr>
          <w:ilvl w:val="0"/>
          <w:numId w:val="24"/>
        </w:numPr>
      </w:pPr>
      <w:r>
        <w:rPr>
          <w:rFonts w:hint="cs"/>
          <w:rtl/>
        </w:rPr>
        <w:t xml:space="preserve">לפני הרכישה האמורה, בעל המניות שנשאר בחברה היה מעוניין בקידום עסקי החברה עם או בלי שיתופו של בעל המניות הפורש. מבחינתו של בעל המניות שנשאר בחברה, בעל המניות הפורש יכול היה להישאר בחברה עם כל </w:t>
      </w:r>
      <w:proofErr w:type="spellStart"/>
      <w:r>
        <w:rPr>
          <w:rFonts w:hint="cs"/>
          <w:rtl/>
        </w:rPr>
        <w:t>החזקותיו</w:t>
      </w:r>
      <w:proofErr w:type="spellEnd"/>
      <w:r>
        <w:rPr>
          <w:rFonts w:hint="cs"/>
          <w:rtl/>
        </w:rPr>
        <w:t>, ובלבד שלא יפריע לחברה לנהל את עסקיה. לחלופין, וככל שבעל המניות הפורש אינו מעוניין להישאר בחברה, בעל המניות שנשאר בחברה מעוניין היה בכך שהחברה תרכוש את מניותיו של בעל המניות הפורש על-מנת שתוכל לקדם את עסקיה ללא הפרעה. בעל המניות שנשאר בחברה היה אדיש לחלוטין באשר לבחירה בין שתי חלופות אלו. כל שרצה הוא שבעל המניות הפורש לא יפריע לחברה לקדם את עסקיה.</w:t>
      </w:r>
    </w:p>
    <w:p w:rsidR="006B6970" w:rsidRDefault="006B6970" w:rsidP="006B6970">
      <w:pPr>
        <w:pStyle w:val="Ruller41"/>
        <w:rPr>
          <w:rFonts w:ascii="Garamond" w:hAnsi="Garamond"/>
          <w:sz w:val="24"/>
          <w:rtl/>
        </w:rPr>
      </w:pPr>
    </w:p>
    <w:p w:rsidR="006B6970" w:rsidRDefault="006B6970" w:rsidP="006B6970">
      <w:pPr>
        <w:pStyle w:val="Ruller41"/>
        <w:rPr>
          <w:rtl/>
        </w:rPr>
      </w:pPr>
      <w:r>
        <w:rPr>
          <w:rFonts w:ascii="Garamond" w:hAnsi="Garamond"/>
          <w:sz w:val="24"/>
          <w:rtl/>
        </w:rPr>
        <w:tab/>
      </w:r>
      <w:r>
        <w:rPr>
          <w:rFonts w:hint="cs"/>
          <w:rtl/>
        </w:rPr>
        <w:t xml:space="preserve">ברי הוא, כי בנסיבות אלה אין מקום לסברה כי בעל המניות שנשאר בחברה קיבל ממנה דיבידנד כלשהו. אירוע מס של "חלוקת דיבידנד" לא התרחש במציאות כי שום דיבידנד לא חולק. החברה פעלה, כפי שפעלה, למען קידום עסקיה, ורק (או בעיקר) למטרה זו. בעל המניות שנשאר בחברה נשאר בה עם כל </w:t>
      </w:r>
      <w:proofErr w:type="spellStart"/>
      <w:r>
        <w:rPr>
          <w:rFonts w:hint="cs"/>
          <w:rtl/>
        </w:rPr>
        <w:t>החזקותיו</w:t>
      </w:r>
      <w:proofErr w:type="spellEnd"/>
      <w:r>
        <w:rPr>
          <w:rFonts w:hint="cs"/>
          <w:rtl/>
        </w:rPr>
        <w:t xml:space="preserve"> ועם כל הסיכונים הכלכליים אשר כרוכים בהשקעתו בחברה. שוויין הכספי של החזקות אלה לא עלה ונשאר כמות שהיה. חלקו של בעל המניות שנשאר בחברה עלה אמנם מ-50% ל-100%, אך דמי הרכישה שהחברה שילמה לבעל המניות הפורש הקטינו את שווי נכסיה ב-50%. בעל המניות שנשאר בחברה קיבל אמנם לידיו שליטה מלאה בעסקיה, אולם כעת הוא גם נושא לבדו בסיכונים הקשורים לעסקי החברה, שבהתממשותם הוא עלול לאבד את השקעתו. על שום מה נחייב את בעל המניות שנשאר בחברה במס הכנסה שייגזר מדמי הרכישה? היכן היא אותה הכנסה ממומשת שבגינה ניתן וראוי לחייבו במס?</w:t>
      </w:r>
    </w:p>
    <w:p w:rsidR="006B6970" w:rsidRPr="00857F8F" w:rsidRDefault="006B6970" w:rsidP="006B6970">
      <w:pPr>
        <w:pStyle w:val="Ruller41"/>
      </w:pPr>
    </w:p>
    <w:p w:rsidR="006B6970" w:rsidRDefault="006B6970" w:rsidP="006B6970">
      <w:pPr>
        <w:pStyle w:val="Ruller4"/>
      </w:pPr>
      <w:r>
        <w:rPr>
          <w:rFonts w:hint="cs"/>
          <w:rtl/>
        </w:rPr>
        <w:lastRenderedPageBreak/>
        <w:t xml:space="preserve">דומה, כי גישתה של חברתי אינה מספקת תשובות לשאלות אלה. פשיטא הוא שבאין הכנסה ובאין רווח </w:t>
      </w:r>
      <w:r>
        <w:rPr>
          <w:rtl/>
        </w:rPr>
        <w:t>–</w:t>
      </w:r>
      <w:r>
        <w:rPr>
          <w:rFonts w:hint="cs"/>
          <w:rtl/>
        </w:rPr>
        <w:t xml:space="preserve"> אין משלמים מס. למרות זאת, חברתי סבורה כי יש לקבוע כלל גורף לפיו כל רכישה עצמית דיספרופורציונית, אשר מתבצעת במסגרתה של חברת מעטים, כמוה כדיבידנד בגובה דמי-הרכישה שהחברה מחלקת לבעלי המניות: זה שפורש מהחברה וזה שנשאר בה. חברתי תומכת כלל זה בשלושה טעמים: (1) אחידות בכללי המיסוי; (2) חוסר ודאות ויתרון המידע של הנישום אשר אופפים את נסיבותיהן של עסקאות הרכישה העצמית; וכן (3) היותה של חברת מעטים מעין-שותפות. </w:t>
      </w:r>
    </w:p>
    <w:p w:rsidR="006B6970" w:rsidRDefault="006B6970" w:rsidP="006B6970">
      <w:pPr>
        <w:pStyle w:val="Ruller4"/>
        <w:numPr>
          <w:ilvl w:val="0"/>
          <w:numId w:val="0"/>
        </w:numPr>
      </w:pPr>
    </w:p>
    <w:p w:rsidR="006B6970" w:rsidRDefault="006B6970" w:rsidP="006B6970">
      <w:pPr>
        <w:pStyle w:val="Ruller4"/>
        <w:rPr>
          <w:rtl/>
        </w:rPr>
      </w:pPr>
      <w:r w:rsidRPr="00C56AAD">
        <w:rPr>
          <w:rFonts w:hint="cs"/>
          <w:rtl/>
        </w:rPr>
        <w:t>עם כל הכבוד</w:t>
      </w:r>
      <w:r>
        <w:rPr>
          <w:rFonts w:hint="cs"/>
          <w:rtl/>
        </w:rPr>
        <w:t>, על כל אחד מהטעמים הללו אבקש לחלוק.</w:t>
      </w:r>
    </w:p>
    <w:p w:rsidR="006B6970" w:rsidRPr="00145837" w:rsidRDefault="006B6970" w:rsidP="006B6970">
      <w:pPr>
        <w:pStyle w:val="Ruller41"/>
      </w:pPr>
    </w:p>
    <w:p w:rsidR="006B6970" w:rsidRDefault="006B6970" w:rsidP="006B6970">
      <w:pPr>
        <w:pStyle w:val="Ruller4"/>
      </w:pPr>
      <w:r>
        <w:rPr>
          <w:rFonts w:hint="cs"/>
          <w:rtl/>
        </w:rPr>
        <w:t xml:space="preserve"> באשר לטעם הראשון </w:t>
      </w:r>
      <w:r>
        <w:rPr>
          <w:rtl/>
        </w:rPr>
        <w:t>–</w:t>
      </w:r>
      <w:r>
        <w:rPr>
          <w:rFonts w:hint="cs"/>
          <w:rtl/>
        </w:rPr>
        <w:t xml:space="preserve"> אחידות אינה חזות </w:t>
      </w:r>
      <w:proofErr w:type="spellStart"/>
      <w:r>
        <w:rPr>
          <w:rFonts w:hint="cs"/>
          <w:rtl/>
        </w:rPr>
        <w:t>הכל</w:t>
      </w:r>
      <w:proofErr w:type="spellEnd"/>
      <w:r>
        <w:rPr>
          <w:rFonts w:hint="cs"/>
          <w:rtl/>
        </w:rPr>
        <w:t xml:space="preserve">. כפי שכבר </w:t>
      </w:r>
      <w:proofErr w:type="spellStart"/>
      <w:r>
        <w:rPr>
          <w:rFonts w:hint="cs"/>
          <w:rtl/>
        </w:rPr>
        <w:t>צויין</w:t>
      </w:r>
      <w:proofErr w:type="spellEnd"/>
      <w:r>
        <w:rPr>
          <w:rFonts w:hint="cs"/>
          <w:rtl/>
        </w:rPr>
        <w:t xml:space="preserve"> על ידי והודגם באמצעות שלוש הדוגמאות דלעיל, לא כל עסקאות הרכישה העצמית נולדו שוות. עיקרון האישיות המשפטית הנפרדת אשר חל ביחס לחברות וכספיהן מחייבנו לקבוע כי רכישה עצמית שמשרתת בעיקר את טובת החברה איננה דיבידנד שמשולם לבעל המניות שנשאר בחברה. </w:t>
      </w:r>
    </w:p>
    <w:p w:rsidR="006B6970" w:rsidRDefault="006B6970" w:rsidP="006B6970">
      <w:pPr>
        <w:pStyle w:val="Ruller4"/>
        <w:numPr>
          <w:ilvl w:val="0"/>
          <w:numId w:val="0"/>
        </w:numPr>
      </w:pPr>
    </w:p>
    <w:p w:rsidR="006B6970" w:rsidRDefault="006B6970" w:rsidP="006B6970">
      <w:pPr>
        <w:pStyle w:val="Ruller4"/>
      </w:pPr>
      <w:r>
        <w:rPr>
          <w:rFonts w:hint="cs"/>
          <w:rtl/>
        </w:rPr>
        <w:t xml:space="preserve">באשר לטעם השני </w:t>
      </w:r>
      <w:r>
        <w:rPr>
          <w:rtl/>
        </w:rPr>
        <w:t>–</w:t>
      </w:r>
      <w:r>
        <w:rPr>
          <w:rFonts w:hint="cs"/>
          <w:rtl/>
        </w:rPr>
        <w:t xml:space="preserve"> כפי </w:t>
      </w:r>
      <w:proofErr w:type="spellStart"/>
      <w:r>
        <w:rPr>
          <w:rFonts w:hint="cs"/>
          <w:rtl/>
        </w:rPr>
        <w:t>שצויין</w:t>
      </w:r>
      <w:proofErr w:type="spellEnd"/>
      <w:r>
        <w:rPr>
          <w:rFonts w:hint="cs"/>
          <w:rtl/>
        </w:rPr>
        <w:t xml:space="preserve"> על ידי, רכישה עצמית שמתבצעת בחברת מעטים מכוננת </w:t>
      </w:r>
      <w:r w:rsidRPr="00635F84">
        <w:rPr>
          <w:rFonts w:ascii="Century" w:hAnsi="Century" w:cs="Miriam" w:hint="cs"/>
          <w:b/>
          <w:spacing w:val="0"/>
          <w:sz w:val="22"/>
          <w:szCs w:val="24"/>
          <w:rtl/>
        </w:rPr>
        <w:t>חזקה עובדתית</w:t>
      </w:r>
      <w:r>
        <w:rPr>
          <w:rFonts w:hint="cs"/>
          <w:rtl/>
        </w:rPr>
        <w:t xml:space="preserve">, הניתנת לסתירה, כי מדובר בחלוקת דיבידנד לבעל המניות הנשאר בחברה. באומרי "חזקה עובדתית", כוונתי לברירת מחדל, ותו לא </w:t>
      </w:r>
      <w:r>
        <w:rPr>
          <w:rtl/>
        </w:rPr>
        <w:t>–</w:t>
      </w:r>
      <w:r>
        <w:rPr>
          <w:rFonts w:hint="cs"/>
          <w:rtl/>
        </w:rPr>
        <w:t xml:space="preserve"> ולא לאקסיומה גורפת שאין אחריה ולא כלום. חזקה זו מהווה משקל-נגד משמעותי ליתרון המידע שבידי הנישום: היא מחייבת את הנישום להציג ראיות בנוגע למהות הרכישה העצמית ונסיבותיה; וראיות אלו צריכות להצביע על כך שמדובר ברכישה עצמית שבעיקרה נועדה לשרת את טובת החברה, להבדיל מטובתו האישית של בעל המניות שנשאר בחברה. כפי שמוסבר לעיל, לצדה של חזקה זו פועלים שני כללים חשובים ועוצמתיים אשר מאדירים את כוחה של רשות המיסים בעמדה מול הנישום: עיקרון המהות הכלכלית וכלל ההתעלמות מעסקה מלאכותית. החזקה האמורה ושני הכללים הללו מאזנים את כוחותיהם של פקיד השומה והנישום אשר ניצבים </w:t>
      </w:r>
      <w:r>
        <w:rPr>
          <w:rtl/>
        </w:rPr>
        <w:t>–</w:t>
      </w:r>
      <w:r>
        <w:rPr>
          <w:rFonts w:hint="cs"/>
          <w:rtl/>
        </w:rPr>
        <w:t xml:space="preserve"> זה מול זה </w:t>
      </w:r>
      <w:r>
        <w:rPr>
          <w:rtl/>
        </w:rPr>
        <w:t>–</w:t>
      </w:r>
      <w:r>
        <w:rPr>
          <w:rFonts w:hint="cs"/>
          <w:rtl/>
        </w:rPr>
        <w:t xml:space="preserve"> בהליך משפטי אשר נועד לברר את מהותה </w:t>
      </w:r>
      <w:proofErr w:type="spellStart"/>
      <w:r>
        <w:rPr>
          <w:rFonts w:hint="cs"/>
          <w:rtl/>
        </w:rPr>
        <w:t>האמיתית</w:t>
      </w:r>
      <w:proofErr w:type="spellEnd"/>
      <w:r>
        <w:rPr>
          <w:rFonts w:hint="cs"/>
          <w:rtl/>
        </w:rPr>
        <w:t xml:space="preserve"> של עסקת הרכישה העצמית. בניגוד לחברתי, סבורני כי בעזרת הכללים האמורים ניתן בהחלט לברר את מהותה </w:t>
      </w:r>
      <w:proofErr w:type="spellStart"/>
      <w:r>
        <w:rPr>
          <w:rFonts w:hint="cs"/>
          <w:rtl/>
        </w:rPr>
        <w:t>האמיתית</w:t>
      </w:r>
      <w:proofErr w:type="spellEnd"/>
      <w:r>
        <w:rPr>
          <w:rFonts w:hint="cs"/>
          <w:rtl/>
        </w:rPr>
        <w:t xml:space="preserve"> של רכישה עצמית ברמת הוודאות הדרושה בהתדיינות אזרחית ("מאזן ההסתברויות"). הדבר עלה בידו של בית משפט קמא-חיפה בעניין </w:t>
      </w:r>
      <w:r w:rsidRPr="002A757B">
        <w:rPr>
          <w:rFonts w:ascii="Century" w:hAnsi="Century" w:cs="Miriam" w:hint="cs"/>
          <w:b/>
          <w:spacing w:val="0"/>
          <w:sz w:val="22"/>
          <w:szCs w:val="24"/>
          <w:rtl/>
        </w:rPr>
        <w:t>בית חוסן</w:t>
      </w:r>
      <w:r>
        <w:rPr>
          <w:rFonts w:hint="cs"/>
          <w:rtl/>
        </w:rPr>
        <w:t xml:space="preserve">, שקבע את אשר קבע באופן משכנע; ובניגוד לחברתי, איני רואה כל סיבה להתערב בממצאים העובדתיים שנקבעו על ידו. איני רואה על-כן מקום לקביעת חזקה חלוטה בדבר חלוקת דיבידנד בין בעלי </w:t>
      </w:r>
      <w:r>
        <w:rPr>
          <w:rFonts w:hint="cs"/>
          <w:rtl/>
        </w:rPr>
        <w:lastRenderedPageBreak/>
        <w:t xml:space="preserve">המניות בחברת מעטים </w:t>
      </w:r>
      <w:r>
        <w:rPr>
          <w:rtl/>
        </w:rPr>
        <w:t>–</w:t>
      </w:r>
      <w:r>
        <w:rPr>
          <w:rFonts w:hint="cs"/>
          <w:rtl/>
        </w:rPr>
        <w:t xml:space="preserve"> הנשאר והפורש </w:t>
      </w:r>
      <w:r>
        <w:rPr>
          <w:rtl/>
        </w:rPr>
        <w:t>–</w:t>
      </w:r>
      <w:r>
        <w:rPr>
          <w:rFonts w:hint="cs"/>
          <w:rtl/>
        </w:rPr>
        <w:t xml:space="preserve"> כמוצע על ידי חברתי. חזקה זו תגרום להטלת מס על לא-הכנסה במקרים לא מעטים, ועם תוצאה זו לא אוכל להסכים.</w:t>
      </w:r>
    </w:p>
    <w:p w:rsidR="006B6970" w:rsidRDefault="006B6970" w:rsidP="006B6970">
      <w:pPr>
        <w:pStyle w:val="Ruller4"/>
        <w:numPr>
          <w:ilvl w:val="0"/>
          <w:numId w:val="0"/>
        </w:numPr>
      </w:pPr>
    </w:p>
    <w:p w:rsidR="006B6970" w:rsidRDefault="006B6970" w:rsidP="006B6970">
      <w:pPr>
        <w:pStyle w:val="Ruller4"/>
      </w:pPr>
      <w:r>
        <w:rPr>
          <w:rFonts w:hint="cs"/>
          <w:rtl/>
        </w:rPr>
        <w:t xml:space="preserve">באשר לטעם השלישי </w:t>
      </w:r>
      <w:r>
        <w:rPr>
          <w:rtl/>
        </w:rPr>
        <w:t>–</w:t>
      </w:r>
      <w:r>
        <w:rPr>
          <w:rFonts w:hint="cs"/>
          <w:rtl/>
        </w:rPr>
        <w:t xml:space="preserve"> דיני התאגידים אכן רואים בחברת מעטים מעין-שותפות, דבר שנעשה לעניינם של צרכים, כללים והליכים מוגדרים, כדוגמת "קיפוח המיעוט" והליכי פירוק (ראו: ע"א 4588/19 </w:t>
      </w:r>
      <w:proofErr w:type="spellStart"/>
      <w:r w:rsidRPr="00B9190E">
        <w:rPr>
          <w:rFonts w:ascii="Century" w:hAnsi="Century" w:cs="Miriam" w:hint="eastAsia"/>
          <w:b/>
          <w:spacing w:val="0"/>
          <w:sz w:val="22"/>
          <w:szCs w:val="24"/>
          <w:rtl/>
        </w:rPr>
        <w:t>קרדוש</w:t>
      </w:r>
      <w:proofErr w:type="spellEnd"/>
      <w:r w:rsidRPr="00B9190E">
        <w:rPr>
          <w:rFonts w:ascii="Century" w:hAnsi="Century" w:cs="Miriam"/>
          <w:b/>
          <w:spacing w:val="0"/>
          <w:sz w:val="22"/>
          <w:szCs w:val="24"/>
          <w:rtl/>
        </w:rPr>
        <w:t>-</w:t>
      </w:r>
      <w:r w:rsidRPr="00B9190E">
        <w:rPr>
          <w:rFonts w:ascii="Century" w:hAnsi="Century" w:cs="Miriam" w:hint="eastAsia"/>
          <w:b/>
          <w:spacing w:val="0"/>
          <w:sz w:val="22"/>
          <w:szCs w:val="24"/>
          <w:rtl/>
        </w:rPr>
        <w:t>סאלם</w:t>
      </w:r>
      <w:r w:rsidRPr="00B9190E">
        <w:rPr>
          <w:rFonts w:ascii="Century" w:hAnsi="Century" w:cs="Miriam"/>
          <w:b/>
          <w:spacing w:val="0"/>
          <w:sz w:val="22"/>
          <w:szCs w:val="24"/>
          <w:rtl/>
        </w:rPr>
        <w:t xml:space="preserve"> </w:t>
      </w:r>
      <w:r w:rsidRPr="00B9190E">
        <w:rPr>
          <w:rFonts w:ascii="Century" w:hAnsi="Century" w:cs="Miriam" w:hint="eastAsia"/>
          <w:b/>
          <w:spacing w:val="0"/>
          <w:sz w:val="22"/>
          <w:szCs w:val="24"/>
          <w:rtl/>
        </w:rPr>
        <w:t>נ</w:t>
      </w:r>
      <w:r w:rsidRPr="00B9190E">
        <w:rPr>
          <w:rFonts w:ascii="Century" w:hAnsi="Century" w:cs="Miriam"/>
          <w:b/>
          <w:spacing w:val="0"/>
          <w:sz w:val="22"/>
          <w:szCs w:val="24"/>
          <w:rtl/>
        </w:rPr>
        <w:t xml:space="preserve">' </w:t>
      </w:r>
      <w:r w:rsidRPr="00B9190E">
        <w:rPr>
          <w:rFonts w:ascii="Century" w:hAnsi="Century" w:cs="Miriam" w:hint="eastAsia"/>
          <w:b/>
          <w:spacing w:val="0"/>
          <w:sz w:val="22"/>
          <w:szCs w:val="24"/>
          <w:rtl/>
        </w:rPr>
        <w:t>חברת</w:t>
      </w:r>
      <w:r w:rsidRPr="00B9190E">
        <w:rPr>
          <w:rFonts w:ascii="Century" w:hAnsi="Century" w:cs="Miriam"/>
          <w:b/>
          <w:spacing w:val="0"/>
          <w:sz w:val="22"/>
          <w:szCs w:val="24"/>
          <w:rtl/>
        </w:rPr>
        <w:t xml:space="preserve"> </w:t>
      </w:r>
      <w:proofErr w:type="spellStart"/>
      <w:r w:rsidRPr="00B9190E">
        <w:rPr>
          <w:rFonts w:ascii="Century" w:hAnsi="Century" w:cs="Miriam" w:hint="eastAsia"/>
          <w:b/>
          <w:spacing w:val="0"/>
          <w:sz w:val="22"/>
          <w:szCs w:val="24"/>
          <w:rtl/>
        </w:rPr>
        <w:t>קרדוש</w:t>
      </w:r>
      <w:proofErr w:type="spellEnd"/>
      <w:r w:rsidRPr="00B9190E">
        <w:rPr>
          <w:rFonts w:ascii="Century" w:hAnsi="Century" w:cs="Miriam"/>
          <w:b/>
          <w:spacing w:val="0"/>
          <w:sz w:val="22"/>
          <w:szCs w:val="24"/>
          <w:rtl/>
        </w:rPr>
        <w:t xml:space="preserve"> </w:t>
      </w:r>
      <w:r w:rsidRPr="00B9190E">
        <w:rPr>
          <w:rFonts w:ascii="Century" w:hAnsi="Century" w:cs="Miriam" w:hint="eastAsia"/>
          <w:b/>
          <w:spacing w:val="0"/>
          <w:sz w:val="22"/>
          <w:szCs w:val="24"/>
          <w:rtl/>
        </w:rPr>
        <w:t>ושות</w:t>
      </w:r>
      <w:r w:rsidRPr="00B9190E">
        <w:rPr>
          <w:rFonts w:ascii="Century" w:hAnsi="Century" w:cs="Miriam"/>
          <w:b/>
          <w:spacing w:val="0"/>
          <w:sz w:val="22"/>
          <w:szCs w:val="24"/>
          <w:rtl/>
        </w:rPr>
        <w:t xml:space="preserve">' </w:t>
      </w:r>
      <w:r w:rsidRPr="00B9190E">
        <w:rPr>
          <w:rFonts w:ascii="Century" w:hAnsi="Century" w:cs="Miriam" w:hint="eastAsia"/>
          <w:b/>
          <w:spacing w:val="0"/>
          <w:sz w:val="22"/>
          <w:szCs w:val="24"/>
          <w:rtl/>
        </w:rPr>
        <w:t>בע</w:t>
      </w:r>
      <w:r w:rsidRPr="00B9190E">
        <w:rPr>
          <w:rFonts w:ascii="Century" w:hAnsi="Century" w:cs="Miriam"/>
          <w:b/>
          <w:spacing w:val="0"/>
          <w:sz w:val="22"/>
          <w:szCs w:val="24"/>
          <w:rtl/>
        </w:rPr>
        <w:t>"</w:t>
      </w:r>
      <w:r w:rsidRPr="00B9190E">
        <w:rPr>
          <w:rFonts w:ascii="Century" w:hAnsi="Century" w:cs="Miriam" w:hint="eastAsia"/>
          <w:b/>
          <w:spacing w:val="0"/>
          <w:sz w:val="22"/>
          <w:szCs w:val="24"/>
          <w:rtl/>
        </w:rPr>
        <w:t>מ</w:t>
      </w:r>
      <w:r>
        <w:rPr>
          <w:rFonts w:hint="cs"/>
          <w:rtl/>
        </w:rPr>
        <w:t xml:space="preserve">, פסקה 16 לפסק דיני (20.4.2021)). </w:t>
      </w:r>
      <w:r w:rsidRPr="00635F84">
        <w:rPr>
          <w:rFonts w:ascii="Century" w:hAnsi="Century" w:cs="Miriam" w:hint="cs"/>
          <w:b/>
          <w:spacing w:val="0"/>
          <w:sz w:val="22"/>
          <w:szCs w:val="24"/>
          <w:u w:val="single"/>
          <w:rtl/>
        </w:rPr>
        <w:t>לא כך הוא בגדרם של דיני המס</w:t>
      </w:r>
      <w:r>
        <w:rPr>
          <w:rFonts w:hint="cs"/>
          <w:rtl/>
        </w:rPr>
        <w:t xml:space="preserve">. כמוסבר לעיל, דינים אלה פועלים באמצעות מנגנון המיסוי הדו-שלבי אשר משהה את חיובם של בעלי מניות במס עד לאירוע של חלוקת רווחים או עודפים </w:t>
      </w:r>
      <w:r>
        <w:rPr>
          <w:rtl/>
        </w:rPr>
        <w:t>–</w:t>
      </w:r>
      <w:r>
        <w:rPr>
          <w:rFonts w:hint="cs"/>
          <w:rtl/>
        </w:rPr>
        <w:t xml:space="preserve"> וזאת, ביחס לכל חברה באשר היא חברה, לרבות חברת מעטים. קביעתה הגורפת של חברתי כי חברת מעטים כמוה כשותפות לצרכי מיסוי הרכישה העצמית </w:t>
      </w:r>
      <w:r w:rsidRPr="004A0624">
        <w:rPr>
          <w:rFonts w:ascii="Century" w:hAnsi="Century" w:cs="Miriam" w:hint="cs"/>
          <w:b/>
          <w:spacing w:val="0"/>
          <w:sz w:val="22"/>
          <w:szCs w:val="24"/>
          <w:rtl/>
        </w:rPr>
        <w:t>בכל מקרה ומקרה</w:t>
      </w:r>
      <w:r>
        <w:rPr>
          <w:rFonts w:hint="cs"/>
          <w:rtl/>
        </w:rPr>
        <w:t xml:space="preserve"> נעדרת כל עיגון סטטוטורי, מבטלת את מנגנון המיסוי הדו-שלבי, ומוחקת את זכותו של בעל המניות שנשאר בחברה למיסוי מושהה אשר יוטל עליו לכשיחולקו העודפים </w:t>
      </w:r>
      <w:r>
        <w:rPr>
          <w:rtl/>
        </w:rPr>
        <w:t>–</w:t>
      </w:r>
      <w:r>
        <w:rPr>
          <w:rFonts w:hint="cs"/>
          <w:rtl/>
        </w:rPr>
        <w:t xml:space="preserve"> ולא לפני כן. </w:t>
      </w:r>
    </w:p>
    <w:p w:rsidR="006B6970" w:rsidRDefault="006B6970" w:rsidP="006B6970">
      <w:pPr>
        <w:pStyle w:val="Ruller4"/>
        <w:numPr>
          <w:ilvl w:val="0"/>
          <w:numId w:val="0"/>
        </w:numPr>
      </w:pPr>
    </w:p>
    <w:p w:rsidR="006B6970" w:rsidRDefault="006B6970" w:rsidP="006B6970">
      <w:pPr>
        <w:pStyle w:val="Ruller41"/>
        <w:rPr>
          <w:rtl/>
        </w:rPr>
      </w:pPr>
      <w:r>
        <w:rPr>
          <w:rFonts w:hint="cs"/>
          <w:rtl/>
        </w:rPr>
        <w:t>100.</w:t>
      </w:r>
      <w:r>
        <w:rPr>
          <w:rFonts w:hint="cs"/>
          <w:rtl/>
        </w:rPr>
        <w:tab/>
        <w:t>דינם של שני הערעורים להידחות אפוא, כאמור לעיל.</w:t>
      </w:r>
    </w:p>
    <w:p w:rsidR="00A834E3" w:rsidRDefault="00A834E3" w:rsidP="006B6970">
      <w:pPr>
        <w:pStyle w:val="Ruller41"/>
        <w:rPr>
          <w:rtl/>
        </w:rPr>
      </w:pPr>
    </w:p>
    <w:tbl>
      <w:tblPr>
        <w:bidiVisual/>
        <w:tblW w:w="8363" w:type="dxa"/>
        <w:tblLook w:val="01E0" w:firstRow="1" w:lastRow="1" w:firstColumn="1" w:lastColumn="1" w:noHBand="0" w:noVBand="0"/>
      </w:tblPr>
      <w:tblGrid>
        <w:gridCol w:w="2797"/>
        <w:gridCol w:w="2783"/>
        <w:gridCol w:w="2783"/>
      </w:tblGrid>
      <w:tr w:rsidR="00A9741D" w:rsidTr="003E4E8E">
        <w:tc>
          <w:tcPr>
            <w:tcW w:w="2797" w:type="dxa"/>
            <w:shd w:val="clear" w:color="auto" w:fill="auto"/>
          </w:tcPr>
          <w:p w:rsidR="00A9741D" w:rsidRDefault="00A9741D" w:rsidP="003E4E8E">
            <w:pPr>
              <w:pStyle w:val="Ruller41"/>
              <w:rPr>
                <w:rtl/>
              </w:rPr>
            </w:pPr>
          </w:p>
        </w:tc>
        <w:tc>
          <w:tcPr>
            <w:tcW w:w="2783" w:type="dxa"/>
            <w:shd w:val="clear" w:color="auto" w:fill="auto"/>
          </w:tcPr>
          <w:p w:rsidR="00A9741D" w:rsidRDefault="00A9741D" w:rsidP="003E4E8E">
            <w:pPr>
              <w:pStyle w:val="Ruller41"/>
              <w:jc w:val="center"/>
              <w:rPr>
                <w:rtl/>
              </w:rPr>
            </w:pPr>
          </w:p>
        </w:tc>
        <w:tc>
          <w:tcPr>
            <w:tcW w:w="2783" w:type="dxa"/>
            <w:shd w:val="clear" w:color="auto" w:fill="auto"/>
          </w:tcPr>
          <w:p w:rsidR="00A9741D" w:rsidRDefault="00A9741D" w:rsidP="003E4E8E">
            <w:pPr>
              <w:pStyle w:val="Ruller41"/>
              <w:jc w:val="right"/>
              <w:rPr>
                <w:rtl/>
              </w:rPr>
            </w:pPr>
            <w:r>
              <w:rPr>
                <w:rtl/>
              </w:rPr>
              <w:t>ש ו פ ט</w:t>
            </w:r>
          </w:p>
        </w:tc>
      </w:tr>
    </w:tbl>
    <w:p w:rsidR="00086F8B" w:rsidRDefault="00086F8B" w:rsidP="00086F8B">
      <w:pPr>
        <w:pStyle w:val="Ruller41"/>
        <w:rPr>
          <w:rtl/>
        </w:rPr>
      </w:pPr>
      <w:r w:rsidRPr="00A9741D">
        <w:rPr>
          <w:rFonts w:ascii="Century" w:hAnsi="Century" w:cs="Miriam" w:hint="cs"/>
          <w:b/>
          <w:spacing w:val="0"/>
          <w:szCs w:val="24"/>
          <w:u w:val="single"/>
          <w:rtl/>
        </w:rPr>
        <w:t>השופטת ר' רונן</w:t>
      </w:r>
      <w:r>
        <w:rPr>
          <w:rFonts w:hint="cs"/>
          <w:rtl/>
        </w:rPr>
        <w:t>:</w:t>
      </w:r>
    </w:p>
    <w:p w:rsidR="00A834E3" w:rsidRDefault="00A834E3" w:rsidP="00A834E3">
      <w:pPr>
        <w:pStyle w:val="Ruller4"/>
        <w:numPr>
          <w:ilvl w:val="0"/>
          <w:numId w:val="0"/>
        </w:numPr>
        <w:rPr>
          <w:rtl/>
        </w:rPr>
      </w:pPr>
    </w:p>
    <w:p w:rsidR="00A834E3" w:rsidRDefault="00A834E3" w:rsidP="00A834E3">
      <w:pPr>
        <w:pStyle w:val="Ruller4"/>
        <w:numPr>
          <w:ilvl w:val="0"/>
          <w:numId w:val="29"/>
        </w:numPr>
      </w:pPr>
      <w:r>
        <w:rPr>
          <w:rFonts w:hint="cs"/>
          <w:rtl/>
        </w:rPr>
        <w:t xml:space="preserve">קראתי את פסק דינו המקיף והיסודי של חברי, השופט </w:t>
      </w:r>
      <w:r w:rsidRPr="00A834E3">
        <w:rPr>
          <w:rFonts w:ascii="Century" w:hAnsi="Century" w:cs="Miriam" w:hint="eastAsia"/>
          <w:b/>
          <w:spacing w:val="0"/>
          <w:sz w:val="22"/>
          <w:szCs w:val="24"/>
          <w:rtl/>
        </w:rPr>
        <w:t>שטיין</w:t>
      </w:r>
      <w:r>
        <w:rPr>
          <w:rFonts w:hint="cs"/>
          <w:rtl/>
        </w:rPr>
        <w:t xml:space="preserve">. לעמדתו, המבחן העיקרי שלפיו יש להכריע בשאלה האם רכישה עצמית דיספרופורציונית תהיה כרוכה בתשלום דיבידנד לבעלי המניות הנותרים בחברה, מבוסס על השאלה מה הייתה מטרתה הדומיננטית של הרכישה העצמית. חברי התייחס למספר תשובות אפשריות לשאלה זו הנובעות מהאינטרס של החברה בעסקה והאינטרס של בעלי המניות שלה </w:t>
      </w:r>
      <w:r>
        <w:rPr>
          <w:rtl/>
        </w:rPr>
        <w:t>–</w:t>
      </w:r>
      <w:r>
        <w:rPr>
          <w:rFonts w:hint="cs"/>
          <w:rtl/>
        </w:rPr>
        <w:t xml:space="preserve"> הן בעל המניות שמכר את מניותיו לחברה (אותו נכנה להלן גם: </w:t>
      </w:r>
      <w:r w:rsidRPr="00A834E3">
        <w:rPr>
          <w:rFonts w:ascii="Century" w:hAnsi="Century" w:cs="Miriam" w:hint="eastAsia"/>
          <w:b/>
          <w:spacing w:val="0"/>
          <w:sz w:val="22"/>
          <w:szCs w:val="24"/>
          <w:rtl/>
        </w:rPr>
        <w:t>בעל</w:t>
      </w:r>
      <w:r w:rsidRPr="00A834E3">
        <w:rPr>
          <w:rFonts w:ascii="Century" w:hAnsi="Century" w:cs="Miriam"/>
          <w:b/>
          <w:spacing w:val="0"/>
          <w:sz w:val="22"/>
          <w:szCs w:val="24"/>
          <w:rtl/>
        </w:rPr>
        <w:t xml:space="preserve"> </w:t>
      </w:r>
      <w:r w:rsidRPr="00A834E3">
        <w:rPr>
          <w:rFonts w:ascii="Century" w:hAnsi="Century" w:cs="Miriam" w:hint="eastAsia"/>
          <w:b/>
          <w:spacing w:val="0"/>
          <w:sz w:val="22"/>
          <w:szCs w:val="24"/>
          <w:rtl/>
        </w:rPr>
        <w:t>המניות</w:t>
      </w:r>
      <w:r w:rsidRPr="00A834E3">
        <w:rPr>
          <w:rFonts w:ascii="Century" w:hAnsi="Century" w:cs="Miriam"/>
          <w:b/>
          <w:spacing w:val="0"/>
          <w:sz w:val="22"/>
          <w:szCs w:val="24"/>
          <w:rtl/>
        </w:rPr>
        <w:t xml:space="preserve"> </w:t>
      </w:r>
      <w:r w:rsidRPr="00A834E3">
        <w:rPr>
          <w:rFonts w:ascii="Century" w:hAnsi="Century" w:cs="Miriam" w:hint="eastAsia"/>
          <w:b/>
          <w:spacing w:val="0"/>
          <w:sz w:val="22"/>
          <w:szCs w:val="24"/>
          <w:rtl/>
        </w:rPr>
        <w:t>היוצא</w:t>
      </w:r>
      <w:r>
        <w:rPr>
          <w:rFonts w:hint="cs"/>
          <w:rtl/>
        </w:rPr>
        <w:t xml:space="preserve">); והן בעל המניות שנותר לאחר העסקה הבעלים של כלל מניות החברה (אותו נכנה להלן גם: </w:t>
      </w:r>
      <w:r w:rsidRPr="00A834E3">
        <w:rPr>
          <w:rFonts w:ascii="Century" w:hAnsi="Century" w:cs="Miriam" w:hint="eastAsia"/>
          <w:b/>
          <w:spacing w:val="0"/>
          <w:sz w:val="22"/>
          <w:szCs w:val="24"/>
          <w:rtl/>
        </w:rPr>
        <w:t>בעל</w:t>
      </w:r>
      <w:r w:rsidRPr="00A834E3">
        <w:rPr>
          <w:rFonts w:ascii="Century" w:hAnsi="Century" w:cs="Miriam"/>
          <w:b/>
          <w:spacing w:val="0"/>
          <w:sz w:val="22"/>
          <w:szCs w:val="24"/>
          <w:rtl/>
        </w:rPr>
        <w:t xml:space="preserve"> </w:t>
      </w:r>
      <w:r w:rsidRPr="00A834E3">
        <w:rPr>
          <w:rFonts w:ascii="Century" w:hAnsi="Century" w:cs="Miriam" w:hint="eastAsia"/>
          <w:b/>
          <w:spacing w:val="0"/>
          <w:sz w:val="22"/>
          <w:szCs w:val="24"/>
          <w:rtl/>
        </w:rPr>
        <w:t>המניות</w:t>
      </w:r>
      <w:r w:rsidRPr="00A834E3">
        <w:rPr>
          <w:rFonts w:ascii="Century" w:hAnsi="Century" w:cs="Miriam"/>
          <w:b/>
          <w:spacing w:val="0"/>
          <w:sz w:val="22"/>
          <w:szCs w:val="24"/>
          <w:rtl/>
        </w:rPr>
        <w:t xml:space="preserve"> </w:t>
      </w:r>
      <w:r w:rsidRPr="00A834E3">
        <w:rPr>
          <w:rFonts w:ascii="Century" w:hAnsi="Century" w:cs="Miriam" w:hint="eastAsia"/>
          <w:b/>
          <w:spacing w:val="0"/>
          <w:sz w:val="22"/>
          <w:szCs w:val="24"/>
          <w:rtl/>
        </w:rPr>
        <w:t>הנותר</w:t>
      </w:r>
      <w:r>
        <w:rPr>
          <w:rFonts w:hint="cs"/>
          <w:rtl/>
        </w:rPr>
        <w:t xml:space="preserve">). </w:t>
      </w:r>
    </w:p>
    <w:p w:rsidR="00A834E3" w:rsidRDefault="00A834E3" w:rsidP="00A834E3">
      <w:pPr>
        <w:pStyle w:val="Ruller4"/>
        <w:numPr>
          <w:ilvl w:val="0"/>
          <w:numId w:val="0"/>
        </w:numPr>
        <w:rPr>
          <w:rtl/>
        </w:rPr>
      </w:pPr>
    </w:p>
    <w:p w:rsidR="00A834E3" w:rsidRDefault="00A834E3" w:rsidP="00A834E3">
      <w:pPr>
        <w:pStyle w:val="Ruller4"/>
        <w:numPr>
          <w:ilvl w:val="0"/>
          <w:numId w:val="0"/>
        </w:numPr>
      </w:pPr>
      <w:r>
        <w:rPr>
          <w:rtl/>
        </w:rPr>
        <w:tab/>
      </w:r>
      <w:r>
        <w:rPr>
          <w:rFonts w:hint="cs"/>
          <w:rtl/>
        </w:rPr>
        <w:t xml:space="preserve">בתוך כך הציג חברי שלוש דוגמאות לעסקאות אפשריות בחברה פרטית שבה שני בעלי מניות: </w:t>
      </w:r>
      <w:r w:rsidRPr="00523949">
        <w:rPr>
          <w:rFonts w:ascii="Century" w:hAnsi="Century"/>
          <w:sz w:val="22"/>
          <w:rtl/>
        </w:rPr>
        <w:t xml:space="preserve">הראשונה </w:t>
      </w:r>
      <w:r>
        <w:rPr>
          <w:rFonts w:hint="cs"/>
          <w:rtl/>
        </w:rPr>
        <w:t xml:space="preserve">(המכונה על-ידיו: </w:t>
      </w:r>
      <w:r w:rsidRPr="00523949">
        <w:rPr>
          <w:rFonts w:ascii="Century" w:hAnsi="Century" w:cs="Miriam" w:hint="eastAsia"/>
          <w:b/>
          <w:spacing w:val="0"/>
          <w:sz w:val="22"/>
          <w:szCs w:val="24"/>
          <w:rtl/>
        </w:rPr>
        <w:t>דוגמא</w:t>
      </w:r>
      <w:r w:rsidRPr="00523949">
        <w:rPr>
          <w:rFonts w:ascii="Century" w:hAnsi="Century" w:cs="Miriam"/>
          <w:b/>
          <w:spacing w:val="0"/>
          <w:sz w:val="22"/>
          <w:szCs w:val="24"/>
          <w:rtl/>
        </w:rPr>
        <w:t xml:space="preserve"> </w:t>
      </w:r>
      <w:r w:rsidRPr="00523949">
        <w:rPr>
          <w:rFonts w:ascii="Century" w:hAnsi="Century" w:cs="Miriam" w:hint="eastAsia"/>
          <w:b/>
          <w:spacing w:val="0"/>
          <w:sz w:val="22"/>
          <w:szCs w:val="24"/>
          <w:rtl/>
        </w:rPr>
        <w:t>א</w:t>
      </w:r>
      <w:r w:rsidRPr="00523949">
        <w:rPr>
          <w:rFonts w:ascii="Century" w:hAnsi="Century" w:cs="Miriam"/>
          <w:b/>
          <w:spacing w:val="0"/>
          <w:sz w:val="22"/>
          <w:szCs w:val="24"/>
          <w:rtl/>
        </w:rPr>
        <w:t>'</w:t>
      </w:r>
      <w:r>
        <w:rPr>
          <w:rFonts w:hint="cs"/>
          <w:rtl/>
        </w:rPr>
        <w:t xml:space="preserve">) </w:t>
      </w:r>
      <w:r>
        <w:rPr>
          <w:rtl/>
        </w:rPr>
        <w:t>–</w:t>
      </w:r>
      <w:r>
        <w:rPr>
          <w:rFonts w:hint="cs"/>
          <w:rtl/>
        </w:rPr>
        <w:t xml:space="preserve"> היא עסקה שמטרתה שינוי במבנה האחזקות של החברה מבלי שיתלווה לכך אינטרס של החברה כחברה, וכאשר לבעל המניות הנותר לא היה עניין מלכתחילה לרכוש את מניותיו של בעל המניות היוצא; </w:t>
      </w:r>
      <w:r w:rsidRPr="00523949">
        <w:rPr>
          <w:rFonts w:ascii="Century" w:hAnsi="Century"/>
          <w:sz w:val="22"/>
          <w:rtl/>
        </w:rPr>
        <w:t xml:space="preserve">השנייה </w:t>
      </w:r>
      <w:r>
        <w:rPr>
          <w:rFonts w:hint="cs"/>
          <w:rtl/>
        </w:rPr>
        <w:t>(</w:t>
      </w:r>
      <w:r w:rsidRPr="00523949">
        <w:rPr>
          <w:rFonts w:ascii="Century" w:hAnsi="Century" w:cs="Miriam" w:hint="eastAsia"/>
          <w:b/>
          <w:spacing w:val="0"/>
          <w:sz w:val="22"/>
          <w:szCs w:val="24"/>
          <w:rtl/>
        </w:rPr>
        <w:t>דוגמא</w:t>
      </w:r>
      <w:r w:rsidRPr="00523949">
        <w:rPr>
          <w:rFonts w:ascii="Century" w:hAnsi="Century" w:cs="Miriam"/>
          <w:b/>
          <w:spacing w:val="0"/>
          <w:sz w:val="22"/>
          <w:szCs w:val="24"/>
          <w:rtl/>
        </w:rPr>
        <w:t xml:space="preserve"> </w:t>
      </w:r>
      <w:r w:rsidRPr="00523949">
        <w:rPr>
          <w:rFonts w:ascii="Century" w:hAnsi="Century" w:cs="Miriam" w:hint="eastAsia"/>
          <w:b/>
          <w:spacing w:val="0"/>
          <w:sz w:val="22"/>
          <w:szCs w:val="24"/>
          <w:rtl/>
        </w:rPr>
        <w:t>ב</w:t>
      </w:r>
      <w:r w:rsidRPr="00523949">
        <w:rPr>
          <w:rFonts w:ascii="Century" w:hAnsi="Century" w:cs="Miriam"/>
          <w:b/>
          <w:spacing w:val="0"/>
          <w:sz w:val="22"/>
          <w:szCs w:val="24"/>
          <w:rtl/>
        </w:rPr>
        <w:t>'</w:t>
      </w:r>
      <w:r>
        <w:rPr>
          <w:rFonts w:hint="cs"/>
          <w:rtl/>
        </w:rPr>
        <w:t xml:space="preserve">), שגם בה מטרת העסקה היא שינוי במבנה האחזקות של החברה מבלי </w:t>
      </w:r>
      <w:r>
        <w:rPr>
          <w:rFonts w:hint="cs"/>
          <w:rtl/>
        </w:rPr>
        <w:lastRenderedPageBreak/>
        <w:t xml:space="preserve">שיתלווה לכך אינטרס של החברה, אלא שהפעם קיים סכסוך בין בעלי המניות, ובעל המניות הנותר מעוניין להוסיף לנהל את החברה ללא בעל המניות היוצא; </w:t>
      </w:r>
      <w:r w:rsidRPr="00523949">
        <w:rPr>
          <w:rFonts w:ascii="Century" w:hAnsi="Century" w:hint="eastAsia"/>
          <w:sz w:val="22"/>
          <w:rtl/>
        </w:rPr>
        <w:t>ו</w:t>
      </w:r>
      <w:r w:rsidRPr="00523949">
        <w:rPr>
          <w:rFonts w:ascii="Century" w:hAnsi="Century"/>
          <w:sz w:val="22"/>
          <w:rtl/>
        </w:rPr>
        <w:t xml:space="preserve">השלישית </w:t>
      </w:r>
      <w:r>
        <w:rPr>
          <w:rFonts w:hint="cs"/>
          <w:rtl/>
        </w:rPr>
        <w:t>(</w:t>
      </w:r>
      <w:r w:rsidRPr="00523949">
        <w:rPr>
          <w:rFonts w:ascii="Century" w:hAnsi="Century" w:cs="Miriam" w:hint="eastAsia"/>
          <w:b/>
          <w:spacing w:val="0"/>
          <w:sz w:val="22"/>
          <w:szCs w:val="24"/>
          <w:rtl/>
        </w:rPr>
        <w:t>דוגמא</w:t>
      </w:r>
      <w:r w:rsidRPr="00523949">
        <w:rPr>
          <w:rFonts w:ascii="Century" w:hAnsi="Century" w:cs="Miriam"/>
          <w:b/>
          <w:spacing w:val="0"/>
          <w:sz w:val="22"/>
          <w:szCs w:val="24"/>
          <w:rtl/>
        </w:rPr>
        <w:t xml:space="preserve"> </w:t>
      </w:r>
      <w:r w:rsidRPr="00523949">
        <w:rPr>
          <w:rFonts w:ascii="Century" w:hAnsi="Century" w:cs="Miriam" w:hint="eastAsia"/>
          <w:b/>
          <w:spacing w:val="0"/>
          <w:sz w:val="22"/>
          <w:szCs w:val="24"/>
          <w:rtl/>
        </w:rPr>
        <w:t>ג</w:t>
      </w:r>
      <w:r w:rsidRPr="00523949">
        <w:rPr>
          <w:rFonts w:ascii="Century" w:hAnsi="Century" w:cs="Miriam"/>
          <w:b/>
          <w:spacing w:val="0"/>
          <w:sz w:val="22"/>
          <w:szCs w:val="24"/>
          <w:rtl/>
        </w:rPr>
        <w:t>'</w:t>
      </w:r>
      <w:r>
        <w:rPr>
          <w:rFonts w:hint="cs"/>
          <w:rtl/>
        </w:rPr>
        <w:t xml:space="preserve">), נוגעת למצב בו העסקה נועדה בעיקרה להיטיב עם החברה כחברה על ידי קידום עסקיה. </w:t>
      </w:r>
    </w:p>
    <w:p w:rsidR="00A834E3" w:rsidRPr="00F00D1A" w:rsidRDefault="00A834E3" w:rsidP="00A834E3">
      <w:pPr>
        <w:pStyle w:val="Ruller38"/>
        <w:spacing w:line="360" w:lineRule="auto"/>
        <w:rPr>
          <w:rFonts w:ascii="Garamond" w:hAnsi="Garamond" w:cs="FrankRuehl"/>
          <w:spacing w:val="10"/>
          <w:sz w:val="24"/>
          <w:szCs w:val="28"/>
        </w:rPr>
      </w:pPr>
    </w:p>
    <w:p w:rsidR="00A834E3" w:rsidRDefault="00A834E3" w:rsidP="00A834E3">
      <w:pPr>
        <w:pStyle w:val="Ruller4"/>
        <w:numPr>
          <w:ilvl w:val="0"/>
          <w:numId w:val="0"/>
        </w:numPr>
        <w:rPr>
          <w:rtl/>
        </w:rPr>
      </w:pPr>
      <w:r>
        <w:rPr>
          <w:rtl/>
        </w:rPr>
        <w:tab/>
      </w:r>
      <w:r>
        <w:rPr>
          <w:rFonts w:hint="cs"/>
          <w:rtl/>
        </w:rPr>
        <w:t>לכאורה, וכך עולה מפסק דינו של חברי, מצדיקה כל אחת מהעסקאות התייחסות אחרת מבחינת דיני המס, והטלת מס שונה על בעלי המניות (</w:t>
      </w:r>
      <w:r w:rsidRPr="00BB58CD">
        <w:rPr>
          <w:rFonts w:ascii="Century" w:hAnsi="Century" w:cs="Miriam" w:hint="eastAsia"/>
          <w:b/>
          <w:spacing w:val="0"/>
          <w:sz w:val="22"/>
          <w:szCs w:val="24"/>
          <w:rtl/>
        </w:rPr>
        <w:t>בדוגמא</w:t>
      </w:r>
      <w:r w:rsidRPr="00BB58CD">
        <w:rPr>
          <w:rFonts w:ascii="Century" w:hAnsi="Century" w:cs="Miriam"/>
          <w:b/>
          <w:spacing w:val="0"/>
          <w:sz w:val="22"/>
          <w:szCs w:val="24"/>
          <w:rtl/>
        </w:rPr>
        <w:t xml:space="preserve"> </w:t>
      </w:r>
      <w:r w:rsidRPr="00BB58CD">
        <w:rPr>
          <w:rFonts w:ascii="Century" w:hAnsi="Century" w:cs="Miriam" w:hint="eastAsia"/>
          <w:b/>
          <w:spacing w:val="0"/>
          <w:sz w:val="22"/>
          <w:szCs w:val="24"/>
          <w:rtl/>
        </w:rPr>
        <w:t>א</w:t>
      </w:r>
      <w:r w:rsidRPr="00BB58CD">
        <w:rPr>
          <w:rFonts w:ascii="Century" w:hAnsi="Century" w:cs="Miriam"/>
          <w:b/>
          <w:spacing w:val="0"/>
          <w:sz w:val="22"/>
          <w:szCs w:val="24"/>
          <w:rtl/>
        </w:rPr>
        <w:t xml:space="preserve">' </w:t>
      </w:r>
      <w:r>
        <w:rPr>
          <w:rtl/>
        </w:rPr>
        <w:t>–</w:t>
      </w:r>
      <w:r>
        <w:rPr>
          <w:rFonts w:hint="cs"/>
          <w:rtl/>
        </w:rPr>
        <w:t xml:space="preserve"> מס דיבידנד על 50% משווי העסקה שיוטל על בעל המניות הנותר; </w:t>
      </w:r>
      <w:r w:rsidRPr="00BB58CD">
        <w:rPr>
          <w:rFonts w:ascii="Century" w:hAnsi="Century" w:cs="Miriam" w:hint="eastAsia"/>
          <w:b/>
          <w:spacing w:val="0"/>
          <w:sz w:val="22"/>
          <w:szCs w:val="24"/>
          <w:rtl/>
        </w:rPr>
        <w:t>בדוגמא</w:t>
      </w:r>
      <w:r w:rsidRPr="00BB58CD">
        <w:rPr>
          <w:rFonts w:ascii="Century" w:hAnsi="Century" w:cs="Miriam"/>
          <w:b/>
          <w:spacing w:val="0"/>
          <w:sz w:val="22"/>
          <w:szCs w:val="24"/>
          <w:rtl/>
        </w:rPr>
        <w:t xml:space="preserve"> </w:t>
      </w:r>
      <w:r w:rsidRPr="00BB58CD">
        <w:rPr>
          <w:rFonts w:ascii="Century" w:hAnsi="Century" w:cs="Miriam" w:hint="eastAsia"/>
          <w:b/>
          <w:spacing w:val="0"/>
          <w:sz w:val="22"/>
          <w:szCs w:val="24"/>
          <w:rtl/>
        </w:rPr>
        <w:t>ב</w:t>
      </w:r>
      <w:r w:rsidRPr="00BB58CD">
        <w:rPr>
          <w:rFonts w:ascii="Century" w:hAnsi="Century" w:cs="Miriam"/>
          <w:b/>
          <w:spacing w:val="0"/>
          <w:sz w:val="22"/>
          <w:szCs w:val="24"/>
          <w:rtl/>
        </w:rPr>
        <w:t>'</w:t>
      </w:r>
      <w:r>
        <w:rPr>
          <w:rFonts w:hint="cs"/>
          <w:rtl/>
        </w:rPr>
        <w:t xml:space="preserve"> </w:t>
      </w:r>
      <w:r>
        <w:rPr>
          <w:rtl/>
        </w:rPr>
        <w:t>–</w:t>
      </w:r>
      <w:r>
        <w:rPr>
          <w:rFonts w:hint="cs"/>
          <w:rtl/>
        </w:rPr>
        <w:t xml:space="preserve"> מס דיבידנד על 100% משווי העסקה שיוטל על בעל המניות הנותר; </w:t>
      </w:r>
      <w:r w:rsidRPr="00BB58CD">
        <w:rPr>
          <w:rFonts w:ascii="Century" w:hAnsi="Century" w:cs="Miriam" w:hint="eastAsia"/>
          <w:b/>
          <w:spacing w:val="0"/>
          <w:sz w:val="22"/>
          <w:szCs w:val="24"/>
          <w:rtl/>
        </w:rPr>
        <w:t>ובדוגמא</w:t>
      </w:r>
      <w:r w:rsidRPr="00BB58CD">
        <w:rPr>
          <w:rFonts w:ascii="Century" w:hAnsi="Century" w:cs="Miriam"/>
          <w:b/>
          <w:spacing w:val="0"/>
          <w:sz w:val="22"/>
          <w:szCs w:val="24"/>
          <w:rtl/>
        </w:rPr>
        <w:t xml:space="preserve"> </w:t>
      </w:r>
      <w:r w:rsidRPr="00BB58CD">
        <w:rPr>
          <w:rFonts w:ascii="Century" w:hAnsi="Century" w:cs="Miriam" w:hint="eastAsia"/>
          <w:b/>
          <w:spacing w:val="0"/>
          <w:sz w:val="22"/>
          <w:szCs w:val="24"/>
          <w:rtl/>
        </w:rPr>
        <w:t>ג</w:t>
      </w:r>
      <w:r w:rsidRPr="00BB58CD">
        <w:rPr>
          <w:rFonts w:ascii="Century" w:hAnsi="Century" w:cs="Miriam"/>
          <w:b/>
          <w:spacing w:val="0"/>
          <w:sz w:val="22"/>
          <w:szCs w:val="24"/>
          <w:rtl/>
        </w:rPr>
        <w:t>'</w:t>
      </w:r>
      <w:r>
        <w:rPr>
          <w:rFonts w:hint="cs"/>
          <w:rtl/>
        </w:rPr>
        <w:t xml:space="preserve"> רשויות המס לא יתייחסו לעסקה כאל עסקה לחלוקת דיבידנד). </w:t>
      </w:r>
    </w:p>
    <w:p w:rsidR="00A834E3" w:rsidRDefault="00A834E3" w:rsidP="00A834E3">
      <w:pPr>
        <w:pStyle w:val="Ruller4"/>
        <w:numPr>
          <w:ilvl w:val="0"/>
          <w:numId w:val="0"/>
        </w:numPr>
        <w:rPr>
          <w:rtl/>
        </w:rPr>
      </w:pPr>
    </w:p>
    <w:p w:rsidR="00A834E3" w:rsidRDefault="00A834E3" w:rsidP="00A834E3">
      <w:pPr>
        <w:pStyle w:val="Ruller4"/>
        <w:numPr>
          <w:ilvl w:val="0"/>
          <w:numId w:val="0"/>
        </w:numPr>
        <w:rPr>
          <w:rtl/>
        </w:rPr>
      </w:pPr>
      <w:r>
        <w:rPr>
          <w:rtl/>
        </w:rPr>
        <w:tab/>
      </w:r>
      <w:r>
        <w:rPr>
          <w:rFonts w:hint="cs"/>
          <w:rtl/>
        </w:rPr>
        <w:t xml:space="preserve">באשר לשני המקרים נושא הערעורים דנן </w:t>
      </w:r>
      <w:r>
        <w:rPr>
          <w:rtl/>
        </w:rPr>
        <w:t>–</w:t>
      </w:r>
      <w:r>
        <w:rPr>
          <w:rFonts w:hint="cs"/>
          <w:rtl/>
        </w:rPr>
        <w:t xml:space="preserve"> חברי קבע כי המטרה הדומיננטית של הרכישה העצמית בעניין </w:t>
      </w:r>
      <w:r w:rsidRPr="00523949">
        <w:rPr>
          <w:rFonts w:ascii="Century" w:hAnsi="Century" w:cs="Miriam" w:hint="eastAsia"/>
          <w:b/>
          <w:spacing w:val="0"/>
          <w:sz w:val="22"/>
          <w:szCs w:val="24"/>
          <w:rtl/>
        </w:rPr>
        <w:t>בית</w:t>
      </w:r>
      <w:r w:rsidRPr="00523949">
        <w:rPr>
          <w:rFonts w:ascii="Century" w:hAnsi="Century" w:cs="Miriam"/>
          <w:b/>
          <w:spacing w:val="0"/>
          <w:sz w:val="22"/>
          <w:szCs w:val="24"/>
          <w:rtl/>
        </w:rPr>
        <w:t xml:space="preserve"> </w:t>
      </w:r>
      <w:r w:rsidRPr="00523949">
        <w:rPr>
          <w:rFonts w:ascii="Century" w:hAnsi="Century" w:cs="Miriam" w:hint="eastAsia"/>
          <w:b/>
          <w:spacing w:val="0"/>
          <w:sz w:val="22"/>
          <w:szCs w:val="24"/>
          <w:rtl/>
        </w:rPr>
        <w:t>חוסן</w:t>
      </w:r>
      <w:r>
        <w:rPr>
          <w:rFonts w:hint="cs"/>
          <w:rtl/>
        </w:rPr>
        <w:t xml:space="preserve"> הייתה קידום אינטרס כלכלי לגיטימי של החברה. לכן רכישה עצמית זו קרובה לשיטתו </w:t>
      </w:r>
      <w:r w:rsidRPr="00BB58CD">
        <w:rPr>
          <w:rFonts w:ascii="Century" w:hAnsi="Century" w:cs="Miriam" w:hint="eastAsia"/>
          <w:b/>
          <w:spacing w:val="0"/>
          <w:sz w:val="22"/>
          <w:szCs w:val="24"/>
          <w:rtl/>
        </w:rPr>
        <w:t>לדוגמא</w:t>
      </w:r>
      <w:r w:rsidRPr="00BB58CD">
        <w:rPr>
          <w:rFonts w:ascii="Century" w:hAnsi="Century" w:cs="Miriam"/>
          <w:b/>
          <w:spacing w:val="0"/>
          <w:sz w:val="22"/>
          <w:szCs w:val="24"/>
          <w:rtl/>
        </w:rPr>
        <w:t xml:space="preserve"> </w:t>
      </w:r>
      <w:r w:rsidRPr="00BB58CD">
        <w:rPr>
          <w:rFonts w:ascii="Century" w:hAnsi="Century" w:cs="Miriam" w:hint="eastAsia"/>
          <w:b/>
          <w:spacing w:val="0"/>
          <w:sz w:val="22"/>
          <w:szCs w:val="24"/>
          <w:rtl/>
        </w:rPr>
        <w:t>ג</w:t>
      </w:r>
      <w:r w:rsidRPr="00BB58CD">
        <w:rPr>
          <w:rFonts w:ascii="Century" w:hAnsi="Century" w:cs="Miriam"/>
          <w:b/>
          <w:spacing w:val="0"/>
          <w:sz w:val="22"/>
          <w:szCs w:val="24"/>
          <w:rtl/>
        </w:rPr>
        <w:t>'</w:t>
      </w:r>
      <w:r>
        <w:rPr>
          <w:rFonts w:hint="cs"/>
          <w:rtl/>
        </w:rPr>
        <w:t xml:space="preserve"> ומשכך אין לראות בבעלי המניות הנותרים כמי שקיבלו דיבידנד. מנגד, חברי קיבל את קביעת בית משפט קמא לפיה מטרתה הדומיננטית של הרכישה העצמית בעניין </w:t>
      </w:r>
      <w:r w:rsidRPr="00523949">
        <w:rPr>
          <w:rFonts w:ascii="Century" w:hAnsi="Century" w:cs="Miriam" w:hint="eastAsia"/>
          <w:b/>
          <w:spacing w:val="0"/>
          <w:sz w:val="22"/>
          <w:szCs w:val="24"/>
          <w:rtl/>
        </w:rPr>
        <w:t>סיידה</w:t>
      </w:r>
      <w:r>
        <w:rPr>
          <w:rFonts w:hint="cs"/>
          <w:rtl/>
        </w:rPr>
        <w:t xml:space="preserve"> הייתה שינוי במבנה </w:t>
      </w:r>
      <w:proofErr w:type="spellStart"/>
      <w:r>
        <w:rPr>
          <w:rFonts w:hint="cs"/>
          <w:rtl/>
        </w:rPr>
        <w:t>ההחזקות</w:t>
      </w:r>
      <w:proofErr w:type="spellEnd"/>
      <w:r>
        <w:rPr>
          <w:rFonts w:hint="cs"/>
          <w:rtl/>
        </w:rPr>
        <w:t xml:space="preserve"> בחברה מבלי שיתלווה לכך אינטרס של החברה כחברה, ולכן קבע כי יש לראות בה משום חלוקת דיבידנד.</w:t>
      </w:r>
    </w:p>
    <w:p w:rsidR="00A834E3" w:rsidRDefault="00A834E3" w:rsidP="00A834E3">
      <w:pPr>
        <w:pStyle w:val="Ruller38"/>
        <w:spacing w:line="360" w:lineRule="auto"/>
        <w:rPr>
          <w:rFonts w:ascii="Garamond" w:hAnsi="Garamond" w:cs="FrankRuehl"/>
          <w:spacing w:val="10"/>
          <w:sz w:val="24"/>
          <w:szCs w:val="28"/>
          <w:rtl/>
        </w:rPr>
      </w:pPr>
    </w:p>
    <w:p w:rsidR="00A834E3" w:rsidRDefault="00A834E3" w:rsidP="00A834E3">
      <w:pPr>
        <w:pStyle w:val="Ruller4"/>
        <w:rPr>
          <w:rtl/>
        </w:rPr>
      </w:pPr>
      <w:r>
        <w:rPr>
          <w:rFonts w:hint="cs"/>
          <w:rtl/>
        </w:rPr>
        <w:t>חברי מודע להשלכה של קביעת כלל משפטי כזה, מסוג "סטנדרט" המחייב את רשויות המס להתחקות אחר הכוונה האמתית של הצדדים בכל עסקה ועסקה של רכישה עצמית דיספרופורציונית. בין היתר יהיה קושי משמעותי של הצדדים לעסקה לצפות מראש את האופן בו יסווג פקיד השומה את העסקה; קביעת פקיד השומה במקרים השונים עשויה לא להיות אחידה; ואף ייפתח פתח להתנהלות תכסיסני</w:t>
      </w:r>
      <w:r>
        <w:rPr>
          <w:rFonts w:hint="eastAsia"/>
          <w:rtl/>
        </w:rPr>
        <w:t>ת</w:t>
      </w:r>
      <w:r>
        <w:rPr>
          <w:rFonts w:hint="cs"/>
          <w:rtl/>
        </w:rPr>
        <w:t xml:space="preserve"> שייעודה יהיה לשוות לעסקאות חזות שתדמה אותם </w:t>
      </w:r>
      <w:r w:rsidRPr="00BB58CD">
        <w:rPr>
          <w:rFonts w:ascii="Century" w:hAnsi="Century" w:cs="Miriam" w:hint="eastAsia"/>
          <w:b/>
          <w:spacing w:val="0"/>
          <w:sz w:val="22"/>
          <w:szCs w:val="24"/>
          <w:rtl/>
        </w:rPr>
        <w:t>לדוגמא</w:t>
      </w:r>
      <w:r w:rsidRPr="00BB58CD">
        <w:rPr>
          <w:rFonts w:ascii="Century" w:hAnsi="Century" w:cs="Miriam"/>
          <w:b/>
          <w:spacing w:val="0"/>
          <w:sz w:val="22"/>
          <w:szCs w:val="24"/>
          <w:rtl/>
        </w:rPr>
        <w:t xml:space="preserve"> </w:t>
      </w:r>
      <w:r w:rsidRPr="00BB58CD">
        <w:rPr>
          <w:rFonts w:ascii="Century" w:hAnsi="Century" w:cs="Miriam" w:hint="eastAsia"/>
          <w:b/>
          <w:spacing w:val="0"/>
          <w:sz w:val="22"/>
          <w:szCs w:val="24"/>
          <w:rtl/>
        </w:rPr>
        <w:t>ג</w:t>
      </w:r>
      <w:r w:rsidRPr="00BB58CD">
        <w:rPr>
          <w:rFonts w:ascii="Century" w:hAnsi="Century" w:cs="Miriam"/>
          <w:b/>
          <w:spacing w:val="0"/>
          <w:sz w:val="22"/>
          <w:szCs w:val="24"/>
          <w:rtl/>
        </w:rPr>
        <w:t>'</w:t>
      </w:r>
      <w:r>
        <w:rPr>
          <w:rFonts w:hint="cs"/>
          <w:rtl/>
        </w:rPr>
        <w:t xml:space="preserve">, רק כדי לפטור את בעל המניות הנותר מתשלום מס ותוך ניצול לרעה של יתרון המידע שבידי הנישום מול פקיד השומה (ראו: פסקאות 51-52 לפסק דינו של השופט </w:t>
      </w:r>
      <w:r w:rsidRPr="00523949">
        <w:rPr>
          <w:rFonts w:ascii="Century" w:hAnsi="Century" w:cs="Miriam" w:hint="eastAsia"/>
          <w:b/>
          <w:spacing w:val="0"/>
          <w:sz w:val="22"/>
          <w:szCs w:val="24"/>
          <w:rtl/>
        </w:rPr>
        <w:t>א</w:t>
      </w:r>
      <w:r w:rsidRPr="00523949">
        <w:rPr>
          <w:rFonts w:ascii="Century" w:hAnsi="Century" w:cs="Miriam"/>
          <w:b/>
          <w:spacing w:val="0"/>
          <w:sz w:val="22"/>
          <w:szCs w:val="24"/>
          <w:rtl/>
        </w:rPr>
        <w:t xml:space="preserve">' </w:t>
      </w:r>
      <w:r w:rsidRPr="00523949">
        <w:rPr>
          <w:rFonts w:ascii="Century" w:hAnsi="Century" w:cs="Miriam" w:hint="eastAsia"/>
          <w:b/>
          <w:spacing w:val="0"/>
          <w:sz w:val="22"/>
          <w:szCs w:val="24"/>
          <w:rtl/>
        </w:rPr>
        <w:t>שטיין</w:t>
      </w:r>
      <w:r>
        <w:rPr>
          <w:rFonts w:hint="cs"/>
          <w:rtl/>
        </w:rPr>
        <w:t xml:space="preserve">). </w:t>
      </w:r>
    </w:p>
    <w:p w:rsidR="00A834E3" w:rsidRDefault="00A834E3" w:rsidP="00A834E3">
      <w:pPr>
        <w:pStyle w:val="Ruller38"/>
        <w:spacing w:line="360" w:lineRule="auto"/>
        <w:rPr>
          <w:rFonts w:ascii="Garamond" w:hAnsi="Garamond" w:cs="FrankRuehl"/>
          <w:spacing w:val="10"/>
          <w:sz w:val="24"/>
          <w:szCs w:val="28"/>
          <w:rtl/>
        </w:rPr>
      </w:pPr>
    </w:p>
    <w:p w:rsidR="00A834E3" w:rsidRDefault="00A834E3" w:rsidP="00A834E3">
      <w:pPr>
        <w:pStyle w:val="Ruller4"/>
        <w:numPr>
          <w:ilvl w:val="0"/>
          <w:numId w:val="0"/>
        </w:numPr>
        <w:rPr>
          <w:rtl/>
        </w:rPr>
      </w:pPr>
      <w:r>
        <w:rPr>
          <w:rtl/>
        </w:rPr>
        <w:tab/>
      </w:r>
      <w:r>
        <w:rPr>
          <w:rFonts w:hint="cs"/>
          <w:rtl/>
        </w:rPr>
        <w:t xml:space="preserve">לגישתו של חברי, מדובר בקושי שאינו שונה מקשיים אחרים הנוגעים לתכנוני מס, קושי שיש לפתור אותו באמצעות החלת חזקות עובדתיות ונטלי הוכחה בעסקאות כאלה. כך, כאשר הרכישה העצמית הדיספרופורציונית תבוצע בחברות פרטיות בכלל ובחברות מעטים בפרט </w:t>
      </w:r>
      <w:r>
        <w:rPr>
          <w:rtl/>
        </w:rPr>
        <w:softHyphen/>
        <w:t>–</w:t>
      </w:r>
      <w:r>
        <w:rPr>
          <w:rFonts w:hint="cs"/>
          <w:rtl/>
        </w:rPr>
        <w:t xml:space="preserve"> תקום חזקה עובדתית, הניתנת לסתירה, לפיה בעלי המניות הנותרים חילקו לעצמם דיבידנד; ומנגד, כאשר רכישה כאמור תתבצע בחברות ציבוריות </w:t>
      </w:r>
      <w:r>
        <w:rPr>
          <w:rtl/>
        </w:rPr>
        <w:lastRenderedPageBreak/>
        <w:t>–</w:t>
      </w:r>
      <w:r>
        <w:rPr>
          <w:rFonts w:hint="cs"/>
          <w:rtl/>
        </w:rPr>
        <w:t xml:space="preserve"> תקום חזקה עובדתית, הניתנת גם היא לסתירה, לפיה בעלי המניות הנותרים אינם זוכים להטבה אישית בת-מיסוי. </w:t>
      </w:r>
    </w:p>
    <w:p w:rsidR="00A834E3" w:rsidRDefault="00A834E3" w:rsidP="00A834E3">
      <w:pPr>
        <w:pStyle w:val="Ruller4"/>
        <w:numPr>
          <w:ilvl w:val="0"/>
          <w:numId w:val="0"/>
        </w:numPr>
        <w:rPr>
          <w:rtl/>
        </w:rPr>
      </w:pPr>
    </w:p>
    <w:p w:rsidR="00A834E3" w:rsidRDefault="00A834E3" w:rsidP="00A834E3">
      <w:pPr>
        <w:pStyle w:val="Ruller4"/>
        <w:numPr>
          <w:ilvl w:val="0"/>
          <w:numId w:val="0"/>
        </w:numPr>
        <w:rPr>
          <w:rtl/>
        </w:rPr>
      </w:pPr>
      <w:r>
        <w:rPr>
          <w:rtl/>
        </w:rPr>
        <w:tab/>
      </w:r>
      <w:r>
        <w:rPr>
          <w:rFonts w:hint="cs"/>
          <w:rtl/>
        </w:rPr>
        <w:t xml:space="preserve">כפי שיפורט להלן, אני סבורה </w:t>
      </w:r>
      <w:r w:rsidRPr="00E41BE8">
        <w:rPr>
          <w:rFonts w:ascii="Miriam" w:hAnsi="Miriam" w:cs="Miriam"/>
          <w:szCs w:val="24"/>
          <w:rtl/>
        </w:rPr>
        <w:t>ראשית</w:t>
      </w:r>
      <w:r>
        <w:rPr>
          <w:rFonts w:hint="cs"/>
          <w:rtl/>
        </w:rPr>
        <w:t>, כי יש להחיל דין אחיד על כל שלוש הדוגמאות שהציג חברי (הנוגעות כאמור לחברה פרטית בה ישנם שני בעלי מניות); ו</w:t>
      </w:r>
      <w:r w:rsidRPr="00E41BE8">
        <w:rPr>
          <w:rFonts w:ascii="Miriam" w:hAnsi="Miriam" w:cs="Miriam"/>
          <w:szCs w:val="24"/>
          <w:rtl/>
        </w:rPr>
        <w:t>שנית</w:t>
      </w:r>
      <w:r>
        <w:rPr>
          <w:rFonts w:hint="cs"/>
          <w:rtl/>
        </w:rPr>
        <w:t xml:space="preserve">, כי בחברות פרטיות כאלה, שהן "מעין שותפויות", יש לחייב את בעלי המניות הנותרים במס דיבידנד בשווי המכפלה של שיעור אחזקותיהם בחברה ערב העסקה בסכום שבו נרכשו מניותיו של בעל המניות היוצא. כפי שאבהיר, אינני רואה הכרח להתייחס במסגרת פסק הדין הנוכחי לשאלת סיווגה של רכישה עצמית דיספרופורציונית בחברות שאינן מעין שותפויות. להלן אפרט את נימוקיי. </w:t>
      </w:r>
    </w:p>
    <w:p w:rsidR="00A834E3" w:rsidRDefault="00A834E3" w:rsidP="00A834E3">
      <w:pPr>
        <w:pStyle w:val="Ruller38"/>
        <w:spacing w:line="360" w:lineRule="auto"/>
        <w:rPr>
          <w:rFonts w:ascii="Garamond" w:hAnsi="Garamond" w:cs="FrankRuehl"/>
          <w:spacing w:val="10"/>
          <w:sz w:val="24"/>
          <w:szCs w:val="28"/>
          <w:rtl/>
        </w:rPr>
      </w:pPr>
    </w:p>
    <w:p w:rsidR="00A834E3" w:rsidRPr="00B17847" w:rsidRDefault="00A834E3" w:rsidP="00A834E3">
      <w:pPr>
        <w:pStyle w:val="Ruller38"/>
        <w:spacing w:line="360" w:lineRule="auto"/>
        <w:rPr>
          <w:rFonts w:ascii="Century" w:hAnsi="Century" w:cs="Miriam"/>
          <w:b/>
          <w:szCs w:val="24"/>
          <w:rtl/>
        </w:rPr>
      </w:pPr>
      <w:r w:rsidRPr="00B17847">
        <w:rPr>
          <w:rFonts w:ascii="Century" w:hAnsi="Century" w:cs="Miriam"/>
          <w:b/>
          <w:szCs w:val="24"/>
          <w:rtl/>
        </w:rPr>
        <w:t>יש להחיל דין אחיד על כל שלוש הדוגמאות</w:t>
      </w:r>
    </w:p>
    <w:p w:rsidR="00A834E3" w:rsidRDefault="00A834E3" w:rsidP="00A834E3">
      <w:pPr>
        <w:pStyle w:val="Ruller38"/>
        <w:spacing w:line="360" w:lineRule="auto"/>
        <w:rPr>
          <w:rFonts w:ascii="Garamond" w:hAnsi="Garamond" w:cs="FrankRuehl"/>
          <w:spacing w:val="10"/>
          <w:sz w:val="24"/>
          <w:szCs w:val="28"/>
          <w:rtl/>
        </w:rPr>
      </w:pPr>
    </w:p>
    <w:p w:rsidR="00A834E3" w:rsidRDefault="00A834E3" w:rsidP="00A834E3">
      <w:pPr>
        <w:pStyle w:val="Ruller4"/>
        <w:rPr>
          <w:rtl/>
        </w:rPr>
      </w:pPr>
      <w:r>
        <w:rPr>
          <w:rFonts w:hint="cs"/>
          <w:rtl/>
        </w:rPr>
        <w:t xml:space="preserve">כאשר מדובר בדיני מס ישנה חשיבות רבה ביותר ליציבות, לאחידות ולוודאות (ע"א 2515/18 </w:t>
      </w:r>
      <w:r w:rsidRPr="00523949">
        <w:rPr>
          <w:rFonts w:ascii="Century" w:hAnsi="Century" w:cs="Miriam" w:hint="eastAsia"/>
          <w:b/>
          <w:spacing w:val="0"/>
          <w:sz w:val="22"/>
          <w:szCs w:val="24"/>
          <w:rtl/>
        </w:rPr>
        <w:t>חברת</w:t>
      </w:r>
      <w:r w:rsidRPr="00523949">
        <w:rPr>
          <w:rFonts w:ascii="Century" w:hAnsi="Century" w:cs="Miriam"/>
          <w:b/>
          <w:spacing w:val="0"/>
          <w:sz w:val="22"/>
          <w:szCs w:val="24"/>
          <w:rtl/>
        </w:rPr>
        <w:t xml:space="preserve"> </w:t>
      </w:r>
      <w:proofErr w:type="spellStart"/>
      <w:r w:rsidRPr="00523949">
        <w:rPr>
          <w:rFonts w:ascii="Century" w:hAnsi="Century" w:cs="Miriam" w:hint="eastAsia"/>
          <w:b/>
          <w:spacing w:val="0"/>
          <w:sz w:val="22"/>
          <w:szCs w:val="24"/>
          <w:rtl/>
        </w:rPr>
        <w:t>אם</w:t>
      </w:r>
      <w:r w:rsidRPr="00523949">
        <w:rPr>
          <w:rFonts w:ascii="Century" w:hAnsi="Century" w:cs="Miriam"/>
          <w:b/>
          <w:spacing w:val="0"/>
          <w:sz w:val="22"/>
          <w:szCs w:val="24"/>
          <w:rtl/>
        </w:rPr>
        <w:t>.סי.אל</w:t>
      </w:r>
      <w:proofErr w:type="spellEnd"/>
      <w:r w:rsidRPr="00523949">
        <w:rPr>
          <w:rFonts w:ascii="Century" w:hAnsi="Century" w:cs="Miriam"/>
          <w:b/>
          <w:spacing w:val="0"/>
          <w:sz w:val="22"/>
          <w:szCs w:val="24"/>
          <w:rtl/>
        </w:rPr>
        <w:t xml:space="preserve"> קניון דרורים בע"מ נ' פקיד שומה פתח תקווה </w:t>
      </w:r>
      <w:r>
        <w:rPr>
          <w:rFonts w:hint="cs"/>
          <w:rtl/>
        </w:rPr>
        <w:t xml:space="preserve">(17.6.2020) (להלן: עניין </w:t>
      </w:r>
      <w:r w:rsidRPr="00C736F5">
        <w:rPr>
          <w:rFonts w:ascii="Century" w:hAnsi="Century" w:cs="Miriam" w:hint="cs"/>
          <w:b/>
          <w:spacing w:val="0"/>
          <w:sz w:val="22"/>
          <w:szCs w:val="24"/>
          <w:rtl/>
        </w:rPr>
        <w:t>קניון דרורים</w:t>
      </w:r>
      <w:r>
        <w:rPr>
          <w:rFonts w:hint="cs"/>
          <w:rtl/>
        </w:rPr>
        <w:t>)). כפי שציין חברי, רציונל זה הוא שהוביל לכך שדיני המס מורכבים ברובם מ"כללים" משפטיים. הכללים המשפטיים, בשונה מ"סטנדרטים", מאופיינים לרוב ברמת פירוט ודיוק גבוהה המבטיחה יציבות וודאות בגביית המס כמו גם שוויון בין הנישומים. כדי להגשים תכליות אלה, צריכים הכללים המשפטיים להיות ברורים ופשוטים ככל האפשר, באופן שיאפשר לצדדים להבינם, לתכנן מראש את ענייניהם תוך צפייה ברמה גבוהה ככל האפשר של ודאות ביחס לתוצאת המס של העסקה שהם מבצעים. יתרה מכך, כללים בהירים מצמצמים גם את האפשרות של נישומים לפעול בצורה "</w:t>
      </w:r>
      <w:proofErr w:type="spellStart"/>
      <w:r>
        <w:rPr>
          <w:rFonts w:hint="cs"/>
          <w:rtl/>
        </w:rPr>
        <w:t>תכססנית</w:t>
      </w:r>
      <w:proofErr w:type="spellEnd"/>
      <w:r>
        <w:rPr>
          <w:rFonts w:hint="cs"/>
          <w:rtl/>
        </w:rPr>
        <w:t xml:space="preserve">" כדי להימנע מתשלום מס. </w:t>
      </w:r>
    </w:p>
    <w:p w:rsidR="00A834E3" w:rsidRDefault="00A834E3" w:rsidP="00A834E3">
      <w:pPr>
        <w:pStyle w:val="Ruller38"/>
        <w:spacing w:line="360" w:lineRule="auto"/>
        <w:rPr>
          <w:rFonts w:ascii="Garamond" w:hAnsi="Garamond" w:cs="FrankRuehl"/>
          <w:spacing w:val="10"/>
          <w:sz w:val="24"/>
          <w:szCs w:val="28"/>
          <w:rtl/>
        </w:rPr>
      </w:pPr>
    </w:p>
    <w:p w:rsidR="00A834E3" w:rsidRDefault="00A834E3" w:rsidP="00A834E3">
      <w:pPr>
        <w:pStyle w:val="Ruller4"/>
        <w:numPr>
          <w:ilvl w:val="0"/>
          <w:numId w:val="0"/>
        </w:numPr>
        <w:rPr>
          <w:rtl/>
        </w:rPr>
      </w:pPr>
      <w:r>
        <w:rPr>
          <w:rtl/>
        </w:rPr>
        <w:tab/>
      </w:r>
      <w:r>
        <w:rPr>
          <w:rFonts w:hint="cs"/>
          <w:rtl/>
        </w:rPr>
        <w:t xml:space="preserve">ככל שהקושי לסווג עסקאות הוא גדול יותר, ככל שיש לפקיד השומה שיקול דעת רחב יותר, וככל שנדרש ממנו להתחקות אחרי מטרות העסקה (ועל אחת כמה וכמה כאשר המטרות הן מטרות מעורבות), כך יגבר החשש של הצדדים כי העסקה שביצעו תסווג על ידי פקיד השומה באופן שונה מזה לו הם טענו; וכך תגבר המוטיבציה שלהם לאפיין את העסקה ואת הנסיבות שהובילו לביצועה בדרך שתתאים ל"מודל" הפטור ממס ולא לזה המחייב תשלום מס. </w:t>
      </w:r>
    </w:p>
    <w:p w:rsidR="00A834E3" w:rsidRDefault="00A834E3" w:rsidP="00A834E3">
      <w:pPr>
        <w:pStyle w:val="Ruller38"/>
        <w:spacing w:line="360" w:lineRule="auto"/>
        <w:rPr>
          <w:rFonts w:ascii="Garamond" w:hAnsi="Garamond" w:cs="FrankRuehl"/>
          <w:spacing w:val="10"/>
          <w:sz w:val="24"/>
          <w:szCs w:val="28"/>
          <w:rtl/>
        </w:rPr>
      </w:pPr>
    </w:p>
    <w:p w:rsidR="00A834E3" w:rsidRDefault="00A834E3" w:rsidP="00A834E3">
      <w:pPr>
        <w:pStyle w:val="Ruller4"/>
        <w:rPr>
          <w:rtl/>
        </w:rPr>
      </w:pPr>
      <w:r>
        <w:rPr>
          <w:rFonts w:hint="cs"/>
          <w:rtl/>
        </w:rPr>
        <w:t xml:space="preserve">אכן, הקושי בסיווג עסקאות והניסיון להתחקות אחרי מטרות הצדדים והכוונות שלהם אינו מאפיין רק מקרים של רכישת מניות דיספרופורציונית. אולם אני סבורה כי בהתייחס לרכישות כאלה בחברות שהן "מעין שותפות" כדוגמת החברות שלפנינו </w:t>
      </w:r>
      <w:r>
        <w:rPr>
          <w:rFonts w:hint="cs"/>
          <w:rtl/>
        </w:rPr>
        <w:lastRenderedPageBreak/>
        <w:t xml:space="preserve">וכדוגמת החברות שאליהן מתייחס חברי בפסק דינו, הקושי בהתחקות אחר המטרה הדומיננטית של העסקה ובהבחנה בין המטרות האפשרויות השונות, מצדיק קביעה אחידה שתביא לתוצאת מס אחידה בכל המקרים אליהם התייחס חברי. </w:t>
      </w:r>
    </w:p>
    <w:p w:rsidR="00A834E3" w:rsidRPr="003C71C2" w:rsidRDefault="00A834E3" w:rsidP="00A834E3">
      <w:pPr>
        <w:pStyle w:val="Ruller41"/>
      </w:pPr>
    </w:p>
    <w:p w:rsidR="00A834E3" w:rsidRDefault="00A834E3" w:rsidP="007174C8">
      <w:pPr>
        <w:pStyle w:val="Ruller4"/>
        <w:numPr>
          <w:ilvl w:val="0"/>
          <w:numId w:val="0"/>
        </w:numPr>
        <w:rPr>
          <w:rFonts w:ascii="Miriam" w:hAnsi="Miriam" w:cs="Miriam"/>
          <w:szCs w:val="24"/>
        </w:rPr>
      </w:pPr>
      <w:r>
        <w:rPr>
          <w:rtl/>
        </w:rPr>
        <w:tab/>
      </w:r>
      <w:r>
        <w:rPr>
          <w:rFonts w:hint="cs"/>
          <w:rtl/>
        </w:rPr>
        <w:t xml:space="preserve">חברות המאופיינות כ"מעין-שותפויות" הן חברות פרטיות עם מספר קטן של בעלי מניות שיש ביניהם יחסים אישיים הכרוכים באמון הדדי, ואשר מתנהלות ככלל מתוך הבנה אודות ניהול משותף של עסקי החברה (צפורה כהן </w:t>
      </w:r>
      <w:r w:rsidRPr="00523949">
        <w:rPr>
          <w:rFonts w:ascii="Century" w:hAnsi="Century" w:cs="Miriam" w:hint="eastAsia"/>
          <w:b/>
          <w:spacing w:val="0"/>
          <w:sz w:val="22"/>
          <w:szCs w:val="24"/>
          <w:rtl/>
        </w:rPr>
        <w:t>בעלי</w:t>
      </w:r>
      <w:r w:rsidRPr="00523949">
        <w:rPr>
          <w:rFonts w:ascii="Century" w:hAnsi="Century" w:cs="Miriam"/>
          <w:b/>
          <w:spacing w:val="0"/>
          <w:sz w:val="22"/>
          <w:szCs w:val="24"/>
          <w:rtl/>
        </w:rPr>
        <w:t xml:space="preserve"> </w:t>
      </w:r>
      <w:r w:rsidRPr="00523949">
        <w:rPr>
          <w:rFonts w:ascii="Century" w:hAnsi="Century" w:cs="Miriam" w:hint="eastAsia"/>
          <w:b/>
          <w:spacing w:val="0"/>
          <w:sz w:val="22"/>
          <w:szCs w:val="24"/>
          <w:rtl/>
        </w:rPr>
        <w:t>מניות</w:t>
      </w:r>
      <w:r w:rsidRPr="00523949">
        <w:rPr>
          <w:rFonts w:ascii="Century" w:hAnsi="Century" w:cs="Miriam"/>
          <w:b/>
          <w:spacing w:val="0"/>
          <w:sz w:val="22"/>
          <w:szCs w:val="24"/>
          <w:rtl/>
        </w:rPr>
        <w:t xml:space="preserve"> </w:t>
      </w:r>
      <w:r w:rsidRPr="00523949">
        <w:rPr>
          <w:rFonts w:ascii="Century" w:hAnsi="Century" w:cs="Miriam" w:hint="eastAsia"/>
          <w:b/>
          <w:spacing w:val="0"/>
          <w:sz w:val="22"/>
          <w:szCs w:val="24"/>
          <w:rtl/>
        </w:rPr>
        <w:t>בחברה</w:t>
      </w:r>
      <w:r w:rsidRPr="00523949">
        <w:rPr>
          <w:rFonts w:ascii="Century" w:hAnsi="Century" w:cs="Miriam"/>
          <w:b/>
          <w:spacing w:val="0"/>
          <w:sz w:val="22"/>
          <w:szCs w:val="24"/>
          <w:rtl/>
        </w:rPr>
        <w:t xml:space="preserve"> - </w:t>
      </w:r>
      <w:r w:rsidRPr="00523949">
        <w:rPr>
          <w:rFonts w:ascii="Century" w:hAnsi="Century" w:cs="Miriam" w:hint="eastAsia"/>
          <w:b/>
          <w:spacing w:val="0"/>
          <w:sz w:val="22"/>
          <w:szCs w:val="24"/>
          <w:rtl/>
        </w:rPr>
        <w:t>זכויות</w:t>
      </w:r>
      <w:r w:rsidRPr="00523949">
        <w:rPr>
          <w:rFonts w:ascii="Century" w:hAnsi="Century" w:cs="Miriam"/>
          <w:b/>
          <w:spacing w:val="0"/>
          <w:sz w:val="22"/>
          <w:szCs w:val="24"/>
          <w:rtl/>
        </w:rPr>
        <w:t xml:space="preserve"> </w:t>
      </w:r>
      <w:r w:rsidRPr="00523949">
        <w:rPr>
          <w:rFonts w:ascii="Century" w:hAnsi="Century" w:cs="Miriam" w:hint="eastAsia"/>
          <w:b/>
          <w:spacing w:val="0"/>
          <w:sz w:val="22"/>
          <w:szCs w:val="24"/>
          <w:rtl/>
        </w:rPr>
        <w:t>תביעה</w:t>
      </w:r>
      <w:r w:rsidRPr="00523949">
        <w:rPr>
          <w:rFonts w:ascii="Century" w:hAnsi="Century" w:cs="Miriam"/>
          <w:b/>
          <w:spacing w:val="0"/>
          <w:sz w:val="22"/>
          <w:szCs w:val="24"/>
          <w:rtl/>
        </w:rPr>
        <w:t xml:space="preserve"> </w:t>
      </w:r>
      <w:r w:rsidRPr="00523949">
        <w:rPr>
          <w:rFonts w:ascii="Century" w:hAnsi="Century" w:cs="Miriam" w:hint="eastAsia"/>
          <w:b/>
          <w:spacing w:val="0"/>
          <w:sz w:val="22"/>
          <w:szCs w:val="24"/>
          <w:rtl/>
        </w:rPr>
        <w:t>ותרופות</w:t>
      </w:r>
      <w:r w:rsidRPr="00523949">
        <w:rPr>
          <w:rFonts w:ascii="Century" w:hAnsi="Century" w:cs="Miriam"/>
          <w:b/>
          <w:spacing w:val="0"/>
          <w:sz w:val="22"/>
          <w:szCs w:val="24"/>
          <w:rtl/>
        </w:rPr>
        <w:t xml:space="preserve"> - </w:t>
      </w:r>
      <w:r w:rsidRPr="00523949">
        <w:rPr>
          <w:rFonts w:ascii="Century" w:hAnsi="Century" w:cs="Miriam" w:hint="eastAsia"/>
          <w:b/>
          <w:spacing w:val="0"/>
          <w:sz w:val="22"/>
          <w:szCs w:val="24"/>
          <w:rtl/>
        </w:rPr>
        <w:t>כרך</w:t>
      </w:r>
      <w:r w:rsidRPr="00523949">
        <w:rPr>
          <w:rFonts w:ascii="Century" w:hAnsi="Century" w:cs="Miriam"/>
          <w:b/>
          <w:spacing w:val="0"/>
          <w:sz w:val="22"/>
          <w:szCs w:val="24"/>
          <w:rtl/>
        </w:rPr>
        <w:t xml:space="preserve"> </w:t>
      </w:r>
      <w:r w:rsidRPr="00523949">
        <w:rPr>
          <w:rFonts w:ascii="Century" w:hAnsi="Century" w:cs="Miriam" w:hint="eastAsia"/>
          <w:b/>
          <w:spacing w:val="0"/>
          <w:sz w:val="22"/>
          <w:szCs w:val="24"/>
          <w:rtl/>
        </w:rPr>
        <w:t>א</w:t>
      </w:r>
      <w:r w:rsidRPr="00523949">
        <w:rPr>
          <w:rFonts w:ascii="Century" w:hAnsi="Century" w:cs="Miriam"/>
          <w:b/>
          <w:spacing w:val="0"/>
          <w:sz w:val="22"/>
          <w:szCs w:val="24"/>
          <w:rtl/>
        </w:rPr>
        <w:t>'</w:t>
      </w:r>
      <w:r>
        <w:rPr>
          <w:rFonts w:hint="cs"/>
          <w:rtl/>
        </w:rPr>
        <w:t xml:space="preserve">, עמוד 322 (2006) (להלן: </w:t>
      </w:r>
      <w:r w:rsidRPr="00BB58CD">
        <w:rPr>
          <w:rFonts w:ascii="Century" w:hAnsi="Century" w:cs="Miriam" w:hint="eastAsia"/>
          <w:b/>
          <w:spacing w:val="0"/>
          <w:sz w:val="22"/>
          <w:szCs w:val="24"/>
          <w:rtl/>
        </w:rPr>
        <w:t>צפורה</w:t>
      </w:r>
      <w:r w:rsidRPr="00BB58CD">
        <w:rPr>
          <w:rFonts w:ascii="Century" w:hAnsi="Century" w:cs="Miriam"/>
          <w:b/>
          <w:spacing w:val="0"/>
          <w:sz w:val="22"/>
          <w:szCs w:val="24"/>
          <w:rtl/>
        </w:rPr>
        <w:t xml:space="preserve"> </w:t>
      </w:r>
      <w:r w:rsidRPr="00BB58CD">
        <w:rPr>
          <w:rFonts w:ascii="Century" w:hAnsi="Century" w:cs="Miriam" w:hint="eastAsia"/>
          <w:b/>
          <w:spacing w:val="0"/>
          <w:sz w:val="22"/>
          <w:szCs w:val="24"/>
          <w:rtl/>
        </w:rPr>
        <w:t>כהן</w:t>
      </w:r>
      <w:r>
        <w:rPr>
          <w:rFonts w:hint="cs"/>
          <w:rtl/>
        </w:rPr>
        <w:t xml:space="preserve">); ראו גם: ע"א 8712/13 </w:t>
      </w:r>
      <w:r w:rsidRPr="00CB45D2">
        <w:rPr>
          <w:rFonts w:ascii="Century" w:hAnsi="Century" w:cs="Miriam" w:hint="cs"/>
          <w:b/>
          <w:spacing w:val="0"/>
          <w:sz w:val="22"/>
          <w:szCs w:val="24"/>
          <w:rtl/>
        </w:rPr>
        <w:t>אדלר נ' לבנת</w:t>
      </w:r>
      <w:r>
        <w:rPr>
          <w:rFonts w:hint="cs"/>
          <w:rtl/>
        </w:rPr>
        <w:t xml:space="preserve">, פסקה 77 (19.9.2015) (להלן: </w:t>
      </w:r>
      <w:r w:rsidRPr="00690EED">
        <w:rPr>
          <w:rFonts w:ascii="Century" w:hAnsi="Century" w:cs="Miriam" w:hint="cs"/>
          <w:b/>
          <w:spacing w:val="0"/>
          <w:sz w:val="22"/>
          <w:szCs w:val="24"/>
          <w:rtl/>
        </w:rPr>
        <w:t>עניין אדלר</w:t>
      </w:r>
      <w:r>
        <w:rPr>
          <w:rFonts w:hint="cs"/>
          <w:rtl/>
        </w:rPr>
        <w:t>) שם עמד בית משפט זה על מספר מבחני עזר שניתן לעשות בהם שימוש לצורך הקביעה האם מדובר בחברה שהיא מעין-שותפות).</w:t>
      </w:r>
      <w:r>
        <w:rPr>
          <w:rFonts w:ascii="Century" w:hAnsi="Century" w:hint="cs"/>
          <w:sz w:val="22"/>
          <w:rtl/>
        </w:rPr>
        <w:t xml:space="preserve"> </w:t>
      </w:r>
    </w:p>
    <w:p w:rsidR="00A834E3" w:rsidRPr="007C1ED0" w:rsidRDefault="00A834E3" w:rsidP="007174C8">
      <w:pPr>
        <w:pStyle w:val="Ruller4"/>
        <w:numPr>
          <w:ilvl w:val="0"/>
          <w:numId w:val="0"/>
        </w:numPr>
        <w:rPr>
          <w:rFonts w:ascii="Century" w:hAnsi="Century"/>
          <w:rtl/>
        </w:rPr>
      </w:pPr>
    </w:p>
    <w:p w:rsidR="00A834E3" w:rsidRDefault="00A834E3" w:rsidP="00A834E3">
      <w:pPr>
        <w:pStyle w:val="Ruller41"/>
        <w:rPr>
          <w:rtl/>
        </w:rPr>
      </w:pPr>
      <w:r>
        <w:rPr>
          <w:rtl/>
        </w:rPr>
        <w:tab/>
      </w:r>
      <w:r>
        <w:rPr>
          <w:rFonts w:hint="cs"/>
          <w:rtl/>
        </w:rPr>
        <w:t>למעשה, מעין-שותפויות הן מבחינות מסוימות "יצירי ביניים" בין חברות לבין שותפויות (</w:t>
      </w:r>
      <w:r w:rsidRPr="00BB58CD">
        <w:rPr>
          <w:rFonts w:ascii="Century" w:hAnsi="Century" w:cs="Miriam" w:hint="eastAsia"/>
          <w:b/>
          <w:spacing w:val="0"/>
          <w:szCs w:val="24"/>
          <w:rtl/>
        </w:rPr>
        <w:t>צפורה</w:t>
      </w:r>
      <w:r w:rsidRPr="00BB58CD">
        <w:rPr>
          <w:rFonts w:ascii="Century" w:hAnsi="Century" w:cs="Miriam"/>
          <w:b/>
          <w:spacing w:val="0"/>
          <w:szCs w:val="24"/>
          <w:rtl/>
        </w:rPr>
        <w:t xml:space="preserve"> </w:t>
      </w:r>
      <w:r w:rsidRPr="00BB58CD">
        <w:rPr>
          <w:rFonts w:ascii="Century" w:hAnsi="Century" w:cs="Miriam" w:hint="eastAsia"/>
          <w:b/>
          <w:spacing w:val="0"/>
          <w:szCs w:val="24"/>
          <w:rtl/>
        </w:rPr>
        <w:t>כהן</w:t>
      </w:r>
      <w:r>
        <w:rPr>
          <w:rFonts w:hint="cs"/>
          <w:rtl/>
        </w:rPr>
        <w:t xml:space="preserve">, שם; עניין </w:t>
      </w:r>
      <w:r w:rsidRPr="00BB58CD">
        <w:rPr>
          <w:rFonts w:ascii="Century" w:hAnsi="Century" w:cs="Miriam" w:hint="eastAsia"/>
          <w:b/>
          <w:spacing w:val="0"/>
          <w:szCs w:val="24"/>
          <w:rtl/>
        </w:rPr>
        <w:t>אדלר</w:t>
      </w:r>
      <w:r>
        <w:rPr>
          <w:rFonts w:hint="cs"/>
          <w:rtl/>
        </w:rPr>
        <w:t xml:space="preserve">, פסקה 74). ככאלה, ישנם מקרים שבהם קיימת הצדקה שלא להתייחס אל החברה כאל יחידה עצמאית הנפרדת מהשותפים המרכיבים אותה, אלא כאוסף של יחידים המנהלים יחד עסק משותף, תוך זהות ביניהם לבין החברה. כך, למשל, הכיר בית המשפט בחברות כאלה ביחסי אמון החלים בין בעלי המניות לבין עצמם ולא רק כלפי החברה באופן שעשוי להקים חובות שונות בין בעלי המניות; כמו כן, נקבע כי מכוח יחסי האמון בין בעלי המניות בחברות שהן מעין-שותפויות ישנם מקרים בהם ניתן לראות בעילת תביעה של החברה כעילת תביעה אישית של בעל מניה; וכן נקבע כי אובדן האמון בין בעלי המניות עשוי להוות עילה להפרדת כוחות בין השותפים בחברה (ראו: עניין </w:t>
      </w:r>
      <w:r w:rsidRPr="00690EED">
        <w:rPr>
          <w:rFonts w:ascii="Century" w:hAnsi="Century" w:cs="Miriam" w:hint="cs"/>
          <w:b/>
          <w:spacing w:val="0"/>
          <w:szCs w:val="24"/>
          <w:rtl/>
        </w:rPr>
        <w:t>אדלר</w:t>
      </w:r>
      <w:r>
        <w:rPr>
          <w:rFonts w:hint="cs"/>
          <w:rtl/>
        </w:rPr>
        <w:t xml:space="preserve">; רע"א 5337/17 </w:t>
      </w:r>
      <w:r w:rsidRPr="00690EED">
        <w:rPr>
          <w:rFonts w:ascii="Century" w:hAnsi="Century" w:cs="Miriam" w:hint="cs"/>
          <w:b/>
          <w:spacing w:val="0"/>
          <w:szCs w:val="24"/>
          <w:rtl/>
        </w:rPr>
        <w:t>כץ נ' כץ</w:t>
      </w:r>
      <w:r>
        <w:rPr>
          <w:rFonts w:hint="cs"/>
          <w:rtl/>
        </w:rPr>
        <w:t xml:space="preserve">, פסקאות 21-22 וההפניות שם (31.7.2017)). </w:t>
      </w:r>
    </w:p>
    <w:p w:rsidR="00A834E3" w:rsidRPr="00523949" w:rsidRDefault="00A834E3" w:rsidP="00A834E3">
      <w:pPr>
        <w:pStyle w:val="Ruller41"/>
      </w:pPr>
    </w:p>
    <w:p w:rsidR="00A834E3" w:rsidRPr="00523949" w:rsidRDefault="00A834E3" w:rsidP="00A834E3">
      <w:pPr>
        <w:pStyle w:val="Ruller4"/>
        <w:rPr>
          <w:rFonts w:ascii="Century" w:hAnsi="Century"/>
          <w:rtl/>
        </w:rPr>
      </w:pPr>
      <w:r w:rsidRPr="00523949">
        <w:rPr>
          <w:rFonts w:ascii="Century" w:hAnsi="Century" w:hint="eastAsia"/>
          <w:sz w:val="22"/>
          <w:rtl/>
        </w:rPr>
        <w:t>לאור</w:t>
      </w:r>
      <w:r w:rsidRPr="00523949">
        <w:rPr>
          <w:rFonts w:ascii="Century" w:hAnsi="Century"/>
          <w:sz w:val="22"/>
          <w:rtl/>
        </w:rPr>
        <w:t xml:space="preserve"> המאפיינים הייחודים של חברות שהן מעין-שותפויות אני סבורה כי </w:t>
      </w:r>
      <w:r>
        <w:rPr>
          <w:rFonts w:ascii="Century" w:hAnsi="Century" w:hint="cs"/>
          <w:sz w:val="22"/>
          <w:rtl/>
        </w:rPr>
        <w:t xml:space="preserve">ישנו קושי משמעותי ביישום </w:t>
      </w:r>
      <w:r w:rsidRPr="00523949">
        <w:rPr>
          <w:rFonts w:ascii="Century" w:hAnsi="Century"/>
          <w:sz w:val="22"/>
          <w:rtl/>
        </w:rPr>
        <w:t>המבחן אותו קבע חברי בפסק דינו</w:t>
      </w:r>
      <w:r>
        <w:rPr>
          <w:rFonts w:ascii="Century" w:hAnsi="Century" w:hint="cs"/>
          <w:sz w:val="22"/>
          <w:rtl/>
        </w:rPr>
        <w:t>,</w:t>
      </w:r>
      <w:r w:rsidRPr="00523949">
        <w:rPr>
          <w:rFonts w:ascii="Century" w:hAnsi="Century"/>
          <w:sz w:val="22"/>
          <w:rtl/>
        </w:rPr>
        <w:t xml:space="preserve"> </w:t>
      </w:r>
      <w:r>
        <w:rPr>
          <w:rFonts w:ascii="Century" w:hAnsi="Century" w:hint="cs"/>
          <w:sz w:val="22"/>
          <w:rtl/>
        </w:rPr>
        <w:t>ואימוצו עשוי להחטיא את המטרה של גביית מס אמת כמו גם את התכלית של ודאות ואחידות בגביית המס</w:t>
      </w:r>
      <w:r w:rsidRPr="00523949">
        <w:rPr>
          <w:rFonts w:ascii="Century" w:hAnsi="Century"/>
          <w:sz w:val="22"/>
          <w:rtl/>
        </w:rPr>
        <w:t xml:space="preserve">. </w:t>
      </w:r>
    </w:p>
    <w:p w:rsidR="00A834E3" w:rsidRPr="00523949" w:rsidRDefault="00A834E3" w:rsidP="00A834E3">
      <w:pPr>
        <w:pStyle w:val="Ruller41"/>
      </w:pPr>
    </w:p>
    <w:p w:rsidR="00A834E3" w:rsidRDefault="00A834E3" w:rsidP="007174C8">
      <w:pPr>
        <w:pStyle w:val="Ruller4"/>
        <w:numPr>
          <w:ilvl w:val="0"/>
          <w:numId w:val="0"/>
        </w:numPr>
        <w:rPr>
          <w:rFonts w:ascii="Miriam" w:hAnsi="Miriam" w:cs="Miriam"/>
          <w:szCs w:val="24"/>
          <w:rtl/>
        </w:rPr>
      </w:pPr>
      <w:r>
        <w:rPr>
          <w:rFonts w:ascii="Miriam" w:hAnsi="Miriam" w:cs="Miriam"/>
          <w:szCs w:val="24"/>
          <w:rtl/>
        </w:rPr>
        <w:tab/>
      </w:r>
      <w:r>
        <w:rPr>
          <w:rFonts w:hint="cs"/>
          <w:rtl/>
        </w:rPr>
        <w:t xml:space="preserve">כאשר מדובר בחברות שהן מעין-שותפות, ההבדלים בין שלוש הדוגמאות אליהן התייחס חברי, הנבדלות ביניהן לכאורה במניע העיקרי בבסיס העסקה, הם דקים מיני דקים. בשים לב למאפייניה הייחודים של חברה שהיא מעין-שותפות, ברי כי ההבחנה בין סכסוך בחברה שהיא מעין-שותפות שהיה ונותר במישור היחסים התאגידי; לבין סכסוך בין בעלי המניות בחברה כזו ב"כובעם הפרטי" של בעלי המניות מבלי שיתלווה </w:t>
      </w:r>
      <w:r>
        <w:rPr>
          <w:rFonts w:hint="cs"/>
          <w:rtl/>
        </w:rPr>
        <w:lastRenderedPageBreak/>
        <w:t xml:space="preserve">לכך אינטרס של החברה כחברה, היא הבחנה שלא זו בלבד שלפקיד השומה יהיה קושי גדול מאוד לערוך, אלא שספק אם הצדדים עצמם יוכלו לבצע. </w:t>
      </w:r>
    </w:p>
    <w:p w:rsidR="00A834E3" w:rsidRDefault="00A834E3" w:rsidP="00A834E3">
      <w:pPr>
        <w:pStyle w:val="Ruller38"/>
        <w:spacing w:line="360" w:lineRule="auto"/>
        <w:rPr>
          <w:rFonts w:ascii="Miriam" w:hAnsi="Miriam" w:cs="Miriam"/>
          <w:spacing w:val="10"/>
          <w:sz w:val="24"/>
          <w:szCs w:val="24"/>
          <w:rtl/>
        </w:rPr>
      </w:pPr>
    </w:p>
    <w:p w:rsidR="00A834E3" w:rsidRDefault="00A834E3" w:rsidP="007174C8">
      <w:pPr>
        <w:pStyle w:val="Ruller4"/>
        <w:numPr>
          <w:ilvl w:val="0"/>
          <w:numId w:val="0"/>
        </w:numPr>
        <w:rPr>
          <w:rtl/>
        </w:rPr>
      </w:pPr>
      <w:r w:rsidRPr="00523949">
        <w:rPr>
          <w:rFonts w:ascii="Century" w:hAnsi="Century"/>
          <w:sz w:val="22"/>
          <w:rtl/>
        </w:rPr>
        <w:tab/>
      </w:r>
      <w:r>
        <w:rPr>
          <w:rFonts w:ascii="Century" w:hAnsi="Century" w:hint="cs"/>
          <w:sz w:val="22"/>
          <w:rtl/>
        </w:rPr>
        <w:t>בהתאם לכך</w:t>
      </w:r>
      <w:r w:rsidRPr="00523949">
        <w:rPr>
          <w:rFonts w:ascii="Century" w:hAnsi="Century"/>
          <w:sz w:val="22"/>
          <w:rtl/>
        </w:rPr>
        <w:t xml:space="preserve">, גם ההבחנה בין החלטה </w:t>
      </w:r>
      <w:r>
        <w:rPr>
          <w:rFonts w:hint="cs"/>
          <w:rtl/>
        </w:rPr>
        <w:t xml:space="preserve">המקדמת את "טובת החברה" כאישיות משפטית שהיא נפרדת מזו של בעלי המניות, היא קביעה מובהקת פחות ומלאכותית יותר כאשר מדובר בחברות כאלה. טובת החברה וטובתם של בעלי המניות מעורבות זו בזו במידה רבה יותר ככל שמדובר בחברה שהיא "מעין שותפות", באופן המקשה מאוד על הבחנה בינארית בין רכישת המניות שהיא "לטובת החברה" לבין רכישת מניות שנועדה לשרת רק את האינטרסים של בעלי מניותיה. </w:t>
      </w:r>
    </w:p>
    <w:p w:rsidR="00A834E3" w:rsidRDefault="00A834E3" w:rsidP="00A834E3">
      <w:pPr>
        <w:pStyle w:val="Ruller38"/>
        <w:spacing w:line="360" w:lineRule="auto"/>
        <w:rPr>
          <w:rFonts w:ascii="Garamond" w:hAnsi="Garamond" w:cs="FrankRuehl"/>
          <w:spacing w:val="10"/>
          <w:sz w:val="24"/>
          <w:szCs w:val="28"/>
          <w:rtl/>
        </w:rPr>
      </w:pPr>
    </w:p>
    <w:p w:rsidR="00A834E3" w:rsidRDefault="00A834E3" w:rsidP="007174C8">
      <w:pPr>
        <w:pStyle w:val="Ruller4"/>
        <w:numPr>
          <w:ilvl w:val="0"/>
          <w:numId w:val="0"/>
        </w:numPr>
        <w:rPr>
          <w:rtl/>
        </w:rPr>
      </w:pPr>
      <w:r>
        <w:rPr>
          <w:rtl/>
        </w:rPr>
        <w:tab/>
      </w:r>
      <w:r>
        <w:rPr>
          <w:rFonts w:ascii="Century" w:hAnsi="Century" w:hint="cs"/>
          <w:sz w:val="22"/>
          <w:rtl/>
        </w:rPr>
        <w:t xml:space="preserve">לא זו אף זו; </w:t>
      </w:r>
      <w:r>
        <w:rPr>
          <w:rFonts w:hint="cs"/>
          <w:rtl/>
        </w:rPr>
        <w:t xml:space="preserve">חברה שהיא מעין-שותפות מאופיינת כאמור במספר מצומצם של בעלי מניות ובכך שלכל אחד מהם יש על-פי רוב ציפייה לגיטימית לניהול משותף (רע"א 9646/04 </w:t>
      </w:r>
      <w:proofErr w:type="spellStart"/>
      <w:r w:rsidRPr="00BB58CD">
        <w:rPr>
          <w:rFonts w:ascii="Century" w:hAnsi="Century" w:cs="Miriam" w:hint="eastAsia"/>
          <w:b/>
          <w:spacing w:val="0"/>
          <w:sz w:val="22"/>
          <w:szCs w:val="24"/>
          <w:rtl/>
        </w:rPr>
        <w:t>חסקי</w:t>
      </w:r>
      <w:proofErr w:type="spellEnd"/>
      <w:r w:rsidRPr="00BB58CD">
        <w:rPr>
          <w:rFonts w:ascii="Century" w:hAnsi="Century" w:cs="Miriam"/>
          <w:b/>
          <w:spacing w:val="0"/>
          <w:sz w:val="22"/>
          <w:szCs w:val="24"/>
          <w:rtl/>
        </w:rPr>
        <w:t xml:space="preserve"> </w:t>
      </w:r>
      <w:r w:rsidRPr="00BB58CD">
        <w:rPr>
          <w:rFonts w:ascii="Century" w:hAnsi="Century" w:cs="Miriam" w:hint="eastAsia"/>
          <w:b/>
          <w:spacing w:val="0"/>
          <w:sz w:val="22"/>
          <w:szCs w:val="24"/>
          <w:rtl/>
        </w:rPr>
        <w:t>אלון</w:t>
      </w:r>
      <w:r w:rsidRPr="00BB58CD">
        <w:rPr>
          <w:rFonts w:ascii="Century" w:hAnsi="Century" w:cs="Miriam"/>
          <w:b/>
          <w:spacing w:val="0"/>
          <w:sz w:val="22"/>
          <w:szCs w:val="24"/>
          <w:rtl/>
        </w:rPr>
        <w:t xml:space="preserve"> </w:t>
      </w:r>
      <w:r w:rsidRPr="00BB58CD">
        <w:rPr>
          <w:rFonts w:ascii="Century" w:hAnsi="Century" w:cs="Miriam" w:hint="eastAsia"/>
          <w:b/>
          <w:spacing w:val="0"/>
          <w:sz w:val="22"/>
          <w:szCs w:val="24"/>
          <w:rtl/>
        </w:rPr>
        <w:t>ייזום</w:t>
      </w:r>
      <w:r w:rsidRPr="00BB58CD">
        <w:rPr>
          <w:rFonts w:ascii="Century" w:hAnsi="Century" w:cs="Miriam"/>
          <w:b/>
          <w:spacing w:val="0"/>
          <w:sz w:val="22"/>
          <w:szCs w:val="24"/>
          <w:rtl/>
        </w:rPr>
        <w:t xml:space="preserve"> </w:t>
      </w:r>
      <w:r w:rsidRPr="00BB58CD">
        <w:rPr>
          <w:rFonts w:ascii="Century" w:hAnsi="Century" w:cs="Miriam" w:hint="eastAsia"/>
          <w:b/>
          <w:spacing w:val="0"/>
          <w:sz w:val="22"/>
          <w:szCs w:val="24"/>
          <w:rtl/>
        </w:rPr>
        <w:t>בניה</w:t>
      </w:r>
      <w:r w:rsidRPr="00BB58CD">
        <w:rPr>
          <w:rFonts w:ascii="Century" w:hAnsi="Century" w:cs="Miriam"/>
          <w:b/>
          <w:spacing w:val="0"/>
          <w:sz w:val="22"/>
          <w:szCs w:val="24"/>
          <w:rtl/>
        </w:rPr>
        <w:t xml:space="preserve"> </w:t>
      </w:r>
      <w:r w:rsidRPr="00BB58CD">
        <w:rPr>
          <w:rFonts w:ascii="Century" w:hAnsi="Century" w:cs="Miriam" w:hint="eastAsia"/>
          <w:b/>
          <w:spacing w:val="0"/>
          <w:sz w:val="22"/>
          <w:szCs w:val="24"/>
          <w:rtl/>
        </w:rPr>
        <w:t>והשקעות</w:t>
      </w:r>
      <w:r w:rsidRPr="00BB58CD">
        <w:rPr>
          <w:rFonts w:ascii="Century" w:hAnsi="Century" w:cs="Miriam"/>
          <w:b/>
          <w:spacing w:val="0"/>
          <w:sz w:val="22"/>
          <w:szCs w:val="24"/>
          <w:rtl/>
        </w:rPr>
        <w:t xml:space="preserve"> </w:t>
      </w:r>
      <w:r w:rsidRPr="00BB58CD">
        <w:rPr>
          <w:rFonts w:ascii="Century" w:hAnsi="Century" w:cs="Miriam" w:hint="eastAsia"/>
          <w:b/>
          <w:spacing w:val="0"/>
          <w:sz w:val="22"/>
          <w:szCs w:val="24"/>
          <w:rtl/>
        </w:rPr>
        <w:t>בע</w:t>
      </w:r>
      <w:r w:rsidRPr="00BB58CD">
        <w:rPr>
          <w:rFonts w:ascii="Century" w:hAnsi="Century" w:cs="Miriam"/>
          <w:b/>
          <w:spacing w:val="0"/>
          <w:sz w:val="22"/>
          <w:szCs w:val="24"/>
          <w:rtl/>
        </w:rPr>
        <w:t>"</w:t>
      </w:r>
      <w:r w:rsidRPr="00BB58CD">
        <w:rPr>
          <w:rFonts w:ascii="Century" w:hAnsi="Century" w:cs="Miriam" w:hint="eastAsia"/>
          <w:b/>
          <w:spacing w:val="0"/>
          <w:sz w:val="22"/>
          <w:szCs w:val="24"/>
          <w:rtl/>
        </w:rPr>
        <w:t>מ</w:t>
      </w:r>
      <w:r w:rsidRPr="00BB58CD">
        <w:rPr>
          <w:rFonts w:ascii="Century" w:hAnsi="Century" w:cs="Miriam"/>
          <w:b/>
          <w:spacing w:val="0"/>
          <w:sz w:val="22"/>
          <w:szCs w:val="24"/>
          <w:rtl/>
        </w:rPr>
        <w:t xml:space="preserve"> </w:t>
      </w:r>
      <w:r w:rsidRPr="00BB58CD">
        <w:rPr>
          <w:rFonts w:ascii="Century" w:hAnsi="Century" w:cs="Miriam" w:hint="eastAsia"/>
          <w:b/>
          <w:spacing w:val="0"/>
          <w:sz w:val="22"/>
          <w:szCs w:val="24"/>
          <w:rtl/>
        </w:rPr>
        <w:t>נ</w:t>
      </w:r>
      <w:r w:rsidRPr="00BB58CD">
        <w:rPr>
          <w:rFonts w:ascii="Century" w:hAnsi="Century" w:cs="Miriam"/>
          <w:b/>
          <w:spacing w:val="0"/>
          <w:sz w:val="22"/>
          <w:szCs w:val="24"/>
          <w:rtl/>
        </w:rPr>
        <w:t xml:space="preserve">' </w:t>
      </w:r>
      <w:r w:rsidRPr="00BB58CD">
        <w:rPr>
          <w:rFonts w:ascii="Century" w:hAnsi="Century" w:cs="Miriam" w:hint="eastAsia"/>
          <w:b/>
          <w:spacing w:val="0"/>
          <w:sz w:val="22"/>
          <w:szCs w:val="24"/>
          <w:rtl/>
        </w:rPr>
        <w:t>אריה</w:t>
      </w:r>
      <w:r w:rsidRPr="00BB58CD">
        <w:rPr>
          <w:rFonts w:ascii="Century" w:hAnsi="Century" w:cs="Miriam"/>
          <w:b/>
          <w:spacing w:val="0"/>
          <w:sz w:val="22"/>
          <w:szCs w:val="24"/>
          <w:rtl/>
        </w:rPr>
        <w:t xml:space="preserve"> </w:t>
      </w:r>
      <w:r w:rsidRPr="00BB58CD">
        <w:rPr>
          <w:rFonts w:ascii="Century" w:hAnsi="Century" w:cs="Miriam" w:hint="eastAsia"/>
          <w:b/>
          <w:spacing w:val="0"/>
          <w:sz w:val="22"/>
          <w:szCs w:val="24"/>
          <w:rtl/>
        </w:rPr>
        <w:t>מיכלסון</w:t>
      </w:r>
      <w:r w:rsidRPr="00BB58CD">
        <w:rPr>
          <w:rFonts w:ascii="Century" w:hAnsi="Century" w:cs="Miriam"/>
          <w:b/>
          <w:spacing w:val="0"/>
          <w:sz w:val="22"/>
          <w:szCs w:val="24"/>
          <w:rtl/>
        </w:rPr>
        <w:t xml:space="preserve"> </w:t>
      </w:r>
      <w:r w:rsidRPr="00BB58CD">
        <w:rPr>
          <w:rFonts w:ascii="Century" w:hAnsi="Century" w:cs="Miriam" w:hint="eastAsia"/>
          <w:b/>
          <w:spacing w:val="0"/>
          <w:sz w:val="22"/>
          <w:szCs w:val="24"/>
          <w:rtl/>
        </w:rPr>
        <w:t>חברה</w:t>
      </w:r>
      <w:r w:rsidRPr="00BB58CD">
        <w:rPr>
          <w:rFonts w:ascii="Century" w:hAnsi="Century" w:cs="Miriam"/>
          <w:b/>
          <w:spacing w:val="0"/>
          <w:sz w:val="22"/>
          <w:szCs w:val="24"/>
          <w:rtl/>
        </w:rPr>
        <w:t xml:space="preserve"> </w:t>
      </w:r>
      <w:r w:rsidRPr="00BB58CD">
        <w:rPr>
          <w:rFonts w:ascii="Century" w:hAnsi="Century" w:cs="Miriam" w:hint="eastAsia"/>
          <w:b/>
          <w:spacing w:val="0"/>
          <w:sz w:val="22"/>
          <w:szCs w:val="24"/>
          <w:rtl/>
        </w:rPr>
        <w:t>ליזמות</w:t>
      </w:r>
      <w:r w:rsidRPr="00BB58CD">
        <w:rPr>
          <w:rFonts w:ascii="Century" w:hAnsi="Century" w:cs="Miriam"/>
          <w:b/>
          <w:spacing w:val="0"/>
          <w:sz w:val="22"/>
          <w:szCs w:val="24"/>
          <w:rtl/>
        </w:rPr>
        <w:t xml:space="preserve"> </w:t>
      </w:r>
      <w:r w:rsidRPr="00BB58CD">
        <w:rPr>
          <w:rFonts w:ascii="Century" w:hAnsi="Century" w:cs="Miriam" w:hint="eastAsia"/>
          <w:b/>
          <w:spacing w:val="0"/>
          <w:sz w:val="22"/>
          <w:szCs w:val="24"/>
          <w:rtl/>
        </w:rPr>
        <w:t>בע</w:t>
      </w:r>
      <w:r w:rsidRPr="00BB58CD">
        <w:rPr>
          <w:rFonts w:ascii="Century" w:hAnsi="Century" w:cs="Miriam"/>
          <w:b/>
          <w:spacing w:val="0"/>
          <w:sz w:val="22"/>
          <w:szCs w:val="24"/>
          <w:rtl/>
        </w:rPr>
        <w:t>"</w:t>
      </w:r>
      <w:r w:rsidRPr="00BB58CD">
        <w:rPr>
          <w:rFonts w:ascii="Century" w:hAnsi="Century" w:cs="Miriam" w:hint="eastAsia"/>
          <w:b/>
          <w:spacing w:val="0"/>
          <w:sz w:val="22"/>
          <w:szCs w:val="24"/>
          <w:rtl/>
        </w:rPr>
        <w:t>מ</w:t>
      </w:r>
      <w:r>
        <w:rPr>
          <w:rFonts w:hint="cs"/>
          <w:rtl/>
        </w:rPr>
        <w:t xml:space="preserve">, פ"ד נט(3) 380, 383 (2005); עניין </w:t>
      </w:r>
      <w:r w:rsidRPr="00BB58CD">
        <w:rPr>
          <w:rFonts w:ascii="Century" w:hAnsi="Century" w:cs="Miriam" w:hint="eastAsia"/>
          <w:b/>
          <w:spacing w:val="0"/>
          <w:sz w:val="22"/>
          <w:szCs w:val="24"/>
          <w:rtl/>
        </w:rPr>
        <w:t>אדלר</w:t>
      </w:r>
      <w:r>
        <w:rPr>
          <w:rFonts w:hint="cs"/>
          <w:rtl/>
        </w:rPr>
        <w:t xml:space="preserve">, שם). בחברה כזו, רכישת מניותיו של אחד מבעלי המניות משנה אפוא כמעט בכל מקרה את מבנה ההון של החברה, ומגדילה את כוח ההשפעה של בעלי המניות הנותרים. לכן, אף לו ניתן להצביע על אינטרס נפרד של החברה ברכישת המניות, הרי שבעסקה גלומה באופן אינהרנטי כמעט, הטבה לבעלי המניות הנותרים בדמות הגידול בכוח הניהולי שלהם. </w:t>
      </w:r>
    </w:p>
    <w:p w:rsidR="00A834E3" w:rsidRDefault="00A834E3" w:rsidP="007174C8">
      <w:pPr>
        <w:pStyle w:val="Ruller4"/>
        <w:numPr>
          <w:ilvl w:val="0"/>
          <w:numId w:val="0"/>
        </w:numPr>
        <w:rPr>
          <w:rtl/>
        </w:rPr>
      </w:pPr>
    </w:p>
    <w:p w:rsidR="00A834E3" w:rsidRDefault="00A834E3" w:rsidP="007174C8">
      <w:pPr>
        <w:pStyle w:val="Ruller4"/>
        <w:numPr>
          <w:ilvl w:val="0"/>
          <w:numId w:val="0"/>
        </w:numPr>
        <w:rPr>
          <w:rtl/>
        </w:rPr>
      </w:pPr>
      <w:r>
        <w:rPr>
          <w:rtl/>
        </w:rPr>
        <w:tab/>
      </w:r>
      <w:r>
        <w:rPr>
          <w:rFonts w:hint="cs"/>
          <w:rtl/>
        </w:rPr>
        <w:t xml:space="preserve">למעשה, נראה כי במקרים רבים ההחלטה על רכישה עצמית דיספרופורציונית נובעת ממכלול טעמים. שיקולים אלה עשויים לכלול הן שיקולים של "טובת החברה" </w:t>
      </w:r>
      <w:r>
        <w:rPr>
          <w:rtl/>
        </w:rPr>
        <w:t>–</w:t>
      </w:r>
      <w:r>
        <w:rPr>
          <w:rFonts w:hint="cs"/>
          <w:rtl/>
        </w:rPr>
        <w:t xml:space="preserve"> קרי פתרון מחלוקת בין בעלי המניות שעלולה להכביד על ניהול החברה ועל קידום מטרותיה ולהביאה ל"מבוי סתום"; והן שיקולים של טובת בעלי המניות </w:t>
      </w:r>
      <w:r>
        <w:rPr>
          <w:rtl/>
        </w:rPr>
        <w:t>–</w:t>
      </w:r>
      <w:r>
        <w:rPr>
          <w:rFonts w:hint="cs"/>
          <w:rtl/>
        </w:rPr>
        <w:t xml:space="preserve"> קרי מתן אפשרות לאחד מהם לרכוש את חלקו של האחר (בין אם מטעמים של מחלוקות בין בעלי המניות ובין אם מצורכי נזילות של בעל המניות היוצא) ללא תשלום מס שייקר את עלות העסקה ויביא לידי כך שבעל המניות הנותר ישלם סכום גבוה יותר או לחילופין שבעל המניות היוצא יקבל סכום נמוך יותר עבור מניותיו. </w:t>
      </w:r>
    </w:p>
    <w:p w:rsidR="00A834E3" w:rsidRDefault="00A834E3" w:rsidP="00A834E3">
      <w:pPr>
        <w:pStyle w:val="Ruller38"/>
        <w:spacing w:line="360" w:lineRule="auto"/>
        <w:rPr>
          <w:rFonts w:ascii="Garamond" w:hAnsi="Garamond" w:cs="FrankRuehl"/>
          <w:spacing w:val="10"/>
          <w:sz w:val="24"/>
          <w:szCs w:val="28"/>
          <w:rtl/>
        </w:rPr>
      </w:pPr>
    </w:p>
    <w:p w:rsidR="00A834E3" w:rsidRPr="00CB45D2" w:rsidRDefault="00A834E3" w:rsidP="007174C8">
      <w:pPr>
        <w:pStyle w:val="Ruller4"/>
        <w:numPr>
          <w:ilvl w:val="0"/>
          <w:numId w:val="0"/>
        </w:numPr>
        <w:rPr>
          <w:rtl/>
        </w:rPr>
      </w:pPr>
      <w:r>
        <w:rPr>
          <w:rtl/>
        </w:rPr>
        <w:tab/>
      </w:r>
      <w:r>
        <w:rPr>
          <w:rFonts w:hint="cs"/>
          <w:rtl/>
        </w:rPr>
        <w:t xml:space="preserve">ניתן לראות כי בעלי המניות יכולים בקלות יחסית לאפיין את העסקה כעסקה "לטובת החברה" בהתאם לגישתו של חברי (למשל על ידי יצירת חילוקי דעות מלאכותיים בטרם ביצוע העסקה או אף הגשת תביעה זה האחד כנגד האחר). במקרים רבים עיצוב עסקה באופן כזה אף לא יחטא לאמת </w:t>
      </w:r>
      <w:r>
        <w:rPr>
          <w:rtl/>
        </w:rPr>
        <w:t>–</w:t>
      </w:r>
      <w:r>
        <w:rPr>
          <w:rFonts w:hint="cs"/>
          <w:rtl/>
        </w:rPr>
        <w:t xml:space="preserve"> שכן הוצאתו של בעל המניות הנותר, אכן עשויה לא אחת לקדם את ענייני החברה שתנוהל מעתה על ידי פחות בעלי מניות. לכן, התמריץ לעצב את העסקה באופן כזה שימנע מהצדדים לשלם מס דיבידנד בגינה </w:t>
      </w:r>
      <w:r>
        <w:rPr>
          <w:rFonts w:hint="cs"/>
          <w:rtl/>
        </w:rPr>
        <w:lastRenderedPageBreak/>
        <w:t xml:space="preserve">הוא תמריץ משמעותי. לאור החפיפה בין טובת החברה לבין טובת בעלי המניות בחברה שהיא מעין-שותפות </w:t>
      </w:r>
      <w:r>
        <w:rPr>
          <w:rtl/>
        </w:rPr>
        <w:t>–</w:t>
      </w:r>
      <w:r>
        <w:rPr>
          <w:rFonts w:hint="cs"/>
          <w:rtl/>
        </w:rPr>
        <w:t xml:space="preserve"> לפקיד השומה יהיה קושי ניכר להבחין בין מקרה בו מדובר בעיצוב "אותנטי" לבין מקרה בו עיצוב העסקה נועד רק כדי להתחמק מתשלום מס. </w:t>
      </w:r>
    </w:p>
    <w:p w:rsidR="00A834E3" w:rsidRDefault="00A834E3" w:rsidP="00A834E3">
      <w:pPr>
        <w:pStyle w:val="Ruller38"/>
        <w:spacing w:line="360" w:lineRule="auto"/>
        <w:rPr>
          <w:rFonts w:ascii="Garamond" w:hAnsi="Garamond" w:cs="FrankRuehl"/>
          <w:spacing w:val="10"/>
          <w:sz w:val="24"/>
          <w:szCs w:val="28"/>
          <w:rtl/>
        </w:rPr>
      </w:pPr>
    </w:p>
    <w:p w:rsidR="00A834E3" w:rsidRDefault="00A834E3" w:rsidP="00A834E3">
      <w:pPr>
        <w:pStyle w:val="Ruller4"/>
      </w:pPr>
      <w:r>
        <w:rPr>
          <w:rFonts w:hint="cs"/>
          <w:rtl/>
        </w:rPr>
        <w:t xml:space="preserve">בהתייחס למקרים שלפנינו, חברי סבור כי הם נבדלים זה מזה בשאלה האם הרכישה נוגעת לקידום האינטרס של החברה או לזה של בעלי המניות בה (בדומה להבדלים שיש לשיטתו בין </w:t>
      </w:r>
      <w:r w:rsidRPr="002463DA">
        <w:rPr>
          <w:rFonts w:ascii="Century" w:hAnsi="Century" w:cs="Miriam" w:hint="cs"/>
          <w:b/>
          <w:spacing w:val="0"/>
          <w:sz w:val="22"/>
          <w:szCs w:val="24"/>
          <w:rtl/>
        </w:rPr>
        <w:t>דוגמאות א' ו-ב'</w:t>
      </w:r>
      <w:r>
        <w:rPr>
          <w:rFonts w:hint="cs"/>
          <w:rtl/>
        </w:rPr>
        <w:t xml:space="preserve"> לבין </w:t>
      </w:r>
      <w:r w:rsidRPr="002463DA">
        <w:rPr>
          <w:rFonts w:ascii="Century" w:hAnsi="Century" w:cs="Miriam" w:hint="cs"/>
          <w:b/>
          <w:spacing w:val="0"/>
          <w:sz w:val="22"/>
          <w:szCs w:val="24"/>
          <w:rtl/>
        </w:rPr>
        <w:t>דוגמא ג'</w:t>
      </w:r>
      <w:r>
        <w:rPr>
          <w:rFonts w:hint="cs"/>
          <w:rtl/>
        </w:rPr>
        <w:t xml:space="preserve">). אולם, לדעתי המקרים שלפנינו דווקא מדגימים את הקושי להבחין בין המקרים השונים ולהגדיר מהי המטרה הדומיננטית של העסקה, קושי שקיים כאמור הן לפקיד השומה והן לבעלי המניות עצמם. </w:t>
      </w:r>
    </w:p>
    <w:p w:rsidR="00A834E3" w:rsidRPr="00A002BC" w:rsidRDefault="00A834E3" w:rsidP="007174C8">
      <w:pPr>
        <w:pStyle w:val="Ruller4"/>
        <w:numPr>
          <w:ilvl w:val="0"/>
          <w:numId w:val="0"/>
        </w:numPr>
        <w:rPr>
          <w:rtl/>
        </w:rPr>
      </w:pPr>
    </w:p>
    <w:p w:rsidR="00A834E3" w:rsidRDefault="00A834E3" w:rsidP="007174C8">
      <w:pPr>
        <w:pStyle w:val="Ruller4"/>
        <w:numPr>
          <w:ilvl w:val="0"/>
          <w:numId w:val="0"/>
        </w:numPr>
        <w:rPr>
          <w:rtl/>
        </w:rPr>
      </w:pPr>
      <w:r>
        <w:rPr>
          <w:rtl/>
        </w:rPr>
        <w:tab/>
      </w:r>
      <w:r>
        <w:rPr>
          <w:rFonts w:hint="cs"/>
          <w:rtl/>
        </w:rPr>
        <w:t xml:space="preserve">באשר לעניין </w:t>
      </w:r>
      <w:r w:rsidRPr="00B17847">
        <w:rPr>
          <w:rFonts w:ascii="Century" w:hAnsi="Century" w:cs="Miriam" w:hint="cs"/>
          <w:b/>
          <w:spacing w:val="0"/>
          <w:sz w:val="22"/>
          <w:szCs w:val="24"/>
          <w:rtl/>
        </w:rPr>
        <w:t>בית חוסן</w:t>
      </w:r>
      <w:r w:rsidRPr="00B17847">
        <w:rPr>
          <w:rFonts w:hint="cs"/>
          <w:rtl/>
        </w:rPr>
        <w:t xml:space="preserve"> </w:t>
      </w:r>
      <w:r>
        <w:rPr>
          <w:rtl/>
        </w:rPr>
        <w:t>–</w:t>
      </w:r>
      <w:r>
        <w:rPr>
          <w:rFonts w:hint="cs"/>
          <w:rtl/>
        </w:rPr>
        <w:t xml:space="preserve"> מדובר בחברה שהיו בה ארבעה בעלי מניות: המשיבים 4-2 אשר החזיקו ב-25%, 37.5% ו-18.75% מהון מניות החברה בהתאמה; וציפורה </w:t>
      </w:r>
      <w:r>
        <w:rPr>
          <w:rtl/>
        </w:rPr>
        <w:t>–</w:t>
      </w:r>
      <w:r>
        <w:rPr>
          <w:rFonts w:hint="cs"/>
          <w:rtl/>
        </w:rPr>
        <w:t xml:space="preserve"> אשתו לשעבר של משה, מייסד ומנכ"ל החברה, ואביהם של המשיבים 4-3 </w:t>
      </w:r>
      <w:r>
        <w:rPr>
          <w:rtl/>
        </w:rPr>
        <w:t>–</w:t>
      </w:r>
      <w:r>
        <w:rPr>
          <w:rFonts w:hint="cs"/>
          <w:rtl/>
        </w:rPr>
        <w:t xml:space="preserve"> שהחזיקה בכ-18.75% ממניות החברה. בשנת 2012 הגישה ציפורה תביעה כנגד החברה, כנגד המשיב 2 (כמי שרשום כמנהלה ברישומים), וכנגד אורלי (דירקטורית בחברה, רעייתו לשעבר של משה ואמם של המשיבים 4-3).</w:t>
      </w:r>
      <w:r w:rsidRPr="00523949">
        <w:rPr>
          <w:rtl/>
        </w:rPr>
        <w:t xml:space="preserve"> עוד יצוין כי </w:t>
      </w:r>
      <w:r w:rsidRPr="00523949">
        <w:rPr>
          <w:rFonts w:hint="eastAsia"/>
          <w:rtl/>
        </w:rPr>
        <w:t>מכתבי</w:t>
      </w:r>
      <w:r w:rsidRPr="00523949">
        <w:rPr>
          <w:rtl/>
        </w:rPr>
        <w:t xml:space="preserve"> </w:t>
      </w:r>
      <w:r w:rsidRPr="00523949">
        <w:rPr>
          <w:rFonts w:hint="eastAsia"/>
          <w:rtl/>
        </w:rPr>
        <w:t>הטענות</w:t>
      </w:r>
      <w:r w:rsidRPr="00523949">
        <w:rPr>
          <w:rtl/>
        </w:rPr>
        <w:t xml:space="preserve"> </w:t>
      </w:r>
      <w:r>
        <w:rPr>
          <w:rFonts w:hint="cs"/>
          <w:rtl/>
        </w:rPr>
        <w:t xml:space="preserve">שהוגשו </w:t>
      </w:r>
      <w:r w:rsidRPr="00523949">
        <w:rPr>
          <w:rFonts w:hint="eastAsia"/>
          <w:rtl/>
        </w:rPr>
        <w:t>בתביעתה</w:t>
      </w:r>
      <w:r w:rsidRPr="00523949">
        <w:rPr>
          <w:rtl/>
        </w:rPr>
        <w:t xml:space="preserve"> </w:t>
      </w:r>
      <w:r w:rsidRPr="00523949">
        <w:rPr>
          <w:rFonts w:hint="eastAsia"/>
          <w:rtl/>
        </w:rPr>
        <w:t>של</w:t>
      </w:r>
      <w:r w:rsidRPr="00523949">
        <w:rPr>
          <w:rtl/>
        </w:rPr>
        <w:t xml:space="preserve"> </w:t>
      </w:r>
      <w:r w:rsidRPr="00523949">
        <w:rPr>
          <w:rFonts w:hint="eastAsia"/>
          <w:rtl/>
        </w:rPr>
        <w:t>ציפורה</w:t>
      </w:r>
      <w:r w:rsidRPr="00523949">
        <w:rPr>
          <w:rtl/>
        </w:rPr>
        <w:t xml:space="preserve"> </w:t>
      </w:r>
      <w:r w:rsidRPr="00523949">
        <w:rPr>
          <w:rFonts w:hint="eastAsia"/>
          <w:rtl/>
        </w:rPr>
        <w:t>עולה</w:t>
      </w:r>
      <w:r w:rsidRPr="00523949">
        <w:rPr>
          <w:rtl/>
        </w:rPr>
        <w:t xml:space="preserve"> </w:t>
      </w:r>
      <w:r w:rsidRPr="00523949">
        <w:rPr>
          <w:rFonts w:hint="eastAsia"/>
          <w:rtl/>
        </w:rPr>
        <w:t>כי</w:t>
      </w:r>
      <w:r w:rsidRPr="00523949">
        <w:rPr>
          <w:rtl/>
        </w:rPr>
        <w:t xml:space="preserve"> </w:t>
      </w:r>
      <w:r w:rsidRPr="00523949">
        <w:rPr>
          <w:rFonts w:hint="eastAsia"/>
          <w:rtl/>
        </w:rPr>
        <w:t>בעלי</w:t>
      </w:r>
      <w:r w:rsidRPr="00523949">
        <w:rPr>
          <w:rtl/>
        </w:rPr>
        <w:t xml:space="preserve"> </w:t>
      </w:r>
      <w:r w:rsidRPr="00523949">
        <w:rPr>
          <w:rFonts w:hint="eastAsia"/>
          <w:rtl/>
        </w:rPr>
        <w:t>המניות</w:t>
      </w:r>
      <w:r w:rsidRPr="00523949">
        <w:rPr>
          <w:rtl/>
        </w:rPr>
        <w:t xml:space="preserve"> </w:t>
      </w:r>
      <w:r w:rsidRPr="00523949">
        <w:rPr>
          <w:rFonts w:hint="eastAsia"/>
          <w:rtl/>
        </w:rPr>
        <w:t>המקוריים</w:t>
      </w:r>
      <w:r w:rsidRPr="00523949">
        <w:rPr>
          <w:rtl/>
        </w:rPr>
        <w:t xml:space="preserve"> </w:t>
      </w:r>
      <w:r w:rsidRPr="00523949">
        <w:rPr>
          <w:rFonts w:hint="eastAsia"/>
          <w:rtl/>
        </w:rPr>
        <w:t>בחברה</w:t>
      </w:r>
      <w:r w:rsidRPr="00523949">
        <w:rPr>
          <w:rtl/>
        </w:rPr>
        <w:t xml:space="preserve"> </w:t>
      </w:r>
      <w:r w:rsidRPr="00523949">
        <w:rPr>
          <w:rFonts w:hint="eastAsia"/>
          <w:rtl/>
        </w:rPr>
        <w:t>היו</w:t>
      </w:r>
      <w:r w:rsidRPr="00523949">
        <w:rPr>
          <w:rtl/>
        </w:rPr>
        <w:t xml:space="preserve"> </w:t>
      </w:r>
      <w:r w:rsidRPr="00523949">
        <w:rPr>
          <w:rFonts w:hint="eastAsia"/>
          <w:rtl/>
        </w:rPr>
        <w:t>בניהם</w:t>
      </w:r>
      <w:r w:rsidRPr="00523949">
        <w:rPr>
          <w:rtl/>
        </w:rPr>
        <w:t xml:space="preserve"> </w:t>
      </w:r>
      <w:r w:rsidRPr="00523949">
        <w:rPr>
          <w:rFonts w:hint="eastAsia"/>
          <w:rtl/>
        </w:rPr>
        <w:t>המשותפים</w:t>
      </w:r>
      <w:r w:rsidRPr="00523949">
        <w:rPr>
          <w:rtl/>
        </w:rPr>
        <w:t xml:space="preserve"> </w:t>
      </w:r>
      <w:r w:rsidRPr="00523949">
        <w:rPr>
          <w:rFonts w:hint="eastAsia"/>
          <w:rtl/>
        </w:rPr>
        <w:t>של</w:t>
      </w:r>
      <w:r w:rsidRPr="00523949">
        <w:rPr>
          <w:rtl/>
        </w:rPr>
        <w:t xml:space="preserve"> </w:t>
      </w:r>
      <w:r w:rsidRPr="00523949">
        <w:rPr>
          <w:rFonts w:hint="eastAsia"/>
          <w:rtl/>
        </w:rPr>
        <w:t>ציפורה</w:t>
      </w:r>
      <w:r w:rsidRPr="00523949">
        <w:rPr>
          <w:rtl/>
        </w:rPr>
        <w:t xml:space="preserve"> </w:t>
      </w:r>
      <w:r w:rsidRPr="00523949">
        <w:rPr>
          <w:rFonts w:hint="eastAsia"/>
          <w:rtl/>
        </w:rPr>
        <w:t>ומשה</w:t>
      </w:r>
      <w:r w:rsidRPr="00523949">
        <w:rPr>
          <w:rtl/>
        </w:rPr>
        <w:t xml:space="preserve"> </w:t>
      </w:r>
      <w:r>
        <w:rPr>
          <w:rFonts w:hint="cs"/>
          <w:rtl/>
        </w:rPr>
        <w:t>ש</w:t>
      </w:r>
      <w:r w:rsidRPr="00523949">
        <w:rPr>
          <w:rFonts w:hint="eastAsia"/>
          <w:rtl/>
        </w:rPr>
        <w:t>מניותיהם</w:t>
      </w:r>
      <w:r w:rsidRPr="00523949">
        <w:rPr>
          <w:rtl/>
        </w:rPr>
        <w:t xml:space="preserve"> </w:t>
      </w:r>
      <w:r w:rsidRPr="00523949">
        <w:rPr>
          <w:rFonts w:hint="eastAsia"/>
          <w:rtl/>
        </w:rPr>
        <w:t>הועברו</w:t>
      </w:r>
      <w:r w:rsidRPr="00523949">
        <w:rPr>
          <w:rtl/>
        </w:rPr>
        <w:t xml:space="preserve"> </w:t>
      </w:r>
      <w:r w:rsidRPr="00523949">
        <w:rPr>
          <w:rFonts w:hint="eastAsia"/>
          <w:rtl/>
        </w:rPr>
        <w:t>בהמשך</w:t>
      </w:r>
      <w:r w:rsidRPr="00523949">
        <w:rPr>
          <w:rtl/>
        </w:rPr>
        <w:t xml:space="preserve"> לידי ילדיהם של משה ואורלי</w:t>
      </w:r>
      <w:r>
        <w:rPr>
          <w:rFonts w:hint="cs"/>
          <w:rtl/>
        </w:rPr>
        <w:t xml:space="preserve"> (הם כאמור המשיבים 4-3) </w:t>
      </w:r>
      <w:r>
        <w:rPr>
          <w:rtl/>
        </w:rPr>
        <w:t>–</w:t>
      </w:r>
      <w:r>
        <w:rPr>
          <w:rFonts w:hint="cs"/>
          <w:rtl/>
        </w:rPr>
        <w:t xml:space="preserve"> כאשר כל האמור מעיד על המורכבות האישית והמשפחתית במערכת היחסים הכוללת בין בעלי המניות בחברה. </w:t>
      </w:r>
      <w:r w:rsidRPr="00523949">
        <w:rPr>
          <w:rtl/>
        </w:rPr>
        <w:t xml:space="preserve"> </w:t>
      </w:r>
    </w:p>
    <w:p w:rsidR="00A834E3" w:rsidRPr="00B92D6C" w:rsidRDefault="00A834E3" w:rsidP="00A834E3">
      <w:pPr>
        <w:pStyle w:val="Ruller41"/>
        <w:rPr>
          <w:rtl/>
        </w:rPr>
      </w:pPr>
    </w:p>
    <w:p w:rsidR="00A834E3" w:rsidRDefault="00A834E3" w:rsidP="007174C8">
      <w:pPr>
        <w:pStyle w:val="Ruller4"/>
        <w:numPr>
          <w:ilvl w:val="0"/>
          <w:numId w:val="0"/>
        </w:numPr>
        <w:rPr>
          <w:rtl/>
        </w:rPr>
      </w:pPr>
      <w:r>
        <w:rPr>
          <w:rtl/>
        </w:rPr>
        <w:tab/>
      </w:r>
      <w:r>
        <w:rPr>
          <w:rFonts w:hint="cs"/>
          <w:rtl/>
        </w:rPr>
        <w:t xml:space="preserve">התביעה הוגשה בעילה של קיפוח ונטען בה לקיומם של ליקויים בהתנהלות החברה, בעיקר בקשר עם הלוואות שנתנה החברה למשה ולחברות בשליטתו. במסגרת התביעה הביעה ציפורה את רצונה למכור את מניותיה. מנגד טענו המשיבים באותו עניין כי ציפורה הגישה את התביעה מתוך תחושת </w:t>
      </w:r>
      <w:proofErr w:type="spellStart"/>
      <w:r>
        <w:rPr>
          <w:rFonts w:hint="cs"/>
          <w:rtl/>
        </w:rPr>
        <w:t>מירמור</w:t>
      </w:r>
      <w:proofErr w:type="spellEnd"/>
      <w:r>
        <w:rPr>
          <w:rFonts w:hint="cs"/>
          <w:rtl/>
        </w:rPr>
        <w:t xml:space="preserve"> כלפי משה, וכדי לגרום לטרדה מיותרת ליתר בעלי המניות בחברה. בסופו של דבר הגיעו כאמור הצדדים לתביעה להסכם פשרה במסגרתו הוסכם כי החברה תרכוש את 18.75% המניות של ציפורה. </w:t>
      </w:r>
    </w:p>
    <w:p w:rsidR="00A834E3" w:rsidRDefault="00A834E3" w:rsidP="00A834E3">
      <w:pPr>
        <w:pStyle w:val="Ruller41"/>
        <w:rPr>
          <w:rtl/>
        </w:rPr>
      </w:pPr>
    </w:p>
    <w:p w:rsidR="00A834E3" w:rsidRDefault="00A834E3" w:rsidP="00A834E3">
      <w:pPr>
        <w:pStyle w:val="Ruller4"/>
        <w:rPr>
          <w:rtl/>
        </w:rPr>
      </w:pPr>
      <w:r>
        <w:rPr>
          <w:rFonts w:hint="cs"/>
          <w:rtl/>
        </w:rPr>
        <w:t xml:space="preserve">האם מכלל האמור מתבקשת המסקנה כי רכישת מניותיה של ציפורה הייתה בעיקרה לטובת החברה או לטובת בעלי המניות בה? חברי השופט </w:t>
      </w:r>
      <w:r w:rsidRPr="00476FE2">
        <w:rPr>
          <w:rFonts w:ascii="Century" w:hAnsi="Century" w:cs="Miriam" w:hint="cs"/>
          <w:b/>
          <w:spacing w:val="0"/>
          <w:sz w:val="22"/>
          <w:szCs w:val="24"/>
          <w:rtl/>
        </w:rPr>
        <w:t>שטיין</w:t>
      </w:r>
      <w:r w:rsidRPr="00476FE2">
        <w:rPr>
          <w:rFonts w:hint="cs"/>
          <w:rtl/>
        </w:rPr>
        <w:t xml:space="preserve"> </w:t>
      </w:r>
      <w:r>
        <w:rPr>
          <w:rFonts w:hint="cs"/>
          <w:rtl/>
        </w:rPr>
        <w:t xml:space="preserve">קיבל את קביעת בית משפט קמא לפיה הרכישה העצמית שבוצעה נועדה לפתור סכסוך שהיה ונותר במישור היחסים התאגידי, להבדיל מאי-ההסכמות ששררו בין בעלי המניות בכובעם הפרטי. ואכן, לכאורה, הרכישה העצמית בוצעה מכוח הסכם פשרה בתביעת קיפוח שניהלה ציפורה כנגד החברה ומנהליה ולא כנגד כל בעלי המניות בה. כמו כן, בהתאם </w:t>
      </w:r>
      <w:r>
        <w:rPr>
          <w:rFonts w:hint="cs"/>
          <w:rtl/>
        </w:rPr>
        <w:lastRenderedPageBreak/>
        <w:t xml:space="preserve">לקביעתו העובדתית של בית משפט קמא, הרכישה אף הסירה מהחברה איום של חדלות פירעון וחיסול עסקיה בעקבות התנהלותה של ציפורה שסירבה להשקיע כספים בחברה, להשקיע בקידום ענייניה, או לחתום על מסמכים וערבויות שהחברה נדרשה להם לצורך המשך פעילותה. </w:t>
      </w:r>
    </w:p>
    <w:p w:rsidR="00A834E3" w:rsidRDefault="00A834E3" w:rsidP="00A834E3">
      <w:pPr>
        <w:pStyle w:val="Ruller41"/>
        <w:rPr>
          <w:rtl/>
        </w:rPr>
      </w:pPr>
    </w:p>
    <w:p w:rsidR="00A834E3" w:rsidRDefault="00A834E3" w:rsidP="00A834E3">
      <w:pPr>
        <w:pStyle w:val="Ruller41"/>
        <w:rPr>
          <w:rtl/>
        </w:rPr>
      </w:pPr>
      <w:r>
        <w:rPr>
          <w:rtl/>
        </w:rPr>
        <w:tab/>
      </w:r>
      <w:r>
        <w:rPr>
          <w:rFonts w:hint="cs"/>
          <w:rtl/>
        </w:rPr>
        <w:t xml:space="preserve">יחד עם זאת, הסכסוך בין הצדדים לא נגע לחברה בלבד, כאשר קשה לטעמי לקבוע מהו האינטרס הדומיננטי יותר (זה של בעלי המניות או זה של החברה). מתיאור הדברים לעיל עולה כי בסכסוך היה מעורב גם פן אישי ומשפחתי, בין היתר לאור הסכסוך בין ציפורה ומשה, שילדיו הם בעלי מניות בחברה. יתרה מכך, עם הוצאתה של ציפורה מהחברה, התחזק כוחם של יתר בעלי המניות אשר זכויות ההצבעה שלהם גדלו. יוער כי אף בית משפט קמא לא שלל את האפשרות שגם לבעלי המניות היה אינטרס בביצוע הרכישה העצמית, וקבע כי הייתה "התלכדות" בין האינטרסים של החברה ובעלי המניות </w:t>
      </w:r>
      <w:r w:rsidRPr="00D711EB">
        <w:rPr>
          <w:rFonts w:hint="cs"/>
          <w:rtl/>
        </w:rPr>
        <w:t>(</w:t>
      </w:r>
      <w:r w:rsidRPr="00DF7E19">
        <w:rPr>
          <w:rFonts w:hint="eastAsia"/>
          <w:rtl/>
        </w:rPr>
        <w:t>ר</w:t>
      </w:r>
      <w:r>
        <w:rPr>
          <w:rFonts w:hint="cs"/>
          <w:rtl/>
        </w:rPr>
        <w:t>או</w:t>
      </w:r>
      <w:r w:rsidRPr="00DF7E19">
        <w:rPr>
          <w:rtl/>
        </w:rPr>
        <w:t xml:space="preserve"> </w:t>
      </w:r>
      <w:r w:rsidRPr="00DF7E19">
        <w:rPr>
          <w:rFonts w:hint="eastAsia"/>
          <w:rtl/>
        </w:rPr>
        <w:t>פסקה</w:t>
      </w:r>
      <w:r w:rsidRPr="00DF7E19">
        <w:rPr>
          <w:rtl/>
        </w:rPr>
        <w:t xml:space="preserve"> 69 </w:t>
      </w:r>
      <w:r w:rsidRPr="00DF7E19">
        <w:rPr>
          <w:rFonts w:hint="eastAsia"/>
          <w:rtl/>
        </w:rPr>
        <w:t>לפסק</w:t>
      </w:r>
      <w:r w:rsidRPr="00DF7E19">
        <w:rPr>
          <w:rtl/>
        </w:rPr>
        <w:t xml:space="preserve"> </w:t>
      </w:r>
      <w:r w:rsidRPr="00DF7E19">
        <w:rPr>
          <w:rFonts w:hint="eastAsia"/>
          <w:rtl/>
        </w:rPr>
        <w:t>הדין</w:t>
      </w:r>
      <w:r>
        <w:rPr>
          <w:rFonts w:hint="cs"/>
          <w:rtl/>
        </w:rPr>
        <w:t>).</w:t>
      </w:r>
      <w:r w:rsidRPr="00D711EB">
        <w:rPr>
          <w:rFonts w:hint="cs"/>
          <w:rtl/>
        </w:rPr>
        <w:t xml:space="preserve"> אלא שלשיטתו </w:t>
      </w:r>
      <w:r>
        <w:rPr>
          <w:rFonts w:hint="cs"/>
          <w:rtl/>
        </w:rPr>
        <w:t xml:space="preserve">של בית המשפט, </w:t>
      </w:r>
      <w:r w:rsidRPr="00D711EB">
        <w:rPr>
          <w:rFonts w:hint="cs"/>
          <w:rtl/>
        </w:rPr>
        <w:t>משהוכח כי היה סכסוך, בין הית</w:t>
      </w:r>
      <w:r>
        <w:rPr>
          <w:rFonts w:hint="cs"/>
          <w:rtl/>
        </w:rPr>
        <w:t xml:space="preserve">ר בין החברה לבין בעלת המניות המוכרת; וכאשר סכסוך זה נפתר באמצעות הרכישה העצמית </w:t>
      </w:r>
      <w:r>
        <w:rPr>
          <w:rtl/>
        </w:rPr>
        <w:t>–</w:t>
      </w:r>
      <w:r>
        <w:rPr>
          <w:rFonts w:hint="cs"/>
          <w:rtl/>
        </w:rPr>
        <w:t xml:space="preserve"> אין רלוונטיות לשאלה אם גם לבעלי המניות היה אינטרס בביצוע הרכישה העצמית. </w:t>
      </w:r>
    </w:p>
    <w:p w:rsidR="00A834E3" w:rsidRDefault="00A834E3" w:rsidP="00A834E3">
      <w:pPr>
        <w:pStyle w:val="Ruller41"/>
        <w:rPr>
          <w:rtl/>
        </w:rPr>
      </w:pPr>
    </w:p>
    <w:p w:rsidR="00A834E3" w:rsidRDefault="00A834E3" w:rsidP="00A834E3">
      <w:pPr>
        <w:pStyle w:val="Ruller4"/>
        <w:rPr>
          <w:rtl/>
        </w:rPr>
      </w:pPr>
      <w:r>
        <w:rPr>
          <w:rFonts w:hint="cs"/>
          <w:rtl/>
        </w:rPr>
        <w:t xml:space="preserve">באשר לעניין </w:t>
      </w:r>
      <w:r w:rsidRPr="00523949">
        <w:rPr>
          <w:rFonts w:ascii="Century" w:hAnsi="Century" w:cs="Miriam" w:hint="eastAsia"/>
          <w:b/>
          <w:spacing w:val="0"/>
          <w:szCs w:val="24"/>
          <w:rtl/>
        </w:rPr>
        <w:t>סיידה</w:t>
      </w:r>
      <w:r>
        <w:rPr>
          <w:rFonts w:hint="cs"/>
          <w:rtl/>
        </w:rPr>
        <w:t xml:space="preserve"> </w:t>
      </w:r>
      <w:r>
        <w:rPr>
          <w:rtl/>
        </w:rPr>
        <w:t>–</w:t>
      </w:r>
      <w:r>
        <w:rPr>
          <w:rFonts w:hint="cs"/>
          <w:rtl/>
        </w:rPr>
        <w:t xml:space="preserve"> דובר בו כזכור בחברה שהוחזקה בשרשור בחלקים שווים על-ידי שני אחים: מאיר ויוחנן. במהלך השנים התגלעו ביניהם מחלוקות באשר לניהול החברה ופעילותה, ועקב כך הם החליטו כי מוטב יהיה אם יפעלו לפירוק שותפותם העסקית מבלי לפגוע בפעילות החברה. תחילה בחנו האחים את האפשרות שמאיר ירכוש את מניותיו של אחיו. אולם בסופו של דבר, מאחר שלמאיר לא הייתה אפשרות לשלם מכספו את התמורה, החברה היא שרכשה את מניותיו של יוחנן. חברי השופט </w:t>
      </w:r>
      <w:r w:rsidRPr="00BB58CD">
        <w:rPr>
          <w:rFonts w:ascii="Century" w:hAnsi="Century" w:cs="Miriam" w:hint="eastAsia"/>
          <w:b/>
          <w:spacing w:val="0"/>
          <w:szCs w:val="24"/>
          <w:rtl/>
        </w:rPr>
        <w:t>שטיין</w:t>
      </w:r>
      <w:r>
        <w:rPr>
          <w:rFonts w:hint="cs"/>
          <w:rtl/>
        </w:rPr>
        <w:t xml:space="preserve"> קיבל את קביעתו של בית משפט קמא לפיה מטרתה הדומיננטית של הרכישה העצמית הייתה שינוי במבנה </w:t>
      </w:r>
      <w:proofErr w:type="spellStart"/>
      <w:r>
        <w:rPr>
          <w:rFonts w:hint="cs"/>
          <w:rtl/>
        </w:rPr>
        <w:t>ההחזקות</w:t>
      </w:r>
      <w:proofErr w:type="spellEnd"/>
      <w:r>
        <w:rPr>
          <w:rFonts w:hint="cs"/>
          <w:rtl/>
        </w:rPr>
        <w:t xml:space="preserve"> בחברה ומימון רכישת הזכויות. זאת מבלי שיתלווה לכך אינטרס של החברה כחברה. </w:t>
      </w:r>
    </w:p>
    <w:p w:rsidR="00A834E3" w:rsidRDefault="00A834E3" w:rsidP="00A834E3">
      <w:pPr>
        <w:pStyle w:val="Ruller41"/>
        <w:rPr>
          <w:rtl/>
        </w:rPr>
      </w:pPr>
    </w:p>
    <w:p w:rsidR="00A834E3" w:rsidRDefault="00A834E3" w:rsidP="00A834E3">
      <w:pPr>
        <w:pStyle w:val="Ruller41"/>
        <w:rPr>
          <w:rtl/>
        </w:rPr>
      </w:pPr>
      <w:r>
        <w:rPr>
          <w:rtl/>
        </w:rPr>
        <w:tab/>
      </w:r>
      <w:r>
        <w:rPr>
          <w:rFonts w:hint="cs"/>
          <w:rtl/>
        </w:rPr>
        <w:t xml:space="preserve">תמיכה למסקנה זו מצא חברי בין היתר בעדותו של מאיר, כי הבחירה במתווה הרכישה העצמית נבעה מכך שלא היו לו הכספים שנדרשו לרכישת המניות; בכך שהתמורה התבססה על הערכת שווי החברה שנעשתה לצורך רכישת המניות על-ידי מאיר; וכי ההחלטה בדבר ביצוע הרכישה העצמית התקבלה על-ידי שני האחים יחדיו. </w:t>
      </w:r>
    </w:p>
    <w:p w:rsidR="00A834E3" w:rsidRDefault="00A834E3" w:rsidP="00A834E3">
      <w:pPr>
        <w:pStyle w:val="Ruller41"/>
        <w:rPr>
          <w:rtl/>
        </w:rPr>
      </w:pPr>
    </w:p>
    <w:p w:rsidR="00A834E3" w:rsidRDefault="00A834E3" w:rsidP="00A834E3">
      <w:pPr>
        <w:pStyle w:val="Ruller41"/>
        <w:rPr>
          <w:rtl/>
        </w:rPr>
      </w:pPr>
      <w:r>
        <w:rPr>
          <w:rtl/>
        </w:rPr>
        <w:tab/>
      </w:r>
      <w:r>
        <w:rPr>
          <w:rFonts w:hint="cs"/>
          <w:rtl/>
        </w:rPr>
        <w:t xml:space="preserve">אכן, בעניין </w:t>
      </w:r>
      <w:r w:rsidRPr="00523949">
        <w:rPr>
          <w:rFonts w:ascii="Century" w:hAnsi="Century" w:cs="Miriam" w:hint="eastAsia"/>
          <w:b/>
          <w:spacing w:val="0"/>
          <w:szCs w:val="24"/>
          <w:rtl/>
        </w:rPr>
        <w:t>סיידה</w:t>
      </w:r>
      <w:r>
        <w:rPr>
          <w:rFonts w:hint="cs"/>
          <w:rtl/>
        </w:rPr>
        <w:t xml:space="preserve"> היה לבעלי המניות אינטרס בביצוע העסקה, כפי שעולה מהעובדה שמאיר התכוון מלכתחילה לרכוש את מניותיו של יוחנן בעצמו. יחד עם זאת, </w:t>
      </w:r>
      <w:r>
        <w:rPr>
          <w:rFonts w:hint="cs"/>
          <w:rtl/>
        </w:rPr>
        <w:lastRenderedPageBreak/>
        <w:t xml:space="preserve">גם במקרה זה לא ניתן לשלול את המסקנה לפיה גם לחברה כחברה היה אינטרס בהיפרדותם של האחים ולכן ברכישת המניות של יוחנן, לאחר שכפי שעולה מהאמור לעיל, בין האחים התגלעו מחלוקות ביחס לניהול החברה. </w:t>
      </w:r>
    </w:p>
    <w:p w:rsidR="00A834E3" w:rsidRDefault="00A834E3" w:rsidP="00A834E3">
      <w:pPr>
        <w:pStyle w:val="Ruller41"/>
        <w:rPr>
          <w:rtl/>
        </w:rPr>
      </w:pPr>
    </w:p>
    <w:p w:rsidR="00A834E3" w:rsidRPr="00522E55" w:rsidRDefault="00A834E3" w:rsidP="00A834E3">
      <w:pPr>
        <w:pStyle w:val="Ruller41"/>
        <w:rPr>
          <w:rtl/>
        </w:rPr>
      </w:pPr>
      <w:r>
        <w:rPr>
          <w:rtl/>
        </w:rPr>
        <w:tab/>
      </w:r>
      <w:r>
        <w:rPr>
          <w:rFonts w:hint="cs"/>
          <w:rtl/>
        </w:rPr>
        <w:t xml:space="preserve">בחברות שהן מעין-שותפויות, ועל אחת כמה וכמה בחברות שלהן רק שני בעלי מניות המחזיקים בחלקים שווים במניות החברה, ניתן לקבל החלטות רק בהסכמה של כל בעלי המניות. לכן, כאשר ישנן מחלוקות בין בעלי המניות </w:t>
      </w:r>
      <w:r>
        <w:rPr>
          <w:rtl/>
        </w:rPr>
        <w:t>–</w:t>
      </w:r>
      <w:r>
        <w:rPr>
          <w:rFonts w:hint="cs"/>
          <w:rtl/>
        </w:rPr>
        <w:t xml:space="preserve"> וכך היה כאמור בעניין </w:t>
      </w:r>
      <w:r w:rsidRPr="00523949">
        <w:rPr>
          <w:rFonts w:ascii="Century" w:hAnsi="Century" w:cs="Miriam" w:hint="eastAsia"/>
          <w:b/>
          <w:spacing w:val="0"/>
          <w:szCs w:val="24"/>
          <w:rtl/>
        </w:rPr>
        <w:t>סיידה</w:t>
      </w:r>
      <w:r>
        <w:rPr>
          <w:rFonts w:hint="cs"/>
          <w:rtl/>
        </w:rPr>
        <w:t xml:space="preserve">, הדבר משפיע בהכרח גם על פעילות החברה ועל טובתה. פתרון הסכסוך במקרים כאלה הוא אינטרס משותף של בעלי המניות ושל החברה, ולא ניתן להפריד בין טובת החברה לבין בעלי מניותיה ולקבוע איזה מבין האינטרסים הללו הוא הדומיננטי. </w:t>
      </w:r>
    </w:p>
    <w:p w:rsidR="00A834E3" w:rsidRDefault="00A834E3" w:rsidP="00A834E3">
      <w:pPr>
        <w:pStyle w:val="Ruller38"/>
        <w:spacing w:line="360" w:lineRule="auto"/>
        <w:rPr>
          <w:rFonts w:ascii="Garamond" w:hAnsi="Garamond" w:cs="FrankRuehl"/>
          <w:spacing w:val="10"/>
          <w:sz w:val="24"/>
          <w:szCs w:val="28"/>
          <w:rtl/>
        </w:rPr>
      </w:pPr>
    </w:p>
    <w:p w:rsidR="00A834E3" w:rsidRPr="00523949" w:rsidRDefault="00A834E3" w:rsidP="00A834E3">
      <w:pPr>
        <w:pStyle w:val="Ruller4"/>
        <w:rPr>
          <w:rFonts w:ascii="Arial TUR" w:hAnsi="Arial TUR"/>
          <w:rtl/>
        </w:rPr>
      </w:pPr>
      <w:r>
        <w:rPr>
          <w:rFonts w:ascii="Arial TUR" w:hAnsi="Arial TUR" w:hint="cs"/>
          <w:rtl/>
        </w:rPr>
        <w:t>אם כן, ההבחנה בין טובת החברה לבין טובת בעלי מניותיה במעין-שותפויות (</w:t>
      </w:r>
      <w:r w:rsidRPr="00F6193D">
        <w:rPr>
          <w:rFonts w:ascii="Century" w:hAnsi="Century" w:cs="Miriam" w:hint="cs"/>
          <w:b/>
          <w:spacing w:val="0"/>
          <w:sz w:val="22"/>
          <w:szCs w:val="24"/>
          <w:rtl/>
        </w:rPr>
        <w:t>דוגמאות א' ו-ב'</w:t>
      </w:r>
      <w:r w:rsidRPr="00F6193D">
        <w:rPr>
          <w:rFonts w:ascii="Arial TUR" w:hAnsi="Arial TUR" w:hint="cs"/>
          <w:rtl/>
        </w:rPr>
        <w:t xml:space="preserve"> </w:t>
      </w:r>
      <w:r>
        <w:rPr>
          <w:rFonts w:ascii="Arial TUR" w:hAnsi="Arial TUR" w:hint="cs"/>
          <w:rtl/>
        </w:rPr>
        <w:t xml:space="preserve">אל מול </w:t>
      </w:r>
      <w:r w:rsidRPr="00F6193D">
        <w:rPr>
          <w:rFonts w:ascii="Century" w:hAnsi="Century" w:cs="Miriam" w:hint="cs"/>
          <w:b/>
          <w:spacing w:val="0"/>
          <w:sz w:val="22"/>
          <w:szCs w:val="24"/>
          <w:rtl/>
        </w:rPr>
        <w:t>דוגמא ג'</w:t>
      </w:r>
      <w:r>
        <w:rPr>
          <w:rFonts w:ascii="Arial TUR" w:hAnsi="Arial TUR" w:hint="cs"/>
          <w:rtl/>
        </w:rPr>
        <w:t xml:space="preserve">) היא קשה ומורכבת. </w:t>
      </w:r>
      <w:r w:rsidRPr="00523949">
        <w:rPr>
          <w:rFonts w:ascii="Arial TUR" w:hAnsi="Arial TUR" w:hint="eastAsia"/>
          <w:rtl/>
        </w:rPr>
        <w:t>יתרה</w:t>
      </w:r>
      <w:r w:rsidRPr="00523949">
        <w:rPr>
          <w:rFonts w:ascii="Arial TUR" w:hAnsi="Arial TUR"/>
          <w:rtl/>
        </w:rPr>
        <w:t xml:space="preserve"> מכך, </w:t>
      </w:r>
      <w:r w:rsidRPr="00523949">
        <w:rPr>
          <w:rFonts w:ascii="Arial TUR" w:hAnsi="Arial TUR" w:hint="eastAsia"/>
          <w:rtl/>
        </w:rPr>
        <w:t>אני</w:t>
      </w:r>
      <w:r w:rsidRPr="00523949">
        <w:rPr>
          <w:rFonts w:ascii="Arial TUR" w:hAnsi="Arial TUR"/>
          <w:rtl/>
        </w:rPr>
        <w:t xml:space="preserve"> סבורה כי גם ההבחנה בין </w:t>
      </w:r>
      <w:r w:rsidRPr="00815FCD">
        <w:rPr>
          <w:rFonts w:ascii="Century" w:hAnsi="Century" w:cs="Miriam"/>
          <w:b/>
          <w:spacing w:val="0"/>
          <w:sz w:val="22"/>
          <w:szCs w:val="24"/>
          <w:rtl/>
        </w:rPr>
        <w:t xml:space="preserve">דוגמאות א' </w:t>
      </w:r>
      <w:r w:rsidRPr="00815FCD">
        <w:rPr>
          <w:rFonts w:ascii="Century" w:hAnsi="Century" w:cs="Miriam" w:hint="cs"/>
          <w:b/>
          <w:spacing w:val="0"/>
          <w:sz w:val="22"/>
          <w:szCs w:val="24"/>
          <w:rtl/>
        </w:rPr>
        <w:t>ל-</w:t>
      </w:r>
      <w:r w:rsidRPr="00815FCD">
        <w:rPr>
          <w:rFonts w:ascii="Century" w:hAnsi="Century" w:cs="Miriam" w:hint="eastAsia"/>
          <w:b/>
          <w:spacing w:val="0"/>
          <w:sz w:val="22"/>
          <w:szCs w:val="24"/>
          <w:rtl/>
        </w:rPr>
        <w:t>ב</w:t>
      </w:r>
      <w:r w:rsidRPr="00815FCD">
        <w:rPr>
          <w:rFonts w:ascii="Century" w:hAnsi="Century" w:cs="Miriam"/>
          <w:b/>
          <w:spacing w:val="0"/>
          <w:sz w:val="22"/>
          <w:szCs w:val="24"/>
          <w:rtl/>
        </w:rPr>
        <w:t>'</w:t>
      </w:r>
      <w:r>
        <w:rPr>
          <w:rFonts w:ascii="Arial TUR" w:hAnsi="Arial TUR" w:hint="cs"/>
          <w:rtl/>
        </w:rPr>
        <w:t xml:space="preserve">, כפי שהגדיר אותן חברי בפסק דינו, </w:t>
      </w:r>
      <w:r w:rsidRPr="00523949">
        <w:rPr>
          <w:rFonts w:ascii="Arial TUR" w:hAnsi="Arial TUR" w:hint="eastAsia"/>
          <w:rtl/>
        </w:rPr>
        <w:t>היא</w:t>
      </w:r>
      <w:r w:rsidRPr="00523949">
        <w:rPr>
          <w:rFonts w:ascii="Arial TUR" w:hAnsi="Arial TUR"/>
          <w:rtl/>
        </w:rPr>
        <w:t xml:space="preserve"> קשה ליישום. </w:t>
      </w:r>
      <w:r>
        <w:rPr>
          <w:rFonts w:ascii="Arial TUR" w:hAnsi="Arial TUR" w:hint="cs"/>
          <w:rtl/>
        </w:rPr>
        <w:t xml:space="preserve">דוגמאות אלה נבדלות זו מזו לשיטתו של חברי בשאלה </w:t>
      </w:r>
      <w:r w:rsidRPr="00523949">
        <w:rPr>
          <w:rFonts w:ascii="Arial TUR" w:hAnsi="Arial TUR" w:hint="eastAsia"/>
          <w:rtl/>
        </w:rPr>
        <w:t>האם</w:t>
      </w:r>
      <w:r w:rsidRPr="00523949">
        <w:rPr>
          <w:rFonts w:ascii="Arial TUR" w:hAnsi="Arial TUR"/>
          <w:rtl/>
        </w:rPr>
        <w:t xml:space="preserve"> </w:t>
      </w:r>
      <w:r>
        <w:rPr>
          <w:rFonts w:ascii="Arial TUR" w:hAnsi="Arial TUR" w:hint="cs"/>
          <w:rtl/>
        </w:rPr>
        <w:t xml:space="preserve">מלכתחילה </w:t>
      </w:r>
      <w:r w:rsidRPr="00523949">
        <w:rPr>
          <w:rFonts w:ascii="Arial TUR" w:hAnsi="Arial TUR" w:hint="eastAsia"/>
          <w:rtl/>
        </w:rPr>
        <w:t>היה</w:t>
      </w:r>
      <w:r w:rsidRPr="00523949">
        <w:rPr>
          <w:rFonts w:ascii="Arial TUR" w:hAnsi="Arial TUR"/>
          <w:rtl/>
        </w:rPr>
        <w:t xml:space="preserve"> </w:t>
      </w:r>
      <w:r w:rsidRPr="00523949">
        <w:rPr>
          <w:rFonts w:ascii="Arial TUR" w:hAnsi="Arial TUR" w:hint="eastAsia"/>
          <w:rtl/>
        </w:rPr>
        <w:t>לבעל</w:t>
      </w:r>
      <w:r w:rsidRPr="00523949">
        <w:rPr>
          <w:rFonts w:ascii="Arial TUR" w:hAnsi="Arial TUR"/>
          <w:rtl/>
        </w:rPr>
        <w:t xml:space="preserve"> </w:t>
      </w:r>
      <w:r w:rsidRPr="00523949">
        <w:rPr>
          <w:rFonts w:ascii="Arial TUR" w:hAnsi="Arial TUR" w:hint="eastAsia"/>
          <w:rtl/>
        </w:rPr>
        <w:t>המניות</w:t>
      </w:r>
      <w:r w:rsidRPr="00523949">
        <w:rPr>
          <w:rFonts w:ascii="Arial TUR" w:hAnsi="Arial TUR"/>
          <w:rtl/>
        </w:rPr>
        <w:t xml:space="preserve"> </w:t>
      </w:r>
      <w:r w:rsidRPr="00523949">
        <w:rPr>
          <w:rFonts w:ascii="Arial TUR" w:hAnsi="Arial TUR" w:hint="eastAsia"/>
          <w:rtl/>
        </w:rPr>
        <w:t>הנותר</w:t>
      </w:r>
      <w:r w:rsidRPr="00523949">
        <w:rPr>
          <w:rFonts w:ascii="Arial TUR" w:hAnsi="Arial TUR"/>
          <w:rtl/>
        </w:rPr>
        <w:t xml:space="preserve"> </w:t>
      </w:r>
      <w:r w:rsidRPr="00523949">
        <w:rPr>
          <w:rFonts w:ascii="Arial TUR" w:hAnsi="Arial TUR" w:hint="eastAsia"/>
          <w:rtl/>
        </w:rPr>
        <w:t>עניין</w:t>
      </w:r>
      <w:r w:rsidRPr="00523949">
        <w:rPr>
          <w:rFonts w:ascii="Arial TUR" w:hAnsi="Arial TUR"/>
          <w:rtl/>
        </w:rPr>
        <w:t xml:space="preserve"> </w:t>
      </w:r>
      <w:r w:rsidRPr="00523949">
        <w:rPr>
          <w:rFonts w:ascii="Arial TUR" w:hAnsi="Arial TUR" w:hint="eastAsia"/>
          <w:rtl/>
        </w:rPr>
        <w:t>ברכישת</w:t>
      </w:r>
      <w:r w:rsidRPr="00523949">
        <w:rPr>
          <w:rFonts w:ascii="Arial TUR" w:hAnsi="Arial TUR"/>
          <w:rtl/>
        </w:rPr>
        <w:t xml:space="preserve"> </w:t>
      </w:r>
      <w:r w:rsidRPr="00523949">
        <w:rPr>
          <w:rFonts w:ascii="Arial TUR" w:hAnsi="Arial TUR" w:hint="eastAsia"/>
          <w:rtl/>
        </w:rPr>
        <w:t>מניותיו</w:t>
      </w:r>
      <w:r w:rsidRPr="00523949">
        <w:rPr>
          <w:rFonts w:ascii="Arial TUR" w:hAnsi="Arial TUR"/>
          <w:rtl/>
        </w:rPr>
        <w:t xml:space="preserve"> </w:t>
      </w:r>
      <w:r w:rsidRPr="00523949">
        <w:rPr>
          <w:rFonts w:ascii="Arial TUR" w:hAnsi="Arial TUR" w:hint="eastAsia"/>
          <w:rtl/>
        </w:rPr>
        <w:t>של</w:t>
      </w:r>
      <w:r w:rsidRPr="00523949">
        <w:rPr>
          <w:rFonts w:ascii="Arial TUR" w:hAnsi="Arial TUR"/>
          <w:rtl/>
        </w:rPr>
        <w:t xml:space="preserve"> </w:t>
      </w:r>
      <w:r w:rsidRPr="00523949">
        <w:rPr>
          <w:rFonts w:ascii="Arial TUR" w:hAnsi="Arial TUR" w:hint="eastAsia"/>
          <w:rtl/>
        </w:rPr>
        <w:t>בעל</w:t>
      </w:r>
      <w:r w:rsidRPr="00523949">
        <w:rPr>
          <w:rFonts w:ascii="Arial TUR" w:hAnsi="Arial TUR"/>
          <w:rtl/>
        </w:rPr>
        <w:t xml:space="preserve"> </w:t>
      </w:r>
      <w:r w:rsidRPr="00523949">
        <w:rPr>
          <w:rFonts w:ascii="Arial TUR" w:hAnsi="Arial TUR" w:hint="eastAsia"/>
          <w:rtl/>
        </w:rPr>
        <w:t>המניות</w:t>
      </w:r>
      <w:r w:rsidRPr="00523949">
        <w:rPr>
          <w:rFonts w:ascii="Arial TUR" w:hAnsi="Arial TUR"/>
          <w:rtl/>
        </w:rPr>
        <w:t xml:space="preserve"> </w:t>
      </w:r>
      <w:r w:rsidRPr="00523949">
        <w:rPr>
          <w:rFonts w:ascii="Arial TUR" w:hAnsi="Arial TUR" w:hint="eastAsia"/>
          <w:rtl/>
        </w:rPr>
        <w:t>היוצא</w:t>
      </w:r>
      <w:r w:rsidRPr="00523949">
        <w:rPr>
          <w:rFonts w:ascii="Arial TUR" w:hAnsi="Arial TUR"/>
          <w:rtl/>
        </w:rPr>
        <w:t xml:space="preserve"> ובבעלות </w:t>
      </w:r>
      <w:r w:rsidRPr="00523949">
        <w:rPr>
          <w:rFonts w:ascii="Arial TUR" w:hAnsi="Arial TUR" w:hint="eastAsia"/>
          <w:rtl/>
        </w:rPr>
        <w:t>בכל</w:t>
      </w:r>
      <w:r w:rsidRPr="00523949">
        <w:rPr>
          <w:rFonts w:ascii="Arial TUR" w:hAnsi="Arial TUR"/>
          <w:rtl/>
        </w:rPr>
        <w:t xml:space="preserve"> </w:t>
      </w:r>
      <w:r w:rsidRPr="00523949">
        <w:rPr>
          <w:rFonts w:ascii="Arial TUR" w:hAnsi="Arial TUR" w:hint="eastAsia"/>
          <w:rtl/>
        </w:rPr>
        <w:t>מניות</w:t>
      </w:r>
      <w:r w:rsidRPr="00523949">
        <w:rPr>
          <w:rFonts w:ascii="Arial TUR" w:hAnsi="Arial TUR"/>
          <w:rtl/>
        </w:rPr>
        <w:t xml:space="preserve"> </w:t>
      </w:r>
      <w:r w:rsidRPr="00523949">
        <w:rPr>
          <w:rFonts w:ascii="Arial TUR" w:hAnsi="Arial TUR" w:hint="eastAsia"/>
          <w:rtl/>
        </w:rPr>
        <w:t>החברה</w:t>
      </w:r>
      <w:r w:rsidRPr="00523949">
        <w:rPr>
          <w:rFonts w:ascii="Arial TUR" w:hAnsi="Arial TUR"/>
          <w:rtl/>
        </w:rPr>
        <w:t>; או שמא לא היה לו מלכתחילה עניין בכך</w:t>
      </w:r>
      <w:r>
        <w:rPr>
          <w:rFonts w:ascii="Arial TUR" w:hAnsi="Arial TUR" w:hint="cs"/>
          <w:rtl/>
        </w:rPr>
        <w:t>,</w:t>
      </w:r>
      <w:r w:rsidRPr="00523949">
        <w:rPr>
          <w:rFonts w:ascii="Arial TUR" w:hAnsi="Arial TUR"/>
          <w:rtl/>
        </w:rPr>
        <w:t xml:space="preserve"> אלא שהיוזמה לעסקה הייתה של בעל המניות ה</w:t>
      </w:r>
      <w:r w:rsidRPr="00523949">
        <w:rPr>
          <w:rFonts w:ascii="Arial TUR" w:hAnsi="Arial TUR" w:hint="eastAsia"/>
          <w:rtl/>
        </w:rPr>
        <w:t>יוצא</w:t>
      </w:r>
      <w:r>
        <w:rPr>
          <w:rFonts w:ascii="Arial TUR" w:hAnsi="Arial TUR" w:hint="cs"/>
          <w:rtl/>
        </w:rPr>
        <w:t>. גם</w:t>
      </w:r>
      <w:r w:rsidRPr="00523949">
        <w:rPr>
          <w:rFonts w:ascii="Arial TUR" w:hAnsi="Arial TUR"/>
          <w:rtl/>
        </w:rPr>
        <w:t xml:space="preserve"> אבחנה</w:t>
      </w:r>
      <w:r>
        <w:rPr>
          <w:rFonts w:ascii="Arial TUR" w:hAnsi="Arial TUR" w:hint="cs"/>
          <w:rtl/>
        </w:rPr>
        <w:t xml:space="preserve"> זו</w:t>
      </w:r>
      <w:r w:rsidRPr="00523949">
        <w:rPr>
          <w:rFonts w:ascii="Arial TUR" w:hAnsi="Arial TUR"/>
          <w:rtl/>
        </w:rPr>
        <w:t xml:space="preserve"> </w:t>
      </w:r>
      <w:r w:rsidRPr="00523949">
        <w:rPr>
          <w:rFonts w:ascii="Arial TUR" w:hAnsi="Arial TUR" w:hint="eastAsia"/>
          <w:rtl/>
        </w:rPr>
        <w:t>אינה</w:t>
      </w:r>
      <w:r w:rsidRPr="00523949">
        <w:rPr>
          <w:rFonts w:ascii="Arial TUR" w:hAnsi="Arial TUR"/>
          <w:rtl/>
        </w:rPr>
        <w:t xml:space="preserve"> תמיד ברורה לחלוטין </w:t>
      </w:r>
      <w:r>
        <w:rPr>
          <w:rFonts w:ascii="Arial TUR" w:hAnsi="Arial TUR" w:hint="cs"/>
          <w:rtl/>
        </w:rPr>
        <w:t>לפקיד השומה ויתכן ש</w:t>
      </w:r>
      <w:r w:rsidRPr="00523949">
        <w:rPr>
          <w:rFonts w:ascii="Arial TUR" w:hAnsi="Arial TUR"/>
          <w:rtl/>
        </w:rPr>
        <w:t>א</w:t>
      </w:r>
      <w:r>
        <w:rPr>
          <w:rFonts w:ascii="Arial TUR" w:hAnsi="Arial TUR" w:hint="cs"/>
          <w:rtl/>
        </w:rPr>
        <w:t>ף</w:t>
      </w:r>
      <w:r w:rsidRPr="00523949">
        <w:rPr>
          <w:rFonts w:ascii="Arial TUR" w:hAnsi="Arial TUR"/>
          <w:rtl/>
        </w:rPr>
        <w:t xml:space="preserve"> לבעלי המניות עצמם. </w:t>
      </w:r>
      <w:r>
        <w:rPr>
          <w:rFonts w:ascii="Arial TUR" w:hAnsi="Arial TUR" w:hint="cs"/>
          <w:rtl/>
        </w:rPr>
        <w:t>זאת בין היתר</w:t>
      </w:r>
      <w:r w:rsidRPr="00523949">
        <w:rPr>
          <w:rFonts w:ascii="Arial TUR" w:hAnsi="Arial TUR"/>
          <w:rtl/>
        </w:rPr>
        <w:t xml:space="preserve"> לאור האינטרס המשותף של בעלי המניות לשלם עבור העסקה מס מינימלי (כך שהסכום שישולם לבעל המניות ה</w:t>
      </w:r>
      <w:r w:rsidRPr="00523949">
        <w:rPr>
          <w:rFonts w:ascii="Arial TUR" w:hAnsi="Arial TUR" w:hint="eastAsia"/>
          <w:rtl/>
        </w:rPr>
        <w:t>יוצא</w:t>
      </w:r>
      <w:r w:rsidRPr="00523949">
        <w:rPr>
          <w:rFonts w:ascii="Arial TUR" w:hAnsi="Arial TUR"/>
          <w:rtl/>
        </w:rPr>
        <w:t xml:space="preserve"> יגדל), </w:t>
      </w:r>
      <w:r>
        <w:rPr>
          <w:rFonts w:ascii="Arial TUR" w:hAnsi="Arial TUR" w:hint="cs"/>
          <w:rtl/>
        </w:rPr>
        <w:t>באופן ש</w:t>
      </w:r>
      <w:r w:rsidRPr="00523949">
        <w:rPr>
          <w:rFonts w:ascii="Arial TUR" w:hAnsi="Arial TUR" w:hint="eastAsia"/>
          <w:rtl/>
        </w:rPr>
        <w:t>יטה</w:t>
      </w:r>
      <w:r w:rsidRPr="00523949">
        <w:rPr>
          <w:rFonts w:ascii="Arial TUR" w:hAnsi="Arial TUR"/>
          <w:rtl/>
        </w:rPr>
        <w:t xml:space="preserve"> את הכף לעיצוב העסקה </w:t>
      </w:r>
      <w:r w:rsidRPr="00523949">
        <w:rPr>
          <w:rFonts w:ascii="Arial TUR" w:hAnsi="Arial TUR" w:hint="eastAsia"/>
          <w:rtl/>
        </w:rPr>
        <w:t>המדמה</w:t>
      </w:r>
      <w:r w:rsidRPr="00523949">
        <w:rPr>
          <w:rFonts w:ascii="Arial TUR" w:hAnsi="Arial TUR"/>
          <w:rtl/>
        </w:rPr>
        <w:t xml:space="preserve"> את </w:t>
      </w:r>
      <w:r w:rsidRPr="00523949">
        <w:rPr>
          <w:rFonts w:ascii="Century" w:hAnsi="Century" w:cs="Miriam" w:hint="eastAsia"/>
          <w:b/>
          <w:spacing w:val="0"/>
          <w:sz w:val="22"/>
          <w:szCs w:val="24"/>
          <w:rtl/>
        </w:rPr>
        <w:t>דוגמא</w:t>
      </w:r>
      <w:r w:rsidRPr="00523949">
        <w:rPr>
          <w:rFonts w:ascii="Century" w:hAnsi="Century" w:cs="Miriam"/>
          <w:b/>
          <w:spacing w:val="0"/>
          <w:sz w:val="22"/>
          <w:szCs w:val="24"/>
          <w:rtl/>
        </w:rPr>
        <w:t xml:space="preserve"> </w:t>
      </w:r>
      <w:r w:rsidRPr="00523949">
        <w:rPr>
          <w:rFonts w:ascii="Century" w:hAnsi="Century" w:cs="Miriam" w:hint="eastAsia"/>
          <w:b/>
          <w:spacing w:val="0"/>
          <w:sz w:val="22"/>
          <w:szCs w:val="24"/>
          <w:rtl/>
        </w:rPr>
        <w:t>א</w:t>
      </w:r>
      <w:r w:rsidRPr="00523949">
        <w:rPr>
          <w:rFonts w:ascii="Century" w:hAnsi="Century" w:cs="Miriam"/>
          <w:b/>
          <w:spacing w:val="0"/>
          <w:sz w:val="22"/>
          <w:szCs w:val="24"/>
          <w:rtl/>
        </w:rPr>
        <w:t>'</w:t>
      </w:r>
      <w:r w:rsidRPr="00523949">
        <w:rPr>
          <w:rFonts w:ascii="Arial TUR" w:hAnsi="Arial TUR"/>
          <w:rtl/>
        </w:rPr>
        <w:t xml:space="preserve"> ולא את </w:t>
      </w:r>
      <w:r w:rsidRPr="00523949">
        <w:rPr>
          <w:rFonts w:ascii="Century" w:hAnsi="Century" w:cs="Miriam" w:hint="eastAsia"/>
          <w:b/>
          <w:spacing w:val="0"/>
          <w:sz w:val="22"/>
          <w:szCs w:val="24"/>
          <w:rtl/>
        </w:rPr>
        <w:t>דוגמא</w:t>
      </w:r>
      <w:r w:rsidRPr="00523949">
        <w:rPr>
          <w:rFonts w:ascii="Century" w:hAnsi="Century" w:cs="Miriam"/>
          <w:b/>
          <w:spacing w:val="0"/>
          <w:sz w:val="22"/>
          <w:szCs w:val="24"/>
          <w:rtl/>
        </w:rPr>
        <w:t xml:space="preserve"> </w:t>
      </w:r>
      <w:r w:rsidRPr="00523949">
        <w:rPr>
          <w:rFonts w:ascii="Century" w:hAnsi="Century" w:cs="Miriam" w:hint="eastAsia"/>
          <w:b/>
          <w:spacing w:val="0"/>
          <w:sz w:val="22"/>
          <w:szCs w:val="24"/>
          <w:rtl/>
        </w:rPr>
        <w:t>ב</w:t>
      </w:r>
      <w:r w:rsidRPr="00523949">
        <w:rPr>
          <w:rFonts w:ascii="Century" w:hAnsi="Century" w:cs="Miriam"/>
          <w:b/>
          <w:spacing w:val="0"/>
          <w:sz w:val="22"/>
          <w:szCs w:val="24"/>
          <w:rtl/>
        </w:rPr>
        <w:t>'</w:t>
      </w:r>
      <w:r w:rsidRPr="00523949">
        <w:rPr>
          <w:rFonts w:ascii="Arial TUR" w:hAnsi="Arial TUR"/>
          <w:rtl/>
        </w:rPr>
        <w:t xml:space="preserve">. </w:t>
      </w:r>
    </w:p>
    <w:p w:rsidR="00A834E3" w:rsidRPr="00523949" w:rsidRDefault="00A834E3" w:rsidP="00A834E3">
      <w:pPr>
        <w:pStyle w:val="Ruller38"/>
        <w:spacing w:line="360" w:lineRule="auto"/>
        <w:rPr>
          <w:rFonts w:ascii="Arial TUR" w:hAnsi="Arial TUR" w:cs="FrankRuehl"/>
          <w:spacing w:val="10"/>
          <w:szCs w:val="28"/>
          <w:rtl/>
        </w:rPr>
      </w:pPr>
    </w:p>
    <w:p w:rsidR="00A834E3" w:rsidRDefault="00A834E3" w:rsidP="00A834E3">
      <w:pPr>
        <w:pStyle w:val="Ruller4"/>
      </w:pPr>
      <w:r w:rsidRPr="00A46190">
        <w:rPr>
          <w:rFonts w:ascii="Century" w:hAnsi="Century" w:cs="Miriam" w:hint="eastAsia"/>
          <w:b/>
          <w:spacing w:val="0"/>
          <w:sz w:val="22"/>
          <w:szCs w:val="24"/>
          <w:rtl/>
        </w:rPr>
        <w:t>סיכומה</w:t>
      </w:r>
      <w:r w:rsidRPr="00A46190">
        <w:rPr>
          <w:rFonts w:ascii="Century" w:hAnsi="Century" w:cs="Miriam"/>
          <w:b/>
          <w:spacing w:val="0"/>
          <w:sz w:val="22"/>
          <w:szCs w:val="24"/>
          <w:rtl/>
        </w:rPr>
        <w:t xml:space="preserve"> </w:t>
      </w:r>
      <w:r w:rsidRPr="00A46190">
        <w:rPr>
          <w:rFonts w:ascii="Century" w:hAnsi="Century" w:cs="Miriam" w:hint="eastAsia"/>
          <w:b/>
          <w:spacing w:val="0"/>
          <w:sz w:val="22"/>
          <w:szCs w:val="24"/>
          <w:rtl/>
        </w:rPr>
        <w:t>של</w:t>
      </w:r>
      <w:r w:rsidRPr="00A46190">
        <w:rPr>
          <w:rFonts w:ascii="Century" w:hAnsi="Century" w:cs="Miriam"/>
          <w:b/>
          <w:spacing w:val="0"/>
          <w:sz w:val="22"/>
          <w:szCs w:val="24"/>
          <w:rtl/>
        </w:rPr>
        <w:t xml:space="preserve"> </w:t>
      </w:r>
      <w:r w:rsidRPr="00A46190">
        <w:rPr>
          <w:rFonts w:ascii="Century" w:hAnsi="Century" w:cs="Miriam" w:hint="eastAsia"/>
          <w:b/>
          <w:spacing w:val="0"/>
          <w:sz w:val="22"/>
          <w:szCs w:val="24"/>
          <w:rtl/>
        </w:rPr>
        <w:t>נקודה</w:t>
      </w:r>
      <w:r w:rsidRPr="00A46190">
        <w:rPr>
          <w:rFonts w:ascii="Century" w:hAnsi="Century" w:cs="Miriam"/>
          <w:b/>
          <w:spacing w:val="0"/>
          <w:sz w:val="22"/>
          <w:szCs w:val="24"/>
          <w:rtl/>
        </w:rPr>
        <w:t xml:space="preserve"> </w:t>
      </w:r>
      <w:r w:rsidRPr="00A46190">
        <w:rPr>
          <w:rFonts w:ascii="Century" w:hAnsi="Century" w:cs="Miriam" w:hint="eastAsia"/>
          <w:b/>
          <w:spacing w:val="0"/>
          <w:sz w:val="22"/>
          <w:szCs w:val="24"/>
          <w:rtl/>
        </w:rPr>
        <w:t>זו</w:t>
      </w:r>
      <w:r>
        <w:rPr>
          <w:rFonts w:hint="cs"/>
          <w:rtl/>
        </w:rPr>
        <w:t>; כאשר מדובר בחברה פרטית שהיא "מעין שותפות" בה רוכשת החברה את מניותיו של אחד מבעלי המניות, קיים קושי לקבוע מהי המטרה הדומיננטית של עסקת הרכישה: האם היא מקדמת את טובתה של החברה כ"אישיות משפטית נפרדת" או שהיא מקדמת את האינטרסים הפרטיים של בעלי המניות בה; האם היה טעם כלכלי עצמאי של החברה לביצוע הרכישה העצמית או שהיא נועדה לשרת רק את בעלי המניות ועוצבה כך כדי להתחמק מתשלום מס; האם המניע לעסקה הוא סכסוך בין בעלי המניות בחברה המעוניינים להפריד את העסקים שלהם, או שמא מדובר בסכסוך המשפיע גם על החברה ולכן גם לה יש אינטרס ברכישת מניותיו של אחד מבעלי המניות. קושי זה אינו רק קושי יישומי אלא קושי מהותי שכאמור מקשה על הסיווג גם על ידי בעלי המניות עצמם.</w:t>
      </w:r>
    </w:p>
    <w:p w:rsidR="00A834E3" w:rsidRDefault="00A834E3" w:rsidP="007174C8">
      <w:pPr>
        <w:pStyle w:val="Ruller4"/>
        <w:numPr>
          <w:ilvl w:val="0"/>
          <w:numId w:val="0"/>
        </w:numPr>
        <w:rPr>
          <w:rtl/>
        </w:rPr>
      </w:pPr>
    </w:p>
    <w:p w:rsidR="00A834E3" w:rsidRDefault="00A834E3" w:rsidP="007174C8">
      <w:pPr>
        <w:pStyle w:val="Ruller4"/>
        <w:numPr>
          <w:ilvl w:val="0"/>
          <w:numId w:val="0"/>
        </w:numPr>
        <w:rPr>
          <w:rtl/>
        </w:rPr>
      </w:pPr>
      <w:r>
        <w:rPr>
          <w:rtl/>
        </w:rPr>
        <w:lastRenderedPageBreak/>
        <w:tab/>
      </w:r>
      <w:r>
        <w:rPr>
          <w:rFonts w:hint="cs"/>
          <w:rtl/>
        </w:rPr>
        <w:t xml:space="preserve">יתרה מכך, בחברה שהיא מעין-שותפות, בכל מקרה בו אחד מבעלי המניות מוכר את מניותיו לחברה, גדלה ההשפעה הניהולית של בעלי המניות הנותרים באופן המקשה גם הוא להבחין בין רכישה עצמית שהיטיבה רק עם החברה, לבין כזו שהיטיבה גם או בעיקר עם בעלי המניות בה. כל אלה מצדיקים לטעמי להחיל דין זהה ביחס למעין-שותפויות, חלף החיל דין שונה על כל עסקה בהתאם למטרתה הדומיננטית. </w:t>
      </w:r>
    </w:p>
    <w:p w:rsidR="00A834E3" w:rsidRDefault="00A834E3" w:rsidP="00A834E3">
      <w:pPr>
        <w:pStyle w:val="Ruller38"/>
        <w:spacing w:line="360" w:lineRule="auto"/>
        <w:rPr>
          <w:rFonts w:ascii="Miriam" w:hAnsi="Miriam" w:cs="Miriam"/>
          <w:spacing w:val="10"/>
          <w:sz w:val="24"/>
          <w:szCs w:val="24"/>
          <w:rtl/>
        </w:rPr>
      </w:pPr>
    </w:p>
    <w:p w:rsidR="00A834E3" w:rsidRPr="00B17847" w:rsidRDefault="00A834E3" w:rsidP="00A834E3">
      <w:pPr>
        <w:pStyle w:val="Ruller38"/>
        <w:spacing w:line="360" w:lineRule="auto"/>
        <w:rPr>
          <w:rFonts w:ascii="Century" w:hAnsi="Century" w:cs="Miriam"/>
          <w:b/>
          <w:szCs w:val="24"/>
          <w:rtl/>
        </w:rPr>
      </w:pPr>
      <w:r w:rsidRPr="00B17847">
        <w:rPr>
          <w:rFonts w:ascii="Century" w:hAnsi="Century" w:cs="Miriam"/>
          <w:b/>
          <w:szCs w:val="24"/>
          <w:rtl/>
        </w:rPr>
        <w:t>איך יש לסווג עסקה של רכישה דיספרופורציונית בחברה שהיא מעין שותפות?</w:t>
      </w:r>
    </w:p>
    <w:p w:rsidR="00A834E3" w:rsidRDefault="00A834E3" w:rsidP="00A834E3">
      <w:pPr>
        <w:pStyle w:val="Ruller38"/>
        <w:spacing w:line="360" w:lineRule="auto"/>
        <w:rPr>
          <w:rFonts w:ascii="Garamond" w:hAnsi="Garamond" w:cs="FrankRuehl"/>
          <w:spacing w:val="10"/>
          <w:sz w:val="24"/>
          <w:szCs w:val="28"/>
          <w:rtl/>
        </w:rPr>
      </w:pPr>
    </w:p>
    <w:p w:rsidR="00A834E3" w:rsidRDefault="00A834E3" w:rsidP="00A834E3">
      <w:pPr>
        <w:pStyle w:val="Ruller4"/>
        <w:rPr>
          <w:rtl/>
        </w:rPr>
      </w:pPr>
      <w:r>
        <w:rPr>
          <w:rFonts w:hint="cs"/>
          <w:rtl/>
        </w:rPr>
        <w:t>משהגעתי לכלל מסקנה שיש להחיל דין אחיד על חברות שהן מעין-שותפויות כמו החברות שלפנינו, יש להוסיף ולבחון האם יש לסווג את העסקאות הללו ככאלה בהן חולק דיבידנד לבעל המניות הנותר (כפי שטוענת רשות המס); או כרכישה עצמית של המניות כפי שהגדירו אותה הצדדים לעסקה. מבין שתי האפשרויות, אני סבורה שיש להעדיף את הראשונה.</w:t>
      </w:r>
    </w:p>
    <w:p w:rsidR="00A834E3" w:rsidRDefault="00A834E3" w:rsidP="00A834E3">
      <w:pPr>
        <w:pStyle w:val="Ruller41"/>
        <w:rPr>
          <w:rtl/>
        </w:rPr>
      </w:pPr>
    </w:p>
    <w:p w:rsidR="00A834E3" w:rsidRPr="001B71C1" w:rsidRDefault="00A834E3" w:rsidP="00A834E3">
      <w:pPr>
        <w:pStyle w:val="Ruller41"/>
      </w:pPr>
      <w:r>
        <w:rPr>
          <w:rtl/>
        </w:rPr>
        <w:tab/>
      </w:r>
      <w:r>
        <w:rPr>
          <w:rFonts w:hint="cs"/>
          <w:rtl/>
        </w:rPr>
        <w:t xml:space="preserve">בטרם אפנה לבחון את האופן בו יש לסווג את העסקאות, אקדים ואעמוד בקצרה על הכלים העיקריים המאפשרים לרשויות המס, ובהמשך לערכאות השיפוטיות הבוחנות את העסקאות, להתייחס לעסקה באופן שונה מכפי שהיא הוצגה על-ידי הצדדים. </w:t>
      </w:r>
    </w:p>
    <w:p w:rsidR="00A834E3" w:rsidRPr="00AC3C02" w:rsidRDefault="00A834E3" w:rsidP="00A834E3">
      <w:pPr>
        <w:pStyle w:val="Ruller41"/>
        <w:rPr>
          <w:rtl/>
        </w:rPr>
      </w:pPr>
    </w:p>
    <w:p w:rsidR="00A834E3" w:rsidRDefault="00A834E3" w:rsidP="00A834E3">
      <w:pPr>
        <w:pStyle w:val="Ruller4"/>
      </w:pPr>
      <w:r>
        <w:rPr>
          <w:rFonts w:hint="cs"/>
          <w:rtl/>
        </w:rPr>
        <w:t xml:space="preserve">מטרה מרכזית בדיני המס היא השאיפה להגיע לגביית "מס אמת", היינו גביית מס בהתאם למהות הכלכלית האמתית של העסקה (ע"א 5025/03 </w:t>
      </w:r>
      <w:r w:rsidRPr="00A46190">
        <w:rPr>
          <w:rFonts w:ascii="Century" w:hAnsi="Century" w:cs="Miriam" w:hint="cs"/>
          <w:b/>
          <w:spacing w:val="0"/>
          <w:sz w:val="22"/>
          <w:szCs w:val="24"/>
          <w:rtl/>
        </w:rPr>
        <w:t>מנהל מיסוי מקרקעין אזור ת"א נ' אורלי חברה לבניין ופיתוח</w:t>
      </w:r>
      <w:r>
        <w:rPr>
          <w:rFonts w:hint="cs"/>
          <w:rtl/>
        </w:rPr>
        <w:t xml:space="preserve"> (16.8.2006); ע"א 750/16 </w:t>
      </w:r>
      <w:proofErr w:type="spellStart"/>
      <w:r w:rsidRPr="00A46190">
        <w:rPr>
          <w:rFonts w:ascii="Century" w:hAnsi="Century" w:cs="Miriam" w:hint="cs"/>
          <w:b/>
          <w:spacing w:val="0"/>
          <w:sz w:val="22"/>
          <w:szCs w:val="24"/>
          <w:rtl/>
        </w:rPr>
        <w:t>סעדטמנד</w:t>
      </w:r>
      <w:proofErr w:type="spellEnd"/>
      <w:r w:rsidRPr="00A46190">
        <w:rPr>
          <w:rFonts w:ascii="Century" w:hAnsi="Century" w:cs="Miriam" w:hint="cs"/>
          <w:b/>
          <w:spacing w:val="0"/>
          <w:sz w:val="22"/>
          <w:szCs w:val="24"/>
          <w:rtl/>
        </w:rPr>
        <w:t xml:space="preserve"> נ' פקיד שומה רחובות</w:t>
      </w:r>
      <w:r>
        <w:rPr>
          <w:rFonts w:hint="cs"/>
          <w:rtl/>
        </w:rPr>
        <w:t xml:space="preserve"> (28.2.2019)). כדי להגשים את העיקרון של גביית "מס אמת" בהתאם למהות הכלכלית האמתית של העסקה, אין רשויות המס כבולות לאופן שבו הציגו הצדדים את העסקה (ראו למשל: ע"א 5025/03 </w:t>
      </w:r>
      <w:r w:rsidRPr="00A46190">
        <w:rPr>
          <w:rFonts w:ascii="Century" w:hAnsi="Century" w:cs="Miriam" w:hint="cs"/>
          <w:b/>
          <w:spacing w:val="0"/>
          <w:sz w:val="22"/>
          <w:szCs w:val="24"/>
          <w:rtl/>
        </w:rPr>
        <w:t xml:space="preserve">מנהל מיסוי מקרקעין </w:t>
      </w:r>
      <w:proofErr w:type="spellStart"/>
      <w:r w:rsidRPr="00A46190">
        <w:rPr>
          <w:rFonts w:ascii="Century" w:hAnsi="Century" w:cs="Miriam" w:hint="cs"/>
          <w:b/>
          <w:spacing w:val="0"/>
          <w:sz w:val="22"/>
          <w:szCs w:val="24"/>
          <w:rtl/>
        </w:rPr>
        <w:t>איזור</w:t>
      </w:r>
      <w:proofErr w:type="spellEnd"/>
      <w:r w:rsidRPr="00A46190">
        <w:rPr>
          <w:rFonts w:ascii="Century" w:hAnsi="Century" w:cs="Miriam" w:hint="cs"/>
          <w:b/>
          <w:spacing w:val="0"/>
          <w:sz w:val="22"/>
          <w:szCs w:val="24"/>
          <w:rtl/>
        </w:rPr>
        <w:t xml:space="preserve"> תל אביב נ' אורלי חברה </w:t>
      </w:r>
      <w:proofErr w:type="spellStart"/>
      <w:r w:rsidRPr="00A46190">
        <w:rPr>
          <w:rFonts w:ascii="Century" w:hAnsi="Century" w:cs="Miriam" w:hint="cs"/>
          <w:b/>
          <w:spacing w:val="0"/>
          <w:sz w:val="22"/>
          <w:szCs w:val="24"/>
          <w:rtl/>
        </w:rPr>
        <w:t>לבנין</w:t>
      </w:r>
      <w:proofErr w:type="spellEnd"/>
      <w:r w:rsidRPr="00A46190">
        <w:rPr>
          <w:rFonts w:ascii="Century" w:hAnsi="Century" w:cs="Miriam" w:hint="cs"/>
          <w:b/>
          <w:spacing w:val="0"/>
          <w:sz w:val="22"/>
          <w:szCs w:val="24"/>
          <w:rtl/>
        </w:rPr>
        <w:t xml:space="preserve"> ופיתוח בע"מ</w:t>
      </w:r>
      <w:r>
        <w:rPr>
          <w:rFonts w:hint="cs"/>
          <w:rtl/>
        </w:rPr>
        <w:t xml:space="preserve">, פסקה 7 (16.8.2006)). </w:t>
      </w:r>
    </w:p>
    <w:p w:rsidR="00A834E3" w:rsidRPr="00755DE7" w:rsidRDefault="00A834E3" w:rsidP="007174C8">
      <w:pPr>
        <w:pStyle w:val="Ruller4"/>
        <w:numPr>
          <w:ilvl w:val="0"/>
          <w:numId w:val="0"/>
        </w:numPr>
      </w:pPr>
    </w:p>
    <w:p w:rsidR="00A834E3" w:rsidRDefault="00A834E3" w:rsidP="007174C8">
      <w:pPr>
        <w:pStyle w:val="Ruller4"/>
        <w:numPr>
          <w:ilvl w:val="0"/>
          <w:numId w:val="0"/>
        </w:numPr>
        <w:rPr>
          <w:rtl/>
        </w:rPr>
      </w:pPr>
      <w:r>
        <w:rPr>
          <w:rtl/>
        </w:rPr>
        <w:tab/>
      </w:r>
      <w:r>
        <w:rPr>
          <w:rFonts w:hint="cs"/>
          <w:rtl/>
        </w:rPr>
        <w:t xml:space="preserve">בהתאם לכך, כאשר פקיד השומה סבור כי טיבה הכלכלי של העסקה הוא אחר מהאופן בו היא הוצגה על ידי הצדדים לה, הוא יכול להשתמש בכלי של "סיווג שונה" אשר כונה על-ידי חברי "עקרון המהות הכלכלית"; או בכלי של "סיווג מחדש" שכונה על-ידי חברי "כלל ההתעלמות מעסקה מלאכותית". הסיווג השונה נועד לאותם מקרים בהם מקבל פקיד השומה את העובדות כפי שהוצגו על-ידי הצדדים אך סבור שיש להאיר את העסקה באור שונה לאור המהות המשפטית-כלכלית האמתית שלה. </w:t>
      </w:r>
    </w:p>
    <w:p w:rsidR="00A834E3" w:rsidRDefault="00A834E3" w:rsidP="007174C8">
      <w:pPr>
        <w:pStyle w:val="Ruller4"/>
        <w:numPr>
          <w:ilvl w:val="0"/>
          <w:numId w:val="0"/>
        </w:numPr>
        <w:rPr>
          <w:rtl/>
        </w:rPr>
      </w:pPr>
    </w:p>
    <w:p w:rsidR="00A834E3" w:rsidRDefault="00A834E3" w:rsidP="007174C8">
      <w:pPr>
        <w:pStyle w:val="Ruller4"/>
        <w:numPr>
          <w:ilvl w:val="0"/>
          <w:numId w:val="0"/>
        </w:numPr>
        <w:rPr>
          <w:rtl/>
        </w:rPr>
      </w:pPr>
      <w:r>
        <w:rPr>
          <w:rtl/>
        </w:rPr>
        <w:lastRenderedPageBreak/>
        <w:tab/>
      </w:r>
      <w:r>
        <w:rPr>
          <w:rFonts w:hint="cs"/>
          <w:rtl/>
        </w:rPr>
        <w:t xml:space="preserve">הסיווג השונה בוחן את המהות הכלכלית של העסקה והוא יכול להיעשות בשני מסלולים: האחד, מסלול </w:t>
      </w:r>
      <w:r w:rsidRPr="00397FC3">
        <w:rPr>
          <w:rFonts w:ascii="Miriam" w:hAnsi="Miriam" w:cs="Miriam"/>
          <w:szCs w:val="24"/>
          <w:rtl/>
        </w:rPr>
        <w:t>הדין הכללי</w:t>
      </w:r>
      <w:r>
        <w:rPr>
          <w:rFonts w:hint="cs"/>
          <w:rtl/>
        </w:rPr>
        <w:t xml:space="preserve"> בגדרו יש לבחון האם הכינוי שנתנו הצדדים לעסקה מושתת על סיווגים התואמים את הדין הכללי; השני, מסלול </w:t>
      </w:r>
      <w:r w:rsidRPr="00397FC3">
        <w:rPr>
          <w:rFonts w:ascii="Miriam" w:hAnsi="Miriam" w:cs="Miriam"/>
          <w:szCs w:val="24"/>
          <w:rtl/>
        </w:rPr>
        <w:t xml:space="preserve">דיני המס </w:t>
      </w:r>
      <w:r>
        <w:rPr>
          <w:rFonts w:hint="cs"/>
          <w:rtl/>
        </w:rPr>
        <w:t xml:space="preserve">הבוחן את הסיווג לאור הוראות המס ופרשנותם. רק אם לא ניתן לסווג את העסקה באופן שונה באחד מהמסלולים האמורים, יש לפנות לכלי של "סיווג מחדש" המאפשר לפקיד השומה להתעלם מהעסקה כפי שעוצבה (ראו: עניין </w:t>
      </w:r>
      <w:proofErr w:type="spellStart"/>
      <w:r w:rsidRPr="00A46190">
        <w:rPr>
          <w:rFonts w:ascii="Century" w:hAnsi="Century" w:cs="Miriam" w:hint="cs"/>
          <w:b/>
          <w:spacing w:val="0"/>
          <w:sz w:val="22"/>
          <w:szCs w:val="24"/>
          <w:rtl/>
        </w:rPr>
        <w:t>סעדטמנד</w:t>
      </w:r>
      <w:proofErr w:type="spellEnd"/>
      <w:r>
        <w:rPr>
          <w:rFonts w:hint="cs"/>
          <w:rtl/>
        </w:rPr>
        <w:t>, פסקאות 6-5).</w:t>
      </w:r>
    </w:p>
    <w:p w:rsidR="00A834E3" w:rsidRDefault="00A834E3" w:rsidP="00A834E3">
      <w:pPr>
        <w:pStyle w:val="Ruller41"/>
        <w:rPr>
          <w:rtl/>
        </w:rPr>
      </w:pPr>
    </w:p>
    <w:p w:rsidR="00A834E3" w:rsidRPr="0061342A" w:rsidRDefault="00A834E3" w:rsidP="00A834E3">
      <w:pPr>
        <w:pStyle w:val="Ruller41"/>
        <w:rPr>
          <w:rtl/>
        </w:rPr>
      </w:pPr>
      <w:r>
        <w:rPr>
          <w:rtl/>
        </w:rPr>
        <w:tab/>
      </w:r>
      <w:r>
        <w:rPr>
          <w:rFonts w:hint="cs"/>
          <w:rtl/>
        </w:rPr>
        <w:t xml:space="preserve">פקידי השומה בענייננו לא עשו שימוש בסמכותם לסווג מחדש את העסקאות. לכן יש לבחון את עמדתם בראי הכלי המשפטי של "סיווג שונה", קרי האם ניתן היה לקבוע כי יש לראות בבעלי המניות הנותרים כמי שקיבלו דיבידנד מהחברה בהתאם לפרשנות המונח "דיבידנד" </w:t>
      </w:r>
      <w:r>
        <w:rPr>
          <w:rtl/>
        </w:rPr>
        <w:t>–</w:t>
      </w:r>
      <w:r>
        <w:rPr>
          <w:rFonts w:hint="cs"/>
          <w:rtl/>
        </w:rPr>
        <w:t xml:space="preserve"> בין בדין הכללי או בדיני המס.</w:t>
      </w:r>
    </w:p>
    <w:p w:rsidR="00A834E3" w:rsidRDefault="00A834E3" w:rsidP="00A834E3">
      <w:pPr>
        <w:pStyle w:val="Ruller41"/>
        <w:rPr>
          <w:rtl/>
        </w:rPr>
      </w:pPr>
    </w:p>
    <w:p w:rsidR="00A834E3" w:rsidRDefault="00A834E3" w:rsidP="00A834E3">
      <w:pPr>
        <w:pStyle w:val="Ruller4"/>
        <w:rPr>
          <w:rtl/>
        </w:rPr>
      </w:pPr>
      <w:r w:rsidRPr="00B17847">
        <w:rPr>
          <w:rFonts w:ascii="Century" w:hAnsi="Century" w:cs="Miriam" w:hint="cs"/>
          <w:b/>
          <w:spacing w:val="0"/>
          <w:sz w:val="22"/>
          <w:szCs w:val="24"/>
          <w:rtl/>
        </w:rPr>
        <w:t>פרשנות המונח דיבידנד בדין הכללי</w:t>
      </w:r>
      <w:r w:rsidRPr="00B17847">
        <w:rPr>
          <w:rFonts w:hint="cs"/>
          <w:rtl/>
        </w:rPr>
        <w:t xml:space="preserve"> </w:t>
      </w:r>
      <w:r>
        <w:rPr>
          <w:rtl/>
        </w:rPr>
        <w:t>–</w:t>
      </w:r>
      <w:r>
        <w:rPr>
          <w:rFonts w:hint="cs"/>
          <w:rtl/>
        </w:rPr>
        <w:t xml:space="preserve"> חוק החברות מתייחס לדיבידנד ולרכישה עצמית של מניות החברה כשתי פעולות משפטיות שונות, אך רואה בשתיהן משום "חלוקה" שחייבת לעמוד בתנאים הקבועים בחוק. כפי שציין חברי בפסק דינו, ההבחנה בין השניים מלמדת על כך שמהותה הכלכלית (והמשפטית) של רכישה עצמית אינה חופפת תמיד לזו של חלוקת דיבידנד. יחד עם זאת, עשויים להיות מקרים בהם תהיה חפיפה.</w:t>
      </w:r>
    </w:p>
    <w:p w:rsidR="00A834E3" w:rsidRDefault="00A834E3" w:rsidP="00A834E3">
      <w:pPr>
        <w:pStyle w:val="Ruller41"/>
        <w:rPr>
          <w:rtl/>
        </w:rPr>
      </w:pPr>
    </w:p>
    <w:p w:rsidR="00A834E3" w:rsidRDefault="00A834E3" w:rsidP="00A834E3">
      <w:pPr>
        <w:pStyle w:val="Ruller41"/>
        <w:rPr>
          <w:rtl/>
        </w:rPr>
      </w:pPr>
      <w:r>
        <w:rPr>
          <w:rtl/>
        </w:rPr>
        <w:tab/>
      </w:r>
      <w:r>
        <w:rPr>
          <w:rFonts w:hint="cs"/>
          <w:rtl/>
        </w:rPr>
        <w:t>דיבידנד מוגדר בסעיף 1 לחוק החברות כ"</w:t>
      </w:r>
      <w:r w:rsidRPr="00A46190">
        <w:rPr>
          <w:rFonts w:ascii="Century" w:hAnsi="Century" w:cs="Miriam" w:hint="cs"/>
          <w:b/>
          <w:spacing w:val="0"/>
          <w:szCs w:val="24"/>
          <w:rtl/>
        </w:rPr>
        <w:t>כל נכס הניתן על ידי החברה לבעל מניה מכוח זכותו כבעל מניה, בין במזומן ובין בכל דרך אחרת, לרבות העברה ללא תמורה שוות ערך ולמעט מניות הטבה</w:t>
      </w:r>
      <w:r>
        <w:rPr>
          <w:rFonts w:hint="cs"/>
          <w:rtl/>
        </w:rPr>
        <w:t>". כאשר הרכישה העצמית מבוצעת "פרו-</w:t>
      </w:r>
      <w:proofErr w:type="spellStart"/>
      <w:r>
        <w:rPr>
          <w:rFonts w:hint="cs"/>
          <w:rtl/>
        </w:rPr>
        <w:t>רטה</w:t>
      </w:r>
      <w:proofErr w:type="spellEnd"/>
      <w:r>
        <w:rPr>
          <w:rFonts w:hint="cs"/>
          <w:rtl/>
        </w:rPr>
        <w:t xml:space="preserve">", מדובר בפעולה משפטית העונה גם להגדרת חוק החברות ל"דיבידנד". זאת מאחר שבעלי המניות מקבלים לידיהם מהחברה כסף מזומן מכוח היותם בעלי מניות בה, ומבלי שחל שינוי בהון המנויות היחסי המוחזק על-ידיהם. </w:t>
      </w:r>
    </w:p>
    <w:p w:rsidR="00A834E3" w:rsidRDefault="00A834E3" w:rsidP="00A834E3">
      <w:pPr>
        <w:pStyle w:val="Ruller41"/>
        <w:rPr>
          <w:rtl/>
        </w:rPr>
      </w:pPr>
    </w:p>
    <w:p w:rsidR="00A834E3" w:rsidRPr="00E3179E" w:rsidRDefault="00A834E3" w:rsidP="00A834E3">
      <w:pPr>
        <w:pStyle w:val="Ruller41"/>
        <w:rPr>
          <w:rtl/>
        </w:rPr>
      </w:pPr>
      <w:r>
        <w:rPr>
          <w:rtl/>
        </w:rPr>
        <w:tab/>
      </w:r>
      <w:r>
        <w:rPr>
          <w:rFonts w:hint="cs"/>
          <w:rtl/>
        </w:rPr>
        <w:t xml:space="preserve">לכאורה, רכישה עצמית דיספרופורציונית אינה נכנסת תחת ההגדרה של "דיבידנד". ואולם, לנוכח הטעמים עליהם עמדתי לעיל, נראה כי כאשר מדובר בחברות שהן מעין-שותפויות, נלווית לרכישה העצמית גם פעולה נוספת של חלוקת דיבידנד בעין. כאמור, סילוקו של אחד מבעלי המניות בחברה כזו, משמעה למעשה חלוקה בעין של זכויות ניהול והצבעה נוספות ליתר בעלי המניות בחברה. זכויות אלה הן נכס שניתן לבעלי המניות הנותרים על-ידי החברה באמצעות הרכישה העצמית של מניות והפיכתן לרדומות (ראו פסק דינו של כב' השופט </w:t>
      </w:r>
      <w:r w:rsidRPr="002666BA">
        <w:rPr>
          <w:rFonts w:ascii="Miriam" w:hAnsi="Miriam" w:cs="Miriam"/>
          <w:sz w:val="24"/>
          <w:szCs w:val="24"/>
          <w:rtl/>
        </w:rPr>
        <w:t xml:space="preserve">מ' </w:t>
      </w:r>
      <w:proofErr w:type="spellStart"/>
      <w:r w:rsidRPr="002666BA">
        <w:rPr>
          <w:rFonts w:ascii="Miriam" w:hAnsi="Miriam" w:cs="Miriam"/>
          <w:sz w:val="24"/>
          <w:szCs w:val="24"/>
          <w:rtl/>
        </w:rPr>
        <w:t>אלטוביה</w:t>
      </w:r>
      <w:proofErr w:type="spellEnd"/>
      <w:r>
        <w:rPr>
          <w:rFonts w:hint="cs"/>
          <w:rtl/>
        </w:rPr>
        <w:t xml:space="preserve"> בעניין </w:t>
      </w:r>
      <w:r w:rsidRPr="00A46190">
        <w:rPr>
          <w:rFonts w:ascii="Century" w:hAnsi="Century" w:cs="Miriam" w:hint="cs"/>
          <w:b/>
          <w:spacing w:val="0"/>
          <w:szCs w:val="24"/>
          <w:rtl/>
        </w:rPr>
        <w:t>בר ניר</w:t>
      </w:r>
      <w:r>
        <w:rPr>
          <w:rFonts w:hint="cs"/>
          <w:rtl/>
        </w:rPr>
        <w:t>).</w:t>
      </w:r>
    </w:p>
    <w:p w:rsidR="00A834E3" w:rsidRDefault="00A834E3" w:rsidP="00A834E3">
      <w:pPr>
        <w:pStyle w:val="Ruller41"/>
        <w:rPr>
          <w:rtl/>
        </w:rPr>
      </w:pPr>
    </w:p>
    <w:p w:rsidR="00A834E3" w:rsidRPr="00204EDD" w:rsidRDefault="00A834E3" w:rsidP="00A834E3">
      <w:pPr>
        <w:pStyle w:val="Ruller4"/>
        <w:rPr>
          <w:rtl/>
        </w:rPr>
      </w:pPr>
      <w:r>
        <w:rPr>
          <w:rFonts w:ascii="Century" w:hAnsi="Century" w:cs="Miriam" w:hint="cs"/>
          <w:b/>
          <w:spacing w:val="0"/>
          <w:sz w:val="22"/>
          <w:szCs w:val="24"/>
          <w:rtl/>
        </w:rPr>
        <w:lastRenderedPageBreak/>
        <w:t>פרשנות המונח דיבידנד בדיני המס</w:t>
      </w:r>
      <w:r>
        <w:rPr>
          <w:rFonts w:hint="cs"/>
          <w:rtl/>
        </w:rPr>
        <w:t xml:space="preserve"> </w:t>
      </w:r>
      <w:r>
        <w:rPr>
          <w:rtl/>
        </w:rPr>
        <w:t>–</w:t>
      </w:r>
      <w:r>
        <w:rPr>
          <w:rFonts w:hint="cs"/>
          <w:rtl/>
        </w:rPr>
        <w:t xml:space="preserve"> סעיף 2(4) לפקודת מס הכנסה קובע כי הכנסה מדיבידנד היא הכנסה החייבת במס. ברכישה עצמית דיספרופורציונית, בעלי המניות הנותרים אינם מקבלים לידיהם את כספי התמורה (כפי שקורה ברכישה עצמית פרו-</w:t>
      </w:r>
      <w:proofErr w:type="spellStart"/>
      <w:r>
        <w:rPr>
          <w:rFonts w:hint="cs"/>
          <w:rtl/>
        </w:rPr>
        <w:t>רטה</w:t>
      </w:r>
      <w:proofErr w:type="spellEnd"/>
      <w:r>
        <w:rPr>
          <w:rFonts w:hint="cs"/>
          <w:rtl/>
        </w:rPr>
        <w:t xml:space="preserve"> למשל) ואף לא את המניות של בעל המניות היוצא. לכן לכאורה אין סכום שאותו ניתן למסות. יחד עם זאת וכפי שהובהר, חלקם היחסי של בעלי המניות הנותרים בהון המניות של החברה גדל והשאלה היא האם הגידול הזה הוא תקבול המהווה דיבידנד בהתאם לאופן בו יש לפרש את המונח בדיני המס. אני סבורה כי יש לענות על שאלה זו בחיוב.</w:t>
      </w:r>
    </w:p>
    <w:p w:rsidR="00A834E3" w:rsidRDefault="00A834E3" w:rsidP="00A834E3">
      <w:pPr>
        <w:pStyle w:val="Ruller41"/>
        <w:rPr>
          <w:rtl/>
        </w:rPr>
      </w:pPr>
    </w:p>
    <w:p w:rsidR="00A834E3" w:rsidRDefault="00A834E3" w:rsidP="00A834E3">
      <w:pPr>
        <w:pStyle w:val="Ruller41"/>
        <w:rPr>
          <w:rtl/>
        </w:rPr>
      </w:pPr>
      <w:r>
        <w:rPr>
          <w:rtl/>
        </w:rPr>
        <w:tab/>
      </w:r>
      <w:r>
        <w:rPr>
          <w:rFonts w:hint="cs"/>
          <w:rtl/>
        </w:rPr>
        <w:t xml:space="preserve">פרשנות המונח "דיבידנד" בדיני המס, צריכה להתחיל </w:t>
      </w:r>
      <w:r>
        <w:rPr>
          <w:rtl/>
        </w:rPr>
        <w:t>–</w:t>
      </w:r>
      <w:r>
        <w:rPr>
          <w:rFonts w:hint="cs"/>
          <w:rtl/>
        </w:rPr>
        <w:t xml:space="preserve"> כמו כל הליך פרשנות </w:t>
      </w:r>
      <w:r>
        <w:rPr>
          <w:rtl/>
        </w:rPr>
        <w:t>–</w:t>
      </w:r>
      <w:r>
        <w:rPr>
          <w:rFonts w:hint="cs"/>
          <w:rtl/>
        </w:rPr>
        <w:t xml:space="preserve"> בלשון החוק. ככל שישנה יותר מפרשנות לשונית אחת, יש לאתר את תכליות החקיקה ולבחור איזו מהפרשנויות האפשריות מגשימה באופן המיטבי את התכלית (ראו למשל: דנ"א 2308/15 </w:t>
      </w:r>
      <w:r w:rsidRPr="00BB58CD">
        <w:rPr>
          <w:rFonts w:ascii="Century" w:hAnsi="Century" w:cs="Miriam" w:hint="eastAsia"/>
          <w:b/>
          <w:spacing w:val="0"/>
          <w:szCs w:val="24"/>
          <w:rtl/>
        </w:rPr>
        <w:t>פקיד</w:t>
      </w:r>
      <w:r w:rsidRPr="00BB58CD">
        <w:rPr>
          <w:rFonts w:ascii="Century" w:hAnsi="Century" w:cs="Miriam"/>
          <w:b/>
          <w:spacing w:val="0"/>
          <w:szCs w:val="24"/>
          <w:rtl/>
        </w:rPr>
        <w:t xml:space="preserve"> </w:t>
      </w:r>
      <w:r w:rsidRPr="00BB58CD">
        <w:rPr>
          <w:rFonts w:ascii="Century" w:hAnsi="Century" w:cs="Miriam" w:hint="eastAsia"/>
          <w:b/>
          <w:spacing w:val="0"/>
          <w:szCs w:val="24"/>
          <w:rtl/>
        </w:rPr>
        <w:t>שומה</w:t>
      </w:r>
      <w:r w:rsidRPr="00BB58CD">
        <w:rPr>
          <w:rFonts w:ascii="Century" w:hAnsi="Century" w:cs="Miriam"/>
          <w:b/>
          <w:spacing w:val="0"/>
          <w:szCs w:val="24"/>
          <w:rtl/>
        </w:rPr>
        <w:t xml:space="preserve"> </w:t>
      </w:r>
      <w:r w:rsidRPr="00BB58CD">
        <w:rPr>
          <w:rFonts w:ascii="Century" w:hAnsi="Century" w:cs="Miriam" w:hint="eastAsia"/>
          <w:b/>
          <w:spacing w:val="0"/>
          <w:szCs w:val="24"/>
          <w:rtl/>
        </w:rPr>
        <w:t>רחובות</w:t>
      </w:r>
      <w:r w:rsidRPr="00BB58CD">
        <w:rPr>
          <w:rFonts w:ascii="Century" w:hAnsi="Century" w:cs="Miriam"/>
          <w:b/>
          <w:spacing w:val="0"/>
          <w:szCs w:val="24"/>
          <w:rtl/>
        </w:rPr>
        <w:t xml:space="preserve"> </w:t>
      </w:r>
      <w:r w:rsidRPr="00BB58CD">
        <w:rPr>
          <w:rFonts w:ascii="Century" w:hAnsi="Century" w:cs="Miriam" w:hint="eastAsia"/>
          <w:b/>
          <w:spacing w:val="0"/>
          <w:szCs w:val="24"/>
          <w:rtl/>
        </w:rPr>
        <w:t>נ</w:t>
      </w:r>
      <w:r w:rsidRPr="00BB58CD">
        <w:rPr>
          <w:rFonts w:ascii="Century" w:hAnsi="Century" w:cs="Miriam"/>
          <w:b/>
          <w:spacing w:val="0"/>
          <w:szCs w:val="24"/>
          <w:rtl/>
        </w:rPr>
        <w:t xml:space="preserve">' </w:t>
      </w:r>
      <w:r w:rsidRPr="00BB58CD">
        <w:rPr>
          <w:rFonts w:ascii="Century" w:hAnsi="Century" w:cs="Miriam" w:hint="eastAsia"/>
          <w:b/>
          <w:spacing w:val="0"/>
          <w:szCs w:val="24"/>
          <w:rtl/>
        </w:rPr>
        <w:t>דמארי</w:t>
      </w:r>
      <w:r>
        <w:rPr>
          <w:rFonts w:hint="cs"/>
          <w:rtl/>
        </w:rPr>
        <w:t xml:space="preserve">, פסקה 20 לפסק דינה של מ' נאור (12.9.2017); ע"א 8511/18 </w:t>
      </w:r>
      <w:r w:rsidRPr="00BB58CD">
        <w:rPr>
          <w:rFonts w:ascii="Century" w:hAnsi="Century" w:cs="Miriam" w:hint="eastAsia"/>
          <w:b/>
          <w:spacing w:val="0"/>
          <w:szCs w:val="24"/>
          <w:rtl/>
        </w:rPr>
        <w:t>פקיד</w:t>
      </w:r>
      <w:r w:rsidRPr="00BB58CD">
        <w:rPr>
          <w:rFonts w:ascii="Century" w:hAnsi="Century" w:cs="Miriam"/>
          <w:b/>
          <w:spacing w:val="0"/>
          <w:szCs w:val="24"/>
          <w:rtl/>
        </w:rPr>
        <w:t xml:space="preserve"> </w:t>
      </w:r>
      <w:r w:rsidRPr="00BB58CD">
        <w:rPr>
          <w:rFonts w:ascii="Century" w:hAnsi="Century" w:cs="Miriam" w:hint="eastAsia"/>
          <w:b/>
          <w:spacing w:val="0"/>
          <w:szCs w:val="24"/>
          <w:rtl/>
        </w:rPr>
        <w:t>שומה</w:t>
      </w:r>
      <w:r w:rsidRPr="00BB58CD">
        <w:rPr>
          <w:rFonts w:ascii="Century" w:hAnsi="Century" w:cs="Miriam"/>
          <w:b/>
          <w:spacing w:val="0"/>
          <w:szCs w:val="24"/>
          <w:rtl/>
        </w:rPr>
        <w:t xml:space="preserve"> </w:t>
      </w:r>
      <w:r w:rsidRPr="00BB58CD">
        <w:rPr>
          <w:rFonts w:ascii="Century" w:hAnsi="Century" w:cs="Miriam" w:hint="eastAsia"/>
          <w:b/>
          <w:spacing w:val="0"/>
          <w:szCs w:val="24"/>
          <w:rtl/>
        </w:rPr>
        <w:t>נתניה</w:t>
      </w:r>
      <w:r w:rsidRPr="00BB58CD">
        <w:rPr>
          <w:rFonts w:ascii="Century" w:hAnsi="Century" w:cs="Miriam"/>
          <w:b/>
          <w:spacing w:val="0"/>
          <w:szCs w:val="24"/>
          <w:rtl/>
        </w:rPr>
        <w:t xml:space="preserve"> </w:t>
      </w:r>
      <w:r w:rsidRPr="00BB58CD">
        <w:rPr>
          <w:rFonts w:ascii="Century" w:hAnsi="Century" w:cs="Miriam" w:hint="eastAsia"/>
          <w:b/>
          <w:spacing w:val="0"/>
          <w:szCs w:val="24"/>
          <w:rtl/>
        </w:rPr>
        <w:t>נ</w:t>
      </w:r>
      <w:r w:rsidRPr="00BB58CD">
        <w:rPr>
          <w:rFonts w:ascii="Century" w:hAnsi="Century" w:cs="Miriam"/>
          <w:b/>
          <w:spacing w:val="0"/>
          <w:szCs w:val="24"/>
          <w:rtl/>
        </w:rPr>
        <w:t xml:space="preserve">' </w:t>
      </w:r>
      <w:r w:rsidRPr="00BB58CD">
        <w:rPr>
          <w:rFonts w:ascii="Century" w:hAnsi="Century" w:cs="Miriam" w:hint="eastAsia"/>
          <w:b/>
          <w:spacing w:val="0"/>
          <w:szCs w:val="24"/>
          <w:rtl/>
        </w:rPr>
        <w:t>דלק</w:t>
      </w:r>
      <w:r w:rsidRPr="00BB58CD">
        <w:rPr>
          <w:rFonts w:ascii="Century" w:hAnsi="Century" w:cs="Miriam"/>
          <w:b/>
          <w:spacing w:val="0"/>
          <w:szCs w:val="24"/>
          <w:rtl/>
        </w:rPr>
        <w:t xml:space="preserve"> </w:t>
      </w:r>
      <w:r w:rsidRPr="00BB58CD">
        <w:rPr>
          <w:rFonts w:ascii="Century" w:hAnsi="Century" w:cs="Miriam" w:hint="eastAsia"/>
          <w:b/>
          <w:spacing w:val="0"/>
          <w:szCs w:val="24"/>
          <w:rtl/>
        </w:rPr>
        <w:t>הונגריה</w:t>
      </w:r>
      <w:r w:rsidRPr="00BB58CD">
        <w:rPr>
          <w:rFonts w:ascii="Century" w:hAnsi="Century" w:cs="Miriam"/>
          <w:b/>
          <w:spacing w:val="0"/>
          <w:szCs w:val="24"/>
          <w:rtl/>
        </w:rPr>
        <w:t xml:space="preserve"> </w:t>
      </w:r>
      <w:r w:rsidRPr="00BB58CD">
        <w:rPr>
          <w:rFonts w:ascii="Century" w:hAnsi="Century" w:cs="Miriam" w:hint="eastAsia"/>
          <w:b/>
          <w:spacing w:val="0"/>
          <w:szCs w:val="24"/>
          <w:rtl/>
        </w:rPr>
        <w:t>בע</w:t>
      </w:r>
      <w:r w:rsidRPr="00BB58CD">
        <w:rPr>
          <w:rFonts w:ascii="Century" w:hAnsi="Century" w:cs="Miriam"/>
          <w:b/>
          <w:spacing w:val="0"/>
          <w:szCs w:val="24"/>
          <w:rtl/>
        </w:rPr>
        <w:t>"מ</w:t>
      </w:r>
      <w:r>
        <w:rPr>
          <w:rFonts w:hint="cs"/>
          <w:rtl/>
        </w:rPr>
        <w:t xml:space="preserve"> (26.1.2020)). </w:t>
      </w:r>
    </w:p>
    <w:p w:rsidR="00A834E3" w:rsidRDefault="00A834E3" w:rsidP="00A834E3">
      <w:pPr>
        <w:pStyle w:val="Ruller41"/>
        <w:rPr>
          <w:rtl/>
        </w:rPr>
      </w:pPr>
    </w:p>
    <w:p w:rsidR="00A834E3" w:rsidRPr="00E3179E" w:rsidRDefault="00A834E3" w:rsidP="00A834E3">
      <w:pPr>
        <w:pStyle w:val="Ruller41"/>
        <w:rPr>
          <w:rtl/>
        </w:rPr>
      </w:pPr>
      <w:r>
        <w:rPr>
          <w:rtl/>
        </w:rPr>
        <w:tab/>
      </w:r>
      <w:r>
        <w:rPr>
          <w:rFonts w:hint="cs"/>
          <w:rtl/>
        </w:rPr>
        <w:t xml:space="preserve">באשר ללשון החוק </w:t>
      </w:r>
      <w:r>
        <w:rPr>
          <w:rtl/>
        </w:rPr>
        <w:t>–</w:t>
      </w:r>
      <w:r>
        <w:rPr>
          <w:rFonts w:hint="cs"/>
          <w:rtl/>
        </w:rPr>
        <w:t xml:space="preserve"> הרי סעיף 2(4) לפקודת מס הכנסה אינו מגדיר את המונח "דיבידנד", אף לא בדרך של הפניה לחוק החברות. מאחר שאין מענה בלשון החוק, יש להמשיך ולפנות לתכליות של פקודת ההכנסה. בהקשר זה יובהר כי על אף שיש לשאוף להרמוניה בפרשנות מונחים זהים בדין, יש להביא בחשבון כי התכליות של חוק החברות ושל פקודת מס הכנסה הן שונות. לכן אין הכרח כי תינתן להן פרשנות זהה. כך, פרשנות המונח דיבידנד בחוק החברות צריכה להביא בחשבון בעיקר את תכלית ההגנה על הנושים מול בעלי המניות; בעוד שפרשנות המונח בדיני המס צריכה להביא בחשבון בעיקר את התכלית של מיסוי מלא בהתאם למודל הדו-שלבי של מיסוי חברות ובהתאם לעקרונות של דיני המס. </w:t>
      </w:r>
    </w:p>
    <w:p w:rsidR="00A834E3" w:rsidRDefault="00A834E3" w:rsidP="00A834E3">
      <w:pPr>
        <w:pStyle w:val="Ruller38"/>
        <w:spacing w:line="360" w:lineRule="auto"/>
        <w:rPr>
          <w:rFonts w:ascii="Garamond" w:hAnsi="Garamond" w:cs="FrankRuehl"/>
          <w:spacing w:val="10"/>
          <w:sz w:val="24"/>
          <w:szCs w:val="28"/>
          <w:rtl/>
        </w:rPr>
      </w:pPr>
    </w:p>
    <w:p w:rsidR="00A834E3" w:rsidRDefault="00A834E3" w:rsidP="007174C8">
      <w:pPr>
        <w:pStyle w:val="Ruller4"/>
        <w:numPr>
          <w:ilvl w:val="0"/>
          <w:numId w:val="0"/>
        </w:numPr>
        <w:rPr>
          <w:rtl/>
        </w:rPr>
      </w:pPr>
      <w:r>
        <w:rPr>
          <w:rtl/>
        </w:rPr>
        <w:tab/>
      </w:r>
      <w:r>
        <w:rPr>
          <w:rFonts w:hint="cs"/>
          <w:rtl/>
        </w:rPr>
        <w:t xml:space="preserve">השאלה נושא פסק הדין דנן - האם מדובר בהטבה בת-מיסוי - צריכה להיבחן בהתאם לעקרונות דיני מס הכנסה. כלל יסוד בשיטת מס ההכנסה בישראל הוא שאין לאדם "הכנסה" אם היא אינה משקפת תוספת לעושרו או גידול ביכולתו הכלכלית (ד"ר תמיר שאנן ועו"ד רועי כהן, "מיסוי רכישה עצמית של מניות בידי תאגיד" </w:t>
      </w:r>
      <w:r w:rsidRPr="00523949">
        <w:rPr>
          <w:rFonts w:ascii="Century" w:hAnsi="Century" w:cs="Miriam" w:hint="eastAsia"/>
          <w:b/>
          <w:spacing w:val="0"/>
          <w:sz w:val="22"/>
          <w:szCs w:val="24"/>
          <w:rtl/>
        </w:rPr>
        <w:t>הפרקליט</w:t>
      </w:r>
      <w:r>
        <w:rPr>
          <w:rFonts w:hint="cs"/>
          <w:rtl/>
        </w:rPr>
        <w:t xml:space="preserve"> </w:t>
      </w:r>
      <w:proofErr w:type="spellStart"/>
      <w:r>
        <w:rPr>
          <w:rFonts w:hint="cs"/>
          <w:rtl/>
        </w:rPr>
        <w:t>נג</w:t>
      </w:r>
      <w:proofErr w:type="spellEnd"/>
      <w:r>
        <w:rPr>
          <w:rFonts w:hint="cs"/>
          <w:rtl/>
        </w:rPr>
        <w:t xml:space="preserve">(2), </w:t>
      </w:r>
      <w:proofErr w:type="spellStart"/>
      <w:r>
        <w:rPr>
          <w:rFonts w:hint="cs"/>
          <w:rtl/>
        </w:rPr>
        <w:t>התשע"ה</w:t>
      </w:r>
      <w:proofErr w:type="spellEnd"/>
      <w:r>
        <w:rPr>
          <w:rFonts w:hint="cs"/>
          <w:rtl/>
        </w:rPr>
        <w:t xml:space="preserve">). עיקרון יסוד נוסף בדיני המס הוא עיקרון המימוש, שלפיו אדם יהיה חייב במס הכנסה רק על רווח שמומש. הרציונל העומד בבסיס עיקרון המימוש הוא הוודאות שיש בהתעשרות כאשר היא ממומשת; היכולת להעריך את שווי ההתעשרות בעת המימוש; והנזילות של הנישום בעת המימוש המאפשרת לו לשלם את המס בגין </w:t>
      </w:r>
      <w:r>
        <w:rPr>
          <w:rFonts w:hint="cs"/>
          <w:rtl/>
        </w:rPr>
        <w:lastRenderedPageBreak/>
        <w:t xml:space="preserve">ההתעשרות (ראו: עניין </w:t>
      </w:r>
      <w:r w:rsidRPr="00A46190">
        <w:rPr>
          <w:rFonts w:ascii="Century" w:hAnsi="Century" w:cs="Miriam" w:hint="cs"/>
          <w:b/>
          <w:spacing w:val="0"/>
          <w:sz w:val="22"/>
          <w:szCs w:val="24"/>
          <w:rtl/>
        </w:rPr>
        <w:t>קניון דרורים</w:t>
      </w:r>
      <w:r>
        <w:rPr>
          <w:rFonts w:hint="cs"/>
          <w:rtl/>
        </w:rPr>
        <w:t xml:space="preserve">, פסקאות 34 ו-38). מכאן כי רק "התעשרות ממומשת" היא התעשרות בת-מיסוי. </w:t>
      </w:r>
    </w:p>
    <w:p w:rsidR="00A834E3" w:rsidRDefault="00A834E3" w:rsidP="007174C8">
      <w:pPr>
        <w:pStyle w:val="Ruller4"/>
        <w:numPr>
          <w:ilvl w:val="0"/>
          <w:numId w:val="0"/>
        </w:numPr>
        <w:rPr>
          <w:rtl/>
        </w:rPr>
      </w:pPr>
    </w:p>
    <w:p w:rsidR="00A834E3" w:rsidRPr="00204EDD" w:rsidRDefault="00A834E3" w:rsidP="007174C8">
      <w:pPr>
        <w:pStyle w:val="Ruller4"/>
        <w:numPr>
          <w:ilvl w:val="0"/>
          <w:numId w:val="0"/>
        </w:numPr>
        <w:rPr>
          <w:rtl/>
        </w:rPr>
      </w:pPr>
      <w:r>
        <w:rPr>
          <w:rtl/>
        </w:rPr>
        <w:tab/>
      </w:r>
      <w:r>
        <w:rPr>
          <w:rFonts w:hint="cs"/>
          <w:rtl/>
        </w:rPr>
        <w:t xml:space="preserve">עוד יש לציין כי דרישת ההתעשרות לשם חיוב במס היא דרישה מהותית, בעוד שעיקרון המימוש הוא פרקטי בעיקרו. לכן ניתן לסטות ממנו במקרים חריגים ולהימנע מאימוץ דווקני שעלול לגרום לעיוותי מס (ראו למשל: ע"א 510/80 </w:t>
      </w:r>
      <w:r w:rsidRPr="00A46190">
        <w:rPr>
          <w:rFonts w:ascii="Century" w:hAnsi="Century" w:cs="Miriam" w:hint="cs"/>
          <w:b/>
          <w:spacing w:val="0"/>
          <w:sz w:val="22"/>
          <w:szCs w:val="24"/>
          <w:rtl/>
        </w:rPr>
        <w:t>פקיד שומה ירושלים נ' דפוס המכרז, חברה להוצאה לאור בע"מ</w:t>
      </w:r>
      <w:r>
        <w:rPr>
          <w:rFonts w:hint="cs"/>
          <w:rtl/>
        </w:rPr>
        <w:t xml:space="preserve">, פ"ד לו(4) 589 (1982)); ע"א 6952/15 </w:t>
      </w:r>
      <w:r w:rsidRPr="00A46190">
        <w:rPr>
          <w:rFonts w:ascii="Century" w:hAnsi="Century" w:cs="Miriam" w:hint="cs"/>
          <w:b/>
          <w:spacing w:val="0"/>
          <w:sz w:val="22"/>
          <w:szCs w:val="24"/>
          <w:rtl/>
        </w:rPr>
        <w:t>פקיד שומה גוש דן, נ' קרן</w:t>
      </w:r>
      <w:r>
        <w:rPr>
          <w:rFonts w:ascii="Century" w:hAnsi="Century" w:cs="Miriam" w:hint="cs"/>
          <w:b/>
          <w:spacing w:val="0"/>
          <w:sz w:val="22"/>
          <w:szCs w:val="24"/>
          <w:rtl/>
        </w:rPr>
        <w:t xml:space="preserve">, </w:t>
      </w:r>
      <w:r w:rsidRPr="00FD55F1">
        <w:rPr>
          <w:rFonts w:ascii="Century" w:hAnsi="Century" w:hint="cs"/>
          <w:sz w:val="22"/>
          <w:rtl/>
        </w:rPr>
        <w:t xml:space="preserve">פסקה </w:t>
      </w:r>
      <w:proofErr w:type="spellStart"/>
      <w:r w:rsidRPr="00FD55F1">
        <w:rPr>
          <w:rFonts w:ascii="Century" w:hAnsi="Century" w:hint="cs"/>
          <w:sz w:val="22"/>
          <w:rtl/>
        </w:rPr>
        <w:t>כא</w:t>
      </w:r>
      <w:proofErr w:type="spellEnd"/>
      <w:r>
        <w:rPr>
          <w:rFonts w:hint="cs"/>
          <w:rtl/>
        </w:rPr>
        <w:t xml:space="preserve"> (19.1.2017)).</w:t>
      </w:r>
    </w:p>
    <w:p w:rsidR="00A834E3" w:rsidRDefault="00A834E3" w:rsidP="00A834E3">
      <w:pPr>
        <w:pStyle w:val="Ruller38"/>
        <w:spacing w:line="360" w:lineRule="auto"/>
        <w:rPr>
          <w:rFonts w:ascii="Garamond" w:hAnsi="Garamond" w:cs="FrankRuehl"/>
          <w:spacing w:val="10"/>
          <w:sz w:val="24"/>
          <w:szCs w:val="28"/>
          <w:rtl/>
        </w:rPr>
      </w:pPr>
    </w:p>
    <w:p w:rsidR="00A834E3" w:rsidRDefault="00A834E3" w:rsidP="00A834E3">
      <w:pPr>
        <w:pStyle w:val="Ruller4"/>
      </w:pPr>
      <w:r>
        <w:rPr>
          <w:rFonts w:hint="cs"/>
          <w:rtl/>
        </w:rPr>
        <w:t xml:space="preserve">האם דרישת ההתעשרות הממומשת מתקיימת ביחס לבעלי המניות הנותרים בחברה לאחר שבוצעה רכישה עצמית? כזכור, הנישומים בשני הערעורים טענו כי הם לא הפיקו יתרון אישי-כלכלי המגיע כדי התעשרות וממילא לא כזו שמומשה. אינני מקבלת את עמדתם בהקשר זה. בעלי המניות הנותרים אמנם לא קיבלו מניות נוספות, ולכאורה ערך המניות שהיה להם נותר כשהיה, שכן שווי החברה פחת בסכום שהיא שילמה לבעלי המניות שמכרו את מניותיה. </w:t>
      </w:r>
    </w:p>
    <w:p w:rsidR="00A834E3" w:rsidRDefault="00A834E3" w:rsidP="007174C8">
      <w:pPr>
        <w:pStyle w:val="Ruller4"/>
        <w:numPr>
          <w:ilvl w:val="0"/>
          <w:numId w:val="0"/>
        </w:numPr>
        <w:rPr>
          <w:rtl/>
        </w:rPr>
      </w:pPr>
      <w:r>
        <w:rPr>
          <w:rtl/>
        </w:rPr>
        <w:tab/>
      </w:r>
    </w:p>
    <w:p w:rsidR="00A834E3" w:rsidRDefault="00A834E3" w:rsidP="007174C8">
      <w:pPr>
        <w:pStyle w:val="Ruller4"/>
        <w:numPr>
          <w:ilvl w:val="0"/>
          <w:numId w:val="0"/>
        </w:numPr>
        <w:rPr>
          <w:rtl/>
        </w:rPr>
      </w:pPr>
      <w:r>
        <w:rPr>
          <w:rtl/>
        </w:rPr>
        <w:tab/>
      </w:r>
      <w:r>
        <w:rPr>
          <w:rFonts w:hint="cs"/>
          <w:rtl/>
        </w:rPr>
        <w:t xml:space="preserve">יחד עם זאת, שיעור האחזקות היחסי של בעלי המניות הנותרים בחברה </w:t>
      </w:r>
      <w:r>
        <w:rPr>
          <w:rtl/>
        </w:rPr>
        <w:t>–</w:t>
      </w:r>
      <w:r>
        <w:rPr>
          <w:rFonts w:hint="cs"/>
          <w:rtl/>
        </w:rPr>
        <w:t xml:space="preserve"> עלה. השינוי הזה בשיעור האחזקות היחסי מגלם בחובו תועלת משמעותית לבעלי המניות הנותרים, בדמות העלייה ביכולת ההשפעה של כל אחד מהם על ניהול החברה והגידול בזכויות ההצבעה בה. השינוי בשיעור האחזקות הוא שינוי </w:t>
      </w:r>
      <w:proofErr w:type="spellStart"/>
      <w:r>
        <w:rPr>
          <w:rFonts w:hint="cs"/>
          <w:rtl/>
        </w:rPr>
        <w:t>אמיתי</w:t>
      </w:r>
      <w:proofErr w:type="spellEnd"/>
      <w:r>
        <w:rPr>
          <w:rFonts w:hint="cs"/>
          <w:rtl/>
        </w:rPr>
        <w:t xml:space="preserve"> שהתרחש בפועל, בניגוד למקרים בהם ,למשל, שווי השוק של המניות עולה רק "על הנייר". </w:t>
      </w:r>
    </w:p>
    <w:p w:rsidR="00A834E3" w:rsidRDefault="00A834E3" w:rsidP="007174C8">
      <w:pPr>
        <w:pStyle w:val="Ruller4"/>
        <w:numPr>
          <w:ilvl w:val="0"/>
          <w:numId w:val="0"/>
        </w:numPr>
        <w:rPr>
          <w:rtl/>
        </w:rPr>
      </w:pPr>
    </w:p>
    <w:p w:rsidR="00A834E3" w:rsidRPr="006938A4" w:rsidRDefault="00A834E3" w:rsidP="007174C8">
      <w:pPr>
        <w:pStyle w:val="Ruller4"/>
        <w:numPr>
          <w:ilvl w:val="0"/>
          <w:numId w:val="0"/>
        </w:numPr>
        <w:rPr>
          <w:rtl/>
        </w:rPr>
      </w:pPr>
      <w:r>
        <w:rPr>
          <w:rtl/>
        </w:rPr>
        <w:tab/>
      </w:r>
      <w:r>
        <w:rPr>
          <w:rFonts w:hint="cs"/>
          <w:rtl/>
        </w:rPr>
        <w:t xml:space="preserve">במאמרם של שאנן וכהן מביעים הכותבים את עמדתם כי ככל שמדובר בבעל מניות מהותי בחברה, יש למסות כדיבידנד את הגדלת זכויות ההצבעה המשיאה לו תועלת ממשית (למשל </w:t>
      </w:r>
      <w:r>
        <w:rPr>
          <w:rtl/>
        </w:rPr>
        <w:t>–</w:t>
      </w:r>
      <w:r>
        <w:rPr>
          <w:rFonts w:hint="cs"/>
          <w:rtl/>
        </w:rPr>
        <w:t xml:space="preserve"> אם כתוצאה ממנה בעל המניות קיבל את השליטה בהחלטות או את האפשרות להעביר החלטות ברוב מיוחס). </w:t>
      </w:r>
      <w:r w:rsidRPr="006938A4">
        <w:rPr>
          <w:rFonts w:hint="cs"/>
          <w:rtl/>
        </w:rPr>
        <w:t>שאנן וכהן מודעים לכך כי לא כל התכליות של עקרון המימוש (למשל הנזילות) מתקיימים במקרה שכזה, אולם הם סבורים כי יישום דווקני של ע</w:t>
      </w:r>
      <w:r>
        <w:rPr>
          <w:rFonts w:hint="cs"/>
          <w:rtl/>
        </w:rPr>
        <w:t>י</w:t>
      </w:r>
      <w:r w:rsidRPr="006938A4">
        <w:rPr>
          <w:rFonts w:hint="cs"/>
          <w:rtl/>
        </w:rPr>
        <w:t>קרון המימוש בעסקה של רכישה עצמית</w:t>
      </w:r>
      <w:r>
        <w:rPr>
          <w:rFonts w:hint="cs"/>
          <w:rtl/>
        </w:rPr>
        <w:t>,</w:t>
      </w:r>
      <w:r w:rsidRPr="006938A4">
        <w:rPr>
          <w:rFonts w:hint="cs"/>
          <w:rtl/>
        </w:rPr>
        <w:t xml:space="preserve"> עלול לאפשר לנישומים לעשות שימוש בפעולה זו כדי לעקוף את כללי הסיווג הרגילים ולהימנע מתשלום מס.</w:t>
      </w:r>
      <w:r>
        <w:rPr>
          <w:rFonts w:hint="cs"/>
          <w:rtl/>
        </w:rPr>
        <w:t xml:space="preserve"> </w:t>
      </w:r>
    </w:p>
    <w:p w:rsidR="00A834E3" w:rsidRDefault="00A834E3" w:rsidP="007174C8">
      <w:pPr>
        <w:pStyle w:val="Ruller4"/>
        <w:numPr>
          <w:ilvl w:val="0"/>
          <w:numId w:val="0"/>
        </w:numPr>
        <w:rPr>
          <w:rtl/>
        </w:rPr>
      </w:pPr>
    </w:p>
    <w:p w:rsidR="00A834E3" w:rsidRDefault="00A834E3" w:rsidP="007174C8">
      <w:pPr>
        <w:pStyle w:val="Ruller4"/>
        <w:numPr>
          <w:ilvl w:val="0"/>
          <w:numId w:val="0"/>
        </w:numPr>
        <w:rPr>
          <w:rtl/>
        </w:rPr>
      </w:pPr>
      <w:r>
        <w:rPr>
          <w:rtl/>
        </w:rPr>
        <w:tab/>
      </w:r>
      <w:r>
        <w:rPr>
          <w:rFonts w:hint="cs"/>
          <w:rtl/>
        </w:rPr>
        <w:t>עמדה זו מקובלת עליי.</w:t>
      </w:r>
      <w:r w:rsidRPr="006938A4">
        <w:rPr>
          <w:rFonts w:hint="cs"/>
          <w:rtl/>
        </w:rPr>
        <w:t xml:space="preserve"> </w:t>
      </w:r>
      <w:r>
        <w:rPr>
          <w:rFonts w:hint="cs"/>
          <w:rtl/>
        </w:rPr>
        <w:t xml:space="preserve">מבלי לטעת מסמרות ביחס לסוגים שונים של חברות למעט חברות שהן "מעין שותפויות" ולאפשרות שרכישה עצמית של מניות תביא בהן לשינוי במבנה ההון של החברה, הרי שכפי שהובהר לעיל, ב"מעין שותפויות", רכישה עצמית של מניות משנה בהגדרה את מבנה ההון בחברה ומקנה לבעלי המניות הנותרים </w:t>
      </w:r>
      <w:r>
        <w:rPr>
          <w:rFonts w:hint="cs"/>
          <w:rtl/>
        </w:rPr>
        <w:lastRenderedPageBreak/>
        <w:t xml:space="preserve">תועלת ממשית. יתרה מכך, כאמור לעיל, כלל יש בחברות שהן מעין שותפויות לכל בעלי המניות ציפייה לגיטימית להיות שותפים בניהול החברה (ראו סעיף 5 לעיל). לכן, בחברות כאלה (וכפי שציין גם חברי), סילוקו של אחד מבעלי המניות ישנה את מערך הכוחות בחברה וייטיב עם בעלי המניות הנותרים, זאת בין היתר בכך שהוא יקנה להם השפעה גדולה יותר בניהולה. הטבה כזו היא הטבה שבעלי המניות הנותרים מקבלים באופן מידי כאשר מתבצעת הרכישה, ולכן ישנה הצדקה למסות אותם בגינה.  </w:t>
      </w:r>
    </w:p>
    <w:p w:rsidR="00A834E3" w:rsidRDefault="00A834E3" w:rsidP="00A834E3">
      <w:pPr>
        <w:pStyle w:val="Ruller38"/>
        <w:spacing w:line="360" w:lineRule="auto"/>
        <w:rPr>
          <w:rFonts w:ascii="Garamond" w:hAnsi="Garamond" w:cs="FrankRuehl"/>
          <w:spacing w:val="10"/>
          <w:sz w:val="24"/>
          <w:szCs w:val="28"/>
          <w:rtl/>
        </w:rPr>
      </w:pPr>
    </w:p>
    <w:p w:rsidR="00A834E3" w:rsidRDefault="00A834E3" w:rsidP="00A834E3">
      <w:pPr>
        <w:pStyle w:val="Ruller4"/>
      </w:pPr>
      <w:r>
        <w:rPr>
          <w:rFonts w:hint="cs"/>
          <w:rtl/>
        </w:rPr>
        <w:t>אכן, לנוכח זהות האינטרסים בין בעלי המניות לחברה בחברות שהן מעין-שותפות, ולאור הקשיים בניהולה השוטף של החברה במצב בו קיימות מחלוקות בין בעלי המניות החברה, הרי שגם לחברה עצמה יש כמעט בכל המקרים אינטרס ב"רכישה החוצה" של אחד מבעלי המניות באופן שיביא לסיום המחלוקות העסקיות ביניהם.</w:t>
      </w:r>
    </w:p>
    <w:p w:rsidR="00A834E3" w:rsidRDefault="00A834E3" w:rsidP="007174C8">
      <w:pPr>
        <w:pStyle w:val="Ruller4"/>
        <w:numPr>
          <w:ilvl w:val="0"/>
          <w:numId w:val="0"/>
        </w:numPr>
        <w:rPr>
          <w:rtl/>
        </w:rPr>
      </w:pPr>
    </w:p>
    <w:p w:rsidR="00A834E3" w:rsidRDefault="00A834E3" w:rsidP="007174C8">
      <w:pPr>
        <w:pStyle w:val="Ruller4"/>
        <w:numPr>
          <w:ilvl w:val="0"/>
          <w:numId w:val="0"/>
        </w:numPr>
        <w:rPr>
          <w:rtl/>
        </w:rPr>
      </w:pPr>
      <w:r>
        <w:rPr>
          <w:rtl/>
        </w:rPr>
        <w:tab/>
      </w:r>
      <w:r>
        <w:rPr>
          <w:rFonts w:hint="cs"/>
          <w:rtl/>
        </w:rPr>
        <w:t xml:space="preserve">ואולם אני סבורה כאמור כי בחברות שהן מעין שותפויות, יש לראות רכישה עצמית כהטבה ממומשת לבעלי המניות הנותרים שעליהם לשלם לכן מס בגינה. זאת בשל האינטרס הברור של בעלי המניות; לאור העובדה שמרבית התכליות העומדות בבסיס רכישה עצמית בחברה ציבורית (איתות לשוק אודות תמחור המניה בחסר, התנגדות להצעות רכש עוינות, הגדלת התשואה להון ועוד) אינן מתקיימות במקרה של חברה שהיא מעין-שותפות; מאחר שבמעין שותפויות ההבחנה בין טובת החברה לבין טובתם של בעלי המניות היא הבחנה ברורה פחות מאשר בחברה ציבורית או בחברה פרטית שיש בה בעלי מניות רבים; ולאור הרציונל של קביעת כלל שיביא לאחידות וודאות בגביית המס. </w:t>
      </w:r>
    </w:p>
    <w:p w:rsidR="00A834E3" w:rsidRPr="00BB58CD" w:rsidRDefault="00A834E3" w:rsidP="00A834E3">
      <w:pPr>
        <w:pStyle w:val="Ruller41"/>
        <w:rPr>
          <w:rtl/>
        </w:rPr>
      </w:pPr>
    </w:p>
    <w:p w:rsidR="00A834E3" w:rsidRDefault="00A834E3" w:rsidP="007174C8">
      <w:pPr>
        <w:pStyle w:val="Ruller4"/>
        <w:numPr>
          <w:ilvl w:val="0"/>
          <w:numId w:val="0"/>
        </w:numPr>
        <w:rPr>
          <w:rtl/>
        </w:rPr>
      </w:pPr>
      <w:r>
        <w:rPr>
          <w:rtl/>
        </w:rPr>
        <w:tab/>
      </w:r>
      <w:proofErr w:type="spellStart"/>
      <w:r>
        <w:rPr>
          <w:rFonts w:hint="cs"/>
          <w:rtl/>
        </w:rPr>
        <w:t>ודוקו</w:t>
      </w:r>
      <w:proofErr w:type="spellEnd"/>
      <w:r>
        <w:rPr>
          <w:rFonts w:hint="cs"/>
          <w:rtl/>
        </w:rPr>
        <w:t xml:space="preserve">; הקרבה בין חברות שהן מעין-שותפויות לבין שותפויות וזהות האינטרסים ביניהן לבין בעלי המניות שלהן, הייתה אחד הנימוקים ביסוד המסקנה לגבי הקושי בקביעת ה"מטרה הדומיננטית" והצורך בקביעת דין אחיד לגבי חברות כאלה. ואולם, דווקא הצורך לשמור על אישיותה המשפטית הנפרדת של החברה גם בחברות שהן מעין-שותפויות, והעובדה שגם חברה כזו היא יחידת מס נפרדת מבעלי מניותיה, מחייבים לטעמי לקבוע כי המהות הכלכלית של רכישת המניות העצמית של מניות בחברות שהן מעין-שותפויות היא דיבידנד שחולק לבעלי המניות. אם להשתמש בטרמינולוגיה של מבחן "המטרה הדומיננטית", אני סבורה כי בחברות שהן מעין-שותפות יש לראות תמיד בהיפרדות הצדדים ובהגדלת כוחם של בעלי המניות הנותרים כמטרה הדומיננטית של העסקה. זאת כדי למנוע מצב דברים שבו בעלי המניות משתמשים באישיות הנפרדת של החברה כדי ליהנות מהטבות מס על-ידי שימוש בכלי של רכישה עצמית מבלי שהוא מקיים את מרבית התכליות העומדות בבסיסו של כלי זה. </w:t>
      </w:r>
    </w:p>
    <w:p w:rsidR="00A834E3" w:rsidRDefault="00A834E3" w:rsidP="00A834E3">
      <w:pPr>
        <w:pStyle w:val="Ruller4"/>
        <w:rPr>
          <w:rtl/>
        </w:rPr>
      </w:pPr>
      <w:r>
        <w:rPr>
          <w:rFonts w:hint="cs"/>
          <w:rtl/>
        </w:rPr>
        <w:lastRenderedPageBreak/>
        <w:t>לאור כל האמור לעיל, אני סבורה כי יש לסווג את ההטבה שקיבלו בעלי המניות הנותרים כתוצאה מהרכישה העצמית כדיבידנד החייב במס, וזאת הן על-פי הפרשנות הראויה למונח דיבידנד בדין הכללי והן בהתאם לפרשנותו הראויה בדיני המס. משכך, יש לקבל את עמדת פקיד השומה ביחס לסיווגן של שתי העסקאות נושא הערעור דנן, ולקבוע כי בשני המקרים חייבים בעלי המניות הנותרים בתשלום מס בגין הדיבידנד שקיבלו.</w:t>
      </w:r>
    </w:p>
    <w:p w:rsidR="00A834E3" w:rsidRDefault="00A834E3" w:rsidP="00A834E3">
      <w:pPr>
        <w:pStyle w:val="Ruller41"/>
        <w:rPr>
          <w:rtl/>
        </w:rPr>
      </w:pPr>
      <w:r>
        <w:rPr>
          <w:rtl/>
        </w:rPr>
        <w:tab/>
      </w:r>
    </w:p>
    <w:p w:rsidR="00A834E3" w:rsidRDefault="00A834E3" w:rsidP="007174C8">
      <w:pPr>
        <w:pStyle w:val="Ruller4"/>
        <w:numPr>
          <w:ilvl w:val="0"/>
          <w:numId w:val="0"/>
        </w:numPr>
        <w:rPr>
          <w:rtl/>
        </w:rPr>
      </w:pPr>
      <w:r>
        <w:rPr>
          <w:rtl/>
        </w:rPr>
        <w:tab/>
      </w:r>
      <w:r>
        <w:rPr>
          <w:rFonts w:hint="cs"/>
          <w:rtl/>
        </w:rPr>
        <w:t>במאמר מוסגר אציין כי עשויים להיות מקרים של רכישה עצמית בהם יוכל פקיד השומה לעשות שימוש בכלי של "סיווג מחדש" תוך מיסוי השימוש שנעשה בעודפי החברה להגדלת חלקם של בעלי המניות הנותרים בהון המניות של החברה. השאלה מתי יהיה סיווג מחדש כזה מוצדק, חורגת מענייננו.</w:t>
      </w:r>
    </w:p>
    <w:p w:rsidR="00A834E3" w:rsidRDefault="00A834E3" w:rsidP="00A834E3">
      <w:pPr>
        <w:pStyle w:val="Ruller38"/>
        <w:spacing w:line="360" w:lineRule="auto"/>
        <w:rPr>
          <w:rFonts w:ascii="Garamond" w:hAnsi="Garamond" w:cs="FrankRuehl"/>
          <w:spacing w:val="10"/>
          <w:sz w:val="24"/>
          <w:szCs w:val="28"/>
          <w:rtl/>
        </w:rPr>
      </w:pPr>
    </w:p>
    <w:p w:rsidR="00A834E3" w:rsidRDefault="00A834E3" w:rsidP="00A834E3">
      <w:pPr>
        <w:pStyle w:val="Ruller4"/>
      </w:pPr>
      <w:r>
        <w:rPr>
          <w:rFonts w:hint="cs"/>
          <w:rtl/>
        </w:rPr>
        <w:t xml:space="preserve">השאלה הבאה בה יש להכריע היא מה הוא שיעור המס שיוטל על בעלי המניות הנותרים. כפי שהובהר לעיל, ה"דיבידנד" בגינו משולם המס הוא אותה עליה בשיעור האחזקות בהון המניות של החברה שכתוצאה ממנה מקבלים בעלי המניות הנותרים זכויות נוספות בניהול החברה ובשליטה בה. לכאורה, שוויה של אותה הטבה הוא כשווי התמורה ששולמה לבעל המניות היוצא בתמורה למניותיו, שכן שיעור האחזקות הכולל של בעלי המניות הנותרים עלה בשיעור האחזקות שמכר בעל המניות היוצא. יחד עם זאת, כפי שהבהרתי לעיל, האינטרס ברכישת המניות של בעל המניות המוכר הוא אינטרס המשותף הן לבעלי המניות הנותרים והן לבעל המניות היוצא: היפרדות הצדדים תוך תשלום מס מינימאלי. לכן, גם בעל המניות היוצא נהנה מהשימוש שנעשה בכספי החברה. </w:t>
      </w:r>
    </w:p>
    <w:p w:rsidR="00A834E3" w:rsidRDefault="00A834E3" w:rsidP="007174C8">
      <w:pPr>
        <w:pStyle w:val="Ruller4"/>
        <w:numPr>
          <w:ilvl w:val="0"/>
          <w:numId w:val="0"/>
        </w:numPr>
        <w:rPr>
          <w:rtl/>
        </w:rPr>
      </w:pPr>
    </w:p>
    <w:p w:rsidR="00A834E3" w:rsidRDefault="00A834E3" w:rsidP="007174C8">
      <w:pPr>
        <w:pStyle w:val="Ruller4"/>
        <w:numPr>
          <w:ilvl w:val="0"/>
          <w:numId w:val="0"/>
        </w:numPr>
        <w:rPr>
          <w:rtl/>
        </w:rPr>
      </w:pPr>
      <w:r>
        <w:rPr>
          <w:rtl/>
        </w:rPr>
        <w:tab/>
      </w:r>
      <w:r>
        <w:rPr>
          <w:rFonts w:hint="cs"/>
          <w:rtl/>
        </w:rPr>
        <w:t xml:space="preserve">משכך, ועל מנת שבעלי המניות הנותרים לא יישאו לבדם בתשלום המס בגין מלוא השימוש בעודפי החברה </w:t>
      </w:r>
      <w:r>
        <w:rPr>
          <w:rtl/>
        </w:rPr>
        <w:t>–</w:t>
      </w:r>
      <w:r>
        <w:rPr>
          <w:rFonts w:hint="cs"/>
          <w:rtl/>
        </w:rPr>
        <w:t xml:space="preserve"> ששירתו גם את בעל המניות המוכר, יש לחשב את שווי ההתעשרות של בעלי המניות הנותרים בהתאם לשיעור אחזקותיהם בחברה ערב העסקה. במילים אחרות, ערך הדיבידנד בגינו ישולם מס הוא כשווי המכפלה של כספי החברה ששימשו לרכישה העצמית, בשיעור אחזקותיהם של בעלי המניות הנותרים ערב העסקה. </w:t>
      </w:r>
    </w:p>
    <w:p w:rsidR="00A834E3" w:rsidRDefault="00A834E3" w:rsidP="007174C8">
      <w:pPr>
        <w:pStyle w:val="Ruller4"/>
        <w:numPr>
          <w:ilvl w:val="0"/>
          <w:numId w:val="0"/>
        </w:numPr>
        <w:rPr>
          <w:rtl/>
        </w:rPr>
      </w:pPr>
    </w:p>
    <w:p w:rsidR="00A834E3" w:rsidRDefault="00A834E3" w:rsidP="007174C8">
      <w:pPr>
        <w:pStyle w:val="Ruller4"/>
        <w:numPr>
          <w:ilvl w:val="0"/>
          <w:numId w:val="0"/>
        </w:numPr>
        <w:rPr>
          <w:rtl/>
        </w:rPr>
      </w:pPr>
      <w:r>
        <w:rPr>
          <w:rtl/>
        </w:rPr>
        <w:tab/>
      </w:r>
      <w:r>
        <w:rPr>
          <w:rFonts w:hint="cs"/>
          <w:rtl/>
        </w:rPr>
        <w:t xml:space="preserve">יוער למעלה מן הצורך כי תוצאה זו עולה בקנה אחד גם עם ההשקפה שבאה לידי ביטוי בחלופה הראשונה שנקבעה בחוזר המס 2/2018 לפיה הרכישה העצמית הדיספרופורציונית דומה לעסקה דו-שלבית של חלוקת דיבידנד על ידי החברה לכל בעלי מניותיה ולאחר מכן רכישת מניותיו של בעל המניות היוצא על ידי בעלי המניות הנותרים באמצעות כספי הדיבידנד שהם קיבלו בשלב הראשון. </w:t>
      </w:r>
    </w:p>
    <w:p w:rsidR="00A834E3" w:rsidRPr="00A804D1" w:rsidRDefault="00A834E3" w:rsidP="00A834E3">
      <w:pPr>
        <w:pStyle w:val="Ruller41"/>
      </w:pPr>
    </w:p>
    <w:p w:rsidR="00A834E3" w:rsidRPr="00FD56B6" w:rsidRDefault="00A834E3" w:rsidP="00A834E3">
      <w:pPr>
        <w:pStyle w:val="Ruller4"/>
        <w:rPr>
          <w:rtl/>
        </w:rPr>
      </w:pPr>
      <w:r>
        <w:rPr>
          <w:rFonts w:hint="cs"/>
          <w:rtl/>
        </w:rPr>
        <w:t xml:space="preserve">בשולי הדברים אשוב ואבהיר כי </w:t>
      </w:r>
      <w:r w:rsidRPr="00307346">
        <w:rPr>
          <w:rFonts w:hint="eastAsia"/>
          <w:rtl/>
        </w:rPr>
        <w:t>ההתייחסות</w:t>
      </w:r>
      <w:r w:rsidRPr="00307346">
        <w:rPr>
          <w:rtl/>
        </w:rPr>
        <w:t xml:space="preserve"> בפסק דין זה היא למקרים נושא הערעורים </w:t>
      </w:r>
      <w:r>
        <w:rPr>
          <w:rFonts w:hint="cs"/>
          <w:rtl/>
        </w:rPr>
        <w:t>ש</w:t>
      </w:r>
      <w:r w:rsidRPr="00307346">
        <w:rPr>
          <w:rtl/>
        </w:rPr>
        <w:t>בפנינו – בהם דובר בחברות שהן "מעין שותפות". מה יהיה דינן של חברות אחרות</w:t>
      </w:r>
      <w:r>
        <w:rPr>
          <w:rFonts w:hint="cs"/>
          <w:rtl/>
        </w:rPr>
        <w:t>:</w:t>
      </w:r>
      <w:r w:rsidRPr="00307346">
        <w:rPr>
          <w:rtl/>
        </w:rPr>
        <w:t xml:space="preserve"> חברות פרטיות שאינן "מעין שותפות" וחברות ציבוריות? אינני סבורה כי יש לקבוע מסמרות ביחס לחברות כאלה שעה שאין בפנינו חברה כזו שלגביה </w:t>
      </w:r>
      <w:r>
        <w:rPr>
          <w:rFonts w:hint="cs"/>
          <w:rtl/>
        </w:rPr>
        <w:t>נדרשת הכרעה</w:t>
      </w:r>
      <w:r w:rsidRPr="00307346">
        <w:rPr>
          <w:rtl/>
        </w:rPr>
        <w:t xml:space="preserve">. לכן, אינני סבורה כי יש מקום לקבוע לגבי </w:t>
      </w:r>
      <w:r>
        <w:rPr>
          <w:rFonts w:hint="cs"/>
          <w:rtl/>
        </w:rPr>
        <w:t xml:space="preserve">חברות כאלה, </w:t>
      </w:r>
      <w:r w:rsidRPr="00307346">
        <w:rPr>
          <w:rtl/>
        </w:rPr>
        <w:t>האם ניתן לקבוע "כלל אצבע" כמו</w:t>
      </w:r>
      <w:r w:rsidRPr="00FD56B6">
        <w:rPr>
          <w:rtl/>
        </w:rPr>
        <w:t xml:space="preserve"> ביחס למעין</w:t>
      </w:r>
      <w:r>
        <w:rPr>
          <w:rFonts w:hint="cs"/>
          <w:rtl/>
        </w:rPr>
        <w:t>-</w:t>
      </w:r>
      <w:r w:rsidRPr="00FD56B6">
        <w:rPr>
          <w:rtl/>
        </w:rPr>
        <w:t xml:space="preserve">שותפויות, או שמא יש לפעול בהתאם להצעתו של חברי בפסק דינו ולהחיל </w:t>
      </w:r>
      <w:r>
        <w:rPr>
          <w:rFonts w:hint="cs"/>
          <w:rtl/>
        </w:rPr>
        <w:t xml:space="preserve">לגביהן </w:t>
      </w:r>
      <w:r w:rsidRPr="00FD56B6">
        <w:rPr>
          <w:rtl/>
        </w:rPr>
        <w:t>חזקות ונטלי הוכחה שונים. אציין רק כי בבחינת הסיווג של עסקאות רכישה עצמית לא פרופורציונית בחברות כאלה, יהיה מקום לבחון את הנושאים שאליהם התייחסתי לעיל – קרי את השאלה האם קיבלו בעלי המניות הנותרים טובת הנאה</w:t>
      </w:r>
      <w:r>
        <w:rPr>
          <w:rFonts w:hint="cs"/>
          <w:rtl/>
        </w:rPr>
        <w:t xml:space="preserve"> בת-מיסוי</w:t>
      </w:r>
      <w:r w:rsidRPr="00FD56B6">
        <w:rPr>
          <w:rtl/>
        </w:rPr>
        <w:t xml:space="preserve"> כתוצאה מהעסקה. </w:t>
      </w:r>
    </w:p>
    <w:p w:rsidR="00A834E3" w:rsidRDefault="00A834E3" w:rsidP="00A834E3">
      <w:pPr>
        <w:pStyle w:val="Ruller38"/>
        <w:spacing w:line="360" w:lineRule="auto"/>
        <w:rPr>
          <w:rFonts w:ascii="Garamond" w:hAnsi="Garamond" w:cs="FrankRuehl"/>
          <w:spacing w:val="10"/>
          <w:sz w:val="24"/>
          <w:szCs w:val="28"/>
          <w:rtl/>
        </w:rPr>
      </w:pPr>
    </w:p>
    <w:p w:rsidR="00A834E3" w:rsidRDefault="00A834E3" w:rsidP="00A834E3">
      <w:pPr>
        <w:pStyle w:val="Ruller4"/>
        <w:rPr>
          <w:rtl/>
        </w:rPr>
      </w:pPr>
      <w:r>
        <w:rPr>
          <w:rFonts w:hint="cs"/>
          <w:rtl/>
        </w:rPr>
        <w:t xml:space="preserve">לאור כל האמור לעיל, אם דעתי תישמע, נקבל את הערעור על פסק דינו של בית המשפט המחוזי בחיפה, כך שהמשיבים 4-2 יחויבו, במס על דיבידנד בסך של 621,500 </w:t>
      </w:r>
      <w:r>
        <w:rPr>
          <w:rFonts w:hint="eastAsia"/>
          <w:rtl/>
        </w:rPr>
        <w:t>₪</w:t>
      </w:r>
      <w:r>
        <w:rPr>
          <w:rFonts w:hint="cs"/>
          <w:rtl/>
        </w:rPr>
        <w:t xml:space="preserve">; 932,250 </w:t>
      </w:r>
      <w:r>
        <w:rPr>
          <w:rFonts w:hint="eastAsia"/>
          <w:rtl/>
        </w:rPr>
        <w:t>₪</w:t>
      </w:r>
      <w:r>
        <w:rPr>
          <w:rFonts w:hint="cs"/>
          <w:rtl/>
        </w:rPr>
        <w:t xml:space="preserve">; ו-466,125 </w:t>
      </w:r>
      <w:r>
        <w:rPr>
          <w:rFonts w:hint="eastAsia"/>
          <w:rtl/>
        </w:rPr>
        <w:t>₪</w:t>
      </w:r>
      <w:r>
        <w:rPr>
          <w:rFonts w:hint="cs"/>
          <w:rtl/>
        </w:rPr>
        <w:t xml:space="preserve"> בהתאמה; ונדחה את הערעור על פסק דינו של בית המשפט המחוזי בבאר שבע, כך שהמערער יחויב במס על דיבידנד שסכומו 6,750,000 </w:t>
      </w:r>
      <w:r>
        <w:rPr>
          <w:rFonts w:hint="eastAsia"/>
          <w:rtl/>
        </w:rPr>
        <w:t>₪</w:t>
      </w:r>
      <w:r>
        <w:rPr>
          <w:rFonts w:hint="cs"/>
          <w:rtl/>
        </w:rPr>
        <w:t xml:space="preserve">. </w:t>
      </w:r>
    </w:p>
    <w:p w:rsidR="00A834E3" w:rsidRDefault="00A834E3" w:rsidP="00A834E3">
      <w:pPr>
        <w:pStyle w:val="Ruller41"/>
        <w:rPr>
          <w:rtl/>
        </w:rPr>
      </w:pPr>
    </w:p>
    <w:p w:rsidR="00A834E3" w:rsidRPr="002F50AD" w:rsidRDefault="00A834E3" w:rsidP="00A834E3">
      <w:pPr>
        <w:pStyle w:val="Ruller41"/>
        <w:rPr>
          <w:rtl/>
        </w:rPr>
      </w:pPr>
      <w:r>
        <w:rPr>
          <w:rtl/>
        </w:rPr>
        <w:tab/>
      </w:r>
      <w:r>
        <w:rPr>
          <w:rFonts w:hint="cs"/>
          <w:rtl/>
        </w:rPr>
        <w:t xml:space="preserve">בנסיבות העניין ומאחר שמדובר בהכרעה בשאלה שלא הייתה לגביה הכרעה ברורה של בתי המשפט המחוזיים, הייתי מציעה לחבריי שלא נעשה צו להוצאות.  </w:t>
      </w:r>
    </w:p>
    <w:p w:rsidR="00A834E3" w:rsidRDefault="00A834E3" w:rsidP="00A834E3">
      <w:pPr>
        <w:pStyle w:val="Ruller41"/>
        <w:rPr>
          <w:rtl/>
        </w:rPr>
      </w:pPr>
    </w:p>
    <w:p w:rsidR="007174C8" w:rsidRDefault="007174C8" w:rsidP="00A834E3">
      <w:pPr>
        <w:pStyle w:val="Ruller41"/>
        <w:rPr>
          <w:rtl/>
        </w:rPr>
      </w:pPr>
    </w:p>
    <w:tbl>
      <w:tblPr>
        <w:bidiVisual/>
        <w:tblW w:w="8363" w:type="dxa"/>
        <w:tblLook w:val="01E0" w:firstRow="1" w:lastRow="1" w:firstColumn="1" w:lastColumn="1" w:noHBand="0" w:noVBand="0"/>
      </w:tblPr>
      <w:tblGrid>
        <w:gridCol w:w="2797"/>
        <w:gridCol w:w="2783"/>
        <w:gridCol w:w="2783"/>
      </w:tblGrid>
      <w:tr w:rsidR="00086F8B" w:rsidTr="003E4E8E">
        <w:tc>
          <w:tcPr>
            <w:tcW w:w="2797" w:type="dxa"/>
            <w:shd w:val="clear" w:color="auto" w:fill="auto"/>
          </w:tcPr>
          <w:p w:rsidR="00086F8B" w:rsidRDefault="00086F8B" w:rsidP="003E4E8E">
            <w:pPr>
              <w:pStyle w:val="Ruller41"/>
              <w:rPr>
                <w:rtl/>
              </w:rPr>
            </w:pPr>
          </w:p>
        </w:tc>
        <w:tc>
          <w:tcPr>
            <w:tcW w:w="2783" w:type="dxa"/>
            <w:shd w:val="clear" w:color="auto" w:fill="auto"/>
          </w:tcPr>
          <w:p w:rsidR="00086F8B" w:rsidRDefault="00086F8B" w:rsidP="003E4E8E">
            <w:pPr>
              <w:pStyle w:val="Ruller41"/>
              <w:jc w:val="center"/>
              <w:rPr>
                <w:rtl/>
              </w:rPr>
            </w:pPr>
          </w:p>
        </w:tc>
        <w:tc>
          <w:tcPr>
            <w:tcW w:w="2783" w:type="dxa"/>
            <w:shd w:val="clear" w:color="auto" w:fill="auto"/>
          </w:tcPr>
          <w:p w:rsidR="00086F8B" w:rsidRDefault="00086F8B" w:rsidP="003E4E8E">
            <w:pPr>
              <w:pStyle w:val="Ruller41"/>
              <w:jc w:val="right"/>
              <w:rPr>
                <w:rtl/>
              </w:rPr>
            </w:pPr>
            <w:r>
              <w:rPr>
                <w:rtl/>
              </w:rPr>
              <w:t>ש ו פ ט</w:t>
            </w:r>
            <w:r>
              <w:rPr>
                <w:rFonts w:hint="cs"/>
                <w:rtl/>
              </w:rPr>
              <w:t xml:space="preserve"> ת</w:t>
            </w:r>
          </w:p>
        </w:tc>
      </w:tr>
    </w:tbl>
    <w:p w:rsidR="00086F8B" w:rsidRDefault="00086F8B" w:rsidP="00086F8B">
      <w:pPr>
        <w:pStyle w:val="Ruller41"/>
        <w:rPr>
          <w:rtl/>
        </w:rPr>
      </w:pPr>
    </w:p>
    <w:p w:rsidR="003E4E8E" w:rsidRPr="00751BB9" w:rsidRDefault="003E4E8E" w:rsidP="003E4E8E">
      <w:pPr>
        <w:pStyle w:val="BODYVERDICT"/>
        <w:rPr>
          <w:rFonts w:ascii="Century" w:hAnsi="Century" w:cs="Miriam"/>
          <w:b/>
          <w:spacing w:val="0"/>
          <w:szCs w:val="24"/>
          <w:rtl/>
        </w:rPr>
      </w:pPr>
      <w:r w:rsidRPr="00751BB9">
        <w:rPr>
          <w:rFonts w:ascii="Century" w:hAnsi="Century" w:cs="Miriam"/>
          <w:b/>
          <w:spacing w:val="0"/>
          <w:szCs w:val="24"/>
          <w:u w:val="single"/>
          <w:rtl/>
        </w:rPr>
        <w:t>המשנה לנשיאה ע' פוגלמן</w:t>
      </w:r>
      <w:r w:rsidRPr="00751BB9">
        <w:rPr>
          <w:rFonts w:ascii="Century" w:hAnsi="Century" w:cs="Miriam"/>
          <w:b/>
          <w:spacing w:val="0"/>
          <w:szCs w:val="24"/>
          <w:rtl/>
        </w:rPr>
        <w:t>:</w:t>
      </w:r>
    </w:p>
    <w:p w:rsidR="003E4E8E" w:rsidRPr="00751BB9" w:rsidRDefault="003E4E8E" w:rsidP="003E4E8E">
      <w:pPr>
        <w:pStyle w:val="Ruller41"/>
        <w:rPr>
          <w:rtl/>
        </w:rPr>
      </w:pPr>
    </w:p>
    <w:p w:rsidR="003E4E8E" w:rsidRPr="00751BB9" w:rsidRDefault="003E4E8E" w:rsidP="003E4E8E">
      <w:pPr>
        <w:pStyle w:val="Ruller4"/>
        <w:numPr>
          <w:ilvl w:val="0"/>
          <w:numId w:val="26"/>
        </w:numPr>
        <w:rPr>
          <w:rtl/>
        </w:rPr>
      </w:pPr>
      <w:r w:rsidRPr="00751BB9">
        <w:rPr>
          <w:rFonts w:hint="cs"/>
          <w:rtl/>
        </w:rPr>
        <w:t xml:space="preserve">חברה מבצעת "רכישה עצמית" של מניותיה מחלק מבעלי המניות (להלן: </w:t>
      </w:r>
      <w:r w:rsidRPr="00751BB9">
        <w:rPr>
          <w:rFonts w:cs="Miriam" w:hint="cs"/>
          <w:b/>
          <w:spacing w:val="0"/>
          <w:szCs w:val="24"/>
          <w:rtl/>
        </w:rPr>
        <w:t>בעלי המניות המוכרים</w:t>
      </w:r>
      <w:r w:rsidRPr="00751BB9">
        <w:rPr>
          <w:rFonts w:hint="cs"/>
          <w:rtl/>
        </w:rPr>
        <w:t xml:space="preserve">) באופן שאינו שווה לחלקם היחסי, וכתוצאה מכך גדל אחוז האחזקה של יתר בעלי המניות בחברה (להלן: </w:t>
      </w:r>
      <w:r w:rsidRPr="00751BB9">
        <w:rPr>
          <w:rFonts w:cs="Miriam" w:hint="cs"/>
          <w:b/>
          <w:spacing w:val="0"/>
          <w:szCs w:val="24"/>
          <w:rtl/>
        </w:rPr>
        <w:t>בעלי המניות הנותרים</w:t>
      </w:r>
      <w:r w:rsidRPr="00751BB9">
        <w:rPr>
          <w:rFonts w:hint="cs"/>
          <w:rtl/>
        </w:rPr>
        <w:t>). כיצד יש לסווג, לצרכי מס, את העסקה בכל הנוגע לבעלי המניות הנותרים? סוגיה זו טרם זכתה לליבון בפסיקת בית משפט זה, והיא הסוגיה שלפנינו (לשם הפשטות והנוחות, אתייחס בחוות דעתי לרכישה עצמית דיספרופורציונית המתוארת לעיל גם כ"רכישה עצמית").</w:t>
      </w:r>
    </w:p>
    <w:p w:rsidR="003E4E8E" w:rsidRPr="00751BB9" w:rsidRDefault="003E4E8E" w:rsidP="003E4E8E">
      <w:pPr>
        <w:pStyle w:val="Ruller41"/>
        <w:rPr>
          <w:rFonts w:ascii="Century" w:hAnsi="Century"/>
          <w:rtl/>
        </w:rPr>
      </w:pPr>
    </w:p>
    <w:p w:rsidR="003E4E8E" w:rsidRPr="00751BB9" w:rsidRDefault="003E4E8E" w:rsidP="003E4E8E">
      <w:pPr>
        <w:pStyle w:val="Ruller4"/>
        <w:rPr>
          <w:rtl/>
        </w:rPr>
      </w:pPr>
      <w:r w:rsidRPr="00751BB9">
        <w:rPr>
          <w:rFonts w:hint="cs"/>
          <w:rtl/>
        </w:rPr>
        <w:lastRenderedPageBreak/>
        <w:t xml:space="preserve">פסיקת בתי המשפט המחוזיים קבעה בעבר שיש לראות בעסקת הרכישה העצמית כעסקה מלאכותית (סעיף 86 לפקודת מס הכנסה [נוסח חדש]) ולסווגה מחדש כך שתיזקף לבעלי המניות הכנסה מדיבידנד (ע"מ (מחוזי ת"א) 1100/06 </w:t>
      </w:r>
      <w:r w:rsidRPr="00751BB9">
        <w:rPr>
          <w:rFonts w:cs="Miriam" w:hint="cs"/>
          <w:b/>
          <w:spacing w:val="0"/>
          <w:szCs w:val="24"/>
          <w:rtl/>
        </w:rPr>
        <w:t>בר ניר נ' פקיד שומה גוש דן</w:t>
      </w:r>
      <w:r w:rsidRPr="00751BB9">
        <w:rPr>
          <w:rFonts w:hint="cs"/>
          <w:rtl/>
        </w:rPr>
        <w:t xml:space="preserve"> (16.11.2014); </w:t>
      </w:r>
      <w:proofErr w:type="spellStart"/>
      <w:r w:rsidRPr="00751BB9">
        <w:rPr>
          <w:rFonts w:hint="cs"/>
          <w:rtl/>
        </w:rPr>
        <w:t>ועמ"ה</w:t>
      </w:r>
      <w:proofErr w:type="spellEnd"/>
      <w:r w:rsidRPr="00751BB9">
        <w:rPr>
          <w:rFonts w:hint="cs"/>
          <w:rtl/>
        </w:rPr>
        <w:t xml:space="preserve"> (מחוזי ת"א) 21268-06-11 </w:t>
      </w:r>
      <w:proofErr w:type="spellStart"/>
      <w:r w:rsidRPr="00751BB9">
        <w:rPr>
          <w:rFonts w:cs="Miriam" w:hint="cs"/>
          <w:b/>
          <w:spacing w:val="0"/>
          <w:szCs w:val="24"/>
          <w:rtl/>
        </w:rPr>
        <w:t>ברנובסקי</w:t>
      </w:r>
      <w:proofErr w:type="spellEnd"/>
      <w:r w:rsidRPr="00751BB9">
        <w:rPr>
          <w:rFonts w:cs="Miriam" w:hint="cs"/>
          <w:b/>
          <w:spacing w:val="0"/>
          <w:szCs w:val="24"/>
          <w:rtl/>
        </w:rPr>
        <w:t xml:space="preserve"> נ' פקיד שומה גוש דן</w:t>
      </w:r>
      <w:r w:rsidRPr="00751BB9">
        <w:rPr>
          <w:rFonts w:hint="cs"/>
          <w:rtl/>
        </w:rPr>
        <w:t xml:space="preserve"> (21.1.2014) (להלן: עניין </w:t>
      </w:r>
      <w:proofErr w:type="spellStart"/>
      <w:r w:rsidRPr="00751BB9">
        <w:rPr>
          <w:rFonts w:cs="Miriam" w:hint="cs"/>
          <w:b/>
          <w:spacing w:val="0"/>
          <w:szCs w:val="24"/>
          <w:rtl/>
        </w:rPr>
        <w:t>ברנובסקי</w:t>
      </w:r>
      <w:proofErr w:type="spellEnd"/>
      <w:r w:rsidRPr="00751BB9">
        <w:rPr>
          <w:rFonts w:hint="cs"/>
          <w:rtl/>
        </w:rPr>
        <w:t xml:space="preserve">); יוער כי ערעור שהוגש בעניין </w:t>
      </w:r>
      <w:proofErr w:type="spellStart"/>
      <w:r w:rsidRPr="00751BB9">
        <w:rPr>
          <w:rFonts w:ascii="Century" w:hAnsi="Century" w:cs="Miriam" w:hint="cs"/>
          <w:b/>
          <w:spacing w:val="0"/>
          <w:sz w:val="22"/>
          <w:szCs w:val="24"/>
          <w:rtl/>
        </w:rPr>
        <w:t>ברנובסקי</w:t>
      </w:r>
      <w:proofErr w:type="spellEnd"/>
      <w:r w:rsidRPr="00751BB9">
        <w:rPr>
          <w:rFonts w:ascii="Century" w:hAnsi="Century" w:cs="Miriam" w:hint="cs"/>
          <w:b/>
          <w:spacing w:val="0"/>
          <w:sz w:val="22"/>
          <w:szCs w:val="24"/>
          <w:rtl/>
        </w:rPr>
        <w:t xml:space="preserve"> </w:t>
      </w:r>
      <w:r w:rsidRPr="00751BB9">
        <w:rPr>
          <w:rFonts w:ascii="Century" w:hAnsi="Century" w:hint="cs"/>
          <w:sz w:val="22"/>
          <w:rtl/>
        </w:rPr>
        <w:t xml:space="preserve">נמשך בהמלצת בית המשפט, </w:t>
      </w:r>
      <w:r w:rsidRPr="00751BB9">
        <w:rPr>
          <w:rFonts w:hint="cs"/>
          <w:rtl/>
        </w:rPr>
        <w:t xml:space="preserve">ע"א 3637/14 </w:t>
      </w:r>
      <w:proofErr w:type="spellStart"/>
      <w:r w:rsidRPr="00751BB9">
        <w:rPr>
          <w:rFonts w:ascii="Century" w:hAnsi="Century" w:cs="Miriam" w:hint="cs"/>
          <w:b/>
          <w:spacing w:val="0"/>
          <w:sz w:val="22"/>
          <w:szCs w:val="24"/>
          <w:rtl/>
        </w:rPr>
        <w:t>ברנובסקי</w:t>
      </w:r>
      <w:proofErr w:type="spellEnd"/>
      <w:r w:rsidRPr="00751BB9">
        <w:rPr>
          <w:rFonts w:ascii="Century" w:hAnsi="Century" w:cs="Miriam" w:hint="cs"/>
          <w:b/>
          <w:spacing w:val="0"/>
          <w:sz w:val="22"/>
          <w:szCs w:val="24"/>
          <w:rtl/>
        </w:rPr>
        <w:t xml:space="preserve"> נ' רשות המסים פקיד שומה גוש דן</w:t>
      </w:r>
      <w:r w:rsidRPr="00751BB9">
        <w:rPr>
          <w:rFonts w:hint="cs"/>
          <w:rtl/>
        </w:rPr>
        <w:t xml:space="preserve"> (14.12.2017)). מספר שנים לאחר פסקי הדין האמורים, הוציאה רשות המסים את חוזר מס הכנסה 2/2018 "רכישה עצמית של מניות בהתאם לחוק החברות" (2018) (להלן: </w:t>
      </w:r>
      <w:r w:rsidRPr="00751BB9">
        <w:rPr>
          <w:rFonts w:ascii="Century" w:hAnsi="Century" w:cs="Miriam" w:hint="cs"/>
          <w:b/>
          <w:spacing w:val="0"/>
          <w:sz w:val="22"/>
          <w:szCs w:val="24"/>
          <w:rtl/>
        </w:rPr>
        <w:t>חוזר רשות המסים</w:t>
      </w:r>
      <w:r w:rsidRPr="00751BB9">
        <w:rPr>
          <w:rFonts w:hint="cs"/>
          <w:rtl/>
        </w:rPr>
        <w:t xml:space="preserve"> או </w:t>
      </w:r>
      <w:r w:rsidRPr="00751BB9">
        <w:rPr>
          <w:rFonts w:ascii="Century" w:hAnsi="Century" w:cs="Miriam" w:hint="cs"/>
          <w:b/>
          <w:spacing w:val="0"/>
          <w:sz w:val="22"/>
          <w:szCs w:val="24"/>
          <w:rtl/>
        </w:rPr>
        <w:t>החוזר</w:t>
      </w:r>
      <w:r w:rsidRPr="00751BB9">
        <w:rPr>
          <w:rFonts w:hint="cs"/>
          <w:rtl/>
        </w:rPr>
        <w:t xml:space="preserve">) שעוסק במישרין בסוגיה זו ובמסגרתו ביקשה הרשות לקבוע את היבטי המס לגבי רכישה עצמית. ביחס לרכישה עצמית של מניות שאינה פרו </w:t>
      </w:r>
      <w:proofErr w:type="spellStart"/>
      <w:r w:rsidRPr="00751BB9">
        <w:rPr>
          <w:rFonts w:hint="cs"/>
          <w:rtl/>
        </w:rPr>
        <w:t>רטה</w:t>
      </w:r>
      <w:proofErr w:type="spellEnd"/>
      <w:r w:rsidRPr="00751BB9">
        <w:rPr>
          <w:rFonts w:hint="cs"/>
          <w:rtl/>
        </w:rPr>
        <w:t>, ציינה הרשות כי למעשה בעלי המניות הנותרים עושים שימוש ברווחי החברה על מנת לרכוש את מניות בעלי המניות המוכרים ולהעלות את שיעור החזקתם בחברה (יוער כי האמור בחוזר בהקשר זה אינו מתייחס לחברה ציבורית שמבצעת רכישה עצמית של מניותיה בשיעור שאינו מהותי, ראו סעיף 3.2.4 לחוזר). משכך, ביקשה הרשות לראות במהלך עסקה דו שלבית שכוללת חלוקת דיבידנד, בשתי חלופות:</w:t>
      </w:r>
    </w:p>
    <w:p w:rsidR="003E4E8E" w:rsidRPr="00751BB9" w:rsidRDefault="003E4E8E" w:rsidP="003E4E8E">
      <w:pPr>
        <w:pStyle w:val="Ruller41"/>
        <w:rPr>
          <w:rtl/>
        </w:rPr>
      </w:pPr>
    </w:p>
    <w:p w:rsidR="003E4E8E" w:rsidRPr="00751BB9" w:rsidRDefault="003E4E8E" w:rsidP="003E4E8E">
      <w:pPr>
        <w:pStyle w:val="Ruller4"/>
        <w:numPr>
          <w:ilvl w:val="0"/>
          <w:numId w:val="27"/>
        </w:numPr>
      </w:pPr>
      <w:r w:rsidRPr="00751BB9">
        <w:rPr>
          <w:rFonts w:hint="cs"/>
          <w:rtl/>
        </w:rPr>
        <w:t xml:space="preserve">חלופה ראשונה </w:t>
      </w:r>
      <w:r w:rsidRPr="00751BB9">
        <w:rPr>
          <w:rtl/>
        </w:rPr>
        <w:t>–</w:t>
      </w:r>
      <w:r w:rsidRPr="00751BB9">
        <w:rPr>
          <w:rFonts w:hint="cs"/>
          <w:rtl/>
        </w:rPr>
        <w:t xml:space="preserve"> בשלב הראשון חולק דיבידנד לכל אחד מבעלי המניות לפי חלקו היחסי בסכום כולל של סכום הרכישה (סכום הרכישה הוא שוויה המלא של הרכישה העצמית; להלן: </w:t>
      </w:r>
      <w:r w:rsidRPr="00751BB9">
        <w:rPr>
          <w:rFonts w:ascii="Century" w:hAnsi="Century" w:cs="Miriam" w:hint="cs"/>
          <w:b/>
          <w:spacing w:val="0"/>
          <w:sz w:val="22"/>
          <w:szCs w:val="24"/>
          <w:rtl/>
        </w:rPr>
        <w:t>סכום הרכישה</w:t>
      </w:r>
      <w:r w:rsidRPr="00751BB9">
        <w:rPr>
          <w:rFonts w:ascii="Century" w:hAnsi="Century" w:hint="cs"/>
          <w:sz w:val="22"/>
          <w:rtl/>
        </w:rPr>
        <w:t>)</w:t>
      </w:r>
      <w:r w:rsidRPr="00751BB9">
        <w:rPr>
          <w:rFonts w:hint="cs"/>
          <w:rtl/>
        </w:rPr>
        <w:t xml:space="preserve">; ובשלב השני בעלי המניות הנותרים רכשו מבעלי המניות המוכרים את מניותיהם בסכום הדיבידנד שקיבלו (להלן: </w:t>
      </w:r>
      <w:r w:rsidRPr="00751BB9">
        <w:rPr>
          <w:rFonts w:ascii="Century" w:hAnsi="Century" w:cs="Miriam" w:hint="cs"/>
          <w:b/>
          <w:spacing w:val="0"/>
          <w:sz w:val="22"/>
          <w:szCs w:val="24"/>
          <w:rtl/>
        </w:rPr>
        <w:t>החלופה הראשונה</w:t>
      </w:r>
      <w:r w:rsidRPr="00751BB9">
        <w:rPr>
          <w:rFonts w:hint="cs"/>
          <w:rtl/>
        </w:rPr>
        <w:t>).</w:t>
      </w:r>
    </w:p>
    <w:p w:rsidR="003E4E8E" w:rsidRPr="00751BB9" w:rsidRDefault="003E4E8E" w:rsidP="003E4E8E">
      <w:pPr>
        <w:pStyle w:val="Ruller4"/>
        <w:numPr>
          <w:ilvl w:val="0"/>
          <w:numId w:val="27"/>
        </w:numPr>
        <w:rPr>
          <w:rtl/>
        </w:rPr>
      </w:pPr>
      <w:r w:rsidRPr="00751BB9">
        <w:rPr>
          <w:rFonts w:hint="cs"/>
          <w:rtl/>
        </w:rPr>
        <w:t xml:space="preserve">חלופה שנייה </w:t>
      </w:r>
      <w:r w:rsidRPr="00751BB9">
        <w:rPr>
          <w:rtl/>
        </w:rPr>
        <w:t>–</w:t>
      </w:r>
      <w:r w:rsidRPr="00751BB9">
        <w:rPr>
          <w:rFonts w:hint="cs"/>
          <w:rtl/>
        </w:rPr>
        <w:t xml:space="preserve"> בשלב הראשון בעלי המניות הנותרים רכשו מבעלי המניות המוכרים את מניותיהם בסכום הרכישה (לפי חלקם היחסי); ובשלב השני העבירו בעלי המניות הרוכשים את המניות לחברה בתמורה לסכום הרכישה (להלן: </w:t>
      </w:r>
      <w:r w:rsidRPr="00751BB9">
        <w:rPr>
          <w:rFonts w:ascii="Century" w:hAnsi="Century" w:cs="Miriam" w:hint="cs"/>
          <w:b/>
          <w:spacing w:val="0"/>
          <w:sz w:val="22"/>
          <w:szCs w:val="24"/>
          <w:rtl/>
        </w:rPr>
        <w:t>החלופה השנייה</w:t>
      </w:r>
      <w:r w:rsidRPr="00751BB9">
        <w:rPr>
          <w:rFonts w:hint="cs"/>
          <w:rtl/>
        </w:rPr>
        <w:t xml:space="preserve">). </w:t>
      </w:r>
    </w:p>
    <w:p w:rsidR="003E4E8E" w:rsidRPr="00751BB9" w:rsidRDefault="003E4E8E" w:rsidP="003E4E8E">
      <w:pPr>
        <w:pStyle w:val="Ruller41"/>
        <w:rPr>
          <w:rtl/>
        </w:rPr>
      </w:pPr>
    </w:p>
    <w:p w:rsidR="003E4E8E" w:rsidRPr="00751BB9" w:rsidRDefault="003E4E8E" w:rsidP="003E4E8E">
      <w:pPr>
        <w:pStyle w:val="Ruller4"/>
        <w:numPr>
          <w:ilvl w:val="0"/>
          <w:numId w:val="0"/>
        </w:numPr>
        <w:rPr>
          <w:rFonts w:ascii="Century" w:hAnsi="Century"/>
          <w:sz w:val="22"/>
          <w:rtl/>
        </w:rPr>
      </w:pPr>
      <w:r w:rsidRPr="00751BB9">
        <w:rPr>
          <w:rtl/>
        </w:rPr>
        <w:tab/>
      </w:r>
      <w:r w:rsidRPr="00751BB9">
        <w:rPr>
          <w:rFonts w:hint="cs"/>
          <w:rtl/>
        </w:rPr>
        <w:t xml:space="preserve">הגם ששתי החלופות קובעות כי ישנן השלכות </w:t>
      </w:r>
      <w:proofErr w:type="spellStart"/>
      <w:r w:rsidRPr="00751BB9">
        <w:rPr>
          <w:rFonts w:hint="cs"/>
          <w:rtl/>
        </w:rPr>
        <w:t>מיסוייות</w:t>
      </w:r>
      <w:proofErr w:type="spellEnd"/>
      <w:r w:rsidRPr="00751BB9">
        <w:rPr>
          <w:rFonts w:hint="cs"/>
          <w:rtl/>
        </w:rPr>
        <w:t xml:space="preserve"> לרכישה העצמית, הן נבדלות זו מזו בהשלכות אלו (וזאת מבלי להתייחס לסוגיות מס אחרות שעשויות להתעורר דוגמת מס רווח הון ומיסוי מקרקעין). בחלופה הראשונה, בעלי המניות הנותרים כמו גם בעלי המניות המוכרים יהיו חייבים במס על דיבידנד בגובה חלקם היחסי בסכום הרכישה; ואילו בחלופה השנייה, בעלי המניות הנותרים בלבד יהיו חייבים במס על דיבידנד בגובה סכום הרכישה כולו. </w:t>
      </w:r>
      <w:r w:rsidRPr="00751BB9">
        <w:rPr>
          <w:rFonts w:ascii="Century" w:hAnsi="Century" w:hint="cs"/>
          <w:sz w:val="22"/>
          <w:rtl/>
        </w:rPr>
        <w:t xml:space="preserve">חוזר הרשות קובע כי במקרים שבהם בעלי המניות המוכרים מוכרים את כל המניות שבהן הם מחזיקים, "ניטה לסווג את העסקה בהתאם לחלופה </w:t>
      </w:r>
      <w:proofErr w:type="spellStart"/>
      <w:r w:rsidRPr="00751BB9">
        <w:rPr>
          <w:rFonts w:ascii="Century" w:hAnsi="Century" w:hint="cs"/>
          <w:sz w:val="22"/>
          <w:rtl/>
        </w:rPr>
        <w:t>השניה</w:t>
      </w:r>
      <w:proofErr w:type="spellEnd"/>
      <w:r w:rsidRPr="00751BB9">
        <w:rPr>
          <w:rFonts w:ascii="Century" w:hAnsi="Century" w:hint="cs"/>
          <w:sz w:val="22"/>
          <w:rtl/>
        </w:rPr>
        <w:t>", וזאת מבלי לפרט את הטעמים שעומדים ביסוד קביעה זו.</w:t>
      </w:r>
    </w:p>
    <w:p w:rsidR="003E4E8E" w:rsidRPr="00751BB9" w:rsidRDefault="003E4E8E" w:rsidP="003E4E8E">
      <w:pPr>
        <w:pStyle w:val="Ruller4"/>
      </w:pPr>
      <w:r w:rsidRPr="00751BB9">
        <w:rPr>
          <w:rFonts w:hint="cs"/>
          <w:rtl/>
        </w:rPr>
        <w:lastRenderedPageBreak/>
        <w:t xml:space="preserve">שני פסקי הדין נושא הערעורים שלפנינו שבו והעלו סוגיה זו. בתי המשפט המחוזיים צעדו בנתיבים שונים: בפסק הדין נושא ע"א 9308/20 (להלן: עניין </w:t>
      </w:r>
      <w:r w:rsidRPr="00751BB9">
        <w:rPr>
          <w:rFonts w:cs="Miriam" w:hint="cs"/>
          <w:b/>
          <w:spacing w:val="0"/>
          <w:szCs w:val="24"/>
          <w:rtl/>
        </w:rPr>
        <w:t>בית חוסן</w:t>
      </w:r>
      <w:r w:rsidRPr="00751BB9">
        <w:rPr>
          <w:rFonts w:hint="cs"/>
          <w:rtl/>
        </w:rPr>
        <w:t xml:space="preserve">) קבע בית המשפט המחוזי בחיפה (כב' השופטת </w:t>
      </w:r>
      <w:r w:rsidRPr="00751BB9">
        <w:rPr>
          <w:rFonts w:ascii="Century" w:hAnsi="Century" w:cs="Miriam" w:hint="cs"/>
          <w:b/>
          <w:spacing w:val="0"/>
          <w:sz w:val="22"/>
          <w:szCs w:val="24"/>
          <w:rtl/>
        </w:rPr>
        <w:t xml:space="preserve">א' </w:t>
      </w:r>
      <w:proofErr w:type="spellStart"/>
      <w:r w:rsidRPr="00751BB9">
        <w:rPr>
          <w:rFonts w:ascii="Century" w:hAnsi="Century" w:cs="Miriam" w:hint="cs"/>
          <w:b/>
          <w:spacing w:val="0"/>
          <w:sz w:val="22"/>
          <w:szCs w:val="24"/>
          <w:rtl/>
        </w:rPr>
        <w:t>וינשטיין</w:t>
      </w:r>
      <w:proofErr w:type="spellEnd"/>
      <w:r w:rsidRPr="00751BB9">
        <w:rPr>
          <w:rFonts w:ascii="Century" w:hAnsi="Century" w:hint="cs"/>
          <w:sz w:val="22"/>
          <w:rtl/>
        </w:rPr>
        <w:t>)</w:t>
      </w:r>
      <w:r w:rsidRPr="00751BB9">
        <w:rPr>
          <w:rFonts w:ascii="Century" w:hAnsi="Century" w:cs="Miriam" w:hint="cs"/>
          <w:b/>
          <w:spacing w:val="0"/>
          <w:sz w:val="22"/>
          <w:szCs w:val="24"/>
          <w:rtl/>
        </w:rPr>
        <w:t xml:space="preserve"> </w:t>
      </w:r>
      <w:r w:rsidRPr="00751BB9">
        <w:rPr>
          <w:rFonts w:hint="cs"/>
          <w:rtl/>
        </w:rPr>
        <w:t xml:space="preserve">כי אין לראות ברכישה העצמית של המניות כחלוקת דיבידנד רעיוני לבעלי המניות הנותרים. בפסק הדין, התבסס בית המשפט בעיקר על עקרון המימוש (וראו להרחבה בעניין זה פסקה 50 לחוות דעתו של חברי השופט </w:t>
      </w:r>
      <w:r w:rsidRPr="00751BB9">
        <w:rPr>
          <w:rFonts w:ascii="Century" w:hAnsi="Century" w:cs="Miriam" w:hint="cs"/>
          <w:b/>
          <w:spacing w:val="0"/>
          <w:sz w:val="22"/>
          <w:szCs w:val="24"/>
          <w:rtl/>
        </w:rPr>
        <w:t>א' שטיין</w:t>
      </w:r>
      <w:r w:rsidRPr="00751BB9">
        <w:rPr>
          <w:rFonts w:hint="cs"/>
          <w:rtl/>
        </w:rPr>
        <w:t xml:space="preserve">) וציין כי בידי בעלי המניות הנותרים אין עליית שווי כלכלית ברת כימות וכי הם לא מימשו רווח כלשהו. לעומת זאת, בפסק הדין נושא ע"א 8116/21 (להלן: עניין </w:t>
      </w:r>
      <w:r w:rsidRPr="00751BB9">
        <w:rPr>
          <w:rFonts w:ascii="Century" w:hAnsi="Century" w:cs="Miriam" w:hint="cs"/>
          <w:b/>
          <w:spacing w:val="0"/>
          <w:sz w:val="22"/>
          <w:szCs w:val="24"/>
          <w:rtl/>
        </w:rPr>
        <w:t>סיידה</w:t>
      </w:r>
      <w:r w:rsidRPr="00751BB9">
        <w:rPr>
          <w:rFonts w:hint="cs"/>
          <w:rtl/>
        </w:rPr>
        <w:t xml:space="preserve">) קבע בית המשפט המחוזי בבאר שבע (כב' השופטת </w:t>
      </w:r>
      <w:r w:rsidRPr="00751BB9">
        <w:rPr>
          <w:rFonts w:ascii="Century" w:hAnsi="Century" w:cs="Miriam" w:hint="cs"/>
          <w:b/>
          <w:spacing w:val="0"/>
          <w:sz w:val="22"/>
          <w:szCs w:val="24"/>
          <w:rtl/>
        </w:rPr>
        <w:t>י' ייטב</w:t>
      </w:r>
      <w:r w:rsidRPr="00751BB9">
        <w:rPr>
          <w:rFonts w:ascii="Century" w:hAnsi="Century" w:hint="cs"/>
          <w:sz w:val="22"/>
          <w:rtl/>
        </w:rPr>
        <w:t>)</w:t>
      </w:r>
      <w:r w:rsidRPr="00751BB9">
        <w:rPr>
          <w:rFonts w:hint="cs"/>
          <w:rtl/>
        </w:rPr>
        <w:t xml:space="preserve"> כי יש לראות את הרכישה העצמית של המניות כחלוקת דיבידנד לבעל המניות הנותר, מאיר סיידה. לצד זאת, בית המשפט התערב בהחלטת פקיד השומה וקבע כי חלף מיסוי הרכישה העצמית לפי החלופה השנייה בחוזר, יש </w:t>
      </w:r>
      <w:proofErr w:type="spellStart"/>
      <w:r w:rsidRPr="00751BB9">
        <w:rPr>
          <w:rFonts w:hint="cs"/>
          <w:rtl/>
        </w:rPr>
        <w:t>למסותה</w:t>
      </w:r>
      <w:proofErr w:type="spellEnd"/>
      <w:r w:rsidRPr="00751BB9">
        <w:rPr>
          <w:rFonts w:hint="cs"/>
          <w:rtl/>
        </w:rPr>
        <w:t xml:space="preserve"> לפי החלופה הראשונה. המערערים לפנינו הם אפוא פקיד השומה (בערעור בעניין </w:t>
      </w:r>
      <w:r w:rsidRPr="00751BB9">
        <w:rPr>
          <w:rFonts w:ascii="Century" w:hAnsi="Century" w:cs="Miriam" w:hint="cs"/>
          <w:b/>
          <w:spacing w:val="0"/>
          <w:sz w:val="22"/>
          <w:szCs w:val="24"/>
          <w:rtl/>
        </w:rPr>
        <w:t>בית חוסן</w:t>
      </w:r>
      <w:r w:rsidRPr="00751BB9">
        <w:rPr>
          <w:rFonts w:hint="cs"/>
          <w:rtl/>
        </w:rPr>
        <w:t xml:space="preserve">) מזה והנישום (בערעור בעניין </w:t>
      </w:r>
      <w:r w:rsidRPr="00751BB9">
        <w:rPr>
          <w:rFonts w:ascii="Century" w:hAnsi="Century" w:cs="Miriam" w:hint="cs"/>
          <w:b/>
          <w:spacing w:val="0"/>
          <w:sz w:val="22"/>
          <w:szCs w:val="24"/>
          <w:rtl/>
        </w:rPr>
        <w:t>סיידה</w:t>
      </w:r>
      <w:r w:rsidRPr="00751BB9">
        <w:rPr>
          <w:rFonts w:hint="cs"/>
          <w:rtl/>
        </w:rPr>
        <w:t xml:space="preserve">) מזה. יוער כי פקיד השומה לא השיג על ההכרעה בעניין </w:t>
      </w:r>
      <w:r w:rsidRPr="00751BB9">
        <w:rPr>
          <w:rFonts w:ascii="Century" w:hAnsi="Century" w:cs="Miriam" w:hint="cs"/>
          <w:b/>
          <w:spacing w:val="0"/>
          <w:sz w:val="22"/>
          <w:szCs w:val="24"/>
          <w:rtl/>
        </w:rPr>
        <w:t>סיידה</w:t>
      </w:r>
      <w:r w:rsidRPr="00751BB9">
        <w:rPr>
          <w:rFonts w:hint="cs"/>
          <w:rtl/>
        </w:rPr>
        <w:t>, וזאת הגם שכאמור בית המשפט המחוזי בבאר שבע לא קיבל את העמדה שנקבעה בחוזר ביחס לגובה הדיבידנד.</w:t>
      </w:r>
    </w:p>
    <w:p w:rsidR="003E4E8E" w:rsidRPr="00751BB9" w:rsidRDefault="003E4E8E" w:rsidP="003E4E8E">
      <w:pPr>
        <w:pStyle w:val="Ruller4"/>
        <w:numPr>
          <w:ilvl w:val="0"/>
          <w:numId w:val="0"/>
        </w:numPr>
      </w:pPr>
    </w:p>
    <w:p w:rsidR="003E4E8E" w:rsidRPr="00751BB9" w:rsidRDefault="003E4E8E" w:rsidP="003E4E8E">
      <w:pPr>
        <w:pStyle w:val="Ruller4"/>
      </w:pPr>
      <w:r w:rsidRPr="00751BB9">
        <w:rPr>
          <w:rFonts w:hint="cs"/>
          <w:rtl/>
        </w:rPr>
        <w:t xml:space="preserve">קיבלתי לידיי את חוות דעתם של חבריי השופטים </w:t>
      </w:r>
      <w:r w:rsidRPr="00751BB9">
        <w:rPr>
          <w:rFonts w:ascii="Century" w:hAnsi="Century" w:cs="Miriam" w:hint="cs"/>
          <w:b/>
          <w:spacing w:val="0"/>
          <w:sz w:val="22"/>
          <w:szCs w:val="24"/>
          <w:rtl/>
        </w:rPr>
        <w:t xml:space="preserve">א' שטיין </w:t>
      </w:r>
      <w:r w:rsidRPr="00751BB9">
        <w:rPr>
          <w:rFonts w:ascii="Century" w:hAnsi="Century" w:hint="cs"/>
          <w:sz w:val="22"/>
          <w:rtl/>
        </w:rPr>
        <w:t>ו</w:t>
      </w:r>
      <w:r w:rsidRPr="00751BB9">
        <w:rPr>
          <w:rFonts w:ascii="Century" w:hAnsi="Century" w:cs="Miriam" w:hint="cs"/>
          <w:b/>
          <w:spacing w:val="0"/>
          <w:sz w:val="22"/>
          <w:szCs w:val="24"/>
          <w:rtl/>
        </w:rPr>
        <w:t>ר' רונן</w:t>
      </w:r>
      <w:r w:rsidRPr="00751BB9">
        <w:rPr>
          <w:rFonts w:ascii="Century" w:hAnsi="Century" w:hint="cs"/>
          <w:sz w:val="22"/>
          <w:rtl/>
        </w:rPr>
        <w:t xml:space="preserve">. </w:t>
      </w:r>
      <w:r w:rsidRPr="00751BB9">
        <w:rPr>
          <w:rFonts w:ascii="Century" w:hAnsi="Century" w:hint="cs"/>
          <w:rtl/>
        </w:rPr>
        <w:t xml:space="preserve">חברי השופט </w:t>
      </w:r>
      <w:r w:rsidRPr="00751BB9">
        <w:rPr>
          <w:rFonts w:ascii="Century" w:hAnsi="Century" w:cs="Miriam" w:hint="cs"/>
          <w:b/>
          <w:spacing w:val="0"/>
          <w:szCs w:val="24"/>
          <w:rtl/>
        </w:rPr>
        <w:t xml:space="preserve">שטיין </w:t>
      </w:r>
      <w:r w:rsidRPr="00751BB9">
        <w:rPr>
          <w:rFonts w:ascii="Century" w:hAnsi="Century" w:hint="cs"/>
          <w:rtl/>
        </w:rPr>
        <w:t>מציע בחוות דעתו המקיפה והמנומקת את מבחן "המטרה הדומיננטית" להבחנה בין סוגים שונים של רכישות עצמיות. להמחשת סוגים שונים אלה מציג חברי שלוש דוגמאות של רכישות עצמיות של חברה שלה שני בעלי מניות (ספיר וראובן) ושתוצאותיהן שונות במישור המיסוי:</w:t>
      </w:r>
    </w:p>
    <w:p w:rsidR="003E4E8E" w:rsidRPr="00751BB9" w:rsidRDefault="003E4E8E" w:rsidP="003E4E8E">
      <w:pPr>
        <w:pStyle w:val="Ruller4"/>
        <w:numPr>
          <w:ilvl w:val="0"/>
          <w:numId w:val="0"/>
        </w:numPr>
        <w:rPr>
          <w:rtl/>
        </w:rPr>
      </w:pPr>
    </w:p>
    <w:p w:rsidR="003E4E8E" w:rsidRPr="00751BB9" w:rsidRDefault="003E4E8E" w:rsidP="003E4E8E">
      <w:pPr>
        <w:pStyle w:val="Ruller41"/>
        <w:numPr>
          <w:ilvl w:val="0"/>
          <w:numId w:val="28"/>
        </w:numPr>
      </w:pPr>
      <w:r w:rsidRPr="00751BB9">
        <w:rPr>
          <w:rFonts w:ascii="Century" w:hAnsi="Century" w:hint="cs"/>
          <w:rtl/>
        </w:rPr>
        <w:t>בדוגמה הראשונה, שני בעלי המניות מחליטים יחדיו על צאתו של אחד מהם (ראובן) מהחברה, נוכח רצונו של האחרון (פרישתו נכפתה על ספיר), ולפיכך מדובר לשיטת חברי במקרה שבא בגדר החלופה הראשונה בחוזר רשות המסים. היינו, שני השותפים משכו דיבידנד לפי חלקם היחסי בחברה כשסכום הדיבידנד הכולל הוא שווי מניותיו של ראובן; ורק לאחר מכן רכשה ספיר מראובן את מניותיו בסכום הדיבידנד שקיבלה.</w:t>
      </w:r>
    </w:p>
    <w:p w:rsidR="003E4E8E" w:rsidRPr="00751BB9" w:rsidRDefault="003E4E8E" w:rsidP="003E4E8E">
      <w:pPr>
        <w:pStyle w:val="Ruller41"/>
        <w:numPr>
          <w:ilvl w:val="0"/>
          <w:numId w:val="28"/>
        </w:numPr>
      </w:pPr>
      <w:r w:rsidRPr="00751BB9">
        <w:rPr>
          <w:rFonts w:hint="cs"/>
          <w:rtl/>
        </w:rPr>
        <w:t xml:space="preserve">בדוגמה השנייה, שני בעלי המניות אינם מסתדרים וספיר מבקשת להמשיך לנהל את החברה בלעדי ראובן. בדוגמה זו סבור חברי כי יש לראות בספיר כמי שמשכה את מלוא שווי מניותיו של ראובן מהחברה וזאת על מנת שתקנה את מניותיו. בנסיבות אלו, קובע חברי כי יש למסות את ספיר על דיבידנד בגובה הרכישה </w:t>
      </w:r>
      <w:r w:rsidRPr="00751BB9">
        <w:rPr>
          <w:rFonts w:hint="cs"/>
          <w:rtl/>
        </w:rPr>
        <w:lastRenderedPageBreak/>
        <w:t>כולה (וזאת, בדומה לחלופה השנייה בחוזר רשות המסים, אף אם תיאורו של חברי אינו חופף במלואו לעסקה הדו שלבית שמתוארת בחוזר).</w:t>
      </w:r>
    </w:p>
    <w:p w:rsidR="003E4E8E" w:rsidRPr="00751BB9" w:rsidRDefault="003E4E8E" w:rsidP="003E4E8E">
      <w:pPr>
        <w:pStyle w:val="Ruller41"/>
        <w:numPr>
          <w:ilvl w:val="0"/>
          <w:numId w:val="28"/>
        </w:numPr>
      </w:pPr>
      <w:r w:rsidRPr="00751BB9">
        <w:rPr>
          <w:rFonts w:hint="cs"/>
          <w:rtl/>
        </w:rPr>
        <w:t>בדוגמה השלישית, מתאר חברי אי הסכמה בין ספיר וראובן ביחס להתנהלות החברה בעתיד, וזו מסתיימת בהסכמתו של ראובן לפרוש ככל שהחברה תרכוש את מניותיו. לדברי חברי, בשונה משתי הדוגמאות הקודמות, "מטרתה הדומיננטית" של הרכישה העצמית במקרה זה היא להיטיב עם החברה. בנסיבות אלו, סבור חברי שאין לראות בספיר כמי שקיבלה דיבידנד מהחברה.</w:t>
      </w:r>
    </w:p>
    <w:p w:rsidR="003E4E8E" w:rsidRPr="00751BB9" w:rsidRDefault="003E4E8E" w:rsidP="003E4E8E">
      <w:pPr>
        <w:pStyle w:val="Ruller4"/>
        <w:numPr>
          <w:ilvl w:val="0"/>
          <w:numId w:val="0"/>
        </w:numPr>
        <w:rPr>
          <w:rFonts w:ascii="Arial TUR" w:hAnsi="Arial TUR"/>
        </w:rPr>
      </w:pPr>
    </w:p>
    <w:p w:rsidR="003E4E8E" w:rsidRPr="00751BB9" w:rsidRDefault="003E4E8E" w:rsidP="003E4E8E">
      <w:pPr>
        <w:pStyle w:val="Ruller41"/>
        <w:rPr>
          <w:rFonts w:ascii="Century" w:hAnsi="Century"/>
          <w:rtl/>
        </w:rPr>
      </w:pPr>
      <w:r w:rsidRPr="00751BB9">
        <w:rPr>
          <w:rFonts w:ascii="Century" w:hAnsi="Century"/>
          <w:rtl/>
        </w:rPr>
        <w:tab/>
      </w:r>
      <w:r w:rsidRPr="00751BB9">
        <w:rPr>
          <w:rFonts w:ascii="Century" w:hAnsi="Century" w:hint="cs"/>
          <w:rtl/>
        </w:rPr>
        <w:t xml:space="preserve">לשיטת חברי, במקרה של רכישה עצמית דיספרופורציונית בחברת מעטים, קמה חזקה עובדתית כי מדובר בדוגמאות א' או ב', ועל הנישום יהא הנטל להראות (ככל שרצונו בכך) שהרכישה העצמית היא דווקא מסוג ג'. אעיר, במאמר מוסגר, כי מנקודת מבטה של החברה הרוכשת אין "על הנייר" כל הבדל בין שלוש הדוגמאות שהציג חברי. בכולן, מעבירה החברה מחצית מהונה לידי בעלי המניות, ומערך השליטה בה משתנה, כך שבעל המניות הנותר מחזיק ב-100% ממניותיה (גדעון קריב </w:t>
      </w:r>
      <w:r w:rsidRPr="00751BB9">
        <w:rPr>
          <w:rFonts w:hint="cs"/>
          <w:rtl/>
        </w:rPr>
        <w:t xml:space="preserve">"רכישת מניות על ידי החברה המנפיקה כאירוע מס" </w:t>
      </w:r>
      <w:r w:rsidRPr="00751BB9">
        <w:rPr>
          <w:rFonts w:ascii="Century" w:hAnsi="Century" w:cs="Miriam" w:hint="cs"/>
          <w:b/>
          <w:spacing w:val="0"/>
          <w:szCs w:val="24"/>
          <w:rtl/>
        </w:rPr>
        <w:t>מיסים</w:t>
      </w:r>
      <w:r w:rsidRPr="00751BB9">
        <w:rPr>
          <w:rFonts w:hint="cs"/>
          <w:rtl/>
        </w:rPr>
        <w:t xml:space="preserve"> טו(4) א-72, 76 (2001)</w:t>
      </w:r>
      <w:r w:rsidRPr="00751BB9">
        <w:rPr>
          <w:rFonts w:ascii="Century" w:hAnsi="Century" w:hint="cs"/>
          <w:rtl/>
        </w:rPr>
        <w:t>).</w:t>
      </w:r>
    </w:p>
    <w:p w:rsidR="003E4E8E" w:rsidRPr="00751BB9" w:rsidRDefault="003E4E8E" w:rsidP="003E4E8E">
      <w:pPr>
        <w:pStyle w:val="Ruller4"/>
        <w:numPr>
          <w:ilvl w:val="0"/>
          <w:numId w:val="0"/>
        </w:numPr>
        <w:rPr>
          <w:rFonts w:ascii="Arial TUR" w:hAnsi="Arial TUR"/>
          <w:rtl/>
        </w:rPr>
      </w:pPr>
    </w:p>
    <w:p w:rsidR="003E4E8E" w:rsidRPr="00751BB9" w:rsidRDefault="003E4E8E" w:rsidP="003E4E8E">
      <w:pPr>
        <w:pStyle w:val="Ruller4"/>
        <w:rPr>
          <w:rFonts w:ascii="Century" w:hAnsi="Century"/>
          <w:sz w:val="22"/>
        </w:rPr>
      </w:pPr>
      <w:r w:rsidRPr="00751BB9">
        <w:rPr>
          <w:rFonts w:hint="cs"/>
          <w:rtl/>
        </w:rPr>
        <w:t xml:space="preserve">ביישום מבחן המטרה הדומיננטית, מוצא חברי שיש לדחות את שני הערעורים גם יחד. את הערעור בעניין </w:t>
      </w:r>
      <w:r w:rsidRPr="00751BB9">
        <w:rPr>
          <w:rFonts w:ascii="Century" w:hAnsi="Century" w:cs="Miriam" w:hint="cs"/>
          <w:b/>
          <w:spacing w:val="0"/>
          <w:sz w:val="22"/>
          <w:szCs w:val="24"/>
          <w:rtl/>
        </w:rPr>
        <w:t xml:space="preserve">בית חוסן </w:t>
      </w:r>
      <w:r w:rsidRPr="00751BB9">
        <w:rPr>
          <w:rFonts w:ascii="Century" w:hAnsi="Century" w:hint="cs"/>
          <w:sz w:val="22"/>
          <w:rtl/>
        </w:rPr>
        <w:t xml:space="preserve">דוחה חברי כי לשיטתו המטרה הדומיננטית של הרכישה העצמית שם נועדה לפתור סכסוך שהיה במישור היחסים התאגידי (להבדיל מאי הסכמה בין בעלי המניות בכובעם הפרטי) ולכן מדובר ברכישה עצמית שדומה לדוגמה ג'. את הערעור בעניין </w:t>
      </w:r>
      <w:r w:rsidRPr="00751BB9">
        <w:rPr>
          <w:rFonts w:ascii="Century" w:hAnsi="Century" w:cs="Miriam" w:hint="cs"/>
          <w:b/>
          <w:spacing w:val="0"/>
          <w:sz w:val="22"/>
          <w:szCs w:val="24"/>
          <w:rtl/>
        </w:rPr>
        <w:t xml:space="preserve">סיידה </w:t>
      </w:r>
      <w:r w:rsidRPr="00751BB9">
        <w:rPr>
          <w:rFonts w:ascii="Century" w:hAnsi="Century" w:hint="cs"/>
          <w:sz w:val="22"/>
          <w:rtl/>
        </w:rPr>
        <w:t xml:space="preserve">דוחה חברי מאחר שהמטרה הדומיננטית של הרכישה העצמית הייתה העברת השליטה בחברה לידי אחד מבעלי המניות. עוד העיר חברי כי משלא הוגש ערעור על ידי פקיד השומה, אין מקום להתערב בקביעת בית המשפט המחוזי שיש לחייב את הנישום בעניין </w:t>
      </w:r>
      <w:r w:rsidRPr="00751BB9">
        <w:rPr>
          <w:rFonts w:ascii="Century" w:hAnsi="Century" w:cs="Miriam" w:hint="cs"/>
          <w:b/>
          <w:spacing w:val="0"/>
          <w:sz w:val="22"/>
          <w:szCs w:val="24"/>
          <w:rtl/>
        </w:rPr>
        <w:t xml:space="preserve">סיידה </w:t>
      </w:r>
      <w:r w:rsidRPr="00751BB9">
        <w:rPr>
          <w:rFonts w:ascii="Century" w:hAnsi="Century" w:hint="cs"/>
          <w:sz w:val="22"/>
          <w:rtl/>
        </w:rPr>
        <w:t>בתשלום מחצית משווי הרכישה בלבד, הגם שלטעמו מדובר בעניין שדומה לדוגמה השנייה שהביא בחוות דעתו (ולכן, על פי המודל שמוצע על ידו, היה נכון לזקוף לנישום דיבידנד בגובה מלוא שווי הרכישה).</w:t>
      </w:r>
    </w:p>
    <w:p w:rsidR="003E4E8E" w:rsidRPr="00751BB9" w:rsidRDefault="003E4E8E" w:rsidP="003E4E8E">
      <w:pPr>
        <w:pStyle w:val="Ruller4"/>
        <w:numPr>
          <w:ilvl w:val="0"/>
          <w:numId w:val="0"/>
        </w:numPr>
        <w:rPr>
          <w:rFonts w:ascii="Century" w:hAnsi="Century"/>
          <w:sz w:val="22"/>
        </w:rPr>
      </w:pPr>
    </w:p>
    <w:p w:rsidR="003E4E8E" w:rsidRPr="00751BB9" w:rsidRDefault="003E4E8E" w:rsidP="003E4E8E">
      <w:pPr>
        <w:pStyle w:val="Ruller4"/>
        <w:rPr>
          <w:rFonts w:ascii="Century" w:hAnsi="Century"/>
          <w:sz w:val="22"/>
          <w:rtl/>
        </w:rPr>
      </w:pPr>
      <w:r w:rsidRPr="00751BB9">
        <w:rPr>
          <w:rFonts w:ascii="Century" w:hAnsi="Century" w:hint="cs"/>
          <w:sz w:val="22"/>
          <w:rtl/>
        </w:rPr>
        <w:t xml:space="preserve">חברתי השופטת </w:t>
      </w:r>
      <w:r w:rsidRPr="00751BB9">
        <w:rPr>
          <w:rFonts w:ascii="Century" w:hAnsi="Century" w:cs="Miriam" w:hint="cs"/>
          <w:b/>
          <w:spacing w:val="0"/>
          <w:sz w:val="22"/>
          <w:szCs w:val="24"/>
          <w:rtl/>
        </w:rPr>
        <w:t>ר' רונן</w:t>
      </w:r>
      <w:r w:rsidRPr="00751BB9">
        <w:rPr>
          <w:rFonts w:ascii="Century" w:hAnsi="Century" w:hint="cs"/>
          <w:sz w:val="22"/>
          <w:rtl/>
        </w:rPr>
        <w:t xml:space="preserve"> סבורה לעומת זאת שיש להחיל דין אחיד על כל שלוש הדוגמאות שהציג השופט </w:t>
      </w:r>
      <w:r w:rsidRPr="00751BB9">
        <w:rPr>
          <w:rFonts w:ascii="Century" w:hAnsi="Century" w:cs="Miriam" w:hint="cs"/>
          <w:b/>
          <w:spacing w:val="0"/>
          <w:sz w:val="22"/>
          <w:szCs w:val="24"/>
          <w:rtl/>
        </w:rPr>
        <w:t>א' שטיין</w:t>
      </w:r>
      <w:r w:rsidRPr="00751BB9">
        <w:rPr>
          <w:rFonts w:ascii="Century" w:hAnsi="Century" w:hint="cs"/>
          <w:sz w:val="22"/>
          <w:rtl/>
        </w:rPr>
        <w:t xml:space="preserve">. לשיטתה, יש להגביל את ההכרעה במקרים שלפנינו לחברות פרטיות "מעין שותפויות" ולגביהן יש לחייב את בעלי המניות הנותרים במס דיבידנד בגובה חלקם היחסי (ערב הרכישה) מסכום הרכישה (היינו, לפי החלופה הראשונה בחוזר רשות המסים). עמדתה זו של חברתי נשענת על החשיבות ביציבות ובוודאות בדיני המס ועל הקושי שנובע מיישומו של מבחן המטרה הדומיננטית בנסיבות </w:t>
      </w:r>
      <w:r w:rsidRPr="00751BB9">
        <w:rPr>
          <w:rFonts w:ascii="Century" w:hAnsi="Century" w:hint="cs"/>
          <w:sz w:val="22"/>
          <w:rtl/>
        </w:rPr>
        <w:lastRenderedPageBreak/>
        <w:t xml:space="preserve">מעין אלו שלפנינו. לדבריה, בעלי המניות הנותרים מקבלים טובת הנאה ברורה בדמות הגדלת השפעתם על ניהול החברה. אשר לגובה הדיבידנד, מציינת חברתי כי מאחר שהאינטרס בביצוע הרכישה העצמית הוא משותף לשני בעלי המניות (הן המוכרים, הן הנותרים), יש לחשב את שווי ההתעשרות שלהם בהתאם לשיעור אחזקתם בחברה ערב העסקה. </w:t>
      </w:r>
    </w:p>
    <w:p w:rsidR="003E4E8E" w:rsidRPr="00751BB9" w:rsidRDefault="003E4E8E" w:rsidP="003E4E8E">
      <w:pPr>
        <w:pStyle w:val="Ruller41"/>
        <w:rPr>
          <w:rtl/>
        </w:rPr>
      </w:pPr>
    </w:p>
    <w:p w:rsidR="003E4E8E" w:rsidRPr="00751BB9" w:rsidRDefault="003E4E8E" w:rsidP="003E4E8E">
      <w:pPr>
        <w:pStyle w:val="Ruller4"/>
        <w:rPr>
          <w:rFonts w:ascii="Century" w:hAnsi="Century"/>
          <w:sz w:val="22"/>
        </w:rPr>
      </w:pPr>
      <w:r w:rsidRPr="00751BB9">
        <w:rPr>
          <w:rFonts w:hint="cs"/>
          <w:rtl/>
        </w:rPr>
        <w:t xml:space="preserve">לאחר שקראתי את חוות דעתם של חבריי, מצאתי לצרף דעתי לדעתה של חברתי השופטת </w:t>
      </w:r>
      <w:r w:rsidRPr="00751BB9">
        <w:rPr>
          <w:rFonts w:ascii="Century" w:hAnsi="Century" w:cs="Miriam" w:hint="cs"/>
          <w:b/>
          <w:spacing w:val="0"/>
          <w:sz w:val="22"/>
          <w:szCs w:val="24"/>
          <w:rtl/>
        </w:rPr>
        <w:t>ר' רונן</w:t>
      </w:r>
      <w:r w:rsidRPr="00751BB9">
        <w:rPr>
          <w:rFonts w:ascii="Century" w:hAnsi="Century" w:hint="cs"/>
          <w:sz w:val="22"/>
          <w:rtl/>
        </w:rPr>
        <w:t xml:space="preserve">. בפתח הדברים אציין כי ברמה הבסיסית, דומה ששני חבריי אינם חולקים על קיומם של מקרים לא מעטים שבהם יש לראות ברכישה עצמית הכנסה מדיבידנד של בעלי המניות הנותרים. כפי שראינו לעיל, תוצאותיה של רכישה עצמית הן אנלוגיות לאלו שבחלוקת דיבידנד (כמתואר בחלופות שהציגה רשות המסים בחוזר), והבחירה במסלול הרכישה העצמית עשויה לשמש את בעלי המניות כ"קיצור דרך" ומתוך ניסיון לחמוק מתשלום מס (ראו באופן כללי: </w:t>
      </w:r>
      <w:r w:rsidRPr="00751BB9">
        <w:rPr>
          <w:rFonts w:asciiTheme="majorBidi" w:hAnsiTheme="majorBidi" w:cstheme="majorBidi"/>
          <w:szCs w:val="24"/>
        </w:rPr>
        <w:t xml:space="preserve">Marvin A. </w:t>
      </w:r>
      <w:proofErr w:type="spellStart"/>
      <w:r w:rsidRPr="00751BB9">
        <w:rPr>
          <w:rFonts w:asciiTheme="majorBidi" w:hAnsiTheme="majorBidi" w:cstheme="majorBidi"/>
          <w:szCs w:val="24"/>
        </w:rPr>
        <w:t>Chirelstein</w:t>
      </w:r>
      <w:proofErr w:type="spellEnd"/>
      <w:r w:rsidRPr="00751BB9">
        <w:rPr>
          <w:rFonts w:asciiTheme="majorBidi" w:hAnsiTheme="majorBidi" w:cstheme="majorBidi"/>
          <w:szCs w:val="24"/>
        </w:rPr>
        <w:t xml:space="preserve">, </w:t>
      </w:r>
      <w:r w:rsidRPr="00751BB9">
        <w:rPr>
          <w:rFonts w:asciiTheme="majorBidi" w:hAnsiTheme="majorBidi" w:cstheme="majorBidi"/>
          <w:i/>
          <w:iCs/>
          <w:szCs w:val="24"/>
        </w:rPr>
        <w:t>Optional Redemptions and Optional Dividends: Taxing the Repurchase of Common Shares</w:t>
      </w:r>
      <w:r w:rsidRPr="00751BB9">
        <w:rPr>
          <w:rFonts w:asciiTheme="majorBidi" w:hAnsiTheme="majorBidi" w:cstheme="majorBidi"/>
          <w:szCs w:val="24"/>
        </w:rPr>
        <w:t xml:space="preserve">, 78 </w:t>
      </w:r>
      <w:r w:rsidRPr="00751BB9">
        <w:rPr>
          <w:rFonts w:asciiTheme="majorBidi" w:hAnsiTheme="majorBidi" w:cstheme="majorBidi"/>
          <w:smallCaps/>
          <w:szCs w:val="24"/>
        </w:rPr>
        <w:t>Yale L.J.</w:t>
      </w:r>
      <w:r w:rsidRPr="00751BB9">
        <w:rPr>
          <w:rFonts w:asciiTheme="majorBidi" w:hAnsiTheme="majorBidi" w:cstheme="majorBidi"/>
          <w:szCs w:val="24"/>
        </w:rPr>
        <w:t xml:space="preserve"> 739, 749 (1969)</w:t>
      </w:r>
      <w:r w:rsidRPr="00751BB9">
        <w:rPr>
          <w:rFonts w:ascii="Century" w:hAnsi="Century" w:hint="cs"/>
          <w:sz w:val="22"/>
          <w:rtl/>
        </w:rPr>
        <w:t>). זאת ועוד, ביחס לרכישה עצמית בחברות "מעין שותפויות" הפער בין חבריי קטן אף יותר (ראו פסקה 71 לחוות דעתו של חברי ופסקאות 17-15 לחוות דעתה של חברתי). המחלוקת בין חבריי נעוצה אפוא בשתי שאלות: הראשונה, אם יש לקבוע כלל גורף ביחס לכל עסקאות הרכישה העצמית; והשנייה, מהו גובה הדיבידנד שיש לייחס לבעלי המניות הנותרים.</w:t>
      </w:r>
    </w:p>
    <w:p w:rsidR="003E4E8E" w:rsidRPr="00751BB9" w:rsidRDefault="003E4E8E" w:rsidP="003E4E8E">
      <w:pPr>
        <w:pStyle w:val="Ruller4"/>
        <w:numPr>
          <w:ilvl w:val="0"/>
          <w:numId w:val="0"/>
        </w:numPr>
        <w:rPr>
          <w:rFonts w:ascii="Century" w:hAnsi="Century"/>
          <w:sz w:val="22"/>
        </w:rPr>
      </w:pPr>
    </w:p>
    <w:p w:rsidR="003E4E8E" w:rsidRPr="00751BB9" w:rsidRDefault="003E4E8E" w:rsidP="003E4E8E">
      <w:pPr>
        <w:pStyle w:val="Ruller4"/>
        <w:rPr>
          <w:rFonts w:ascii="Century" w:hAnsi="Century"/>
          <w:sz w:val="22"/>
          <w:rtl/>
        </w:rPr>
      </w:pPr>
      <w:r w:rsidRPr="00751BB9">
        <w:rPr>
          <w:rFonts w:ascii="Century" w:hAnsi="Century" w:hint="cs"/>
          <w:rtl/>
        </w:rPr>
        <w:t>תחילה אבהיר שאף אני בדעה שראוי להגביל את ההכרעה בתיקים שלפנינו לרכישה עצמית בחברות ש</w:t>
      </w:r>
      <w:r w:rsidRPr="00751BB9">
        <w:rPr>
          <w:rFonts w:hint="eastAsia"/>
          <w:rtl/>
        </w:rPr>
        <w:t>הן</w:t>
      </w:r>
      <w:r w:rsidRPr="00751BB9">
        <w:rPr>
          <w:rtl/>
        </w:rPr>
        <w:t xml:space="preserve"> "</w:t>
      </w:r>
      <w:r w:rsidRPr="00751BB9">
        <w:rPr>
          <w:rFonts w:hint="eastAsia"/>
          <w:rtl/>
        </w:rPr>
        <w:t>מעין</w:t>
      </w:r>
      <w:r w:rsidRPr="00751BB9">
        <w:rPr>
          <w:rtl/>
        </w:rPr>
        <w:t xml:space="preserve"> </w:t>
      </w:r>
      <w:r w:rsidRPr="00751BB9">
        <w:rPr>
          <w:rFonts w:hint="eastAsia"/>
          <w:rtl/>
        </w:rPr>
        <w:t>שותפויות</w:t>
      </w:r>
      <w:r w:rsidRPr="00751BB9">
        <w:rPr>
          <w:rtl/>
        </w:rPr>
        <w:t xml:space="preserve">" </w:t>
      </w:r>
      <w:r w:rsidRPr="00751BB9">
        <w:rPr>
          <w:rFonts w:hint="eastAsia"/>
          <w:rtl/>
        </w:rPr>
        <w:t>כהגדרתה</w:t>
      </w:r>
      <w:r w:rsidRPr="00751BB9">
        <w:rPr>
          <w:rtl/>
        </w:rPr>
        <w:t xml:space="preserve"> </w:t>
      </w:r>
      <w:r w:rsidRPr="00751BB9">
        <w:rPr>
          <w:rFonts w:hint="eastAsia"/>
          <w:rtl/>
        </w:rPr>
        <w:t>של</w:t>
      </w:r>
      <w:r w:rsidRPr="00751BB9">
        <w:rPr>
          <w:rtl/>
        </w:rPr>
        <w:t xml:space="preserve"> </w:t>
      </w:r>
      <w:r w:rsidRPr="00751BB9">
        <w:rPr>
          <w:rFonts w:hint="eastAsia"/>
          <w:rtl/>
        </w:rPr>
        <w:t>חברתי</w:t>
      </w:r>
      <w:r w:rsidRPr="00751BB9">
        <w:rPr>
          <w:rtl/>
        </w:rPr>
        <w:t xml:space="preserve">. </w:t>
      </w:r>
      <w:r w:rsidRPr="00751BB9">
        <w:rPr>
          <w:rFonts w:hint="eastAsia"/>
          <w:rtl/>
        </w:rPr>
        <w:t>אשר</w:t>
      </w:r>
      <w:r w:rsidRPr="00751BB9">
        <w:rPr>
          <w:rtl/>
        </w:rPr>
        <w:t xml:space="preserve"> </w:t>
      </w:r>
      <w:r w:rsidRPr="00751BB9">
        <w:rPr>
          <w:rFonts w:hint="eastAsia"/>
          <w:rtl/>
        </w:rPr>
        <w:t>לקביעת</w:t>
      </w:r>
      <w:r w:rsidRPr="00751BB9">
        <w:rPr>
          <w:rtl/>
        </w:rPr>
        <w:t xml:space="preserve"> </w:t>
      </w:r>
      <w:r w:rsidRPr="00751BB9">
        <w:rPr>
          <w:rFonts w:hint="eastAsia"/>
          <w:rtl/>
        </w:rPr>
        <w:t>הכלל</w:t>
      </w:r>
      <w:r w:rsidRPr="00751BB9">
        <w:rPr>
          <w:rtl/>
        </w:rPr>
        <w:t xml:space="preserve"> </w:t>
      </w:r>
      <w:r w:rsidRPr="00751BB9">
        <w:rPr>
          <w:rFonts w:hint="eastAsia"/>
          <w:rtl/>
        </w:rPr>
        <w:t>הגורף</w:t>
      </w:r>
      <w:r w:rsidRPr="00751BB9">
        <w:rPr>
          <w:rtl/>
        </w:rPr>
        <w:t xml:space="preserve">, </w:t>
      </w:r>
      <w:r w:rsidRPr="00751BB9">
        <w:rPr>
          <w:rFonts w:hint="eastAsia"/>
          <w:rtl/>
        </w:rPr>
        <w:t>דומני</w:t>
      </w:r>
      <w:r w:rsidRPr="00751BB9">
        <w:rPr>
          <w:rtl/>
        </w:rPr>
        <w:t xml:space="preserve"> </w:t>
      </w:r>
      <w:r w:rsidRPr="00751BB9">
        <w:rPr>
          <w:rFonts w:hint="eastAsia"/>
          <w:rtl/>
        </w:rPr>
        <w:t>כי</w:t>
      </w:r>
      <w:r w:rsidRPr="00751BB9">
        <w:rPr>
          <w:rtl/>
        </w:rPr>
        <w:t xml:space="preserve"> </w:t>
      </w:r>
      <w:r w:rsidRPr="00751BB9">
        <w:rPr>
          <w:rFonts w:hint="eastAsia"/>
          <w:rtl/>
        </w:rPr>
        <w:t>מבחן</w:t>
      </w:r>
      <w:r w:rsidRPr="00751BB9">
        <w:rPr>
          <w:rtl/>
        </w:rPr>
        <w:t xml:space="preserve"> </w:t>
      </w:r>
      <w:r w:rsidRPr="00751BB9">
        <w:rPr>
          <w:rFonts w:hint="eastAsia"/>
          <w:rtl/>
        </w:rPr>
        <w:t>המטרה</w:t>
      </w:r>
      <w:r w:rsidRPr="00751BB9">
        <w:rPr>
          <w:rtl/>
        </w:rPr>
        <w:t xml:space="preserve"> </w:t>
      </w:r>
      <w:r w:rsidRPr="00751BB9">
        <w:rPr>
          <w:rFonts w:hint="eastAsia"/>
          <w:rtl/>
        </w:rPr>
        <w:t>הדומיננטית</w:t>
      </w:r>
      <w:r w:rsidRPr="00751BB9">
        <w:rPr>
          <w:rtl/>
        </w:rPr>
        <w:t xml:space="preserve"> </w:t>
      </w:r>
      <w:r w:rsidRPr="00751BB9">
        <w:rPr>
          <w:rFonts w:hint="eastAsia"/>
          <w:rtl/>
        </w:rPr>
        <w:t>שמציע</w:t>
      </w:r>
      <w:r w:rsidRPr="00751BB9">
        <w:rPr>
          <w:rtl/>
        </w:rPr>
        <w:t xml:space="preserve"> </w:t>
      </w:r>
      <w:r w:rsidRPr="00751BB9">
        <w:rPr>
          <w:rFonts w:hint="eastAsia"/>
          <w:rtl/>
        </w:rPr>
        <w:t>חברי</w:t>
      </w:r>
      <w:r w:rsidRPr="00751BB9">
        <w:rPr>
          <w:rtl/>
        </w:rPr>
        <w:t xml:space="preserve"> </w:t>
      </w:r>
      <w:r w:rsidRPr="00751BB9">
        <w:rPr>
          <w:rFonts w:hint="eastAsia"/>
          <w:rtl/>
        </w:rPr>
        <w:t>השופט</w:t>
      </w:r>
      <w:r w:rsidRPr="00751BB9">
        <w:rPr>
          <w:rtl/>
        </w:rPr>
        <w:t xml:space="preserve"> </w:t>
      </w:r>
      <w:r w:rsidRPr="00751BB9">
        <w:rPr>
          <w:rFonts w:cs="Miriam" w:hint="eastAsia"/>
          <w:b/>
          <w:spacing w:val="0"/>
          <w:szCs w:val="24"/>
          <w:rtl/>
        </w:rPr>
        <w:t>שטיין</w:t>
      </w:r>
      <w:r w:rsidRPr="00751BB9">
        <w:rPr>
          <w:rFonts w:cs="Miriam"/>
          <w:b/>
          <w:spacing w:val="0"/>
          <w:szCs w:val="24"/>
          <w:rtl/>
        </w:rPr>
        <w:t xml:space="preserve"> </w:t>
      </w:r>
      <w:r w:rsidRPr="00751BB9">
        <w:rPr>
          <w:rFonts w:hint="eastAsia"/>
          <w:rtl/>
        </w:rPr>
        <w:t>הוא</w:t>
      </w:r>
      <w:r w:rsidRPr="00751BB9">
        <w:rPr>
          <w:rtl/>
        </w:rPr>
        <w:t xml:space="preserve"> </w:t>
      </w:r>
      <w:r w:rsidRPr="00751BB9">
        <w:rPr>
          <w:rFonts w:hint="eastAsia"/>
          <w:rtl/>
        </w:rPr>
        <w:t>מבחן</w:t>
      </w:r>
      <w:r w:rsidRPr="00751BB9">
        <w:rPr>
          <w:rtl/>
        </w:rPr>
        <w:t xml:space="preserve"> </w:t>
      </w:r>
      <w:r w:rsidRPr="00751BB9">
        <w:rPr>
          <w:rFonts w:hint="eastAsia"/>
          <w:rtl/>
        </w:rPr>
        <w:t>שברמה</w:t>
      </w:r>
      <w:r w:rsidRPr="00751BB9">
        <w:rPr>
          <w:rtl/>
        </w:rPr>
        <w:t xml:space="preserve"> </w:t>
      </w:r>
      <w:r w:rsidRPr="00751BB9">
        <w:rPr>
          <w:rFonts w:hint="eastAsia"/>
          <w:rtl/>
        </w:rPr>
        <w:t>העיונית</w:t>
      </w:r>
      <w:r w:rsidRPr="00751BB9">
        <w:rPr>
          <w:rtl/>
        </w:rPr>
        <w:t xml:space="preserve"> </w:t>
      </w:r>
      <w:r w:rsidR="00DE5C28">
        <w:rPr>
          <w:rFonts w:hint="eastAsia"/>
          <w:rtl/>
        </w:rPr>
        <w:t>הגיונ</w:t>
      </w:r>
      <w:r w:rsidR="00DE5C28">
        <w:rPr>
          <w:rFonts w:hint="cs"/>
          <w:rtl/>
        </w:rPr>
        <w:t>ו</w:t>
      </w:r>
      <w:bookmarkStart w:id="5" w:name="_GoBack"/>
      <w:bookmarkEnd w:id="5"/>
      <w:r w:rsidRPr="00751BB9">
        <w:rPr>
          <w:rtl/>
        </w:rPr>
        <w:t xml:space="preserve"> </w:t>
      </w:r>
      <w:r w:rsidRPr="00751BB9">
        <w:rPr>
          <w:rFonts w:hint="eastAsia"/>
          <w:rtl/>
        </w:rPr>
        <w:t>בצדו</w:t>
      </w:r>
      <w:r w:rsidRPr="00751BB9">
        <w:rPr>
          <w:rtl/>
        </w:rPr>
        <w:t xml:space="preserve">, </w:t>
      </w:r>
      <w:r w:rsidRPr="00751BB9">
        <w:rPr>
          <w:rFonts w:hint="eastAsia"/>
          <w:rtl/>
        </w:rPr>
        <w:t>אך</w:t>
      </w:r>
      <w:r w:rsidRPr="00751BB9">
        <w:rPr>
          <w:rtl/>
        </w:rPr>
        <w:t xml:space="preserve"> </w:t>
      </w:r>
      <w:r w:rsidRPr="00751BB9">
        <w:rPr>
          <w:rFonts w:hint="eastAsia"/>
          <w:rtl/>
        </w:rPr>
        <w:t>יישומו</w:t>
      </w:r>
      <w:r w:rsidRPr="00751BB9">
        <w:rPr>
          <w:rtl/>
        </w:rPr>
        <w:t xml:space="preserve"> </w:t>
      </w:r>
      <w:r w:rsidRPr="00751BB9">
        <w:rPr>
          <w:rFonts w:hint="eastAsia"/>
          <w:rtl/>
        </w:rPr>
        <w:t>בנסיבות</w:t>
      </w:r>
      <w:r w:rsidRPr="00751BB9">
        <w:rPr>
          <w:rtl/>
        </w:rPr>
        <w:t xml:space="preserve"> </w:t>
      </w:r>
      <w:r w:rsidRPr="00751BB9">
        <w:rPr>
          <w:rFonts w:hint="eastAsia"/>
          <w:rtl/>
        </w:rPr>
        <w:t>של</w:t>
      </w:r>
      <w:r w:rsidRPr="00751BB9">
        <w:rPr>
          <w:rtl/>
        </w:rPr>
        <w:t xml:space="preserve"> </w:t>
      </w:r>
      <w:r w:rsidRPr="00751BB9">
        <w:rPr>
          <w:rFonts w:hint="eastAsia"/>
          <w:rtl/>
        </w:rPr>
        <w:t>חברות</w:t>
      </w:r>
      <w:r w:rsidRPr="00751BB9">
        <w:rPr>
          <w:rtl/>
        </w:rPr>
        <w:t xml:space="preserve"> </w:t>
      </w:r>
      <w:r w:rsidRPr="00751BB9">
        <w:rPr>
          <w:rFonts w:hint="eastAsia"/>
          <w:rtl/>
        </w:rPr>
        <w:t>שבהן</w:t>
      </w:r>
      <w:r w:rsidRPr="00751BB9">
        <w:rPr>
          <w:rtl/>
        </w:rPr>
        <w:t xml:space="preserve"> </w:t>
      </w:r>
      <w:r w:rsidRPr="00751BB9">
        <w:rPr>
          <w:rFonts w:hint="eastAsia"/>
          <w:rtl/>
        </w:rPr>
        <w:t>עסקינן</w:t>
      </w:r>
      <w:r w:rsidRPr="00751BB9">
        <w:rPr>
          <w:rtl/>
        </w:rPr>
        <w:t xml:space="preserve"> </w:t>
      </w:r>
      <w:r w:rsidRPr="00751BB9">
        <w:rPr>
          <w:rFonts w:hint="eastAsia"/>
          <w:rtl/>
        </w:rPr>
        <w:t>מוקשה</w:t>
      </w:r>
      <w:r w:rsidRPr="00751BB9">
        <w:rPr>
          <w:rtl/>
        </w:rPr>
        <w:t xml:space="preserve"> </w:t>
      </w:r>
      <w:r w:rsidRPr="00751BB9">
        <w:rPr>
          <w:rFonts w:hint="eastAsia"/>
          <w:rtl/>
        </w:rPr>
        <w:t>ביותר</w:t>
      </w:r>
      <w:r w:rsidRPr="00751BB9">
        <w:rPr>
          <w:rtl/>
        </w:rPr>
        <w:t xml:space="preserve">. </w:t>
      </w:r>
      <w:r w:rsidRPr="00751BB9">
        <w:rPr>
          <w:rFonts w:hint="eastAsia"/>
          <w:rtl/>
        </w:rPr>
        <w:t>בחברות</w:t>
      </w:r>
      <w:r w:rsidRPr="00751BB9">
        <w:rPr>
          <w:rtl/>
        </w:rPr>
        <w:t xml:space="preserve"> </w:t>
      </w:r>
      <w:r w:rsidRPr="00751BB9">
        <w:rPr>
          <w:rFonts w:hint="eastAsia"/>
          <w:rtl/>
        </w:rPr>
        <w:t>שכאלו</w:t>
      </w:r>
      <w:r w:rsidRPr="00751BB9">
        <w:rPr>
          <w:rtl/>
        </w:rPr>
        <w:t xml:space="preserve">, </w:t>
      </w:r>
      <w:r w:rsidRPr="00751BB9">
        <w:rPr>
          <w:rFonts w:hint="eastAsia"/>
          <w:rtl/>
        </w:rPr>
        <w:t>לא</w:t>
      </w:r>
      <w:r w:rsidRPr="00751BB9">
        <w:rPr>
          <w:rtl/>
        </w:rPr>
        <w:t xml:space="preserve"> </w:t>
      </w:r>
      <w:r w:rsidRPr="00751BB9">
        <w:rPr>
          <w:rFonts w:hint="eastAsia"/>
          <w:rtl/>
        </w:rPr>
        <w:t>רק</w:t>
      </w:r>
      <w:r w:rsidRPr="00751BB9">
        <w:rPr>
          <w:rtl/>
        </w:rPr>
        <w:t xml:space="preserve"> </w:t>
      </w:r>
      <w:r w:rsidRPr="00751BB9">
        <w:rPr>
          <w:rFonts w:hint="eastAsia"/>
          <w:rtl/>
        </w:rPr>
        <w:t>שקשה</w:t>
      </w:r>
      <w:r w:rsidRPr="00751BB9">
        <w:rPr>
          <w:rtl/>
        </w:rPr>
        <w:t xml:space="preserve"> </w:t>
      </w:r>
      <w:r w:rsidRPr="00751BB9">
        <w:rPr>
          <w:rFonts w:hint="eastAsia"/>
          <w:rtl/>
        </w:rPr>
        <w:t>לזהות</w:t>
      </w:r>
      <w:r w:rsidRPr="00751BB9">
        <w:rPr>
          <w:rtl/>
        </w:rPr>
        <w:t xml:space="preserve"> </w:t>
      </w:r>
      <w:r w:rsidRPr="00751BB9">
        <w:rPr>
          <w:rFonts w:hint="eastAsia"/>
          <w:rtl/>
        </w:rPr>
        <w:t>את</w:t>
      </w:r>
      <w:r w:rsidRPr="00751BB9">
        <w:rPr>
          <w:rtl/>
        </w:rPr>
        <w:t xml:space="preserve"> </w:t>
      </w:r>
      <w:r w:rsidRPr="00751BB9">
        <w:rPr>
          <w:rFonts w:hint="eastAsia"/>
          <w:rtl/>
        </w:rPr>
        <w:t>המטרה</w:t>
      </w:r>
      <w:r w:rsidRPr="00751BB9">
        <w:rPr>
          <w:rtl/>
        </w:rPr>
        <w:t xml:space="preserve"> </w:t>
      </w:r>
      <w:r w:rsidRPr="00751BB9">
        <w:rPr>
          <w:rFonts w:hint="eastAsia"/>
          <w:rtl/>
        </w:rPr>
        <w:t>הדומיננטית</w:t>
      </w:r>
      <w:r w:rsidRPr="00751BB9">
        <w:rPr>
          <w:rtl/>
        </w:rPr>
        <w:t xml:space="preserve">, </w:t>
      </w:r>
      <w:r w:rsidRPr="00751BB9">
        <w:rPr>
          <w:rFonts w:hint="eastAsia"/>
          <w:rtl/>
        </w:rPr>
        <w:t>אלא</w:t>
      </w:r>
      <w:r w:rsidRPr="00751BB9">
        <w:rPr>
          <w:rtl/>
        </w:rPr>
        <w:t xml:space="preserve"> </w:t>
      </w:r>
      <w:r w:rsidRPr="00751BB9">
        <w:rPr>
          <w:rFonts w:hint="eastAsia"/>
          <w:rtl/>
        </w:rPr>
        <w:t>שקיים</w:t>
      </w:r>
      <w:r w:rsidRPr="00751BB9">
        <w:rPr>
          <w:rtl/>
        </w:rPr>
        <w:t xml:space="preserve"> </w:t>
      </w:r>
      <w:r w:rsidRPr="00751BB9">
        <w:rPr>
          <w:rFonts w:hint="eastAsia"/>
          <w:rtl/>
        </w:rPr>
        <w:t>ספק</w:t>
      </w:r>
      <w:r w:rsidRPr="00751BB9">
        <w:rPr>
          <w:rtl/>
        </w:rPr>
        <w:t xml:space="preserve"> </w:t>
      </w:r>
      <w:r w:rsidRPr="00751BB9">
        <w:rPr>
          <w:rFonts w:hint="eastAsia"/>
          <w:rtl/>
        </w:rPr>
        <w:t>אם</w:t>
      </w:r>
      <w:r w:rsidRPr="00751BB9">
        <w:rPr>
          <w:rtl/>
        </w:rPr>
        <w:t xml:space="preserve"> </w:t>
      </w:r>
      <w:r w:rsidRPr="00751BB9">
        <w:rPr>
          <w:rFonts w:hint="eastAsia"/>
          <w:rtl/>
        </w:rPr>
        <w:t>יש</w:t>
      </w:r>
      <w:r w:rsidRPr="00751BB9">
        <w:rPr>
          <w:rtl/>
        </w:rPr>
        <w:t xml:space="preserve"> </w:t>
      </w:r>
      <w:r w:rsidRPr="00751BB9">
        <w:rPr>
          <w:rFonts w:hint="eastAsia"/>
          <w:rtl/>
        </w:rPr>
        <w:t>מטרה</w:t>
      </w:r>
      <w:r w:rsidRPr="00751BB9">
        <w:rPr>
          <w:rtl/>
        </w:rPr>
        <w:t xml:space="preserve"> </w:t>
      </w:r>
      <w:r w:rsidRPr="00751BB9">
        <w:rPr>
          <w:rFonts w:hint="eastAsia"/>
          <w:rtl/>
        </w:rPr>
        <w:t>דומיננטית</w:t>
      </w:r>
      <w:r w:rsidRPr="00751BB9">
        <w:rPr>
          <w:rtl/>
        </w:rPr>
        <w:t xml:space="preserve">, </w:t>
      </w:r>
      <w:r w:rsidRPr="00751BB9">
        <w:rPr>
          <w:rFonts w:hint="eastAsia"/>
          <w:rtl/>
        </w:rPr>
        <w:t>בהינתן</w:t>
      </w:r>
      <w:r w:rsidRPr="00751BB9">
        <w:rPr>
          <w:rtl/>
        </w:rPr>
        <w:t xml:space="preserve"> </w:t>
      </w:r>
      <w:r w:rsidRPr="00751BB9">
        <w:rPr>
          <w:rFonts w:hint="eastAsia"/>
          <w:rtl/>
        </w:rPr>
        <w:t>שהיפרדות</w:t>
      </w:r>
      <w:r w:rsidRPr="00751BB9">
        <w:rPr>
          <w:rtl/>
        </w:rPr>
        <w:t xml:space="preserve"> </w:t>
      </w:r>
      <w:r w:rsidRPr="00751BB9">
        <w:rPr>
          <w:rFonts w:hint="eastAsia"/>
          <w:rtl/>
        </w:rPr>
        <w:t>בעלי</w:t>
      </w:r>
      <w:r w:rsidRPr="00751BB9">
        <w:rPr>
          <w:rtl/>
        </w:rPr>
        <w:t xml:space="preserve"> </w:t>
      </w:r>
      <w:r w:rsidRPr="00751BB9">
        <w:rPr>
          <w:rFonts w:hint="eastAsia"/>
          <w:rtl/>
        </w:rPr>
        <w:t>מניות</w:t>
      </w:r>
      <w:r w:rsidRPr="00751BB9">
        <w:rPr>
          <w:rtl/>
        </w:rPr>
        <w:t xml:space="preserve"> </w:t>
      </w:r>
      <w:r w:rsidRPr="00751BB9">
        <w:rPr>
          <w:rFonts w:hint="eastAsia"/>
          <w:rtl/>
        </w:rPr>
        <w:t>שאינם</w:t>
      </w:r>
      <w:r w:rsidRPr="00751BB9">
        <w:rPr>
          <w:rtl/>
        </w:rPr>
        <w:t xml:space="preserve"> </w:t>
      </w:r>
      <w:r w:rsidRPr="00751BB9">
        <w:rPr>
          <w:rFonts w:hint="eastAsia"/>
          <w:rtl/>
        </w:rPr>
        <w:t>מסתדרים</w:t>
      </w:r>
      <w:r w:rsidRPr="00751BB9">
        <w:rPr>
          <w:rtl/>
        </w:rPr>
        <w:t xml:space="preserve"> </w:t>
      </w:r>
      <w:r w:rsidRPr="00751BB9">
        <w:rPr>
          <w:rFonts w:hint="eastAsia"/>
          <w:rtl/>
        </w:rPr>
        <w:t>עוד</w:t>
      </w:r>
      <w:r w:rsidRPr="00751BB9">
        <w:rPr>
          <w:rtl/>
        </w:rPr>
        <w:t xml:space="preserve"> </w:t>
      </w:r>
      <w:r w:rsidRPr="00751BB9">
        <w:rPr>
          <w:rFonts w:hint="eastAsia"/>
          <w:rtl/>
        </w:rPr>
        <w:t>זה</w:t>
      </w:r>
      <w:r w:rsidRPr="00751BB9">
        <w:rPr>
          <w:rtl/>
        </w:rPr>
        <w:t xml:space="preserve"> </w:t>
      </w:r>
      <w:r w:rsidRPr="00751BB9">
        <w:rPr>
          <w:rFonts w:hint="eastAsia"/>
          <w:rtl/>
        </w:rPr>
        <w:t>עם</w:t>
      </w:r>
      <w:r w:rsidRPr="00751BB9">
        <w:rPr>
          <w:rtl/>
        </w:rPr>
        <w:t xml:space="preserve"> </w:t>
      </w:r>
      <w:r w:rsidRPr="00751BB9">
        <w:rPr>
          <w:rFonts w:hint="eastAsia"/>
          <w:rtl/>
        </w:rPr>
        <w:t>זה</w:t>
      </w:r>
      <w:r w:rsidRPr="00751BB9">
        <w:rPr>
          <w:rtl/>
        </w:rPr>
        <w:t xml:space="preserve"> </w:t>
      </w:r>
      <w:r w:rsidRPr="00751BB9">
        <w:rPr>
          <w:rFonts w:hint="eastAsia"/>
          <w:rtl/>
        </w:rPr>
        <w:t>משרתת</w:t>
      </w:r>
      <w:r w:rsidRPr="00751BB9">
        <w:rPr>
          <w:rtl/>
        </w:rPr>
        <w:t xml:space="preserve"> </w:t>
      </w:r>
      <w:r w:rsidRPr="00751BB9">
        <w:rPr>
          <w:rFonts w:hint="eastAsia"/>
          <w:rtl/>
        </w:rPr>
        <w:t>אותם</w:t>
      </w:r>
      <w:r w:rsidRPr="00751BB9">
        <w:rPr>
          <w:rtl/>
        </w:rPr>
        <w:t xml:space="preserve">, </w:t>
      </w:r>
      <w:r w:rsidRPr="00751BB9">
        <w:rPr>
          <w:rFonts w:hint="eastAsia"/>
          <w:rtl/>
        </w:rPr>
        <w:t>כמו</w:t>
      </w:r>
      <w:r w:rsidRPr="00751BB9">
        <w:rPr>
          <w:rtl/>
        </w:rPr>
        <w:t xml:space="preserve"> </w:t>
      </w:r>
      <w:r w:rsidRPr="00751BB9">
        <w:rPr>
          <w:rFonts w:hint="eastAsia"/>
          <w:rtl/>
        </w:rPr>
        <w:t>גם</w:t>
      </w:r>
      <w:r w:rsidRPr="00751BB9">
        <w:rPr>
          <w:rtl/>
        </w:rPr>
        <w:t xml:space="preserve"> </w:t>
      </w:r>
      <w:r w:rsidRPr="00751BB9">
        <w:rPr>
          <w:rFonts w:hint="eastAsia"/>
          <w:rtl/>
        </w:rPr>
        <w:t>את</w:t>
      </w:r>
      <w:r w:rsidRPr="00751BB9">
        <w:rPr>
          <w:rtl/>
        </w:rPr>
        <w:t xml:space="preserve"> </w:t>
      </w:r>
      <w:r w:rsidRPr="00751BB9">
        <w:rPr>
          <w:rFonts w:hint="eastAsia"/>
          <w:rtl/>
        </w:rPr>
        <w:t>החברה</w:t>
      </w:r>
      <w:r w:rsidRPr="00751BB9">
        <w:rPr>
          <w:rtl/>
        </w:rPr>
        <w:t xml:space="preserve">. </w:t>
      </w:r>
      <w:r w:rsidRPr="00751BB9">
        <w:rPr>
          <w:rFonts w:hint="eastAsia"/>
          <w:rtl/>
        </w:rPr>
        <w:t>המקרים</w:t>
      </w:r>
      <w:r w:rsidRPr="00751BB9">
        <w:rPr>
          <w:rtl/>
        </w:rPr>
        <w:t xml:space="preserve"> </w:t>
      </w:r>
      <w:r w:rsidRPr="00751BB9">
        <w:rPr>
          <w:rFonts w:hint="eastAsia"/>
          <w:rtl/>
        </w:rPr>
        <w:t>שלפנינו</w:t>
      </w:r>
      <w:r w:rsidRPr="00751BB9">
        <w:rPr>
          <w:rtl/>
        </w:rPr>
        <w:t xml:space="preserve"> </w:t>
      </w:r>
      <w:r w:rsidRPr="00751BB9">
        <w:rPr>
          <w:rFonts w:hint="eastAsia"/>
          <w:rtl/>
        </w:rPr>
        <w:t>ממחישים</w:t>
      </w:r>
      <w:r w:rsidRPr="00751BB9">
        <w:rPr>
          <w:rtl/>
        </w:rPr>
        <w:t xml:space="preserve"> </w:t>
      </w:r>
      <w:r w:rsidRPr="00751BB9">
        <w:rPr>
          <w:rFonts w:hint="eastAsia"/>
          <w:rtl/>
        </w:rPr>
        <w:t>קושי</w:t>
      </w:r>
      <w:r w:rsidRPr="00751BB9">
        <w:rPr>
          <w:rtl/>
        </w:rPr>
        <w:t xml:space="preserve"> </w:t>
      </w:r>
      <w:r w:rsidRPr="00751BB9">
        <w:rPr>
          <w:rFonts w:hint="eastAsia"/>
          <w:rtl/>
        </w:rPr>
        <w:t>זה</w:t>
      </w:r>
      <w:r w:rsidRPr="00751BB9">
        <w:rPr>
          <w:rtl/>
        </w:rPr>
        <w:t xml:space="preserve">: </w:t>
      </w:r>
      <w:r w:rsidRPr="00751BB9">
        <w:rPr>
          <w:rFonts w:hint="eastAsia"/>
          <w:rtl/>
        </w:rPr>
        <w:t>אף</w:t>
      </w:r>
      <w:r w:rsidRPr="00751BB9">
        <w:rPr>
          <w:rtl/>
        </w:rPr>
        <w:t xml:space="preserve"> </w:t>
      </w:r>
      <w:r w:rsidRPr="00751BB9">
        <w:rPr>
          <w:rFonts w:hint="eastAsia"/>
          <w:rtl/>
        </w:rPr>
        <w:t>לאחר</w:t>
      </w:r>
      <w:r w:rsidRPr="00751BB9">
        <w:rPr>
          <w:rtl/>
        </w:rPr>
        <w:t xml:space="preserve"> </w:t>
      </w:r>
      <w:r w:rsidRPr="00751BB9">
        <w:rPr>
          <w:rFonts w:hint="eastAsia"/>
          <w:rtl/>
        </w:rPr>
        <w:t>הבאת</w:t>
      </w:r>
      <w:r w:rsidRPr="00751BB9">
        <w:rPr>
          <w:rtl/>
        </w:rPr>
        <w:t xml:space="preserve"> </w:t>
      </w:r>
      <w:r w:rsidRPr="00751BB9">
        <w:rPr>
          <w:rFonts w:hint="eastAsia"/>
          <w:rtl/>
        </w:rPr>
        <w:t>ראיות</w:t>
      </w:r>
      <w:r w:rsidRPr="00751BB9">
        <w:rPr>
          <w:rtl/>
        </w:rPr>
        <w:t xml:space="preserve"> </w:t>
      </w:r>
      <w:r w:rsidRPr="00751BB9">
        <w:rPr>
          <w:rFonts w:hint="eastAsia"/>
          <w:rtl/>
        </w:rPr>
        <w:t>לפני</w:t>
      </w:r>
      <w:r w:rsidRPr="00751BB9">
        <w:rPr>
          <w:rtl/>
        </w:rPr>
        <w:t xml:space="preserve"> </w:t>
      </w:r>
      <w:r w:rsidRPr="00751BB9">
        <w:rPr>
          <w:rFonts w:hint="eastAsia"/>
          <w:rtl/>
        </w:rPr>
        <w:t>בית</w:t>
      </w:r>
      <w:r w:rsidRPr="00751BB9">
        <w:rPr>
          <w:rtl/>
        </w:rPr>
        <w:t xml:space="preserve"> </w:t>
      </w:r>
      <w:r w:rsidRPr="00751BB9">
        <w:rPr>
          <w:rFonts w:hint="eastAsia"/>
          <w:rtl/>
        </w:rPr>
        <w:t>המשפט</w:t>
      </w:r>
      <w:r w:rsidRPr="00751BB9">
        <w:rPr>
          <w:rtl/>
        </w:rPr>
        <w:t xml:space="preserve"> </w:t>
      </w:r>
      <w:r w:rsidRPr="00751BB9">
        <w:rPr>
          <w:rFonts w:hint="eastAsia"/>
          <w:rtl/>
        </w:rPr>
        <w:t>המחוזי</w:t>
      </w:r>
      <w:r w:rsidRPr="00751BB9">
        <w:rPr>
          <w:rtl/>
        </w:rPr>
        <w:t xml:space="preserve">, </w:t>
      </w:r>
      <w:r w:rsidRPr="00751BB9">
        <w:rPr>
          <w:rFonts w:hint="eastAsia"/>
          <w:rtl/>
        </w:rPr>
        <w:t>מתעורר</w:t>
      </w:r>
      <w:r w:rsidRPr="00751BB9">
        <w:rPr>
          <w:rtl/>
        </w:rPr>
        <w:t xml:space="preserve"> </w:t>
      </w:r>
      <w:r w:rsidRPr="00751BB9">
        <w:rPr>
          <w:rFonts w:hint="eastAsia"/>
          <w:rtl/>
        </w:rPr>
        <w:t>קושי</w:t>
      </w:r>
      <w:r w:rsidRPr="00751BB9">
        <w:rPr>
          <w:rtl/>
        </w:rPr>
        <w:t xml:space="preserve"> </w:t>
      </w:r>
      <w:r w:rsidRPr="00751BB9">
        <w:rPr>
          <w:rFonts w:hint="eastAsia"/>
          <w:rtl/>
        </w:rPr>
        <w:t>ממשי</w:t>
      </w:r>
      <w:r w:rsidRPr="00751BB9">
        <w:rPr>
          <w:rtl/>
        </w:rPr>
        <w:t xml:space="preserve"> </w:t>
      </w:r>
      <w:r w:rsidRPr="00751BB9">
        <w:rPr>
          <w:rFonts w:hint="eastAsia"/>
          <w:rtl/>
        </w:rPr>
        <w:t>בסיווג</w:t>
      </w:r>
      <w:r w:rsidRPr="00751BB9">
        <w:rPr>
          <w:rtl/>
        </w:rPr>
        <w:t xml:space="preserve"> </w:t>
      </w:r>
      <w:r w:rsidRPr="00751BB9">
        <w:rPr>
          <w:rFonts w:hint="eastAsia"/>
          <w:rtl/>
        </w:rPr>
        <w:t>הרכישות</w:t>
      </w:r>
      <w:r w:rsidRPr="00751BB9">
        <w:rPr>
          <w:rtl/>
        </w:rPr>
        <w:t xml:space="preserve"> </w:t>
      </w:r>
      <w:r w:rsidRPr="00751BB9">
        <w:rPr>
          <w:rFonts w:hint="eastAsia"/>
          <w:rtl/>
        </w:rPr>
        <w:t>העצמיות</w:t>
      </w:r>
      <w:r w:rsidRPr="00751BB9">
        <w:rPr>
          <w:rtl/>
        </w:rPr>
        <w:t xml:space="preserve"> </w:t>
      </w:r>
      <w:r w:rsidRPr="00751BB9">
        <w:rPr>
          <w:rFonts w:hint="eastAsia"/>
          <w:rtl/>
        </w:rPr>
        <w:t>הן</w:t>
      </w:r>
      <w:r w:rsidRPr="00751BB9">
        <w:rPr>
          <w:rtl/>
        </w:rPr>
        <w:t xml:space="preserve"> </w:t>
      </w:r>
      <w:r w:rsidRPr="00751BB9">
        <w:rPr>
          <w:rFonts w:hint="eastAsia"/>
          <w:rtl/>
        </w:rPr>
        <w:t>בעניין</w:t>
      </w:r>
      <w:r w:rsidRPr="00751BB9">
        <w:rPr>
          <w:rtl/>
        </w:rPr>
        <w:t xml:space="preserve"> </w:t>
      </w:r>
      <w:r w:rsidRPr="00751BB9">
        <w:rPr>
          <w:rFonts w:cs="Miriam" w:hint="eastAsia"/>
          <w:b/>
          <w:spacing w:val="0"/>
          <w:szCs w:val="24"/>
          <w:rtl/>
        </w:rPr>
        <w:t>סיידה</w:t>
      </w:r>
      <w:r w:rsidRPr="00751BB9">
        <w:rPr>
          <w:rtl/>
        </w:rPr>
        <w:t xml:space="preserve">, </w:t>
      </w:r>
      <w:r w:rsidRPr="00751BB9">
        <w:rPr>
          <w:rFonts w:hint="eastAsia"/>
          <w:rtl/>
        </w:rPr>
        <w:t>הן</w:t>
      </w:r>
      <w:r w:rsidRPr="00751BB9">
        <w:rPr>
          <w:rtl/>
        </w:rPr>
        <w:t xml:space="preserve"> </w:t>
      </w:r>
      <w:r w:rsidRPr="00751BB9">
        <w:rPr>
          <w:rFonts w:hint="eastAsia"/>
          <w:rtl/>
        </w:rPr>
        <w:t>בעניין</w:t>
      </w:r>
      <w:r w:rsidRPr="00751BB9">
        <w:rPr>
          <w:rtl/>
        </w:rPr>
        <w:t xml:space="preserve"> </w:t>
      </w:r>
      <w:r w:rsidRPr="00751BB9">
        <w:rPr>
          <w:rFonts w:cs="Miriam" w:hint="eastAsia"/>
          <w:b/>
          <w:spacing w:val="0"/>
          <w:szCs w:val="24"/>
          <w:rtl/>
        </w:rPr>
        <w:t>בית</w:t>
      </w:r>
      <w:r w:rsidRPr="00751BB9">
        <w:rPr>
          <w:rFonts w:cs="Miriam"/>
          <w:b/>
          <w:spacing w:val="0"/>
          <w:szCs w:val="24"/>
          <w:rtl/>
        </w:rPr>
        <w:t xml:space="preserve"> </w:t>
      </w:r>
      <w:r w:rsidRPr="00751BB9">
        <w:rPr>
          <w:rFonts w:cs="Miriam" w:hint="eastAsia"/>
          <w:b/>
          <w:spacing w:val="0"/>
          <w:szCs w:val="24"/>
          <w:rtl/>
        </w:rPr>
        <w:t>חוסן</w:t>
      </w:r>
      <w:r w:rsidRPr="00751BB9">
        <w:rPr>
          <w:rtl/>
        </w:rPr>
        <w:t xml:space="preserve">. </w:t>
      </w:r>
      <w:r w:rsidRPr="00751BB9">
        <w:rPr>
          <w:rFonts w:hint="eastAsia"/>
          <w:rtl/>
        </w:rPr>
        <w:t>בהקשר</w:t>
      </w:r>
      <w:r w:rsidRPr="00751BB9">
        <w:rPr>
          <w:rtl/>
        </w:rPr>
        <w:t xml:space="preserve"> </w:t>
      </w:r>
      <w:r w:rsidRPr="00751BB9">
        <w:rPr>
          <w:rFonts w:hint="eastAsia"/>
          <w:rtl/>
        </w:rPr>
        <w:t>זה</w:t>
      </w:r>
      <w:r w:rsidRPr="00751BB9">
        <w:rPr>
          <w:rtl/>
        </w:rPr>
        <w:t xml:space="preserve"> </w:t>
      </w:r>
      <w:r w:rsidRPr="00751BB9">
        <w:rPr>
          <w:rFonts w:hint="eastAsia"/>
          <w:rtl/>
        </w:rPr>
        <w:t>אעיר</w:t>
      </w:r>
      <w:r w:rsidRPr="00751BB9">
        <w:rPr>
          <w:rtl/>
        </w:rPr>
        <w:t xml:space="preserve"> </w:t>
      </w:r>
      <w:r w:rsidRPr="00751BB9">
        <w:rPr>
          <w:rFonts w:hint="eastAsia"/>
          <w:rtl/>
        </w:rPr>
        <w:t>כי</w:t>
      </w:r>
      <w:r w:rsidRPr="00751BB9">
        <w:rPr>
          <w:rtl/>
        </w:rPr>
        <w:t xml:space="preserve"> </w:t>
      </w:r>
      <w:r w:rsidRPr="00751BB9">
        <w:rPr>
          <w:rFonts w:hint="eastAsia"/>
          <w:rtl/>
        </w:rPr>
        <w:t>הקושי</w:t>
      </w:r>
      <w:r w:rsidRPr="00751BB9">
        <w:rPr>
          <w:rtl/>
        </w:rPr>
        <w:t xml:space="preserve"> </w:t>
      </w:r>
      <w:r w:rsidRPr="00751BB9">
        <w:rPr>
          <w:rFonts w:hint="eastAsia"/>
          <w:rtl/>
        </w:rPr>
        <w:t>אינו</w:t>
      </w:r>
      <w:r w:rsidRPr="00751BB9">
        <w:rPr>
          <w:rtl/>
        </w:rPr>
        <w:t xml:space="preserve"> </w:t>
      </w:r>
      <w:r w:rsidRPr="00751BB9">
        <w:rPr>
          <w:rFonts w:hint="eastAsia"/>
          <w:rtl/>
        </w:rPr>
        <w:t>מתמצה</w:t>
      </w:r>
      <w:r w:rsidRPr="00751BB9">
        <w:rPr>
          <w:rtl/>
        </w:rPr>
        <w:t xml:space="preserve"> </w:t>
      </w:r>
      <w:r w:rsidRPr="00751BB9">
        <w:rPr>
          <w:rFonts w:hint="eastAsia"/>
          <w:rtl/>
        </w:rPr>
        <w:t>רק</w:t>
      </w:r>
      <w:r w:rsidRPr="00751BB9">
        <w:rPr>
          <w:rtl/>
        </w:rPr>
        <w:t xml:space="preserve"> </w:t>
      </w:r>
      <w:r w:rsidRPr="00751BB9">
        <w:rPr>
          <w:rFonts w:hint="eastAsia"/>
          <w:rtl/>
        </w:rPr>
        <w:t>בקביעה</w:t>
      </w:r>
      <w:r w:rsidRPr="00751BB9">
        <w:rPr>
          <w:rtl/>
        </w:rPr>
        <w:t xml:space="preserve"> </w:t>
      </w:r>
      <w:r w:rsidRPr="00751BB9">
        <w:rPr>
          <w:rFonts w:hint="eastAsia"/>
          <w:rtl/>
        </w:rPr>
        <w:t>אם</w:t>
      </w:r>
      <w:r w:rsidRPr="00751BB9">
        <w:rPr>
          <w:rtl/>
        </w:rPr>
        <w:t xml:space="preserve"> </w:t>
      </w:r>
      <w:r w:rsidRPr="00751BB9">
        <w:rPr>
          <w:rFonts w:hint="eastAsia"/>
          <w:rtl/>
        </w:rPr>
        <w:t>יש</w:t>
      </w:r>
      <w:r w:rsidRPr="00751BB9">
        <w:rPr>
          <w:rtl/>
        </w:rPr>
        <w:t xml:space="preserve"> </w:t>
      </w:r>
      <w:r w:rsidRPr="00751BB9">
        <w:rPr>
          <w:rFonts w:hint="eastAsia"/>
          <w:rtl/>
        </w:rPr>
        <w:t>לראות</w:t>
      </w:r>
      <w:r w:rsidRPr="00751BB9">
        <w:rPr>
          <w:rtl/>
        </w:rPr>
        <w:t xml:space="preserve"> </w:t>
      </w:r>
      <w:r w:rsidRPr="00751BB9">
        <w:rPr>
          <w:rFonts w:hint="eastAsia"/>
          <w:rtl/>
        </w:rPr>
        <w:t>ברכישה</w:t>
      </w:r>
      <w:r w:rsidRPr="00751BB9">
        <w:rPr>
          <w:rtl/>
        </w:rPr>
        <w:t xml:space="preserve"> </w:t>
      </w:r>
      <w:r w:rsidRPr="00751BB9">
        <w:rPr>
          <w:rFonts w:hint="eastAsia"/>
          <w:rtl/>
        </w:rPr>
        <w:t>העצמית</w:t>
      </w:r>
      <w:r w:rsidRPr="00751BB9">
        <w:rPr>
          <w:rtl/>
        </w:rPr>
        <w:t xml:space="preserve"> </w:t>
      </w:r>
      <w:r w:rsidRPr="00751BB9">
        <w:rPr>
          <w:rFonts w:hint="eastAsia"/>
          <w:rtl/>
        </w:rPr>
        <w:t>כדיבידנד</w:t>
      </w:r>
      <w:r w:rsidRPr="00751BB9">
        <w:rPr>
          <w:rtl/>
        </w:rPr>
        <w:t xml:space="preserve"> (</w:t>
      </w:r>
      <w:r w:rsidRPr="00751BB9">
        <w:rPr>
          <w:rFonts w:hint="eastAsia"/>
          <w:rtl/>
        </w:rPr>
        <w:t>היינו</w:t>
      </w:r>
      <w:r w:rsidRPr="00751BB9">
        <w:rPr>
          <w:rtl/>
        </w:rPr>
        <w:t xml:space="preserve">, </w:t>
      </w:r>
      <w:r w:rsidRPr="00751BB9">
        <w:rPr>
          <w:rFonts w:hint="eastAsia"/>
          <w:rtl/>
        </w:rPr>
        <w:t>הבחנה</w:t>
      </w:r>
      <w:r w:rsidRPr="00751BB9">
        <w:rPr>
          <w:rtl/>
        </w:rPr>
        <w:t xml:space="preserve"> </w:t>
      </w:r>
      <w:r w:rsidRPr="00751BB9">
        <w:rPr>
          <w:rFonts w:hint="eastAsia"/>
          <w:rtl/>
        </w:rPr>
        <w:t>בין</w:t>
      </w:r>
      <w:r w:rsidRPr="00751BB9">
        <w:rPr>
          <w:rtl/>
        </w:rPr>
        <w:t xml:space="preserve"> </w:t>
      </w:r>
      <w:r w:rsidRPr="00751BB9">
        <w:rPr>
          <w:rFonts w:hint="eastAsia"/>
          <w:rtl/>
        </w:rPr>
        <w:t>דוגמאות</w:t>
      </w:r>
      <w:r w:rsidRPr="00751BB9">
        <w:rPr>
          <w:rtl/>
        </w:rPr>
        <w:t xml:space="preserve"> </w:t>
      </w:r>
      <w:r w:rsidRPr="00751BB9">
        <w:rPr>
          <w:rFonts w:hint="eastAsia"/>
          <w:rtl/>
        </w:rPr>
        <w:t>א</w:t>
      </w:r>
      <w:r w:rsidRPr="00751BB9">
        <w:rPr>
          <w:rtl/>
        </w:rPr>
        <w:t xml:space="preserve">' </w:t>
      </w:r>
      <w:r w:rsidRPr="00751BB9">
        <w:rPr>
          <w:rFonts w:hint="eastAsia"/>
          <w:rtl/>
        </w:rPr>
        <w:t>וב</w:t>
      </w:r>
      <w:r w:rsidRPr="00751BB9">
        <w:rPr>
          <w:rtl/>
        </w:rPr>
        <w:t xml:space="preserve">' </w:t>
      </w:r>
      <w:r w:rsidRPr="00751BB9">
        <w:rPr>
          <w:rFonts w:hint="eastAsia"/>
          <w:rtl/>
        </w:rPr>
        <w:t>לבין</w:t>
      </w:r>
      <w:r w:rsidRPr="00751BB9">
        <w:rPr>
          <w:rtl/>
        </w:rPr>
        <w:t xml:space="preserve"> </w:t>
      </w:r>
      <w:r w:rsidRPr="00751BB9">
        <w:rPr>
          <w:rFonts w:hint="eastAsia"/>
          <w:rtl/>
        </w:rPr>
        <w:t>דוגמה</w:t>
      </w:r>
      <w:r w:rsidRPr="00751BB9">
        <w:rPr>
          <w:rtl/>
        </w:rPr>
        <w:t xml:space="preserve"> </w:t>
      </w:r>
      <w:r w:rsidRPr="00751BB9">
        <w:rPr>
          <w:rFonts w:hint="eastAsia"/>
          <w:rtl/>
        </w:rPr>
        <w:t>ג</w:t>
      </w:r>
      <w:r w:rsidRPr="00751BB9">
        <w:rPr>
          <w:rtl/>
        </w:rPr>
        <w:t xml:space="preserve">') </w:t>
      </w:r>
      <w:r w:rsidRPr="00751BB9">
        <w:rPr>
          <w:rFonts w:hint="eastAsia"/>
          <w:rtl/>
        </w:rPr>
        <w:t>אלא</w:t>
      </w:r>
      <w:r w:rsidRPr="00751BB9">
        <w:rPr>
          <w:rtl/>
        </w:rPr>
        <w:t xml:space="preserve"> </w:t>
      </w:r>
      <w:r w:rsidRPr="00751BB9">
        <w:rPr>
          <w:rFonts w:hint="eastAsia"/>
          <w:rtl/>
        </w:rPr>
        <w:t>גם</w:t>
      </w:r>
      <w:r w:rsidRPr="00751BB9">
        <w:rPr>
          <w:rtl/>
        </w:rPr>
        <w:t xml:space="preserve"> </w:t>
      </w:r>
      <w:r w:rsidRPr="00751BB9">
        <w:rPr>
          <w:rFonts w:hint="eastAsia"/>
          <w:rtl/>
        </w:rPr>
        <w:t>בשאלה</w:t>
      </w:r>
      <w:r w:rsidRPr="00751BB9">
        <w:rPr>
          <w:rtl/>
        </w:rPr>
        <w:t xml:space="preserve"> </w:t>
      </w:r>
      <w:r w:rsidRPr="00751BB9">
        <w:rPr>
          <w:rFonts w:hint="eastAsia"/>
          <w:rtl/>
        </w:rPr>
        <w:t>למי</w:t>
      </w:r>
      <w:r w:rsidRPr="00751BB9">
        <w:rPr>
          <w:rtl/>
        </w:rPr>
        <w:t xml:space="preserve"> </w:t>
      </w:r>
      <w:r w:rsidRPr="00751BB9">
        <w:rPr>
          <w:rFonts w:hint="eastAsia"/>
          <w:rtl/>
        </w:rPr>
        <w:t>ניתן</w:t>
      </w:r>
      <w:r w:rsidRPr="00751BB9">
        <w:rPr>
          <w:rtl/>
        </w:rPr>
        <w:t xml:space="preserve"> </w:t>
      </w:r>
      <w:r w:rsidRPr="00751BB9">
        <w:rPr>
          <w:rFonts w:hint="eastAsia"/>
          <w:rtl/>
        </w:rPr>
        <w:t>הדיבידנד</w:t>
      </w:r>
      <w:r w:rsidRPr="00751BB9">
        <w:rPr>
          <w:rtl/>
        </w:rPr>
        <w:t xml:space="preserve"> </w:t>
      </w:r>
      <w:r w:rsidRPr="00751BB9">
        <w:rPr>
          <w:rFonts w:hint="eastAsia"/>
          <w:rtl/>
        </w:rPr>
        <w:t>ומה</w:t>
      </w:r>
      <w:r w:rsidRPr="00751BB9">
        <w:rPr>
          <w:rtl/>
        </w:rPr>
        <w:t xml:space="preserve"> </w:t>
      </w:r>
      <w:r w:rsidRPr="00751BB9">
        <w:rPr>
          <w:rFonts w:hint="eastAsia"/>
          <w:rtl/>
        </w:rPr>
        <w:t>גובהו</w:t>
      </w:r>
      <w:r w:rsidRPr="00751BB9">
        <w:rPr>
          <w:rtl/>
        </w:rPr>
        <w:t xml:space="preserve"> (</w:t>
      </w:r>
      <w:r w:rsidRPr="00751BB9">
        <w:rPr>
          <w:rFonts w:hint="eastAsia"/>
          <w:rtl/>
        </w:rPr>
        <w:t>הבחנה</w:t>
      </w:r>
      <w:r w:rsidRPr="00751BB9">
        <w:rPr>
          <w:rtl/>
        </w:rPr>
        <w:t xml:space="preserve"> </w:t>
      </w:r>
      <w:r w:rsidRPr="00751BB9">
        <w:rPr>
          <w:rFonts w:hint="eastAsia"/>
          <w:rtl/>
        </w:rPr>
        <w:t>בין</w:t>
      </w:r>
      <w:r w:rsidRPr="00751BB9">
        <w:rPr>
          <w:rtl/>
        </w:rPr>
        <w:t xml:space="preserve"> </w:t>
      </w:r>
      <w:r w:rsidRPr="00751BB9">
        <w:rPr>
          <w:rFonts w:hint="eastAsia"/>
          <w:rtl/>
        </w:rPr>
        <w:t>דוגמה</w:t>
      </w:r>
      <w:r w:rsidRPr="00751BB9">
        <w:rPr>
          <w:rtl/>
        </w:rPr>
        <w:t xml:space="preserve"> </w:t>
      </w:r>
      <w:r w:rsidRPr="00751BB9">
        <w:rPr>
          <w:rFonts w:hint="eastAsia"/>
          <w:rtl/>
        </w:rPr>
        <w:t>א</w:t>
      </w:r>
      <w:r w:rsidRPr="00751BB9">
        <w:rPr>
          <w:rtl/>
        </w:rPr>
        <w:t xml:space="preserve">' </w:t>
      </w:r>
      <w:r w:rsidRPr="00751BB9">
        <w:rPr>
          <w:rFonts w:hint="eastAsia"/>
          <w:rtl/>
        </w:rPr>
        <w:t>לבין</w:t>
      </w:r>
      <w:r w:rsidRPr="00751BB9">
        <w:rPr>
          <w:rtl/>
        </w:rPr>
        <w:t xml:space="preserve"> </w:t>
      </w:r>
      <w:r w:rsidRPr="00751BB9">
        <w:rPr>
          <w:rFonts w:hint="eastAsia"/>
          <w:rtl/>
        </w:rPr>
        <w:t>דוגמה</w:t>
      </w:r>
      <w:r w:rsidRPr="00751BB9">
        <w:rPr>
          <w:rtl/>
        </w:rPr>
        <w:t xml:space="preserve"> </w:t>
      </w:r>
      <w:r w:rsidRPr="00751BB9">
        <w:rPr>
          <w:rFonts w:hint="eastAsia"/>
          <w:rtl/>
        </w:rPr>
        <w:t>ב</w:t>
      </w:r>
      <w:r w:rsidRPr="00751BB9">
        <w:rPr>
          <w:rtl/>
        </w:rPr>
        <w:t xml:space="preserve">'). </w:t>
      </w:r>
      <w:r w:rsidRPr="00751BB9">
        <w:rPr>
          <w:rFonts w:hint="eastAsia"/>
          <w:rtl/>
        </w:rPr>
        <w:t>התשובה</w:t>
      </w:r>
      <w:r w:rsidRPr="00751BB9">
        <w:rPr>
          <w:rtl/>
        </w:rPr>
        <w:t xml:space="preserve"> </w:t>
      </w:r>
      <w:r w:rsidRPr="00751BB9">
        <w:rPr>
          <w:rFonts w:hint="eastAsia"/>
          <w:rtl/>
        </w:rPr>
        <w:t>לשאלה</w:t>
      </w:r>
      <w:r w:rsidRPr="00751BB9">
        <w:rPr>
          <w:rtl/>
        </w:rPr>
        <w:t xml:space="preserve"> </w:t>
      </w:r>
      <w:r w:rsidRPr="00751BB9">
        <w:rPr>
          <w:rFonts w:hint="eastAsia"/>
          <w:rtl/>
        </w:rPr>
        <w:t>אחרונה</w:t>
      </w:r>
      <w:r w:rsidRPr="00751BB9">
        <w:rPr>
          <w:rtl/>
        </w:rPr>
        <w:t xml:space="preserve"> </w:t>
      </w:r>
      <w:r w:rsidRPr="00751BB9">
        <w:rPr>
          <w:rFonts w:hint="eastAsia"/>
          <w:rtl/>
        </w:rPr>
        <w:t>זו</w:t>
      </w:r>
      <w:r w:rsidRPr="00751BB9">
        <w:rPr>
          <w:rtl/>
        </w:rPr>
        <w:t xml:space="preserve"> </w:t>
      </w:r>
      <w:r w:rsidRPr="00751BB9">
        <w:rPr>
          <w:rFonts w:hint="eastAsia"/>
          <w:rtl/>
        </w:rPr>
        <w:t>נמצאת</w:t>
      </w:r>
      <w:r w:rsidRPr="00751BB9">
        <w:rPr>
          <w:rtl/>
        </w:rPr>
        <w:t xml:space="preserve"> – </w:t>
      </w:r>
      <w:r w:rsidRPr="00751BB9">
        <w:rPr>
          <w:rFonts w:hint="eastAsia"/>
          <w:rtl/>
        </w:rPr>
        <w:t>אף</w:t>
      </w:r>
      <w:r w:rsidRPr="00751BB9">
        <w:rPr>
          <w:rtl/>
        </w:rPr>
        <w:t xml:space="preserve"> </w:t>
      </w:r>
      <w:r w:rsidRPr="00751BB9">
        <w:rPr>
          <w:rFonts w:hint="eastAsia"/>
          <w:rtl/>
        </w:rPr>
        <w:t>לשיטתו</w:t>
      </w:r>
      <w:r w:rsidRPr="00751BB9">
        <w:rPr>
          <w:rtl/>
        </w:rPr>
        <w:t xml:space="preserve"> </w:t>
      </w:r>
      <w:r w:rsidRPr="00751BB9">
        <w:rPr>
          <w:rFonts w:hint="eastAsia"/>
          <w:rtl/>
        </w:rPr>
        <w:t>של</w:t>
      </w:r>
      <w:r w:rsidRPr="00751BB9">
        <w:rPr>
          <w:rtl/>
        </w:rPr>
        <w:t xml:space="preserve"> </w:t>
      </w:r>
      <w:r w:rsidRPr="00751BB9">
        <w:rPr>
          <w:rFonts w:hint="eastAsia"/>
          <w:rtl/>
        </w:rPr>
        <w:t>חברי</w:t>
      </w:r>
      <w:r w:rsidRPr="00751BB9">
        <w:rPr>
          <w:rtl/>
        </w:rPr>
        <w:t xml:space="preserve"> – </w:t>
      </w:r>
      <w:r w:rsidRPr="00751BB9">
        <w:rPr>
          <w:rFonts w:hint="eastAsia"/>
          <w:rtl/>
        </w:rPr>
        <w:t>בקרביה</w:t>
      </w:r>
      <w:r w:rsidRPr="00751BB9">
        <w:rPr>
          <w:rtl/>
        </w:rPr>
        <w:t xml:space="preserve"> </w:t>
      </w:r>
      <w:r w:rsidRPr="00751BB9">
        <w:rPr>
          <w:rFonts w:hint="eastAsia"/>
          <w:rtl/>
        </w:rPr>
        <w:t>של</w:t>
      </w:r>
      <w:r w:rsidRPr="00751BB9">
        <w:rPr>
          <w:rtl/>
        </w:rPr>
        <w:t xml:space="preserve"> </w:t>
      </w:r>
      <w:r w:rsidRPr="00751BB9">
        <w:rPr>
          <w:rFonts w:hint="eastAsia"/>
          <w:rtl/>
        </w:rPr>
        <w:t>מערכת</w:t>
      </w:r>
      <w:r w:rsidRPr="00751BB9">
        <w:rPr>
          <w:rtl/>
        </w:rPr>
        <w:t xml:space="preserve"> </w:t>
      </w:r>
      <w:r w:rsidRPr="00751BB9">
        <w:rPr>
          <w:rFonts w:hint="eastAsia"/>
          <w:rtl/>
        </w:rPr>
        <w:t>היחסים</w:t>
      </w:r>
      <w:r w:rsidRPr="00751BB9">
        <w:rPr>
          <w:rtl/>
        </w:rPr>
        <w:t xml:space="preserve"> </w:t>
      </w:r>
      <w:r w:rsidRPr="00751BB9">
        <w:rPr>
          <w:rFonts w:hint="eastAsia"/>
          <w:rtl/>
        </w:rPr>
        <w:t>שבין</w:t>
      </w:r>
      <w:r w:rsidRPr="00751BB9">
        <w:rPr>
          <w:rtl/>
        </w:rPr>
        <w:t xml:space="preserve"> </w:t>
      </w:r>
      <w:r w:rsidRPr="00751BB9">
        <w:rPr>
          <w:rFonts w:hint="eastAsia"/>
          <w:rtl/>
        </w:rPr>
        <w:t>בעלי</w:t>
      </w:r>
      <w:r w:rsidRPr="00751BB9">
        <w:rPr>
          <w:rtl/>
        </w:rPr>
        <w:t xml:space="preserve"> </w:t>
      </w:r>
      <w:r w:rsidRPr="00751BB9">
        <w:rPr>
          <w:rFonts w:hint="eastAsia"/>
          <w:rtl/>
        </w:rPr>
        <w:t>המניות</w:t>
      </w:r>
      <w:r w:rsidRPr="00751BB9">
        <w:rPr>
          <w:rtl/>
        </w:rPr>
        <w:t xml:space="preserve"> </w:t>
      </w:r>
      <w:r w:rsidRPr="00751BB9">
        <w:rPr>
          <w:rFonts w:hint="eastAsia"/>
          <w:rtl/>
        </w:rPr>
        <w:t>וחברי</w:t>
      </w:r>
      <w:r w:rsidRPr="00751BB9">
        <w:rPr>
          <w:rtl/>
        </w:rPr>
        <w:t xml:space="preserve"> </w:t>
      </w:r>
      <w:r w:rsidRPr="00751BB9">
        <w:rPr>
          <w:rFonts w:hint="eastAsia"/>
          <w:rtl/>
        </w:rPr>
        <w:t>קבע</w:t>
      </w:r>
      <w:r w:rsidRPr="00751BB9">
        <w:rPr>
          <w:rtl/>
        </w:rPr>
        <w:t xml:space="preserve"> </w:t>
      </w:r>
      <w:r w:rsidRPr="00751BB9">
        <w:rPr>
          <w:rFonts w:hint="eastAsia"/>
          <w:rtl/>
        </w:rPr>
        <w:t>כי</w:t>
      </w:r>
      <w:r w:rsidRPr="00751BB9">
        <w:rPr>
          <w:rtl/>
        </w:rPr>
        <w:t xml:space="preserve"> </w:t>
      </w:r>
      <w:r w:rsidRPr="00751BB9">
        <w:rPr>
          <w:rFonts w:hint="eastAsia"/>
          <w:rtl/>
        </w:rPr>
        <w:t>ההכרעה</w:t>
      </w:r>
      <w:r w:rsidRPr="00751BB9">
        <w:rPr>
          <w:rtl/>
        </w:rPr>
        <w:t xml:space="preserve"> </w:t>
      </w:r>
      <w:r w:rsidRPr="00751BB9">
        <w:rPr>
          <w:rFonts w:hint="eastAsia"/>
          <w:rtl/>
        </w:rPr>
        <w:t>ביניהן</w:t>
      </w:r>
      <w:r w:rsidRPr="00751BB9">
        <w:rPr>
          <w:rtl/>
        </w:rPr>
        <w:t xml:space="preserve"> </w:t>
      </w:r>
      <w:r w:rsidRPr="00751BB9">
        <w:rPr>
          <w:rFonts w:hint="eastAsia"/>
          <w:rtl/>
        </w:rPr>
        <w:t>צריכה</w:t>
      </w:r>
      <w:r w:rsidRPr="00751BB9">
        <w:rPr>
          <w:rtl/>
        </w:rPr>
        <w:t xml:space="preserve"> </w:t>
      </w:r>
      <w:r w:rsidRPr="00751BB9">
        <w:rPr>
          <w:rFonts w:hint="eastAsia"/>
          <w:rtl/>
        </w:rPr>
        <w:t>להיעשות</w:t>
      </w:r>
      <w:r w:rsidRPr="00751BB9">
        <w:rPr>
          <w:rtl/>
        </w:rPr>
        <w:t xml:space="preserve"> </w:t>
      </w:r>
      <w:r w:rsidRPr="00751BB9">
        <w:rPr>
          <w:rFonts w:hint="eastAsia"/>
          <w:rtl/>
        </w:rPr>
        <w:t>בהתאם</w:t>
      </w:r>
      <w:r w:rsidRPr="00751BB9">
        <w:rPr>
          <w:rtl/>
        </w:rPr>
        <w:t xml:space="preserve"> </w:t>
      </w:r>
      <w:r w:rsidRPr="00751BB9">
        <w:rPr>
          <w:rFonts w:hint="eastAsia"/>
          <w:rtl/>
        </w:rPr>
        <w:lastRenderedPageBreak/>
        <w:t>לנסיבות</w:t>
      </w:r>
      <w:r w:rsidRPr="00751BB9">
        <w:rPr>
          <w:rtl/>
        </w:rPr>
        <w:t xml:space="preserve"> (</w:t>
      </w:r>
      <w:r w:rsidRPr="00751BB9">
        <w:rPr>
          <w:rFonts w:hint="eastAsia"/>
          <w:rtl/>
        </w:rPr>
        <w:t>פסקה</w:t>
      </w:r>
      <w:r w:rsidRPr="00751BB9">
        <w:rPr>
          <w:rtl/>
        </w:rPr>
        <w:t xml:space="preserve"> 71 </w:t>
      </w:r>
      <w:r w:rsidRPr="00751BB9">
        <w:rPr>
          <w:rFonts w:hint="eastAsia"/>
          <w:rtl/>
        </w:rPr>
        <w:t>לחוות</w:t>
      </w:r>
      <w:r w:rsidRPr="00751BB9">
        <w:rPr>
          <w:rtl/>
        </w:rPr>
        <w:t xml:space="preserve"> </w:t>
      </w:r>
      <w:r w:rsidRPr="00751BB9">
        <w:rPr>
          <w:rFonts w:hint="eastAsia"/>
          <w:rtl/>
        </w:rPr>
        <w:t>דעתו</w:t>
      </w:r>
      <w:r w:rsidRPr="00751BB9">
        <w:rPr>
          <w:rtl/>
        </w:rPr>
        <w:t xml:space="preserve">). </w:t>
      </w:r>
      <w:r w:rsidRPr="00751BB9">
        <w:rPr>
          <w:rFonts w:hint="eastAsia"/>
          <w:rtl/>
        </w:rPr>
        <w:t>בעיני</w:t>
      </w:r>
      <w:r w:rsidRPr="00751BB9">
        <w:rPr>
          <w:rtl/>
        </w:rPr>
        <w:t xml:space="preserve"> </w:t>
      </w:r>
      <w:r w:rsidRPr="00751BB9">
        <w:rPr>
          <w:rFonts w:hint="eastAsia"/>
          <w:rtl/>
        </w:rPr>
        <w:t>טיבה</w:t>
      </w:r>
      <w:r w:rsidRPr="00751BB9">
        <w:rPr>
          <w:rtl/>
        </w:rPr>
        <w:t xml:space="preserve"> </w:t>
      </w:r>
      <w:r w:rsidRPr="00751BB9">
        <w:rPr>
          <w:rFonts w:hint="eastAsia"/>
          <w:rtl/>
        </w:rPr>
        <w:t>של</w:t>
      </w:r>
      <w:r w:rsidRPr="00751BB9">
        <w:rPr>
          <w:rtl/>
        </w:rPr>
        <w:t xml:space="preserve"> </w:t>
      </w:r>
      <w:r w:rsidRPr="00751BB9">
        <w:rPr>
          <w:rFonts w:hint="eastAsia"/>
          <w:rtl/>
        </w:rPr>
        <w:t>מערכת</w:t>
      </w:r>
      <w:r w:rsidRPr="00751BB9">
        <w:rPr>
          <w:rtl/>
        </w:rPr>
        <w:t xml:space="preserve"> </w:t>
      </w:r>
      <w:r w:rsidRPr="00751BB9">
        <w:rPr>
          <w:rFonts w:hint="eastAsia"/>
          <w:rtl/>
        </w:rPr>
        <w:t>יחסים</w:t>
      </w:r>
      <w:r w:rsidRPr="00751BB9">
        <w:rPr>
          <w:rtl/>
        </w:rPr>
        <w:t xml:space="preserve"> </w:t>
      </w:r>
      <w:r w:rsidRPr="00751BB9">
        <w:rPr>
          <w:rFonts w:hint="eastAsia"/>
          <w:rtl/>
        </w:rPr>
        <w:t>זו</w:t>
      </w:r>
      <w:r w:rsidRPr="00751BB9">
        <w:rPr>
          <w:rtl/>
        </w:rPr>
        <w:t xml:space="preserve"> </w:t>
      </w:r>
      <w:r w:rsidRPr="00751BB9">
        <w:rPr>
          <w:rFonts w:hint="eastAsia"/>
          <w:rtl/>
        </w:rPr>
        <w:t>מקימה</w:t>
      </w:r>
      <w:r w:rsidRPr="00751BB9">
        <w:rPr>
          <w:rtl/>
        </w:rPr>
        <w:t xml:space="preserve"> </w:t>
      </w:r>
      <w:r w:rsidRPr="00751BB9">
        <w:rPr>
          <w:rFonts w:hint="eastAsia"/>
          <w:rtl/>
        </w:rPr>
        <w:t>ספק</w:t>
      </w:r>
      <w:r w:rsidRPr="00751BB9">
        <w:rPr>
          <w:rtl/>
        </w:rPr>
        <w:t xml:space="preserve"> </w:t>
      </w:r>
      <w:r w:rsidRPr="00751BB9">
        <w:rPr>
          <w:rFonts w:hint="eastAsia"/>
          <w:rtl/>
        </w:rPr>
        <w:t>של</w:t>
      </w:r>
      <w:r w:rsidRPr="00751BB9">
        <w:rPr>
          <w:rtl/>
        </w:rPr>
        <w:t xml:space="preserve"> </w:t>
      </w:r>
      <w:r w:rsidRPr="00751BB9">
        <w:rPr>
          <w:rFonts w:hint="eastAsia"/>
          <w:rtl/>
        </w:rPr>
        <w:t>ממש</w:t>
      </w:r>
      <w:r w:rsidRPr="00751BB9">
        <w:rPr>
          <w:rtl/>
        </w:rPr>
        <w:t xml:space="preserve"> </w:t>
      </w:r>
      <w:r w:rsidRPr="00751BB9">
        <w:rPr>
          <w:rFonts w:hint="eastAsia"/>
          <w:rtl/>
        </w:rPr>
        <w:t>בישימות</w:t>
      </w:r>
      <w:r w:rsidRPr="00751BB9">
        <w:rPr>
          <w:rtl/>
        </w:rPr>
        <w:t xml:space="preserve"> </w:t>
      </w:r>
      <w:r w:rsidRPr="00751BB9">
        <w:rPr>
          <w:rFonts w:hint="eastAsia"/>
          <w:rtl/>
        </w:rPr>
        <w:t>הכלל</w:t>
      </w:r>
      <w:r w:rsidRPr="00751BB9">
        <w:rPr>
          <w:rtl/>
        </w:rPr>
        <w:t xml:space="preserve"> </w:t>
      </w:r>
      <w:r w:rsidRPr="00751BB9">
        <w:rPr>
          <w:rFonts w:hint="eastAsia"/>
          <w:rtl/>
        </w:rPr>
        <w:t>המשפטי</w:t>
      </w:r>
      <w:r w:rsidRPr="00751BB9">
        <w:rPr>
          <w:rtl/>
        </w:rPr>
        <w:t xml:space="preserve"> </w:t>
      </w:r>
      <w:r w:rsidRPr="00751BB9">
        <w:rPr>
          <w:rFonts w:hint="eastAsia"/>
          <w:rtl/>
        </w:rPr>
        <w:t>המוצע</w:t>
      </w:r>
      <w:r w:rsidRPr="00751BB9">
        <w:rPr>
          <w:rtl/>
        </w:rPr>
        <w:t>.</w:t>
      </w:r>
      <w:r w:rsidRPr="00751BB9" w:rsidDel="008E3F2E">
        <w:rPr>
          <w:rFonts w:ascii="Century" w:hAnsi="Century" w:hint="cs"/>
          <w:rtl/>
        </w:rPr>
        <w:t xml:space="preserve"> </w:t>
      </w:r>
    </w:p>
    <w:p w:rsidR="003E4E8E" w:rsidRPr="00751BB9" w:rsidRDefault="003E4E8E" w:rsidP="003E4E8E">
      <w:pPr>
        <w:pStyle w:val="Ruller41"/>
      </w:pPr>
    </w:p>
    <w:p w:rsidR="003E4E8E" w:rsidRPr="00751BB9" w:rsidRDefault="003E4E8E" w:rsidP="003E4E8E">
      <w:pPr>
        <w:pStyle w:val="Ruller4"/>
        <w:rPr>
          <w:rFonts w:ascii="Century" w:hAnsi="Century"/>
          <w:sz w:val="22"/>
        </w:rPr>
      </w:pPr>
      <w:r w:rsidRPr="00751BB9">
        <w:rPr>
          <w:rFonts w:ascii="Century" w:hAnsi="Century" w:hint="cs"/>
          <w:sz w:val="22"/>
          <w:rtl/>
        </w:rPr>
        <w:t xml:space="preserve">זאת ועוד, מבחן המטרה הדומיננטית בנסיבות של חברות "מעין שותפויות" עשוי להיות נתון למניפולציה של בעלי המניות. זאת, בשים לב להשפעתם על החברה ובאפשרות שנתונה להם "לתקוע מקלות" בגלגליה </w:t>
      </w:r>
      <w:r w:rsidRPr="00751BB9">
        <w:rPr>
          <w:rFonts w:ascii="Century" w:hAnsi="Century"/>
          <w:sz w:val="22"/>
          <w:rtl/>
        </w:rPr>
        <w:t>–</w:t>
      </w:r>
      <w:r w:rsidRPr="00751BB9">
        <w:rPr>
          <w:rFonts w:ascii="Century" w:hAnsi="Century" w:hint="cs"/>
          <w:sz w:val="22"/>
          <w:rtl/>
        </w:rPr>
        <w:t xml:space="preserve"> והכל על מנת שמבחן המטרה הדומיננטית יוביל בסופו של דבר את פקיד השומה לקבוע כי מדובר במקרה שנופל בגדרי דוגמה ג' שהציע חברי. למעשה, אף מבלי להתכוון, סכסוך אישי בין בעלי המניות בחברות מהסוג שבהן עסקינן זולג, כמעט באופן מובנה, לספירה העסקית ומקשה על יישום המבחן המוצע (ראו והשוו לאמור במאמרם של עלי </w:t>
      </w:r>
      <w:proofErr w:type="spellStart"/>
      <w:r w:rsidRPr="00751BB9">
        <w:rPr>
          <w:rFonts w:ascii="Century" w:hAnsi="Century" w:hint="cs"/>
          <w:sz w:val="22"/>
          <w:rtl/>
        </w:rPr>
        <w:t>בוקשפן</w:t>
      </w:r>
      <w:proofErr w:type="spellEnd"/>
      <w:r w:rsidRPr="00751BB9">
        <w:rPr>
          <w:rFonts w:ascii="Century" w:hAnsi="Century" w:hint="cs"/>
          <w:sz w:val="22"/>
          <w:rtl/>
        </w:rPr>
        <w:t xml:space="preserve"> ואילון ידין "משפחה ועסקים </w:t>
      </w:r>
      <w:r w:rsidRPr="00751BB9">
        <w:rPr>
          <w:rFonts w:ascii="Century" w:hAnsi="Century"/>
          <w:sz w:val="22"/>
          <w:rtl/>
        </w:rPr>
        <w:t>–</w:t>
      </w:r>
      <w:r w:rsidRPr="00751BB9">
        <w:rPr>
          <w:rFonts w:ascii="Century" w:hAnsi="Century" w:hint="cs"/>
          <w:sz w:val="22"/>
          <w:rtl/>
        </w:rPr>
        <w:t xml:space="preserve"> החברה כאישיות </w:t>
      </w:r>
      <w:proofErr w:type="spellStart"/>
      <w:r w:rsidRPr="00751BB9">
        <w:rPr>
          <w:rFonts w:ascii="Century" w:hAnsi="Century" w:hint="cs"/>
          <w:sz w:val="22"/>
          <w:rtl/>
        </w:rPr>
        <w:t>משפ</w:t>
      </w:r>
      <w:proofErr w:type="spellEnd"/>
      <w:r w:rsidRPr="00751BB9">
        <w:rPr>
          <w:rFonts w:ascii="Century" w:hAnsi="Century" w:hint="cs"/>
          <w:sz w:val="22"/>
          <w:rtl/>
        </w:rPr>
        <w:t xml:space="preserve">(חת)טית: על המפגש בין דיני החברות לחברות המשפחתיות" </w:t>
      </w:r>
      <w:r w:rsidRPr="00751BB9">
        <w:rPr>
          <w:rFonts w:ascii="Century" w:hAnsi="Century" w:cs="Miriam" w:hint="cs"/>
          <w:b/>
          <w:spacing w:val="0"/>
          <w:sz w:val="22"/>
          <w:szCs w:val="24"/>
          <w:rtl/>
        </w:rPr>
        <w:t xml:space="preserve">משפטים </w:t>
      </w:r>
      <w:r w:rsidRPr="00751BB9">
        <w:rPr>
          <w:rFonts w:ascii="Century" w:hAnsi="Century" w:hint="cs"/>
          <w:sz w:val="22"/>
          <w:rtl/>
        </w:rPr>
        <w:t xml:space="preserve">מח 127, 174 (2018); כן ראו פסקה 5 לחוות דעתה של חברתי). </w:t>
      </w:r>
    </w:p>
    <w:p w:rsidR="003E4E8E" w:rsidRPr="00751BB9" w:rsidRDefault="003E4E8E" w:rsidP="003E4E8E">
      <w:pPr>
        <w:pStyle w:val="Ruller4"/>
        <w:numPr>
          <w:ilvl w:val="0"/>
          <w:numId w:val="0"/>
        </w:numPr>
        <w:rPr>
          <w:rFonts w:ascii="Century" w:hAnsi="Century"/>
          <w:sz w:val="22"/>
        </w:rPr>
      </w:pPr>
    </w:p>
    <w:p w:rsidR="003E4E8E" w:rsidRPr="00751BB9" w:rsidRDefault="003E4E8E" w:rsidP="003E4E8E">
      <w:pPr>
        <w:pStyle w:val="Ruller4"/>
        <w:rPr>
          <w:rFonts w:ascii="Century" w:hAnsi="Century"/>
          <w:sz w:val="22"/>
        </w:rPr>
      </w:pPr>
      <w:r w:rsidRPr="00751BB9">
        <w:rPr>
          <w:rFonts w:ascii="Century" w:hAnsi="Century" w:hint="cs"/>
          <w:sz w:val="22"/>
          <w:rtl/>
        </w:rPr>
        <w:t xml:space="preserve">בהקשר זה עיינתי גם בתגובתו של השופט </w:t>
      </w:r>
      <w:r w:rsidRPr="00751BB9">
        <w:rPr>
          <w:rFonts w:ascii="Century" w:hAnsi="Century" w:cs="Miriam" w:hint="cs"/>
          <w:b/>
          <w:spacing w:val="0"/>
          <w:sz w:val="22"/>
          <w:szCs w:val="24"/>
          <w:rtl/>
        </w:rPr>
        <w:t xml:space="preserve">שטיין </w:t>
      </w:r>
      <w:r w:rsidRPr="00751BB9">
        <w:rPr>
          <w:rFonts w:ascii="Century" w:hAnsi="Century" w:hint="cs"/>
          <w:sz w:val="22"/>
          <w:rtl/>
        </w:rPr>
        <w:t xml:space="preserve">לחוות הדעת של השופטת </w:t>
      </w:r>
      <w:r w:rsidRPr="00751BB9">
        <w:rPr>
          <w:rFonts w:ascii="Century" w:hAnsi="Century" w:cs="Miriam" w:hint="cs"/>
          <w:b/>
          <w:spacing w:val="0"/>
          <w:sz w:val="22"/>
          <w:szCs w:val="24"/>
          <w:rtl/>
        </w:rPr>
        <w:t>רונן</w:t>
      </w:r>
      <w:r w:rsidRPr="00751BB9">
        <w:rPr>
          <w:rFonts w:ascii="Century" w:hAnsi="Century" w:hint="cs"/>
          <w:sz w:val="22"/>
          <w:rtl/>
        </w:rPr>
        <w:t xml:space="preserve">, ואבקש להעיר שתי הערות. ראשית, הקושי שעליו מצביע חברי בכלל </w:t>
      </w:r>
      <w:proofErr w:type="spellStart"/>
      <w:r w:rsidRPr="00751BB9">
        <w:rPr>
          <w:rFonts w:ascii="Century" w:hAnsi="Century" w:hint="cs"/>
          <w:sz w:val="22"/>
          <w:rtl/>
        </w:rPr>
        <w:t>המיסויי</w:t>
      </w:r>
      <w:proofErr w:type="spellEnd"/>
      <w:r w:rsidRPr="00751BB9">
        <w:rPr>
          <w:rFonts w:ascii="Century" w:hAnsi="Century" w:hint="cs"/>
          <w:sz w:val="22"/>
          <w:rtl/>
        </w:rPr>
        <w:t xml:space="preserve"> המוצע בחוות דעתה של חברתי ("באין הכנסה ובאין רווח </w:t>
      </w:r>
      <w:r w:rsidRPr="00751BB9">
        <w:rPr>
          <w:rFonts w:ascii="Century" w:hAnsi="Century"/>
          <w:sz w:val="22"/>
          <w:rtl/>
        </w:rPr>
        <w:t>–</w:t>
      </w:r>
      <w:r w:rsidRPr="00751BB9">
        <w:rPr>
          <w:rFonts w:ascii="Century" w:hAnsi="Century" w:hint="cs"/>
          <w:sz w:val="22"/>
          <w:rtl/>
        </w:rPr>
        <w:t xml:space="preserve"> אין משלמים מס"; פסקה 94 לחוות דעתו), הוא זה שמרחף למעשה מעל כל הסוגיה של מיסוי בעלי המניות הנותרים בנסיבות של רכישה עצמית. בעיני, קושי זה מתעורר (למצער רעיונית) גם בכל אחת מהדוגמאות שהביא בחוות דעתו (וזו גם טענת הנישומים בערעורים שלפנינו), אך אף לשיטת חברי יש למסות את בעלי המניות הנותרים בדוגמאות א' ו-ב'. כפי שמציינת חברתי בחוות דעתה, למורכבות זו יש פתרון והוא מגולם בתועלת הממשית שצומחת לבעלי המניות (שם, פסקאות 15 ו-18).</w:t>
      </w:r>
    </w:p>
    <w:p w:rsidR="003E4E8E" w:rsidRPr="00751BB9" w:rsidRDefault="003E4E8E" w:rsidP="003E4E8E">
      <w:pPr>
        <w:pStyle w:val="Ruller4"/>
        <w:numPr>
          <w:ilvl w:val="0"/>
          <w:numId w:val="0"/>
        </w:numPr>
        <w:rPr>
          <w:rFonts w:ascii="Century" w:hAnsi="Century"/>
          <w:sz w:val="22"/>
          <w:rtl/>
        </w:rPr>
      </w:pPr>
    </w:p>
    <w:p w:rsidR="003E4E8E" w:rsidRPr="00751BB9" w:rsidRDefault="003E4E8E" w:rsidP="003E4E8E">
      <w:pPr>
        <w:pStyle w:val="Ruller4"/>
        <w:rPr>
          <w:rFonts w:ascii="Century" w:hAnsi="Century"/>
          <w:sz w:val="22"/>
          <w:rtl/>
        </w:rPr>
      </w:pPr>
      <w:r w:rsidRPr="00751BB9">
        <w:rPr>
          <w:rFonts w:ascii="Century" w:hAnsi="Century" w:hint="cs"/>
          <w:sz w:val="22"/>
          <w:rtl/>
        </w:rPr>
        <w:t xml:space="preserve">הערה שניה נוגעת לדוגמה הנוספת שמציע חברי בתוספת לחוות דעתו, שבנסיבותיה, לדבריו, הכלל של חברתי יוביל למיסוי בעל המניות שנותר </w:t>
      </w:r>
      <w:r w:rsidRPr="00751BB9">
        <w:rPr>
          <w:rFonts w:ascii="Century" w:hAnsi="Century"/>
          <w:sz w:val="22"/>
          <w:rtl/>
        </w:rPr>
        <w:t>–</w:t>
      </w:r>
      <w:r w:rsidRPr="00751BB9">
        <w:rPr>
          <w:rFonts w:ascii="Century" w:hAnsi="Century" w:hint="cs"/>
          <w:sz w:val="22"/>
          <w:rtl/>
        </w:rPr>
        <w:t xml:space="preserve"> שלא בצדק (פסקה 93 לחוות דעתו). ואולם בעיני, גם נסיבותיה ממחישות את הקושי בהבחנה בין הדוגמאות בחברות "מעין שותפויות". גם בדוגמה זו, בעל המניות שנותר זוכה להטבה משמעותית בעקבות הרכישה העצמית (באופן שמקרב את הדוגמה לדוגמאות א' וב'). וזאת מדוע? כי אף לשיטתו של חברי, כל שרצה בעל המניות הנותר בדוגמה זו הוא "שבעל המניות הפורש לא יפריע לחברה לקדם את עסקיה". היינו </w:t>
      </w:r>
      <w:r w:rsidRPr="00751BB9">
        <w:rPr>
          <w:rFonts w:ascii="Century" w:hAnsi="Century"/>
          <w:sz w:val="22"/>
          <w:rtl/>
        </w:rPr>
        <w:t>–</w:t>
      </w:r>
      <w:r w:rsidRPr="00751BB9">
        <w:rPr>
          <w:rFonts w:ascii="Century" w:hAnsi="Century" w:hint="cs"/>
          <w:sz w:val="22"/>
          <w:rtl/>
        </w:rPr>
        <w:t xml:space="preserve"> בבסיס "הפרדת הכוחות" בין בעלי המניות ניצבה מחלוקת על המשך פעילותה של החברה, והזוכה הוא בעל המניות הנותר, שנהנה (בדומה לדוגמאות האחרות של חברי) מהאפשרות לשלוט ולנווט את החברה בכיוון שבו בחר (שעומד בניגוד לכיוון שבו החזיק בעל המניות </w:t>
      </w:r>
      <w:r w:rsidRPr="00751BB9">
        <w:rPr>
          <w:rFonts w:ascii="Century" w:hAnsi="Century" w:hint="cs"/>
          <w:sz w:val="22"/>
          <w:rtl/>
        </w:rPr>
        <w:lastRenderedPageBreak/>
        <w:t>המוכר). הנה כי כן, הקושי שעליו אני מצביע לאבחן בין הדוגמאות השונות שהציע חברי בחוות דעתו, ובפרט ב"תנאי מעבדה" של דוגמאות "סטריליות", רק ממחיש את מידת ישימותו הנמוכה בעיני של כלל זה בחיי המעשה.</w:t>
      </w:r>
    </w:p>
    <w:p w:rsidR="003E4E8E" w:rsidRPr="00751BB9" w:rsidRDefault="003E4E8E" w:rsidP="003E4E8E">
      <w:pPr>
        <w:pStyle w:val="Ruller41"/>
        <w:rPr>
          <w:rtl/>
        </w:rPr>
      </w:pPr>
    </w:p>
    <w:p w:rsidR="003E4E8E" w:rsidRPr="00751BB9" w:rsidRDefault="003E4E8E" w:rsidP="003E4E8E">
      <w:pPr>
        <w:pStyle w:val="Ruller4"/>
      </w:pPr>
      <w:r w:rsidRPr="00751BB9">
        <w:rPr>
          <w:rFonts w:hint="cs"/>
          <w:rtl/>
        </w:rPr>
        <w:t xml:space="preserve">לסיכום ביחס לשאלה הראשונה, אבהיר כי בעיני בחברות "מעין שותפויות" שיקולי בעלי המניות ושיקולי טובת החברה שלובים זה בזה, ולפיכך, היא מצדיקה את הכלל שמוצע בחוות דעתה של חברתי, שבמסגרת רכישה עצמית בחברות כאמור בעלי המניות הנותרים </w:t>
      </w:r>
      <w:proofErr w:type="spellStart"/>
      <w:r w:rsidRPr="00751BB9">
        <w:rPr>
          <w:rFonts w:hint="cs"/>
          <w:rtl/>
        </w:rPr>
        <w:t>ימוסו</w:t>
      </w:r>
      <w:proofErr w:type="spellEnd"/>
      <w:r w:rsidRPr="00751BB9">
        <w:rPr>
          <w:rFonts w:hint="cs"/>
          <w:rtl/>
        </w:rPr>
        <w:t xml:space="preserve"> כמי שקיבלו דיבידנד. הוודאות בדיני המס, כמו גם הפשטות ביישום הכלל המשפטי הם בעיני אך תוצר נלווה של הכרעתי זו. </w:t>
      </w:r>
    </w:p>
    <w:p w:rsidR="003E4E8E" w:rsidRPr="00751BB9" w:rsidRDefault="003E4E8E" w:rsidP="003E4E8E">
      <w:pPr>
        <w:pStyle w:val="Ruller4"/>
        <w:numPr>
          <w:ilvl w:val="0"/>
          <w:numId w:val="0"/>
        </w:numPr>
      </w:pPr>
    </w:p>
    <w:p w:rsidR="003E4E8E" w:rsidRPr="00751BB9" w:rsidRDefault="003E4E8E" w:rsidP="003E4E8E">
      <w:pPr>
        <w:pStyle w:val="Ruller4"/>
      </w:pPr>
      <w:r w:rsidRPr="00751BB9">
        <w:rPr>
          <w:rFonts w:hint="cs"/>
          <w:rtl/>
        </w:rPr>
        <w:t xml:space="preserve">השאלה השנייה בה חלוקים חבריי היא אם יש לזקוף את סכום הרכישה במלואו כדיבידנד לבעלי המניות הנותרים (לפי החלופה השנייה בחוזר רשות המסים) או שמא לזקוף אותו לבעלי המניות כולם לפי שיעור אחזקותיהם בחברה ערב העסקה (לפי החלופה הראשונה בחוזר). גם בנקודה זו מקובלת עליי עמדתה של השופטת </w:t>
      </w:r>
      <w:r w:rsidRPr="00751BB9">
        <w:rPr>
          <w:rFonts w:ascii="Century" w:hAnsi="Century" w:cs="Miriam" w:hint="cs"/>
          <w:b/>
          <w:spacing w:val="0"/>
          <w:sz w:val="22"/>
          <w:szCs w:val="24"/>
          <w:rtl/>
        </w:rPr>
        <w:t xml:space="preserve">רונן </w:t>
      </w:r>
      <w:r w:rsidRPr="00751BB9">
        <w:rPr>
          <w:rFonts w:ascii="Century" w:hAnsi="Century" w:hint="cs"/>
          <w:sz w:val="22"/>
          <w:rtl/>
        </w:rPr>
        <w:t xml:space="preserve">שלפיה האינטרס המשותף בהיפרדות, כמו גם ההנאה המשותפת ממנה מצדיקה למסות את בעלי המניות לפי החלופה הראשונה בחוזר רשות המסים: כלומר, לראות את בעלי המניות כולם (ערב המכירה) ככאלו שקיבלו דיבידנד בגובה שווי המכירה (לפי חלקם היחסי ערב המכירה). </w:t>
      </w:r>
      <w:r w:rsidRPr="00751BB9">
        <w:rPr>
          <w:rFonts w:hint="cs"/>
          <w:rtl/>
        </w:rPr>
        <w:t>תוצאה אחרת שלפיה הכלל המשפטי יחייב את בעל המניות הנותר במס על דיבידנד בגובה שווי הרכישה כולו, עשויה להטיל עליו חבות שאינה מוצדקת.</w:t>
      </w:r>
    </w:p>
    <w:p w:rsidR="003E4E8E" w:rsidRPr="00751BB9" w:rsidRDefault="003E4E8E" w:rsidP="003E4E8E">
      <w:pPr>
        <w:pStyle w:val="Ruller4"/>
        <w:numPr>
          <w:ilvl w:val="0"/>
          <w:numId w:val="0"/>
        </w:numPr>
      </w:pPr>
    </w:p>
    <w:p w:rsidR="003E4E8E" w:rsidRPr="00751BB9" w:rsidRDefault="003E4E8E" w:rsidP="003E4E8E">
      <w:pPr>
        <w:pStyle w:val="Ruller4"/>
        <w:rPr>
          <w:rtl/>
        </w:rPr>
      </w:pPr>
      <w:r w:rsidRPr="00751BB9">
        <w:rPr>
          <w:rFonts w:hint="cs"/>
          <w:rtl/>
        </w:rPr>
        <w:t xml:space="preserve">סוף דבר: אני מצטרף אפוא לחוות דעתה של חברתי השופטת </w:t>
      </w:r>
      <w:r w:rsidRPr="00751BB9">
        <w:rPr>
          <w:rFonts w:ascii="Century" w:hAnsi="Century" w:cs="Miriam" w:hint="cs"/>
          <w:b/>
          <w:spacing w:val="0"/>
          <w:sz w:val="22"/>
          <w:szCs w:val="24"/>
          <w:rtl/>
        </w:rPr>
        <w:t>ר' רונן</w:t>
      </w:r>
      <w:r w:rsidRPr="00751BB9">
        <w:rPr>
          <w:rFonts w:hint="cs"/>
          <w:rtl/>
        </w:rPr>
        <w:t xml:space="preserve">, ואף לשיטתי יש לקבל את ערעור פקיד השומה בעניין </w:t>
      </w:r>
      <w:r w:rsidRPr="00751BB9">
        <w:rPr>
          <w:rFonts w:ascii="Century" w:hAnsi="Century" w:cs="Miriam" w:hint="cs"/>
          <w:b/>
          <w:spacing w:val="0"/>
          <w:sz w:val="22"/>
          <w:szCs w:val="24"/>
          <w:rtl/>
        </w:rPr>
        <w:t>בית חוסן</w:t>
      </w:r>
      <w:r w:rsidRPr="00751BB9">
        <w:rPr>
          <w:rFonts w:ascii="Century" w:hAnsi="Century" w:hint="cs"/>
          <w:sz w:val="22"/>
          <w:rtl/>
        </w:rPr>
        <w:t xml:space="preserve"> ולדחות את הערעור בעניין </w:t>
      </w:r>
      <w:r w:rsidRPr="00751BB9">
        <w:rPr>
          <w:rFonts w:ascii="Century" w:hAnsi="Century" w:cs="Miriam" w:hint="cs"/>
          <w:b/>
          <w:spacing w:val="0"/>
          <w:sz w:val="22"/>
          <w:szCs w:val="24"/>
          <w:rtl/>
        </w:rPr>
        <w:t>סיידה</w:t>
      </w:r>
      <w:r w:rsidRPr="00751BB9">
        <w:rPr>
          <w:rFonts w:ascii="Century" w:hAnsi="Century" w:hint="cs"/>
          <w:sz w:val="22"/>
          <w:rtl/>
        </w:rPr>
        <w:t xml:space="preserve">. מצטרף אני גם למסקנת חברתי שאין מקום לעשות צו להוצאות בערכאה זו. </w:t>
      </w:r>
    </w:p>
    <w:p w:rsidR="003E4E8E" w:rsidRDefault="003E4E8E" w:rsidP="003E4E8E">
      <w:pPr>
        <w:pStyle w:val="Ruller4"/>
        <w:numPr>
          <w:ilvl w:val="0"/>
          <w:numId w:val="0"/>
        </w:numPr>
        <w:rPr>
          <w:rtl/>
        </w:rPr>
      </w:pPr>
    </w:p>
    <w:p w:rsidR="003E4E8E" w:rsidRPr="003E4E8E" w:rsidRDefault="003E4E8E" w:rsidP="003E4E8E">
      <w:pPr>
        <w:pStyle w:val="Ruller41"/>
        <w:rPr>
          <w:rtl/>
        </w:rPr>
      </w:pPr>
    </w:p>
    <w:tbl>
      <w:tblPr>
        <w:bidiVisual/>
        <w:tblW w:w="8363" w:type="dxa"/>
        <w:tblLook w:val="01E0" w:firstRow="1" w:lastRow="1" w:firstColumn="1" w:lastColumn="1" w:noHBand="0" w:noVBand="0"/>
      </w:tblPr>
      <w:tblGrid>
        <w:gridCol w:w="2797"/>
        <w:gridCol w:w="2783"/>
        <w:gridCol w:w="2783"/>
      </w:tblGrid>
      <w:tr w:rsidR="00086F8B" w:rsidTr="003E4E8E">
        <w:tc>
          <w:tcPr>
            <w:tcW w:w="2797" w:type="dxa"/>
            <w:shd w:val="clear" w:color="auto" w:fill="auto"/>
          </w:tcPr>
          <w:p w:rsidR="00086F8B" w:rsidRDefault="00086F8B" w:rsidP="003E4E8E">
            <w:pPr>
              <w:pStyle w:val="Ruller41"/>
              <w:rPr>
                <w:rtl/>
              </w:rPr>
            </w:pPr>
          </w:p>
          <w:p w:rsidR="003E4E8E" w:rsidRDefault="003E4E8E" w:rsidP="003E4E8E">
            <w:pPr>
              <w:pStyle w:val="Ruller41"/>
              <w:rPr>
                <w:rtl/>
              </w:rPr>
            </w:pPr>
          </w:p>
        </w:tc>
        <w:tc>
          <w:tcPr>
            <w:tcW w:w="2783" w:type="dxa"/>
            <w:shd w:val="clear" w:color="auto" w:fill="auto"/>
          </w:tcPr>
          <w:p w:rsidR="00086F8B" w:rsidRDefault="00086F8B" w:rsidP="003E4E8E">
            <w:pPr>
              <w:pStyle w:val="Ruller41"/>
              <w:jc w:val="center"/>
              <w:rPr>
                <w:rtl/>
              </w:rPr>
            </w:pPr>
          </w:p>
        </w:tc>
        <w:tc>
          <w:tcPr>
            <w:tcW w:w="2783" w:type="dxa"/>
            <w:shd w:val="clear" w:color="auto" w:fill="auto"/>
          </w:tcPr>
          <w:p w:rsidR="00086F8B" w:rsidRPr="003E4E8E" w:rsidRDefault="003E4E8E" w:rsidP="003E4E8E">
            <w:pPr>
              <w:pStyle w:val="Ruller41"/>
              <w:jc w:val="right"/>
              <w:rPr>
                <w:rFonts w:ascii="Century" w:hAnsi="Century"/>
                <w:rtl/>
              </w:rPr>
            </w:pPr>
            <w:r w:rsidRPr="003E4E8E">
              <w:rPr>
                <w:rFonts w:ascii="Century" w:hAnsi="Century"/>
                <w:rtl/>
              </w:rPr>
              <w:t>המשנה לנשיאה</w:t>
            </w:r>
          </w:p>
        </w:tc>
      </w:tr>
    </w:tbl>
    <w:p w:rsidR="00086F8B" w:rsidRDefault="00086F8B" w:rsidP="00086F8B">
      <w:pPr>
        <w:pStyle w:val="Ruller41"/>
        <w:rPr>
          <w:rtl/>
        </w:rPr>
      </w:pPr>
    </w:p>
    <w:p w:rsidR="003E4E8E" w:rsidRDefault="003E4E8E" w:rsidP="003E4E8E">
      <w:pPr>
        <w:pStyle w:val="Ruller41"/>
        <w:rPr>
          <w:rtl/>
        </w:rPr>
      </w:pPr>
      <w:r>
        <w:rPr>
          <w:rtl/>
        </w:rPr>
        <w:tab/>
      </w:r>
      <w:r>
        <w:rPr>
          <w:rFonts w:hint="cs"/>
          <w:rtl/>
        </w:rPr>
        <w:t xml:space="preserve">הוחלט פה אחד לדחות את הערעור בע"א 8116/21; כמו כן הוחלט לקבל את ערעורו של פקיד השומה עכו בע"א 9308/20, כאמור בפסק דינה של השופטת </w:t>
      </w:r>
      <w:r w:rsidRPr="003E4E8E">
        <w:rPr>
          <w:rFonts w:ascii="Century" w:hAnsi="Century" w:cs="Miriam" w:hint="cs"/>
          <w:b/>
          <w:spacing w:val="0"/>
          <w:szCs w:val="24"/>
          <w:rtl/>
        </w:rPr>
        <w:t>ר' רונן</w:t>
      </w:r>
      <w:r>
        <w:rPr>
          <w:rFonts w:hint="cs"/>
          <w:rtl/>
        </w:rPr>
        <w:t xml:space="preserve">, אליו הצטרף המשנה לנשיאה </w:t>
      </w:r>
      <w:r w:rsidRPr="003E4E8E">
        <w:rPr>
          <w:rFonts w:ascii="Century" w:hAnsi="Century" w:cs="Miriam" w:hint="cs"/>
          <w:b/>
          <w:spacing w:val="0"/>
          <w:szCs w:val="24"/>
          <w:rtl/>
        </w:rPr>
        <w:t>ע' פוגלמן</w:t>
      </w:r>
      <w:r>
        <w:rPr>
          <w:rFonts w:hint="cs"/>
          <w:rtl/>
        </w:rPr>
        <w:t xml:space="preserve">, כנגד דעתו החולקת של השופט </w:t>
      </w:r>
      <w:r w:rsidRPr="003E4E8E">
        <w:rPr>
          <w:rFonts w:ascii="Century" w:hAnsi="Century" w:cs="Miriam" w:hint="cs"/>
          <w:b/>
          <w:spacing w:val="0"/>
          <w:szCs w:val="24"/>
          <w:rtl/>
        </w:rPr>
        <w:t>א' שטיין</w:t>
      </w:r>
      <w:r>
        <w:rPr>
          <w:rFonts w:hint="cs"/>
          <w:rtl/>
        </w:rPr>
        <w:t xml:space="preserve"> </w:t>
      </w:r>
      <w:r>
        <w:rPr>
          <w:rtl/>
        </w:rPr>
        <w:t>–</w:t>
      </w:r>
      <w:r>
        <w:rPr>
          <w:rFonts w:hint="cs"/>
          <w:rtl/>
        </w:rPr>
        <w:t xml:space="preserve"> והכל, ללא צו להוצאות.</w:t>
      </w:r>
    </w:p>
    <w:p w:rsidR="003E4E8E" w:rsidRDefault="003E4E8E" w:rsidP="00086F8B">
      <w:pPr>
        <w:pStyle w:val="Ruller41"/>
        <w:rPr>
          <w:rtl/>
        </w:rPr>
      </w:pPr>
    </w:p>
    <w:p w:rsidR="00086F8B" w:rsidRDefault="003E4E8E" w:rsidP="00086F8B">
      <w:pPr>
        <w:pStyle w:val="Ruller41"/>
        <w:rPr>
          <w:rtl/>
        </w:rPr>
      </w:pPr>
      <w:r>
        <w:rPr>
          <w:rtl/>
        </w:rPr>
        <w:lastRenderedPageBreak/>
        <w:tab/>
        <w:t xml:space="preserve">ניתן היום, </w:t>
      </w:r>
      <w:r>
        <w:rPr>
          <w:rFonts w:hint="eastAsia"/>
          <w:rtl/>
        </w:rPr>
        <w:t>‏כ</w:t>
      </w:r>
      <w:r>
        <w:rPr>
          <w:rtl/>
        </w:rPr>
        <w:t xml:space="preserve">"ב בשבט </w:t>
      </w:r>
      <w:proofErr w:type="spellStart"/>
      <w:r>
        <w:rPr>
          <w:rtl/>
        </w:rPr>
        <w:t>התשפ"ג</w:t>
      </w:r>
      <w:proofErr w:type="spellEnd"/>
      <w:r>
        <w:rPr>
          <w:rtl/>
        </w:rPr>
        <w:t xml:space="preserve"> (</w:t>
      </w:r>
      <w:r>
        <w:rPr>
          <w:rFonts w:hint="eastAsia"/>
          <w:rtl/>
        </w:rPr>
        <w:t>‏</w:t>
      </w:r>
      <w:r>
        <w:rPr>
          <w:rtl/>
        </w:rPr>
        <w:t>13.2.2023).</w:t>
      </w:r>
    </w:p>
    <w:p w:rsidR="003E4E8E" w:rsidRDefault="003E4E8E" w:rsidP="00086F8B">
      <w:pPr>
        <w:pStyle w:val="Ruller41"/>
        <w:rPr>
          <w:rtl/>
        </w:rPr>
      </w:pPr>
    </w:p>
    <w:p w:rsidR="003E4E8E" w:rsidRPr="00A9741D" w:rsidRDefault="003E4E8E" w:rsidP="00086F8B">
      <w:pPr>
        <w:pStyle w:val="Ruller41"/>
        <w:rPr>
          <w:rtl/>
        </w:rPr>
      </w:pPr>
    </w:p>
    <w:p w:rsidR="00086F8B" w:rsidRDefault="00086F8B" w:rsidP="00086F8B">
      <w:pPr>
        <w:pStyle w:val="Ruller41"/>
        <w:rPr>
          <w:rtl/>
        </w:rPr>
      </w:pPr>
      <w:r>
        <w:rPr>
          <w:rFonts w:hint="cs"/>
          <w:rtl/>
        </w:rPr>
        <w:t>המשנה לנשיאה</w:t>
      </w:r>
      <w:r>
        <w:rPr>
          <w:rFonts w:hint="cs"/>
          <w:rtl/>
        </w:rPr>
        <w:tab/>
      </w:r>
      <w:r>
        <w:rPr>
          <w:rtl/>
        </w:rPr>
        <w:tab/>
      </w:r>
      <w:r>
        <w:rPr>
          <w:rtl/>
        </w:rPr>
        <w:tab/>
      </w:r>
      <w:r>
        <w:rPr>
          <w:rFonts w:hint="cs"/>
          <w:rtl/>
        </w:rPr>
        <w:t>ש ו פ ט</w:t>
      </w:r>
      <w:r>
        <w:rPr>
          <w:rFonts w:hint="cs"/>
          <w:rtl/>
        </w:rPr>
        <w:tab/>
      </w:r>
      <w:r>
        <w:rPr>
          <w:rtl/>
        </w:rPr>
        <w:tab/>
      </w:r>
      <w:r>
        <w:rPr>
          <w:rtl/>
        </w:rPr>
        <w:tab/>
      </w:r>
      <w:r>
        <w:rPr>
          <w:rtl/>
        </w:rPr>
        <w:tab/>
      </w:r>
      <w:r>
        <w:rPr>
          <w:rFonts w:hint="cs"/>
          <w:rtl/>
        </w:rPr>
        <w:t>ש ו פ ט ת</w:t>
      </w:r>
    </w:p>
    <w:p w:rsidR="00A9741D" w:rsidRDefault="00A9741D" w:rsidP="00A51FAE">
      <w:pPr>
        <w:pStyle w:val="Ruller41"/>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583266">
        <w:rPr>
          <w:sz w:val="16"/>
        </w:rPr>
        <w:t xml:space="preserve">20093080_F16.docx   </w:t>
      </w:r>
      <w:r w:rsidR="00583266">
        <w:rPr>
          <w:sz w:val="16"/>
          <w:rtl/>
        </w:rPr>
        <w:t>עב</w:t>
      </w:r>
    </w:p>
    <w:p w:rsidR="00591983" w:rsidRPr="00FC0252" w:rsidRDefault="00591983" w:rsidP="00FC0252">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9" w:history="1">
        <w:r w:rsidR="00FC0252" w:rsidRPr="00BB4C68">
          <w:rPr>
            <w:rStyle w:val="Hyperlink"/>
            <w:sz w:val="16"/>
          </w:rPr>
          <w:t>https://supreme.court.gov.il</w:t>
        </w:r>
      </w:hyperlink>
    </w:p>
    <w:p w:rsidR="003F1F97" w:rsidRDefault="003F1F97" w:rsidP="00591983">
      <w:pPr>
        <w:pStyle w:val="Ruller38"/>
        <w:rPr>
          <w:rtl/>
        </w:rPr>
      </w:pPr>
    </w:p>
    <w:sectPr w:rsidR="003F1F97" w:rsidSect="00591983">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007" w:rsidRDefault="00DE3007">
      <w:r>
        <w:separator/>
      </w:r>
    </w:p>
  </w:endnote>
  <w:endnote w:type="continuationSeparator" w:id="0">
    <w:p w:rsidR="00DE3007" w:rsidRDefault="00DE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007" w:rsidRDefault="00DE3007">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Pr>
        <w:rStyle w:val="a4"/>
        <w:noProof/>
        <w:rtl/>
      </w:rPr>
      <w:t>1</w:t>
    </w:r>
    <w:r>
      <w:rPr>
        <w:rStyle w:val="a4"/>
        <w:rtl/>
      </w:rPr>
      <w:fldChar w:fldCharType="end"/>
    </w:r>
  </w:p>
  <w:p w:rsidR="00DE3007" w:rsidRDefault="00DE3007">
    <w:pPr>
      <w:pStyle w:val="a3"/>
      <w:rPr>
        <w:rtl/>
      </w:rPr>
    </w:pPr>
  </w:p>
  <w:p w:rsidR="00DE3007" w:rsidRDefault="00DE300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007" w:rsidRDefault="00DE3007">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007" w:rsidRPr="00F959DB" w:rsidRDefault="00DE3007" w:rsidP="00914156">
    <w:pPr>
      <w:pStyle w:val="a3"/>
      <w:bidi w:val="0"/>
      <w:jc w:val="right"/>
      <w:rPr>
        <w:sz w:val="16"/>
        <w:szCs w:val="16"/>
      </w:rPr>
    </w:pPr>
    <w:bookmarkStart w:id="6" w:name="footer_line"/>
    <w:bookmarkEnd w:id="6"/>
  </w:p>
  <w:p w:rsidR="00DE3007" w:rsidRDefault="00DE3007">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007" w:rsidRDefault="00DE3007">
      <w:r>
        <w:separator/>
      </w:r>
    </w:p>
  </w:footnote>
  <w:footnote w:type="continuationSeparator" w:id="0">
    <w:p w:rsidR="00DE3007" w:rsidRDefault="00DE3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007" w:rsidRDefault="00DE3007">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Pr>
        <w:rStyle w:val="a4"/>
        <w:noProof/>
        <w:rtl/>
      </w:rPr>
      <w:t>1</w:t>
    </w:r>
    <w:r>
      <w:rPr>
        <w:rStyle w:val="a4"/>
        <w:rtl/>
      </w:rPr>
      <w:fldChar w:fldCharType="end"/>
    </w:r>
  </w:p>
  <w:p w:rsidR="00DE3007" w:rsidRDefault="00DE3007">
    <w:pPr>
      <w:pStyle w:val="a5"/>
      <w:rPr>
        <w:rtl/>
      </w:rPr>
    </w:pPr>
  </w:p>
  <w:p w:rsidR="00DE3007" w:rsidRDefault="00DE300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007" w:rsidRDefault="00DE3007">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DE5C28">
      <w:rPr>
        <w:rStyle w:val="a4"/>
        <w:noProof/>
        <w:rtl/>
      </w:rPr>
      <w:t>60</w:t>
    </w:r>
    <w:r>
      <w:rPr>
        <w:rStyle w:val="a4"/>
        <w:rtl/>
      </w:rPr>
      <w:fldChar w:fldCharType="end"/>
    </w:r>
  </w:p>
  <w:p w:rsidR="00DE3007" w:rsidRDefault="00DE3007">
    <w:pPr>
      <w:pStyle w:val="a5"/>
      <w:rPr>
        <w:rtl/>
      </w:rPr>
    </w:pPr>
  </w:p>
  <w:p w:rsidR="00DE3007" w:rsidRDefault="00DE300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DE3007" w:rsidTr="00EC23AC">
      <w:trPr>
        <w:trHeight w:val="342"/>
      </w:trPr>
      <w:tc>
        <w:tcPr>
          <w:tcW w:w="9828" w:type="dxa"/>
        </w:tcPr>
        <w:p w:rsidR="00DE3007" w:rsidRPr="002F7BB6" w:rsidRDefault="00DE3007"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DE3007" w:rsidRDefault="00DE3007"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4866CC4C"/>
    <w:lvl w:ilvl="0" w:tplc="C458DB28">
      <w:start w:val="1"/>
      <w:numFmt w:val="decimal"/>
      <w:pStyle w:val="Ruller4"/>
      <w:lvlText w:val="%1."/>
      <w:lvlJc w:val="left"/>
      <w:pPr>
        <w:tabs>
          <w:tab w:val="num" w:pos="907"/>
        </w:tabs>
        <w:ind w:left="0" w:firstLine="0"/>
      </w:pPr>
      <w:rPr>
        <w:rFonts w:ascii="Century" w:hAnsi="Century" w:cs="FrankRuehl" w:hint="default"/>
        <w:b w:val="0"/>
        <w:bCs w:val="0"/>
        <w:i w:val="0"/>
        <w:iCs w:val="0"/>
        <w:caps w:val="0"/>
        <w:smallCaps w:val="0"/>
        <w:strike w:val="0"/>
        <w:dstrike w:val="0"/>
        <w:outline w:val="0"/>
        <w:shadow w:val="0"/>
        <w:emboss w:val="0"/>
        <w:imprint w:val="0"/>
        <w:vanish w:val="0"/>
        <w:color w:val="auto"/>
        <w:spacing w:val="10"/>
        <w:w w:val="100"/>
        <w:kern w:val="0"/>
        <w:position w:val="0"/>
        <w:sz w:val="22"/>
        <w:szCs w:val="28"/>
        <w:u w:val="none"/>
        <w:effect w:val="none"/>
        <w:vertAlign w:val="baseline"/>
        <w:lang w:val="en-US"/>
      </w:rPr>
    </w:lvl>
    <w:lvl w:ilvl="1" w:tplc="39D65460">
      <w:start w:val="1"/>
      <w:numFmt w:val="hebrew1"/>
      <w:lvlText w:val="%2)"/>
      <w:lvlJc w:val="left"/>
      <w:pPr>
        <w:ind w:left="1015" w:hanging="360"/>
      </w:pPr>
      <w:rPr>
        <w:rFonts w:hint="default"/>
      </w:rPr>
    </w:lvl>
    <w:lvl w:ilvl="2" w:tplc="5E7081E6">
      <w:start w:val="1"/>
      <w:numFmt w:val="lowerRoman"/>
      <w:lvlText w:val="%3."/>
      <w:lvlJc w:val="right"/>
      <w:pPr>
        <w:tabs>
          <w:tab w:val="num" w:pos="1735"/>
        </w:tabs>
        <w:ind w:left="1735" w:hanging="180"/>
      </w:pPr>
    </w:lvl>
    <w:lvl w:ilvl="3" w:tplc="BCCA1034" w:tentative="1">
      <w:start w:val="1"/>
      <w:numFmt w:val="decimal"/>
      <w:lvlText w:val="%4."/>
      <w:lvlJc w:val="left"/>
      <w:pPr>
        <w:tabs>
          <w:tab w:val="num" w:pos="2455"/>
        </w:tabs>
        <w:ind w:left="2455" w:hanging="360"/>
      </w:pPr>
    </w:lvl>
    <w:lvl w:ilvl="4" w:tplc="E5520E30" w:tentative="1">
      <w:start w:val="1"/>
      <w:numFmt w:val="lowerLetter"/>
      <w:lvlText w:val="%5."/>
      <w:lvlJc w:val="left"/>
      <w:pPr>
        <w:tabs>
          <w:tab w:val="num" w:pos="3175"/>
        </w:tabs>
        <w:ind w:left="3175" w:hanging="360"/>
      </w:pPr>
    </w:lvl>
    <w:lvl w:ilvl="5" w:tplc="8EBE7FCA" w:tentative="1">
      <w:start w:val="1"/>
      <w:numFmt w:val="lowerRoman"/>
      <w:lvlText w:val="%6."/>
      <w:lvlJc w:val="right"/>
      <w:pPr>
        <w:tabs>
          <w:tab w:val="num" w:pos="3895"/>
        </w:tabs>
        <w:ind w:left="3895" w:hanging="180"/>
      </w:pPr>
    </w:lvl>
    <w:lvl w:ilvl="6" w:tplc="F6D01FB6" w:tentative="1">
      <w:start w:val="1"/>
      <w:numFmt w:val="decimal"/>
      <w:lvlText w:val="%7."/>
      <w:lvlJc w:val="left"/>
      <w:pPr>
        <w:tabs>
          <w:tab w:val="num" w:pos="4615"/>
        </w:tabs>
        <w:ind w:left="4615" w:hanging="360"/>
      </w:pPr>
    </w:lvl>
    <w:lvl w:ilvl="7" w:tplc="ED2E85B4" w:tentative="1">
      <w:start w:val="1"/>
      <w:numFmt w:val="lowerLetter"/>
      <w:lvlText w:val="%8."/>
      <w:lvlJc w:val="left"/>
      <w:pPr>
        <w:tabs>
          <w:tab w:val="num" w:pos="5335"/>
        </w:tabs>
        <w:ind w:left="5335" w:hanging="360"/>
      </w:pPr>
    </w:lvl>
    <w:lvl w:ilvl="8" w:tplc="B9463B3E" w:tentative="1">
      <w:start w:val="1"/>
      <w:numFmt w:val="lowerRoman"/>
      <w:lvlText w:val="%9."/>
      <w:lvlJc w:val="right"/>
      <w:pPr>
        <w:tabs>
          <w:tab w:val="num" w:pos="6055"/>
        </w:tabs>
        <w:ind w:left="6055" w:hanging="180"/>
      </w:pPr>
    </w:lvl>
  </w:abstractNum>
  <w:abstractNum w:abstractNumId="11" w15:restartNumberingAfterBreak="0">
    <w:nsid w:val="0EE34811"/>
    <w:multiLevelType w:val="hybridMultilevel"/>
    <w:tmpl w:val="01405B56"/>
    <w:lvl w:ilvl="0" w:tplc="4A389AA8">
      <w:start w:val="1"/>
      <w:numFmt w:val="bullet"/>
      <w:lvlText w:val=" "/>
      <w:lvlJc w:val="left"/>
      <w:pPr>
        <w:tabs>
          <w:tab w:val="num" w:pos="720"/>
        </w:tabs>
        <w:ind w:left="720" w:hanging="360"/>
      </w:pPr>
      <w:rPr>
        <w:rFonts w:ascii="Times New Roman" w:hAnsi="Times New Roman" w:hint="default"/>
      </w:rPr>
    </w:lvl>
    <w:lvl w:ilvl="1" w:tplc="AFF24B9E" w:tentative="1">
      <w:start w:val="1"/>
      <w:numFmt w:val="bullet"/>
      <w:lvlText w:val=" "/>
      <w:lvlJc w:val="left"/>
      <w:pPr>
        <w:tabs>
          <w:tab w:val="num" w:pos="1440"/>
        </w:tabs>
        <w:ind w:left="1440" w:hanging="360"/>
      </w:pPr>
      <w:rPr>
        <w:rFonts w:ascii="Times New Roman" w:hAnsi="Times New Roman" w:hint="default"/>
      </w:rPr>
    </w:lvl>
    <w:lvl w:ilvl="2" w:tplc="3956FA58" w:tentative="1">
      <w:start w:val="1"/>
      <w:numFmt w:val="bullet"/>
      <w:lvlText w:val=" "/>
      <w:lvlJc w:val="left"/>
      <w:pPr>
        <w:tabs>
          <w:tab w:val="num" w:pos="2160"/>
        </w:tabs>
        <w:ind w:left="2160" w:hanging="360"/>
      </w:pPr>
      <w:rPr>
        <w:rFonts w:ascii="Times New Roman" w:hAnsi="Times New Roman" w:hint="default"/>
      </w:rPr>
    </w:lvl>
    <w:lvl w:ilvl="3" w:tplc="AE1CD9DE" w:tentative="1">
      <w:start w:val="1"/>
      <w:numFmt w:val="bullet"/>
      <w:lvlText w:val=" "/>
      <w:lvlJc w:val="left"/>
      <w:pPr>
        <w:tabs>
          <w:tab w:val="num" w:pos="2880"/>
        </w:tabs>
        <w:ind w:left="2880" w:hanging="360"/>
      </w:pPr>
      <w:rPr>
        <w:rFonts w:ascii="Times New Roman" w:hAnsi="Times New Roman" w:hint="default"/>
      </w:rPr>
    </w:lvl>
    <w:lvl w:ilvl="4" w:tplc="9956133C" w:tentative="1">
      <w:start w:val="1"/>
      <w:numFmt w:val="bullet"/>
      <w:lvlText w:val=" "/>
      <w:lvlJc w:val="left"/>
      <w:pPr>
        <w:tabs>
          <w:tab w:val="num" w:pos="3600"/>
        </w:tabs>
        <w:ind w:left="3600" w:hanging="360"/>
      </w:pPr>
      <w:rPr>
        <w:rFonts w:ascii="Times New Roman" w:hAnsi="Times New Roman" w:hint="default"/>
      </w:rPr>
    </w:lvl>
    <w:lvl w:ilvl="5" w:tplc="6CDA7E64" w:tentative="1">
      <w:start w:val="1"/>
      <w:numFmt w:val="bullet"/>
      <w:lvlText w:val=" "/>
      <w:lvlJc w:val="left"/>
      <w:pPr>
        <w:tabs>
          <w:tab w:val="num" w:pos="4320"/>
        </w:tabs>
        <w:ind w:left="4320" w:hanging="360"/>
      </w:pPr>
      <w:rPr>
        <w:rFonts w:ascii="Times New Roman" w:hAnsi="Times New Roman" w:hint="default"/>
      </w:rPr>
    </w:lvl>
    <w:lvl w:ilvl="6" w:tplc="60F8A718" w:tentative="1">
      <w:start w:val="1"/>
      <w:numFmt w:val="bullet"/>
      <w:lvlText w:val=" "/>
      <w:lvlJc w:val="left"/>
      <w:pPr>
        <w:tabs>
          <w:tab w:val="num" w:pos="5040"/>
        </w:tabs>
        <w:ind w:left="5040" w:hanging="360"/>
      </w:pPr>
      <w:rPr>
        <w:rFonts w:ascii="Times New Roman" w:hAnsi="Times New Roman" w:hint="default"/>
      </w:rPr>
    </w:lvl>
    <w:lvl w:ilvl="7" w:tplc="D07CADEA" w:tentative="1">
      <w:start w:val="1"/>
      <w:numFmt w:val="bullet"/>
      <w:lvlText w:val=" "/>
      <w:lvlJc w:val="left"/>
      <w:pPr>
        <w:tabs>
          <w:tab w:val="num" w:pos="5760"/>
        </w:tabs>
        <w:ind w:left="5760" w:hanging="360"/>
      </w:pPr>
      <w:rPr>
        <w:rFonts w:ascii="Times New Roman" w:hAnsi="Times New Roman" w:hint="default"/>
      </w:rPr>
    </w:lvl>
    <w:lvl w:ilvl="8" w:tplc="8C44A194" w:tentative="1">
      <w:start w:val="1"/>
      <w:numFmt w:val="bullet"/>
      <w:lvlText w:val=" "/>
      <w:lvlJc w:val="left"/>
      <w:pPr>
        <w:tabs>
          <w:tab w:val="num" w:pos="6480"/>
        </w:tabs>
        <w:ind w:left="6480" w:hanging="360"/>
      </w:pPr>
      <w:rPr>
        <w:rFonts w:ascii="Times New Roman" w:hAnsi="Times New Roman" w:hint="default"/>
      </w:rPr>
    </w:lvl>
  </w:abstractNum>
  <w:abstractNum w:abstractNumId="12" w15:restartNumberingAfterBreak="0">
    <w:nsid w:val="1F8F63A8"/>
    <w:multiLevelType w:val="hybridMultilevel"/>
    <w:tmpl w:val="F042A3B8"/>
    <w:lvl w:ilvl="0" w:tplc="C6F4F7CA">
      <w:start w:val="1"/>
      <w:numFmt w:val="bullet"/>
      <w:lvlText w:val=" "/>
      <w:lvlJc w:val="left"/>
      <w:pPr>
        <w:tabs>
          <w:tab w:val="num" w:pos="720"/>
        </w:tabs>
        <w:ind w:left="720" w:hanging="360"/>
      </w:pPr>
      <w:rPr>
        <w:rFonts w:ascii="Times New Roman" w:hAnsi="Times New Roman" w:hint="default"/>
      </w:rPr>
    </w:lvl>
    <w:lvl w:ilvl="1" w:tplc="90184D40" w:tentative="1">
      <w:start w:val="1"/>
      <w:numFmt w:val="bullet"/>
      <w:lvlText w:val=" "/>
      <w:lvlJc w:val="left"/>
      <w:pPr>
        <w:tabs>
          <w:tab w:val="num" w:pos="1440"/>
        </w:tabs>
        <w:ind w:left="1440" w:hanging="360"/>
      </w:pPr>
      <w:rPr>
        <w:rFonts w:ascii="Times New Roman" w:hAnsi="Times New Roman" w:hint="default"/>
      </w:rPr>
    </w:lvl>
    <w:lvl w:ilvl="2" w:tplc="EED4C66E" w:tentative="1">
      <w:start w:val="1"/>
      <w:numFmt w:val="bullet"/>
      <w:lvlText w:val=" "/>
      <w:lvlJc w:val="left"/>
      <w:pPr>
        <w:tabs>
          <w:tab w:val="num" w:pos="2160"/>
        </w:tabs>
        <w:ind w:left="2160" w:hanging="360"/>
      </w:pPr>
      <w:rPr>
        <w:rFonts w:ascii="Times New Roman" w:hAnsi="Times New Roman" w:hint="default"/>
      </w:rPr>
    </w:lvl>
    <w:lvl w:ilvl="3" w:tplc="E7EE5B98" w:tentative="1">
      <w:start w:val="1"/>
      <w:numFmt w:val="bullet"/>
      <w:lvlText w:val=" "/>
      <w:lvlJc w:val="left"/>
      <w:pPr>
        <w:tabs>
          <w:tab w:val="num" w:pos="2880"/>
        </w:tabs>
        <w:ind w:left="2880" w:hanging="360"/>
      </w:pPr>
      <w:rPr>
        <w:rFonts w:ascii="Times New Roman" w:hAnsi="Times New Roman" w:hint="default"/>
      </w:rPr>
    </w:lvl>
    <w:lvl w:ilvl="4" w:tplc="67C0B222" w:tentative="1">
      <w:start w:val="1"/>
      <w:numFmt w:val="bullet"/>
      <w:lvlText w:val=" "/>
      <w:lvlJc w:val="left"/>
      <w:pPr>
        <w:tabs>
          <w:tab w:val="num" w:pos="3600"/>
        </w:tabs>
        <w:ind w:left="3600" w:hanging="360"/>
      </w:pPr>
      <w:rPr>
        <w:rFonts w:ascii="Times New Roman" w:hAnsi="Times New Roman" w:hint="default"/>
      </w:rPr>
    </w:lvl>
    <w:lvl w:ilvl="5" w:tplc="72E65474" w:tentative="1">
      <w:start w:val="1"/>
      <w:numFmt w:val="bullet"/>
      <w:lvlText w:val=" "/>
      <w:lvlJc w:val="left"/>
      <w:pPr>
        <w:tabs>
          <w:tab w:val="num" w:pos="4320"/>
        </w:tabs>
        <w:ind w:left="4320" w:hanging="360"/>
      </w:pPr>
      <w:rPr>
        <w:rFonts w:ascii="Times New Roman" w:hAnsi="Times New Roman" w:hint="default"/>
      </w:rPr>
    </w:lvl>
    <w:lvl w:ilvl="6" w:tplc="4058CAE6" w:tentative="1">
      <w:start w:val="1"/>
      <w:numFmt w:val="bullet"/>
      <w:lvlText w:val=" "/>
      <w:lvlJc w:val="left"/>
      <w:pPr>
        <w:tabs>
          <w:tab w:val="num" w:pos="5040"/>
        </w:tabs>
        <w:ind w:left="5040" w:hanging="360"/>
      </w:pPr>
      <w:rPr>
        <w:rFonts w:ascii="Times New Roman" w:hAnsi="Times New Roman" w:hint="default"/>
      </w:rPr>
    </w:lvl>
    <w:lvl w:ilvl="7" w:tplc="7FA8C95C" w:tentative="1">
      <w:start w:val="1"/>
      <w:numFmt w:val="bullet"/>
      <w:lvlText w:val=" "/>
      <w:lvlJc w:val="left"/>
      <w:pPr>
        <w:tabs>
          <w:tab w:val="num" w:pos="5760"/>
        </w:tabs>
        <w:ind w:left="5760" w:hanging="360"/>
      </w:pPr>
      <w:rPr>
        <w:rFonts w:ascii="Times New Roman" w:hAnsi="Times New Roman" w:hint="default"/>
      </w:rPr>
    </w:lvl>
    <w:lvl w:ilvl="8" w:tplc="76307E66" w:tentative="1">
      <w:start w:val="1"/>
      <w:numFmt w:val="bullet"/>
      <w:lvlText w:val=" "/>
      <w:lvlJc w:val="left"/>
      <w:pPr>
        <w:tabs>
          <w:tab w:val="num" w:pos="6480"/>
        </w:tabs>
        <w:ind w:left="6480" w:hanging="360"/>
      </w:pPr>
      <w:rPr>
        <w:rFonts w:ascii="Times New Roman" w:hAnsi="Times New Roman" w:hint="default"/>
      </w:rPr>
    </w:lvl>
  </w:abstractNum>
  <w:abstractNum w:abstractNumId="13" w15:restartNumberingAfterBreak="0">
    <w:nsid w:val="376853DC"/>
    <w:multiLevelType w:val="hybridMultilevel"/>
    <w:tmpl w:val="1EB67E28"/>
    <w:lvl w:ilvl="0" w:tplc="8872F2B2">
      <w:start w:val="1"/>
      <w:numFmt w:val="hebrew1"/>
      <w:lvlText w:val="%1."/>
      <w:lvlJc w:val="center"/>
      <w:pPr>
        <w:ind w:left="1494" w:hanging="360"/>
      </w:pPr>
      <w:rPr>
        <w:rFonts w:ascii="Century" w:hAnsi="Century" w:cs="FrankRuehl"/>
        <w:b w:val="0"/>
        <w:bCs w:val="0"/>
        <w:i w:val="0"/>
        <w:iCs w:val="0"/>
        <w:caps w:val="0"/>
        <w:smallCaps w:val="0"/>
        <w:strike w:val="0"/>
        <w:dstrike w:val="0"/>
        <w:outline w:val="0"/>
        <w:shadow w:val="0"/>
        <w:emboss w:val="0"/>
        <w:imprint w:val="0"/>
        <w:vanish w:val="0"/>
        <w:color w:val="auto"/>
        <w:spacing w:val="10"/>
        <w:w w:val="100"/>
        <w:kern w:val="0"/>
        <w:position w:val="0"/>
        <w:sz w:val="22"/>
        <w:szCs w:val="28"/>
        <w:u w:val="none"/>
        <w:effect w:val="none"/>
        <w:vertAlign w:val="baseline"/>
        <w:lang w:val="en-US"/>
      </w:rPr>
    </w:lvl>
    <w:lvl w:ilvl="1" w:tplc="3B826CDA" w:tentative="1">
      <w:start w:val="1"/>
      <w:numFmt w:val="lowerLetter"/>
      <w:lvlText w:val="%2."/>
      <w:lvlJc w:val="left"/>
      <w:pPr>
        <w:ind w:left="2243" w:hanging="360"/>
      </w:pPr>
    </w:lvl>
    <w:lvl w:ilvl="2" w:tplc="46360DAC" w:tentative="1">
      <w:start w:val="1"/>
      <w:numFmt w:val="lowerRoman"/>
      <w:lvlText w:val="%3."/>
      <w:lvlJc w:val="right"/>
      <w:pPr>
        <w:ind w:left="2963" w:hanging="180"/>
      </w:pPr>
    </w:lvl>
    <w:lvl w:ilvl="3" w:tplc="F74E235C" w:tentative="1">
      <w:start w:val="1"/>
      <w:numFmt w:val="decimal"/>
      <w:lvlText w:val="%4."/>
      <w:lvlJc w:val="left"/>
      <w:pPr>
        <w:ind w:left="3683" w:hanging="360"/>
      </w:pPr>
    </w:lvl>
    <w:lvl w:ilvl="4" w:tplc="DC4E4286" w:tentative="1">
      <w:start w:val="1"/>
      <w:numFmt w:val="lowerLetter"/>
      <w:lvlText w:val="%5."/>
      <w:lvlJc w:val="left"/>
      <w:pPr>
        <w:ind w:left="4403" w:hanging="360"/>
      </w:pPr>
    </w:lvl>
    <w:lvl w:ilvl="5" w:tplc="78CC96F2" w:tentative="1">
      <w:start w:val="1"/>
      <w:numFmt w:val="lowerRoman"/>
      <w:lvlText w:val="%6."/>
      <w:lvlJc w:val="right"/>
      <w:pPr>
        <w:ind w:left="5123" w:hanging="180"/>
      </w:pPr>
    </w:lvl>
    <w:lvl w:ilvl="6" w:tplc="2E1420F4" w:tentative="1">
      <w:start w:val="1"/>
      <w:numFmt w:val="decimal"/>
      <w:lvlText w:val="%7."/>
      <w:lvlJc w:val="left"/>
      <w:pPr>
        <w:ind w:left="5843" w:hanging="360"/>
      </w:pPr>
    </w:lvl>
    <w:lvl w:ilvl="7" w:tplc="7B70F464" w:tentative="1">
      <w:start w:val="1"/>
      <w:numFmt w:val="lowerLetter"/>
      <w:lvlText w:val="%8."/>
      <w:lvlJc w:val="left"/>
      <w:pPr>
        <w:ind w:left="6563" w:hanging="360"/>
      </w:pPr>
    </w:lvl>
    <w:lvl w:ilvl="8" w:tplc="3EFEF7CA" w:tentative="1">
      <w:start w:val="1"/>
      <w:numFmt w:val="lowerRoman"/>
      <w:lvlText w:val="%9."/>
      <w:lvlJc w:val="right"/>
      <w:pPr>
        <w:ind w:left="7283" w:hanging="180"/>
      </w:pPr>
    </w:lvl>
  </w:abstractNum>
  <w:abstractNum w:abstractNumId="14" w15:restartNumberingAfterBreak="0">
    <w:nsid w:val="3CBC322B"/>
    <w:multiLevelType w:val="hybridMultilevel"/>
    <w:tmpl w:val="2A30C312"/>
    <w:lvl w:ilvl="0" w:tplc="FD58DD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12BA3"/>
    <w:multiLevelType w:val="hybridMultilevel"/>
    <w:tmpl w:val="77B03564"/>
    <w:lvl w:ilvl="0" w:tplc="6C127D66">
      <w:start w:val="1"/>
      <w:numFmt w:val="bullet"/>
      <w:lvlText w:val=" "/>
      <w:lvlJc w:val="left"/>
      <w:pPr>
        <w:tabs>
          <w:tab w:val="num" w:pos="720"/>
        </w:tabs>
        <w:ind w:left="720" w:hanging="360"/>
      </w:pPr>
      <w:rPr>
        <w:rFonts w:ascii="Times New Roman" w:hAnsi="Times New Roman" w:hint="default"/>
      </w:rPr>
    </w:lvl>
    <w:lvl w:ilvl="1" w:tplc="39CE1624" w:tentative="1">
      <w:start w:val="1"/>
      <w:numFmt w:val="bullet"/>
      <w:lvlText w:val=" "/>
      <w:lvlJc w:val="left"/>
      <w:pPr>
        <w:tabs>
          <w:tab w:val="num" w:pos="1440"/>
        </w:tabs>
        <w:ind w:left="1440" w:hanging="360"/>
      </w:pPr>
      <w:rPr>
        <w:rFonts w:ascii="Times New Roman" w:hAnsi="Times New Roman" w:hint="default"/>
      </w:rPr>
    </w:lvl>
    <w:lvl w:ilvl="2" w:tplc="B798F0C8" w:tentative="1">
      <w:start w:val="1"/>
      <w:numFmt w:val="bullet"/>
      <w:lvlText w:val=" "/>
      <w:lvlJc w:val="left"/>
      <w:pPr>
        <w:tabs>
          <w:tab w:val="num" w:pos="2160"/>
        </w:tabs>
        <w:ind w:left="2160" w:hanging="360"/>
      </w:pPr>
      <w:rPr>
        <w:rFonts w:ascii="Times New Roman" w:hAnsi="Times New Roman" w:hint="default"/>
      </w:rPr>
    </w:lvl>
    <w:lvl w:ilvl="3" w:tplc="BCFA4EF6" w:tentative="1">
      <w:start w:val="1"/>
      <w:numFmt w:val="bullet"/>
      <w:lvlText w:val=" "/>
      <w:lvlJc w:val="left"/>
      <w:pPr>
        <w:tabs>
          <w:tab w:val="num" w:pos="2880"/>
        </w:tabs>
        <w:ind w:left="2880" w:hanging="360"/>
      </w:pPr>
      <w:rPr>
        <w:rFonts w:ascii="Times New Roman" w:hAnsi="Times New Roman" w:hint="default"/>
      </w:rPr>
    </w:lvl>
    <w:lvl w:ilvl="4" w:tplc="9392B9EC" w:tentative="1">
      <w:start w:val="1"/>
      <w:numFmt w:val="bullet"/>
      <w:lvlText w:val=" "/>
      <w:lvlJc w:val="left"/>
      <w:pPr>
        <w:tabs>
          <w:tab w:val="num" w:pos="3600"/>
        </w:tabs>
        <w:ind w:left="3600" w:hanging="360"/>
      </w:pPr>
      <w:rPr>
        <w:rFonts w:ascii="Times New Roman" w:hAnsi="Times New Roman" w:hint="default"/>
      </w:rPr>
    </w:lvl>
    <w:lvl w:ilvl="5" w:tplc="15E0A6E4" w:tentative="1">
      <w:start w:val="1"/>
      <w:numFmt w:val="bullet"/>
      <w:lvlText w:val=" "/>
      <w:lvlJc w:val="left"/>
      <w:pPr>
        <w:tabs>
          <w:tab w:val="num" w:pos="4320"/>
        </w:tabs>
        <w:ind w:left="4320" w:hanging="360"/>
      </w:pPr>
      <w:rPr>
        <w:rFonts w:ascii="Times New Roman" w:hAnsi="Times New Roman" w:hint="default"/>
      </w:rPr>
    </w:lvl>
    <w:lvl w:ilvl="6" w:tplc="FF02B294" w:tentative="1">
      <w:start w:val="1"/>
      <w:numFmt w:val="bullet"/>
      <w:lvlText w:val=" "/>
      <w:lvlJc w:val="left"/>
      <w:pPr>
        <w:tabs>
          <w:tab w:val="num" w:pos="5040"/>
        </w:tabs>
        <w:ind w:left="5040" w:hanging="360"/>
      </w:pPr>
      <w:rPr>
        <w:rFonts w:ascii="Times New Roman" w:hAnsi="Times New Roman" w:hint="default"/>
      </w:rPr>
    </w:lvl>
    <w:lvl w:ilvl="7" w:tplc="8A1CD9CA" w:tentative="1">
      <w:start w:val="1"/>
      <w:numFmt w:val="bullet"/>
      <w:lvlText w:val=" "/>
      <w:lvlJc w:val="left"/>
      <w:pPr>
        <w:tabs>
          <w:tab w:val="num" w:pos="5760"/>
        </w:tabs>
        <w:ind w:left="5760" w:hanging="360"/>
      </w:pPr>
      <w:rPr>
        <w:rFonts w:ascii="Times New Roman" w:hAnsi="Times New Roman" w:hint="default"/>
      </w:rPr>
    </w:lvl>
    <w:lvl w:ilvl="8" w:tplc="C8F63602" w:tentative="1">
      <w:start w:val="1"/>
      <w:numFmt w:val="bullet"/>
      <w:lvlText w:val=" "/>
      <w:lvlJc w:val="left"/>
      <w:pPr>
        <w:tabs>
          <w:tab w:val="num" w:pos="6480"/>
        </w:tabs>
        <w:ind w:left="6480" w:hanging="360"/>
      </w:pPr>
      <w:rPr>
        <w:rFonts w:ascii="Times New Roman" w:hAnsi="Times New Roman" w:hint="default"/>
      </w:rPr>
    </w:lvl>
  </w:abstractNum>
  <w:abstractNum w:abstractNumId="16" w15:restartNumberingAfterBreak="0">
    <w:nsid w:val="43B961D9"/>
    <w:multiLevelType w:val="hybridMultilevel"/>
    <w:tmpl w:val="18C0DF50"/>
    <w:lvl w:ilvl="0" w:tplc="43823C72">
      <w:start w:val="1"/>
      <w:numFmt w:val="bullet"/>
      <w:lvlText w:val=" "/>
      <w:lvlJc w:val="left"/>
      <w:pPr>
        <w:tabs>
          <w:tab w:val="num" w:pos="720"/>
        </w:tabs>
        <w:ind w:left="720" w:hanging="360"/>
      </w:pPr>
      <w:rPr>
        <w:rFonts w:ascii="Times New Roman" w:hAnsi="Times New Roman" w:hint="default"/>
      </w:rPr>
    </w:lvl>
    <w:lvl w:ilvl="1" w:tplc="67F220C0" w:tentative="1">
      <w:start w:val="1"/>
      <w:numFmt w:val="bullet"/>
      <w:lvlText w:val=" "/>
      <w:lvlJc w:val="left"/>
      <w:pPr>
        <w:tabs>
          <w:tab w:val="num" w:pos="1440"/>
        </w:tabs>
        <w:ind w:left="1440" w:hanging="360"/>
      </w:pPr>
      <w:rPr>
        <w:rFonts w:ascii="Times New Roman" w:hAnsi="Times New Roman" w:hint="default"/>
      </w:rPr>
    </w:lvl>
    <w:lvl w:ilvl="2" w:tplc="BA549F36" w:tentative="1">
      <w:start w:val="1"/>
      <w:numFmt w:val="bullet"/>
      <w:lvlText w:val=" "/>
      <w:lvlJc w:val="left"/>
      <w:pPr>
        <w:tabs>
          <w:tab w:val="num" w:pos="2160"/>
        </w:tabs>
        <w:ind w:left="2160" w:hanging="360"/>
      </w:pPr>
      <w:rPr>
        <w:rFonts w:ascii="Times New Roman" w:hAnsi="Times New Roman" w:hint="default"/>
      </w:rPr>
    </w:lvl>
    <w:lvl w:ilvl="3" w:tplc="616CE6D8" w:tentative="1">
      <w:start w:val="1"/>
      <w:numFmt w:val="bullet"/>
      <w:lvlText w:val=" "/>
      <w:lvlJc w:val="left"/>
      <w:pPr>
        <w:tabs>
          <w:tab w:val="num" w:pos="2880"/>
        </w:tabs>
        <w:ind w:left="2880" w:hanging="360"/>
      </w:pPr>
      <w:rPr>
        <w:rFonts w:ascii="Times New Roman" w:hAnsi="Times New Roman" w:hint="default"/>
      </w:rPr>
    </w:lvl>
    <w:lvl w:ilvl="4" w:tplc="85885C3E" w:tentative="1">
      <w:start w:val="1"/>
      <w:numFmt w:val="bullet"/>
      <w:lvlText w:val=" "/>
      <w:lvlJc w:val="left"/>
      <w:pPr>
        <w:tabs>
          <w:tab w:val="num" w:pos="3600"/>
        </w:tabs>
        <w:ind w:left="3600" w:hanging="360"/>
      </w:pPr>
      <w:rPr>
        <w:rFonts w:ascii="Times New Roman" w:hAnsi="Times New Roman" w:hint="default"/>
      </w:rPr>
    </w:lvl>
    <w:lvl w:ilvl="5" w:tplc="526C5030" w:tentative="1">
      <w:start w:val="1"/>
      <w:numFmt w:val="bullet"/>
      <w:lvlText w:val=" "/>
      <w:lvlJc w:val="left"/>
      <w:pPr>
        <w:tabs>
          <w:tab w:val="num" w:pos="4320"/>
        </w:tabs>
        <w:ind w:left="4320" w:hanging="360"/>
      </w:pPr>
      <w:rPr>
        <w:rFonts w:ascii="Times New Roman" w:hAnsi="Times New Roman" w:hint="default"/>
      </w:rPr>
    </w:lvl>
    <w:lvl w:ilvl="6" w:tplc="B35C631A" w:tentative="1">
      <w:start w:val="1"/>
      <w:numFmt w:val="bullet"/>
      <w:lvlText w:val=" "/>
      <w:lvlJc w:val="left"/>
      <w:pPr>
        <w:tabs>
          <w:tab w:val="num" w:pos="5040"/>
        </w:tabs>
        <w:ind w:left="5040" w:hanging="360"/>
      </w:pPr>
      <w:rPr>
        <w:rFonts w:ascii="Times New Roman" w:hAnsi="Times New Roman" w:hint="default"/>
      </w:rPr>
    </w:lvl>
    <w:lvl w:ilvl="7" w:tplc="5C208D6C" w:tentative="1">
      <w:start w:val="1"/>
      <w:numFmt w:val="bullet"/>
      <w:lvlText w:val=" "/>
      <w:lvlJc w:val="left"/>
      <w:pPr>
        <w:tabs>
          <w:tab w:val="num" w:pos="5760"/>
        </w:tabs>
        <w:ind w:left="5760" w:hanging="360"/>
      </w:pPr>
      <w:rPr>
        <w:rFonts w:ascii="Times New Roman" w:hAnsi="Times New Roman" w:hint="default"/>
      </w:rPr>
    </w:lvl>
    <w:lvl w:ilvl="8" w:tplc="CC6E3E4A" w:tentative="1">
      <w:start w:val="1"/>
      <w:numFmt w:val="bullet"/>
      <w:lvlText w:val=" "/>
      <w:lvlJc w:val="left"/>
      <w:pPr>
        <w:tabs>
          <w:tab w:val="num" w:pos="6480"/>
        </w:tabs>
        <w:ind w:left="6480" w:hanging="360"/>
      </w:pPr>
      <w:rPr>
        <w:rFonts w:ascii="Times New Roman" w:hAnsi="Times New Roman" w:hint="default"/>
      </w:rPr>
    </w:lvl>
  </w:abstractNum>
  <w:abstractNum w:abstractNumId="17" w15:restartNumberingAfterBreak="0">
    <w:nsid w:val="44181DA8"/>
    <w:multiLevelType w:val="hybridMultilevel"/>
    <w:tmpl w:val="F36060E6"/>
    <w:lvl w:ilvl="0" w:tplc="4CFE14E2">
      <w:start w:val="1"/>
      <w:numFmt w:val="decimal"/>
      <w:lvlText w:val="%1)"/>
      <w:lvlJc w:val="left"/>
      <w:pPr>
        <w:ind w:left="1080" w:hanging="360"/>
      </w:pPr>
      <w:rPr>
        <w:rFonts w:ascii="FrankRuehl" w:hAnsi="FrankRuehl" w:cs="FrankRuehl" w:hint="default"/>
        <w:sz w:val="24"/>
        <w:szCs w:val="24"/>
      </w:rPr>
    </w:lvl>
    <w:lvl w:ilvl="1" w:tplc="66DEE696" w:tentative="1">
      <w:start w:val="1"/>
      <w:numFmt w:val="lowerLetter"/>
      <w:lvlText w:val="%2."/>
      <w:lvlJc w:val="left"/>
      <w:pPr>
        <w:ind w:left="1800" w:hanging="360"/>
      </w:pPr>
    </w:lvl>
    <w:lvl w:ilvl="2" w:tplc="8638ADD8" w:tentative="1">
      <w:start w:val="1"/>
      <w:numFmt w:val="lowerRoman"/>
      <w:lvlText w:val="%3."/>
      <w:lvlJc w:val="right"/>
      <w:pPr>
        <w:ind w:left="2520" w:hanging="180"/>
      </w:pPr>
    </w:lvl>
    <w:lvl w:ilvl="3" w:tplc="CFE416F2" w:tentative="1">
      <w:start w:val="1"/>
      <w:numFmt w:val="decimal"/>
      <w:lvlText w:val="%4."/>
      <w:lvlJc w:val="left"/>
      <w:pPr>
        <w:ind w:left="3240" w:hanging="360"/>
      </w:pPr>
    </w:lvl>
    <w:lvl w:ilvl="4" w:tplc="A912B2BC" w:tentative="1">
      <w:start w:val="1"/>
      <w:numFmt w:val="lowerLetter"/>
      <w:lvlText w:val="%5."/>
      <w:lvlJc w:val="left"/>
      <w:pPr>
        <w:ind w:left="3960" w:hanging="360"/>
      </w:pPr>
    </w:lvl>
    <w:lvl w:ilvl="5" w:tplc="679E82C6" w:tentative="1">
      <w:start w:val="1"/>
      <w:numFmt w:val="lowerRoman"/>
      <w:lvlText w:val="%6."/>
      <w:lvlJc w:val="right"/>
      <w:pPr>
        <w:ind w:left="4680" w:hanging="180"/>
      </w:pPr>
    </w:lvl>
    <w:lvl w:ilvl="6" w:tplc="5C84A5B4" w:tentative="1">
      <w:start w:val="1"/>
      <w:numFmt w:val="decimal"/>
      <w:lvlText w:val="%7."/>
      <w:lvlJc w:val="left"/>
      <w:pPr>
        <w:ind w:left="5400" w:hanging="360"/>
      </w:pPr>
    </w:lvl>
    <w:lvl w:ilvl="7" w:tplc="5C60680C" w:tentative="1">
      <w:start w:val="1"/>
      <w:numFmt w:val="lowerLetter"/>
      <w:lvlText w:val="%8."/>
      <w:lvlJc w:val="left"/>
      <w:pPr>
        <w:ind w:left="6120" w:hanging="360"/>
      </w:pPr>
    </w:lvl>
    <w:lvl w:ilvl="8" w:tplc="2ABE325C" w:tentative="1">
      <w:start w:val="1"/>
      <w:numFmt w:val="lowerRoman"/>
      <w:lvlText w:val="%9."/>
      <w:lvlJc w:val="right"/>
      <w:pPr>
        <w:ind w:left="6840" w:hanging="180"/>
      </w:pPr>
    </w:lvl>
  </w:abstractNum>
  <w:abstractNum w:abstractNumId="18" w15:restartNumberingAfterBreak="0">
    <w:nsid w:val="4A3E75C6"/>
    <w:multiLevelType w:val="hybridMultilevel"/>
    <w:tmpl w:val="FD9CD3BA"/>
    <w:lvl w:ilvl="0" w:tplc="1EF4F948">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70B62"/>
    <w:multiLevelType w:val="hybridMultilevel"/>
    <w:tmpl w:val="ADA8711E"/>
    <w:lvl w:ilvl="0" w:tplc="420E8954">
      <w:start w:val="1"/>
      <w:numFmt w:val="hebrew1"/>
      <w:pStyle w:val="Ruller40"/>
      <w:lvlText w:val="%1."/>
      <w:lvlJc w:val="left"/>
      <w:pPr>
        <w:tabs>
          <w:tab w:val="num" w:pos="907"/>
        </w:tabs>
        <w:ind w:left="0" w:firstLine="0"/>
      </w:pPr>
      <w:rPr>
        <w:rFonts w:hint="default"/>
      </w:rPr>
    </w:lvl>
    <w:lvl w:ilvl="1" w:tplc="DD769FE6" w:tentative="1">
      <w:start w:val="1"/>
      <w:numFmt w:val="lowerLetter"/>
      <w:lvlText w:val="%2."/>
      <w:lvlJc w:val="left"/>
      <w:pPr>
        <w:tabs>
          <w:tab w:val="num" w:pos="1440"/>
        </w:tabs>
        <w:ind w:left="1440" w:hanging="360"/>
      </w:pPr>
    </w:lvl>
    <w:lvl w:ilvl="2" w:tplc="A74ED9DC" w:tentative="1">
      <w:start w:val="1"/>
      <w:numFmt w:val="lowerRoman"/>
      <w:lvlText w:val="%3."/>
      <w:lvlJc w:val="right"/>
      <w:pPr>
        <w:tabs>
          <w:tab w:val="num" w:pos="2160"/>
        </w:tabs>
        <w:ind w:left="2160" w:hanging="180"/>
      </w:pPr>
    </w:lvl>
    <w:lvl w:ilvl="3" w:tplc="47CA9076" w:tentative="1">
      <w:start w:val="1"/>
      <w:numFmt w:val="decimal"/>
      <w:lvlText w:val="%4."/>
      <w:lvlJc w:val="left"/>
      <w:pPr>
        <w:tabs>
          <w:tab w:val="num" w:pos="2880"/>
        </w:tabs>
        <w:ind w:left="2880" w:hanging="360"/>
      </w:pPr>
    </w:lvl>
    <w:lvl w:ilvl="4" w:tplc="6D9800E8" w:tentative="1">
      <w:start w:val="1"/>
      <w:numFmt w:val="lowerLetter"/>
      <w:lvlText w:val="%5."/>
      <w:lvlJc w:val="left"/>
      <w:pPr>
        <w:tabs>
          <w:tab w:val="num" w:pos="3600"/>
        </w:tabs>
        <w:ind w:left="3600" w:hanging="360"/>
      </w:pPr>
    </w:lvl>
    <w:lvl w:ilvl="5" w:tplc="1366900A" w:tentative="1">
      <w:start w:val="1"/>
      <w:numFmt w:val="lowerRoman"/>
      <w:lvlText w:val="%6."/>
      <w:lvlJc w:val="right"/>
      <w:pPr>
        <w:tabs>
          <w:tab w:val="num" w:pos="4320"/>
        </w:tabs>
        <w:ind w:left="4320" w:hanging="180"/>
      </w:pPr>
    </w:lvl>
    <w:lvl w:ilvl="6" w:tplc="4B708CB6" w:tentative="1">
      <w:start w:val="1"/>
      <w:numFmt w:val="decimal"/>
      <w:lvlText w:val="%7."/>
      <w:lvlJc w:val="left"/>
      <w:pPr>
        <w:tabs>
          <w:tab w:val="num" w:pos="5040"/>
        </w:tabs>
        <w:ind w:left="5040" w:hanging="360"/>
      </w:pPr>
    </w:lvl>
    <w:lvl w:ilvl="7" w:tplc="C7082656" w:tentative="1">
      <w:start w:val="1"/>
      <w:numFmt w:val="lowerLetter"/>
      <w:lvlText w:val="%8."/>
      <w:lvlJc w:val="left"/>
      <w:pPr>
        <w:tabs>
          <w:tab w:val="num" w:pos="5760"/>
        </w:tabs>
        <w:ind w:left="5760" w:hanging="360"/>
      </w:pPr>
    </w:lvl>
    <w:lvl w:ilvl="8" w:tplc="35DA5C50" w:tentative="1">
      <w:start w:val="1"/>
      <w:numFmt w:val="lowerRoman"/>
      <w:lvlText w:val="%9."/>
      <w:lvlJc w:val="right"/>
      <w:pPr>
        <w:tabs>
          <w:tab w:val="num" w:pos="6480"/>
        </w:tabs>
        <w:ind w:left="6480" w:hanging="180"/>
      </w:pPr>
    </w:lvl>
  </w:abstractNum>
  <w:abstractNum w:abstractNumId="20" w15:restartNumberingAfterBreak="0">
    <w:nsid w:val="54CB43EF"/>
    <w:multiLevelType w:val="hybridMultilevel"/>
    <w:tmpl w:val="D9AC2C36"/>
    <w:lvl w:ilvl="0" w:tplc="38E4CCA2">
      <w:start w:val="1"/>
      <w:numFmt w:val="bullet"/>
      <w:lvlText w:val=" "/>
      <w:lvlJc w:val="left"/>
      <w:pPr>
        <w:tabs>
          <w:tab w:val="num" w:pos="720"/>
        </w:tabs>
        <w:ind w:left="720" w:hanging="360"/>
      </w:pPr>
      <w:rPr>
        <w:rFonts w:ascii="Times New Roman" w:hAnsi="Times New Roman" w:hint="default"/>
      </w:rPr>
    </w:lvl>
    <w:lvl w:ilvl="1" w:tplc="DFB826E8" w:tentative="1">
      <w:start w:val="1"/>
      <w:numFmt w:val="bullet"/>
      <w:lvlText w:val=" "/>
      <w:lvlJc w:val="left"/>
      <w:pPr>
        <w:tabs>
          <w:tab w:val="num" w:pos="1440"/>
        </w:tabs>
        <w:ind w:left="1440" w:hanging="360"/>
      </w:pPr>
      <w:rPr>
        <w:rFonts w:ascii="Times New Roman" w:hAnsi="Times New Roman" w:hint="default"/>
      </w:rPr>
    </w:lvl>
    <w:lvl w:ilvl="2" w:tplc="020010F4" w:tentative="1">
      <w:start w:val="1"/>
      <w:numFmt w:val="bullet"/>
      <w:lvlText w:val=" "/>
      <w:lvlJc w:val="left"/>
      <w:pPr>
        <w:tabs>
          <w:tab w:val="num" w:pos="2160"/>
        </w:tabs>
        <w:ind w:left="2160" w:hanging="360"/>
      </w:pPr>
      <w:rPr>
        <w:rFonts w:ascii="Times New Roman" w:hAnsi="Times New Roman" w:hint="default"/>
      </w:rPr>
    </w:lvl>
    <w:lvl w:ilvl="3" w:tplc="C93EE8B2" w:tentative="1">
      <w:start w:val="1"/>
      <w:numFmt w:val="bullet"/>
      <w:lvlText w:val=" "/>
      <w:lvlJc w:val="left"/>
      <w:pPr>
        <w:tabs>
          <w:tab w:val="num" w:pos="2880"/>
        </w:tabs>
        <w:ind w:left="2880" w:hanging="360"/>
      </w:pPr>
      <w:rPr>
        <w:rFonts w:ascii="Times New Roman" w:hAnsi="Times New Roman" w:hint="default"/>
      </w:rPr>
    </w:lvl>
    <w:lvl w:ilvl="4" w:tplc="91FA8A62" w:tentative="1">
      <w:start w:val="1"/>
      <w:numFmt w:val="bullet"/>
      <w:lvlText w:val=" "/>
      <w:lvlJc w:val="left"/>
      <w:pPr>
        <w:tabs>
          <w:tab w:val="num" w:pos="3600"/>
        </w:tabs>
        <w:ind w:left="3600" w:hanging="360"/>
      </w:pPr>
      <w:rPr>
        <w:rFonts w:ascii="Times New Roman" w:hAnsi="Times New Roman" w:hint="default"/>
      </w:rPr>
    </w:lvl>
    <w:lvl w:ilvl="5" w:tplc="7CA06CD6" w:tentative="1">
      <w:start w:val="1"/>
      <w:numFmt w:val="bullet"/>
      <w:lvlText w:val=" "/>
      <w:lvlJc w:val="left"/>
      <w:pPr>
        <w:tabs>
          <w:tab w:val="num" w:pos="4320"/>
        </w:tabs>
        <w:ind w:left="4320" w:hanging="360"/>
      </w:pPr>
      <w:rPr>
        <w:rFonts w:ascii="Times New Roman" w:hAnsi="Times New Roman" w:hint="default"/>
      </w:rPr>
    </w:lvl>
    <w:lvl w:ilvl="6" w:tplc="C8C270AA" w:tentative="1">
      <w:start w:val="1"/>
      <w:numFmt w:val="bullet"/>
      <w:lvlText w:val=" "/>
      <w:lvlJc w:val="left"/>
      <w:pPr>
        <w:tabs>
          <w:tab w:val="num" w:pos="5040"/>
        </w:tabs>
        <w:ind w:left="5040" w:hanging="360"/>
      </w:pPr>
      <w:rPr>
        <w:rFonts w:ascii="Times New Roman" w:hAnsi="Times New Roman" w:hint="default"/>
      </w:rPr>
    </w:lvl>
    <w:lvl w:ilvl="7" w:tplc="B4607174" w:tentative="1">
      <w:start w:val="1"/>
      <w:numFmt w:val="bullet"/>
      <w:lvlText w:val=" "/>
      <w:lvlJc w:val="left"/>
      <w:pPr>
        <w:tabs>
          <w:tab w:val="num" w:pos="5760"/>
        </w:tabs>
        <w:ind w:left="5760" w:hanging="360"/>
      </w:pPr>
      <w:rPr>
        <w:rFonts w:ascii="Times New Roman" w:hAnsi="Times New Roman" w:hint="default"/>
      </w:rPr>
    </w:lvl>
    <w:lvl w:ilvl="8" w:tplc="08FE6846" w:tentative="1">
      <w:start w:val="1"/>
      <w:numFmt w:val="bullet"/>
      <w:lvlText w:val=" "/>
      <w:lvlJc w:val="left"/>
      <w:pPr>
        <w:tabs>
          <w:tab w:val="num" w:pos="6480"/>
        </w:tabs>
        <w:ind w:left="6480" w:hanging="360"/>
      </w:pPr>
      <w:rPr>
        <w:rFonts w:ascii="Times New Roman" w:hAnsi="Times New Roman" w:hint="default"/>
      </w:rPr>
    </w:lvl>
  </w:abstractNum>
  <w:abstractNum w:abstractNumId="21" w15:restartNumberingAfterBreak="0">
    <w:nsid w:val="6FE73845"/>
    <w:multiLevelType w:val="hybridMultilevel"/>
    <w:tmpl w:val="ECC60FD0"/>
    <w:lvl w:ilvl="0" w:tplc="748A4CE4">
      <w:start w:val="1"/>
      <w:numFmt w:val="hebrew1"/>
      <w:lvlText w:val="%1."/>
      <w:lvlJc w:val="center"/>
      <w:pPr>
        <w:ind w:left="720" w:hanging="360"/>
      </w:pPr>
    </w:lvl>
    <w:lvl w:ilvl="1" w:tplc="405C69A6" w:tentative="1">
      <w:start w:val="1"/>
      <w:numFmt w:val="lowerLetter"/>
      <w:lvlText w:val="%2."/>
      <w:lvlJc w:val="left"/>
      <w:pPr>
        <w:ind w:left="1440" w:hanging="360"/>
      </w:pPr>
    </w:lvl>
    <w:lvl w:ilvl="2" w:tplc="72FE0098" w:tentative="1">
      <w:start w:val="1"/>
      <w:numFmt w:val="lowerRoman"/>
      <w:lvlText w:val="%3."/>
      <w:lvlJc w:val="right"/>
      <w:pPr>
        <w:ind w:left="2160" w:hanging="180"/>
      </w:pPr>
    </w:lvl>
    <w:lvl w:ilvl="3" w:tplc="0EB47B56" w:tentative="1">
      <w:start w:val="1"/>
      <w:numFmt w:val="decimal"/>
      <w:lvlText w:val="%4."/>
      <w:lvlJc w:val="left"/>
      <w:pPr>
        <w:ind w:left="2880" w:hanging="360"/>
      </w:pPr>
    </w:lvl>
    <w:lvl w:ilvl="4" w:tplc="FD0A1F24" w:tentative="1">
      <w:start w:val="1"/>
      <w:numFmt w:val="lowerLetter"/>
      <w:lvlText w:val="%5."/>
      <w:lvlJc w:val="left"/>
      <w:pPr>
        <w:ind w:left="3600" w:hanging="360"/>
      </w:pPr>
    </w:lvl>
    <w:lvl w:ilvl="5" w:tplc="2354B188" w:tentative="1">
      <w:start w:val="1"/>
      <w:numFmt w:val="lowerRoman"/>
      <w:lvlText w:val="%6."/>
      <w:lvlJc w:val="right"/>
      <w:pPr>
        <w:ind w:left="4320" w:hanging="180"/>
      </w:pPr>
    </w:lvl>
    <w:lvl w:ilvl="6" w:tplc="47E21EB6" w:tentative="1">
      <w:start w:val="1"/>
      <w:numFmt w:val="decimal"/>
      <w:lvlText w:val="%7."/>
      <w:lvlJc w:val="left"/>
      <w:pPr>
        <w:ind w:left="5040" w:hanging="360"/>
      </w:pPr>
    </w:lvl>
    <w:lvl w:ilvl="7" w:tplc="9D929606" w:tentative="1">
      <w:start w:val="1"/>
      <w:numFmt w:val="lowerLetter"/>
      <w:lvlText w:val="%8."/>
      <w:lvlJc w:val="left"/>
      <w:pPr>
        <w:ind w:left="5760" w:hanging="360"/>
      </w:pPr>
    </w:lvl>
    <w:lvl w:ilvl="8" w:tplc="13121A9C" w:tentative="1">
      <w:start w:val="1"/>
      <w:numFmt w:val="lowerRoman"/>
      <w:lvlText w:val="%9."/>
      <w:lvlJc w:val="right"/>
      <w:pPr>
        <w:ind w:left="6480" w:hanging="180"/>
      </w:pPr>
    </w:lvl>
  </w:abstractNum>
  <w:abstractNum w:abstractNumId="22" w15:restartNumberingAfterBreak="0">
    <w:nsid w:val="72CA1292"/>
    <w:multiLevelType w:val="hybridMultilevel"/>
    <w:tmpl w:val="57EC6E64"/>
    <w:lvl w:ilvl="0" w:tplc="8AA8E77E">
      <w:start w:val="1"/>
      <w:numFmt w:val="hebrew1"/>
      <w:lvlText w:val="%1."/>
      <w:lvlJc w:val="center"/>
      <w:pPr>
        <w:ind w:left="720" w:hanging="360"/>
      </w:pPr>
    </w:lvl>
    <w:lvl w:ilvl="1" w:tplc="627A4316" w:tentative="1">
      <w:start w:val="1"/>
      <w:numFmt w:val="lowerLetter"/>
      <w:lvlText w:val="%2."/>
      <w:lvlJc w:val="left"/>
      <w:pPr>
        <w:ind w:left="1440" w:hanging="360"/>
      </w:pPr>
    </w:lvl>
    <w:lvl w:ilvl="2" w:tplc="31366524" w:tentative="1">
      <w:start w:val="1"/>
      <w:numFmt w:val="lowerRoman"/>
      <w:lvlText w:val="%3."/>
      <w:lvlJc w:val="right"/>
      <w:pPr>
        <w:ind w:left="2160" w:hanging="180"/>
      </w:pPr>
    </w:lvl>
    <w:lvl w:ilvl="3" w:tplc="9DB0D492" w:tentative="1">
      <w:start w:val="1"/>
      <w:numFmt w:val="decimal"/>
      <w:lvlText w:val="%4."/>
      <w:lvlJc w:val="left"/>
      <w:pPr>
        <w:ind w:left="2880" w:hanging="360"/>
      </w:pPr>
    </w:lvl>
    <w:lvl w:ilvl="4" w:tplc="8C40F9C6" w:tentative="1">
      <w:start w:val="1"/>
      <w:numFmt w:val="lowerLetter"/>
      <w:lvlText w:val="%5."/>
      <w:lvlJc w:val="left"/>
      <w:pPr>
        <w:ind w:left="3600" w:hanging="360"/>
      </w:pPr>
    </w:lvl>
    <w:lvl w:ilvl="5" w:tplc="EE0A7DD2" w:tentative="1">
      <w:start w:val="1"/>
      <w:numFmt w:val="lowerRoman"/>
      <w:lvlText w:val="%6."/>
      <w:lvlJc w:val="right"/>
      <w:pPr>
        <w:ind w:left="4320" w:hanging="180"/>
      </w:pPr>
    </w:lvl>
    <w:lvl w:ilvl="6" w:tplc="5ABA196A" w:tentative="1">
      <w:start w:val="1"/>
      <w:numFmt w:val="decimal"/>
      <w:lvlText w:val="%7."/>
      <w:lvlJc w:val="left"/>
      <w:pPr>
        <w:ind w:left="5040" w:hanging="360"/>
      </w:pPr>
    </w:lvl>
    <w:lvl w:ilvl="7" w:tplc="7436C314" w:tentative="1">
      <w:start w:val="1"/>
      <w:numFmt w:val="lowerLetter"/>
      <w:lvlText w:val="%8."/>
      <w:lvlJc w:val="left"/>
      <w:pPr>
        <w:ind w:left="5760" w:hanging="360"/>
      </w:pPr>
    </w:lvl>
    <w:lvl w:ilvl="8" w:tplc="696A8112" w:tentative="1">
      <w:start w:val="1"/>
      <w:numFmt w:val="lowerRoman"/>
      <w:lvlText w:val="%9."/>
      <w:lvlJc w:val="right"/>
      <w:pPr>
        <w:ind w:left="6480" w:hanging="180"/>
      </w:pPr>
    </w:lvl>
  </w:abstractNum>
  <w:abstractNum w:abstractNumId="23" w15:restartNumberingAfterBreak="0">
    <w:nsid w:val="77B7076B"/>
    <w:multiLevelType w:val="hybridMultilevel"/>
    <w:tmpl w:val="D95A0DD2"/>
    <w:lvl w:ilvl="0" w:tplc="D344541C">
      <w:start w:val="1"/>
      <w:numFmt w:val="hebrew1"/>
      <w:lvlText w:val="%1)"/>
      <w:lvlJc w:val="left"/>
      <w:pPr>
        <w:ind w:left="720" w:hanging="360"/>
      </w:pPr>
      <w:rPr>
        <w:rFonts w:hint="default"/>
        <w:sz w:val="28"/>
      </w:rPr>
    </w:lvl>
    <w:lvl w:ilvl="1" w:tplc="4BDE0E90" w:tentative="1">
      <w:start w:val="1"/>
      <w:numFmt w:val="lowerLetter"/>
      <w:lvlText w:val="%2."/>
      <w:lvlJc w:val="left"/>
      <w:pPr>
        <w:ind w:left="1440" w:hanging="360"/>
      </w:pPr>
    </w:lvl>
    <w:lvl w:ilvl="2" w:tplc="011E1972" w:tentative="1">
      <w:start w:val="1"/>
      <w:numFmt w:val="lowerRoman"/>
      <w:lvlText w:val="%3."/>
      <w:lvlJc w:val="right"/>
      <w:pPr>
        <w:ind w:left="2160" w:hanging="180"/>
      </w:pPr>
    </w:lvl>
    <w:lvl w:ilvl="3" w:tplc="6E3EB46A" w:tentative="1">
      <w:start w:val="1"/>
      <w:numFmt w:val="decimal"/>
      <w:lvlText w:val="%4."/>
      <w:lvlJc w:val="left"/>
      <w:pPr>
        <w:ind w:left="2880" w:hanging="360"/>
      </w:pPr>
    </w:lvl>
    <w:lvl w:ilvl="4" w:tplc="D834CCD2" w:tentative="1">
      <w:start w:val="1"/>
      <w:numFmt w:val="lowerLetter"/>
      <w:lvlText w:val="%5."/>
      <w:lvlJc w:val="left"/>
      <w:pPr>
        <w:ind w:left="3600" w:hanging="360"/>
      </w:pPr>
    </w:lvl>
    <w:lvl w:ilvl="5" w:tplc="19A2D70C" w:tentative="1">
      <w:start w:val="1"/>
      <w:numFmt w:val="lowerRoman"/>
      <w:lvlText w:val="%6."/>
      <w:lvlJc w:val="right"/>
      <w:pPr>
        <w:ind w:left="4320" w:hanging="180"/>
      </w:pPr>
    </w:lvl>
    <w:lvl w:ilvl="6" w:tplc="A6A0C714" w:tentative="1">
      <w:start w:val="1"/>
      <w:numFmt w:val="decimal"/>
      <w:lvlText w:val="%7."/>
      <w:lvlJc w:val="left"/>
      <w:pPr>
        <w:ind w:left="5040" w:hanging="360"/>
      </w:pPr>
    </w:lvl>
    <w:lvl w:ilvl="7" w:tplc="C74ADA0A" w:tentative="1">
      <w:start w:val="1"/>
      <w:numFmt w:val="lowerLetter"/>
      <w:lvlText w:val="%8."/>
      <w:lvlJc w:val="left"/>
      <w:pPr>
        <w:ind w:left="5760" w:hanging="360"/>
      </w:pPr>
    </w:lvl>
    <w:lvl w:ilvl="8" w:tplc="2E0A7E36" w:tentative="1">
      <w:start w:val="1"/>
      <w:numFmt w:val="lowerRoman"/>
      <w:lvlText w:val="%9."/>
      <w:lvlJc w:val="right"/>
      <w:pPr>
        <w:ind w:left="6480" w:hanging="180"/>
      </w:pPr>
    </w:lvl>
  </w:abstractNum>
  <w:abstractNum w:abstractNumId="24" w15:restartNumberingAfterBreak="0">
    <w:nsid w:val="7EEA2779"/>
    <w:multiLevelType w:val="hybridMultilevel"/>
    <w:tmpl w:val="2EEEADCA"/>
    <w:lvl w:ilvl="0" w:tplc="00DEBA9C">
      <w:start w:val="1"/>
      <w:numFmt w:val="decimal"/>
      <w:lvlText w:val="%1)"/>
      <w:lvlJc w:val="left"/>
      <w:pPr>
        <w:ind w:left="1080" w:hanging="360"/>
      </w:pPr>
      <w:rPr>
        <w:rFonts w:ascii="FrankRuehl" w:hAnsi="FrankRuehl" w:cs="FrankRuehl" w:hint="default"/>
        <w:sz w:val="24"/>
        <w:szCs w:val="24"/>
      </w:rPr>
    </w:lvl>
    <w:lvl w:ilvl="1" w:tplc="758E5310" w:tentative="1">
      <w:start w:val="1"/>
      <w:numFmt w:val="lowerLetter"/>
      <w:lvlText w:val="%2."/>
      <w:lvlJc w:val="left"/>
      <w:pPr>
        <w:ind w:left="1800" w:hanging="360"/>
      </w:pPr>
    </w:lvl>
    <w:lvl w:ilvl="2" w:tplc="007CF96E" w:tentative="1">
      <w:start w:val="1"/>
      <w:numFmt w:val="lowerRoman"/>
      <w:lvlText w:val="%3."/>
      <w:lvlJc w:val="right"/>
      <w:pPr>
        <w:ind w:left="2520" w:hanging="180"/>
      </w:pPr>
    </w:lvl>
    <w:lvl w:ilvl="3" w:tplc="87286848" w:tentative="1">
      <w:start w:val="1"/>
      <w:numFmt w:val="decimal"/>
      <w:lvlText w:val="%4."/>
      <w:lvlJc w:val="left"/>
      <w:pPr>
        <w:ind w:left="3240" w:hanging="360"/>
      </w:pPr>
    </w:lvl>
    <w:lvl w:ilvl="4" w:tplc="15EECF30" w:tentative="1">
      <w:start w:val="1"/>
      <w:numFmt w:val="lowerLetter"/>
      <w:lvlText w:val="%5."/>
      <w:lvlJc w:val="left"/>
      <w:pPr>
        <w:ind w:left="3960" w:hanging="360"/>
      </w:pPr>
    </w:lvl>
    <w:lvl w:ilvl="5" w:tplc="F2763A06" w:tentative="1">
      <w:start w:val="1"/>
      <w:numFmt w:val="lowerRoman"/>
      <w:lvlText w:val="%6."/>
      <w:lvlJc w:val="right"/>
      <w:pPr>
        <w:ind w:left="4680" w:hanging="180"/>
      </w:pPr>
    </w:lvl>
    <w:lvl w:ilvl="6" w:tplc="662645E2" w:tentative="1">
      <w:start w:val="1"/>
      <w:numFmt w:val="decimal"/>
      <w:lvlText w:val="%7."/>
      <w:lvlJc w:val="left"/>
      <w:pPr>
        <w:ind w:left="5400" w:hanging="360"/>
      </w:pPr>
    </w:lvl>
    <w:lvl w:ilvl="7" w:tplc="5C882844" w:tentative="1">
      <w:start w:val="1"/>
      <w:numFmt w:val="lowerLetter"/>
      <w:lvlText w:val="%8."/>
      <w:lvlJc w:val="left"/>
      <w:pPr>
        <w:ind w:left="6120" w:hanging="360"/>
      </w:pPr>
    </w:lvl>
    <w:lvl w:ilvl="8" w:tplc="18027496" w:tentative="1">
      <w:start w:val="1"/>
      <w:numFmt w:val="lowerRoman"/>
      <w:lvlText w:val="%9."/>
      <w:lvlJc w:val="right"/>
      <w:pPr>
        <w:ind w:left="6840" w:hanging="180"/>
      </w:pPr>
    </w:lvl>
  </w:abstractNum>
  <w:abstractNum w:abstractNumId="25" w15:restartNumberingAfterBreak="0">
    <w:nsid w:val="7EF41EDA"/>
    <w:multiLevelType w:val="hybridMultilevel"/>
    <w:tmpl w:val="F2AE96CC"/>
    <w:lvl w:ilvl="0" w:tplc="987AE5B0">
      <w:start w:val="1"/>
      <w:numFmt w:val="decimal"/>
      <w:lvlText w:val="%1)"/>
      <w:lvlJc w:val="left"/>
      <w:pPr>
        <w:ind w:left="720" w:hanging="360"/>
      </w:pPr>
      <w:rPr>
        <w:rFonts w:hint="default"/>
        <w:sz w:val="28"/>
      </w:rPr>
    </w:lvl>
    <w:lvl w:ilvl="1" w:tplc="16D67952">
      <w:start w:val="1"/>
      <w:numFmt w:val="lowerLetter"/>
      <w:lvlText w:val="%2."/>
      <w:lvlJc w:val="left"/>
      <w:pPr>
        <w:ind w:left="1440" w:hanging="360"/>
      </w:pPr>
    </w:lvl>
    <w:lvl w:ilvl="2" w:tplc="DF706BE0">
      <w:start w:val="1"/>
      <w:numFmt w:val="lowerRoman"/>
      <w:lvlText w:val="%3."/>
      <w:lvlJc w:val="right"/>
      <w:pPr>
        <w:ind w:left="2160" w:hanging="180"/>
      </w:pPr>
    </w:lvl>
    <w:lvl w:ilvl="3" w:tplc="CB168DBE" w:tentative="1">
      <w:start w:val="1"/>
      <w:numFmt w:val="decimal"/>
      <w:lvlText w:val="%4."/>
      <w:lvlJc w:val="left"/>
      <w:pPr>
        <w:ind w:left="2880" w:hanging="360"/>
      </w:pPr>
    </w:lvl>
    <w:lvl w:ilvl="4" w:tplc="2B363890" w:tentative="1">
      <w:start w:val="1"/>
      <w:numFmt w:val="lowerLetter"/>
      <w:lvlText w:val="%5."/>
      <w:lvlJc w:val="left"/>
      <w:pPr>
        <w:ind w:left="3600" w:hanging="360"/>
      </w:pPr>
    </w:lvl>
    <w:lvl w:ilvl="5" w:tplc="4B72DF12" w:tentative="1">
      <w:start w:val="1"/>
      <w:numFmt w:val="lowerRoman"/>
      <w:lvlText w:val="%6."/>
      <w:lvlJc w:val="right"/>
      <w:pPr>
        <w:ind w:left="4320" w:hanging="180"/>
      </w:pPr>
    </w:lvl>
    <w:lvl w:ilvl="6" w:tplc="4E162AA2" w:tentative="1">
      <w:start w:val="1"/>
      <w:numFmt w:val="decimal"/>
      <w:lvlText w:val="%7."/>
      <w:lvlJc w:val="left"/>
      <w:pPr>
        <w:ind w:left="5040" w:hanging="360"/>
      </w:pPr>
    </w:lvl>
    <w:lvl w:ilvl="7" w:tplc="F7AA0030" w:tentative="1">
      <w:start w:val="1"/>
      <w:numFmt w:val="lowerLetter"/>
      <w:lvlText w:val="%8."/>
      <w:lvlJc w:val="left"/>
      <w:pPr>
        <w:ind w:left="5760" w:hanging="360"/>
      </w:pPr>
    </w:lvl>
    <w:lvl w:ilvl="8" w:tplc="97C28B70"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9"/>
  </w:num>
  <w:num w:numId="13">
    <w:abstractNumId w:val="23"/>
  </w:num>
  <w:num w:numId="14">
    <w:abstractNumId w:val="24"/>
  </w:num>
  <w:num w:numId="15">
    <w:abstractNumId w:val="25"/>
  </w:num>
  <w:num w:numId="16">
    <w:abstractNumId w:val="21"/>
  </w:num>
  <w:num w:numId="17">
    <w:abstractNumId w:val="17"/>
  </w:num>
  <w:num w:numId="18">
    <w:abstractNumId w:val="20"/>
  </w:num>
  <w:num w:numId="19">
    <w:abstractNumId w:val="12"/>
  </w:num>
  <w:num w:numId="20">
    <w:abstractNumId w:val="15"/>
  </w:num>
  <w:num w:numId="21">
    <w:abstractNumId w:val="11"/>
  </w:num>
  <w:num w:numId="22">
    <w:abstractNumId w:val="16"/>
  </w:num>
  <w:num w:numId="23">
    <w:abstractNumId w:val="13"/>
  </w:num>
  <w:num w:numId="24">
    <w:abstractNumId w:val="2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num>
  <w:num w:numId="27">
    <w:abstractNumId w:val="14"/>
  </w:num>
  <w:num w:numId="28">
    <w:abstractNumId w:val="18"/>
  </w:num>
  <w:num w:numId="2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07A65"/>
    <w:rsid w:val="00016EF1"/>
    <w:rsid w:val="00032036"/>
    <w:rsid w:val="00036227"/>
    <w:rsid w:val="00044953"/>
    <w:rsid w:val="00045B4D"/>
    <w:rsid w:val="000725F5"/>
    <w:rsid w:val="00072AD2"/>
    <w:rsid w:val="00086F8B"/>
    <w:rsid w:val="000B1478"/>
    <w:rsid w:val="000C4690"/>
    <w:rsid w:val="000D25C4"/>
    <w:rsid w:val="000E11D2"/>
    <w:rsid w:val="000F14D9"/>
    <w:rsid w:val="00134A67"/>
    <w:rsid w:val="001A0164"/>
    <w:rsid w:val="00200309"/>
    <w:rsid w:val="00200D6B"/>
    <w:rsid w:val="002134BA"/>
    <w:rsid w:val="00265F6E"/>
    <w:rsid w:val="002876BF"/>
    <w:rsid w:val="002A4A7A"/>
    <w:rsid w:val="002A4BF3"/>
    <w:rsid w:val="002E4E30"/>
    <w:rsid w:val="002F7BB6"/>
    <w:rsid w:val="003349E7"/>
    <w:rsid w:val="003448B2"/>
    <w:rsid w:val="00361DB2"/>
    <w:rsid w:val="003715B8"/>
    <w:rsid w:val="0037622E"/>
    <w:rsid w:val="00377102"/>
    <w:rsid w:val="0039709B"/>
    <w:rsid w:val="003D72DA"/>
    <w:rsid w:val="003E4E8E"/>
    <w:rsid w:val="003F1F97"/>
    <w:rsid w:val="0041048F"/>
    <w:rsid w:val="00437D59"/>
    <w:rsid w:val="00452976"/>
    <w:rsid w:val="004610A4"/>
    <w:rsid w:val="004B29FF"/>
    <w:rsid w:val="004C7868"/>
    <w:rsid w:val="00503A3E"/>
    <w:rsid w:val="00527F02"/>
    <w:rsid w:val="005725DF"/>
    <w:rsid w:val="005803E2"/>
    <w:rsid w:val="00582879"/>
    <w:rsid w:val="00583266"/>
    <w:rsid w:val="0058440A"/>
    <w:rsid w:val="00591983"/>
    <w:rsid w:val="00624A42"/>
    <w:rsid w:val="0065522F"/>
    <w:rsid w:val="00673AFD"/>
    <w:rsid w:val="006A30F7"/>
    <w:rsid w:val="006B6970"/>
    <w:rsid w:val="006C42AD"/>
    <w:rsid w:val="007174C8"/>
    <w:rsid w:val="00725345"/>
    <w:rsid w:val="00741CC0"/>
    <w:rsid w:val="00746A9F"/>
    <w:rsid w:val="00763574"/>
    <w:rsid w:val="007A421D"/>
    <w:rsid w:val="007B512F"/>
    <w:rsid w:val="007C5C56"/>
    <w:rsid w:val="007F7512"/>
    <w:rsid w:val="00810894"/>
    <w:rsid w:val="008143AB"/>
    <w:rsid w:val="0083345F"/>
    <w:rsid w:val="00836667"/>
    <w:rsid w:val="00866D0F"/>
    <w:rsid w:val="008B315E"/>
    <w:rsid w:val="008C2F11"/>
    <w:rsid w:val="008D78B9"/>
    <w:rsid w:val="008E3F85"/>
    <w:rsid w:val="009051E8"/>
    <w:rsid w:val="00914156"/>
    <w:rsid w:val="00916FF8"/>
    <w:rsid w:val="00922093"/>
    <w:rsid w:val="00930C85"/>
    <w:rsid w:val="00973522"/>
    <w:rsid w:val="009B38DA"/>
    <w:rsid w:val="009C013F"/>
    <w:rsid w:val="009F2F53"/>
    <w:rsid w:val="009F4187"/>
    <w:rsid w:val="00A12E0F"/>
    <w:rsid w:val="00A51FAE"/>
    <w:rsid w:val="00A80845"/>
    <w:rsid w:val="00A834E3"/>
    <w:rsid w:val="00A9741D"/>
    <w:rsid w:val="00AB69F7"/>
    <w:rsid w:val="00AD097B"/>
    <w:rsid w:val="00AD64B9"/>
    <w:rsid w:val="00AE022B"/>
    <w:rsid w:val="00AE33AD"/>
    <w:rsid w:val="00B009CC"/>
    <w:rsid w:val="00B0782A"/>
    <w:rsid w:val="00B62B8C"/>
    <w:rsid w:val="00B63343"/>
    <w:rsid w:val="00B87FF7"/>
    <w:rsid w:val="00BA0B08"/>
    <w:rsid w:val="00BC0E82"/>
    <w:rsid w:val="00BD40F9"/>
    <w:rsid w:val="00C41C86"/>
    <w:rsid w:val="00C63A6C"/>
    <w:rsid w:val="00CA13AF"/>
    <w:rsid w:val="00CA1444"/>
    <w:rsid w:val="00CA304B"/>
    <w:rsid w:val="00CB1590"/>
    <w:rsid w:val="00CB7600"/>
    <w:rsid w:val="00CC0E9D"/>
    <w:rsid w:val="00CC3639"/>
    <w:rsid w:val="00D00B1D"/>
    <w:rsid w:val="00D00CB7"/>
    <w:rsid w:val="00D25F16"/>
    <w:rsid w:val="00D95CB2"/>
    <w:rsid w:val="00DE3007"/>
    <w:rsid w:val="00DE5C28"/>
    <w:rsid w:val="00E21CA9"/>
    <w:rsid w:val="00E31063"/>
    <w:rsid w:val="00E36FE9"/>
    <w:rsid w:val="00E71126"/>
    <w:rsid w:val="00E73E98"/>
    <w:rsid w:val="00E75223"/>
    <w:rsid w:val="00E90D72"/>
    <w:rsid w:val="00E96DD9"/>
    <w:rsid w:val="00EA0BE1"/>
    <w:rsid w:val="00EC23AC"/>
    <w:rsid w:val="00EC2992"/>
    <w:rsid w:val="00ED46A4"/>
    <w:rsid w:val="00ED6FD9"/>
    <w:rsid w:val="00EE3810"/>
    <w:rsid w:val="00F05533"/>
    <w:rsid w:val="00F63C1B"/>
    <w:rsid w:val="00F63C3B"/>
    <w:rsid w:val="00F959DB"/>
    <w:rsid w:val="00FC02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0A2A3"/>
  <w15:chartTrackingRefBased/>
  <w15:docId w15:val="{4D7299D5-EF01-40CB-8F97-ADD2E9C2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paragraph" w:styleId="1">
    <w:name w:val="heading 1"/>
    <w:basedOn w:val="a"/>
    <w:link w:val="10"/>
    <w:uiPriority w:val="9"/>
    <w:qFormat/>
    <w:rsid w:val="00F05533"/>
    <w:pPr>
      <w:overflowPunct/>
      <w:autoSpaceDE/>
      <w:autoSpaceDN/>
      <w:bidi w:val="0"/>
      <w:adjustRightInd/>
      <w:spacing w:before="100" w:beforeAutospacing="1" w:after="100" w:afterAutospacing="1"/>
      <w:textAlignment w:val="auto"/>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paragraph" w:customStyle="1" w:styleId="ruller31">
    <w:name w:val="ruller 3"/>
    <w:basedOn w:val="a"/>
    <w:rsid w:val="00E96DD9"/>
    <w:pPr>
      <w:overflowPunct/>
      <w:textAlignment w:val="auto"/>
    </w:pPr>
    <w:rPr>
      <w:sz w:val="22"/>
    </w:rPr>
  </w:style>
  <w:style w:type="character" w:customStyle="1" w:styleId="10">
    <w:name w:val="כותרת 1 תו"/>
    <w:basedOn w:val="a0"/>
    <w:link w:val="1"/>
    <w:uiPriority w:val="9"/>
    <w:rsid w:val="00F05533"/>
    <w:rPr>
      <w:b/>
      <w:bCs/>
      <w:kern w:val="36"/>
      <w:sz w:val="48"/>
      <w:szCs w:val="48"/>
    </w:rPr>
  </w:style>
  <w:style w:type="paragraph" w:customStyle="1" w:styleId="Ruller4">
    <w:name w:val="Ruller 4 ממוספר"/>
    <w:basedOn w:val="Ruller41"/>
    <w:next w:val="Ruller41"/>
    <w:rsid w:val="00F05533"/>
    <w:pPr>
      <w:numPr>
        <w:numId w:val="11"/>
      </w:numPr>
    </w:pPr>
    <w:rPr>
      <w:rFonts w:ascii="Garamond" w:hAnsi="Garamond"/>
      <w:sz w:val="24"/>
    </w:rPr>
  </w:style>
  <w:style w:type="paragraph" w:customStyle="1" w:styleId="Ruller40">
    <w:name w:val="Ruller4 אלפביתי"/>
    <w:basedOn w:val="Ruller41"/>
    <w:next w:val="Ruller41"/>
    <w:rsid w:val="00F05533"/>
    <w:pPr>
      <w:numPr>
        <w:numId w:val="12"/>
      </w:numPr>
    </w:pPr>
  </w:style>
  <w:style w:type="character" w:customStyle="1" w:styleId="default">
    <w:name w:val="default"/>
    <w:basedOn w:val="a0"/>
    <w:rsid w:val="00F05533"/>
  </w:style>
  <w:style w:type="paragraph" w:styleId="NormalWeb">
    <w:name w:val="Normal (Web)"/>
    <w:basedOn w:val="a"/>
    <w:uiPriority w:val="99"/>
    <w:unhideWhenUsed/>
    <w:rsid w:val="00F05533"/>
    <w:pPr>
      <w:overflowPunct/>
      <w:autoSpaceDE/>
      <w:autoSpaceDN/>
      <w:bidi w:val="0"/>
      <w:adjustRightInd/>
      <w:spacing w:before="100" w:beforeAutospacing="1" w:after="100" w:afterAutospacing="1"/>
      <w:textAlignment w:val="auto"/>
    </w:pPr>
    <w:rPr>
      <w:rFonts w:cs="Times New Roman"/>
      <w:sz w:val="24"/>
    </w:rPr>
  </w:style>
  <w:style w:type="character" w:customStyle="1" w:styleId="sh4065186743">
    <w:name w:val="sh_4065186743"/>
    <w:basedOn w:val="a0"/>
    <w:rsid w:val="00F05533"/>
  </w:style>
  <w:style w:type="paragraph" w:customStyle="1" w:styleId="ruller42">
    <w:name w:val="ruller4"/>
    <w:basedOn w:val="a"/>
    <w:rsid w:val="00F05533"/>
    <w:pPr>
      <w:overflowPunct/>
      <w:autoSpaceDE/>
      <w:autoSpaceDN/>
      <w:bidi w:val="0"/>
      <w:adjustRightInd/>
      <w:spacing w:before="100" w:beforeAutospacing="1" w:after="100" w:afterAutospacing="1"/>
      <w:textAlignment w:val="auto"/>
    </w:pPr>
    <w:rPr>
      <w:rFonts w:cs="Times New Roman"/>
      <w:sz w:val="24"/>
    </w:rPr>
  </w:style>
  <w:style w:type="paragraph" w:styleId="ae">
    <w:name w:val="endnote text"/>
    <w:basedOn w:val="a"/>
    <w:link w:val="af"/>
    <w:unhideWhenUsed/>
    <w:rsid w:val="00F05533"/>
    <w:rPr>
      <w:rFonts w:ascii="Century" w:hAnsi="Century" w:cs="FrankRuehl"/>
      <w:spacing w:val="10"/>
      <w:szCs w:val="20"/>
    </w:rPr>
  </w:style>
  <w:style w:type="character" w:customStyle="1" w:styleId="af">
    <w:name w:val="טקסט הערת סיום תו"/>
    <w:basedOn w:val="a0"/>
    <w:link w:val="ae"/>
    <w:rsid w:val="00F05533"/>
    <w:rPr>
      <w:rFonts w:ascii="Century" w:hAnsi="Century" w:cs="FrankRuehl"/>
      <w:spacing w:val="10"/>
    </w:rPr>
  </w:style>
  <w:style w:type="character" w:styleId="af0">
    <w:name w:val="endnote reference"/>
    <w:basedOn w:val="a0"/>
    <w:unhideWhenUsed/>
    <w:rsid w:val="00F05533"/>
    <w:rPr>
      <w:vertAlign w:val="superscript"/>
    </w:rPr>
  </w:style>
  <w:style w:type="paragraph" w:styleId="af1">
    <w:name w:val="Revision"/>
    <w:hidden/>
    <w:uiPriority w:val="99"/>
    <w:semiHidden/>
    <w:rsid w:val="00F05533"/>
    <w:rPr>
      <w:rFonts w:ascii="Century" w:hAnsi="Century" w:cs="FrankRuehl"/>
      <w:spacing w:val="1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upreme.court.gov.i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4846E-FC86-4D79-BA16-F102E47E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20695</Words>
  <Characters>98951</Characters>
  <Application>Microsoft Office Word</Application>
  <DocSecurity>0</DocSecurity>
  <Lines>824</Lines>
  <Paragraphs>238</Paragraphs>
  <ScaleCrop>false</ScaleCrop>
  <HeadingPairs>
    <vt:vector size="2" baseType="variant">
      <vt:variant>
        <vt:lpstr>שם</vt:lpstr>
      </vt:variant>
      <vt:variant>
        <vt:i4>1</vt:i4>
      </vt:variant>
    </vt:vector>
  </HeadingPairs>
  <TitlesOfParts>
    <vt:vector size="1" baseType="lpstr">
      <vt:lpstr>פסק-דין בתיק ע"א  9308/20</vt:lpstr>
    </vt:vector>
  </TitlesOfParts>
  <Company/>
  <LinksUpToDate>false</LinksUpToDate>
  <CharactersWithSpaces>119408</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2023-09-26T08:45:11Z</cp:lastPrinted>
  <dcterms:created xsi:type="dcterms:W3CDTF">2023-09-26T08:45:11Z</dcterms:created>
  <dcterms:modified xsi:type="dcterms:W3CDTF">2023-09-26T08:45:11Z</dcterms:modified>
</cp:coreProperties>
</file>