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F5E07" w14:textId="77777777" w:rsidR="00015BDD" w:rsidRPr="00160CD3" w:rsidRDefault="00015BDD" w:rsidP="00015BDD">
      <w:pPr>
        <w:jc w:val="right"/>
        <w:rPr>
          <w:rFonts w:cs="Miriam" w:hint="cs"/>
          <w:b/>
          <w:bCs/>
          <w:sz w:val="2"/>
          <w:szCs w:val="2"/>
          <w:u w:val="single"/>
        </w:rPr>
      </w:pPr>
    </w:p>
    <w:p w14:paraId="6AA71226" w14:textId="77777777" w:rsidR="00015BDD" w:rsidRPr="00377102" w:rsidRDefault="00015BDD" w:rsidP="00015BDD">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15BDD" w14:paraId="396D7967" w14:textId="77777777" w:rsidTr="00B64D26">
        <w:tc>
          <w:tcPr>
            <w:tcW w:w="7848" w:type="dxa"/>
          </w:tcPr>
          <w:p w14:paraId="26703351" w14:textId="77777777" w:rsidR="00015BDD" w:rsidRPr="00624A42" w:rsidRDefault="00015BDD" w:rsidP="00B64D26">
            <w:pPr>
              <w:pStyle w:val="FileNumber0"/>
              <w:rPr>
                <w:sz w:val="28"/>
                <w:u w:val="single"/>
                <w:rtl/>
              </w:rPr>
            </w:pPr>
            <w:r>
              <w:rPr>
                <w:u w:val="single"/>
                <w:rtl/>
              </w:rPr>
              <w:t>בבית המשפט העליון</w:t>
            </w:r>
          </w:p>
        </w:tc>
      </w:tr>
    </w:tbl>
    <w:p w14:paraId="37D72921" w14:textId="77777777" w:rsidR="00015BDD" w:rsidRDefault="00015BDD" w:rsidP="00015BDD">
      <w:pPr>
        <w:jc w:val="right"/>
        <w:rPr>
          <w:rFonts w:cs="Miriam"/>
          <w:b/>
          <w:bCs/>
          <w:u w:val="single"/>
        </w:rPr>
      </w:pPr>
    </w:p>
    <w:tbl>
      <w:tblPr>
        <w:bidiVisual/>
        <w:tblW w:w="8363" w:type="dxa"/>
        <w:tblLook w:val="0000" w:firstRow="0" w:lastRow="0" w:firstColumn="0" w:lastColumn="0" w:noHBand="0" w:noVBand="0"/>
      </w:tblPr>
      <w:tblGrid>
        <w:gridCol w:w="8363"/>
      </w:tblGrid>
      <w:tr w:rsidR="00015BDD" w14:paraId="5A788387" w14:textId="77777777" w:rsidTr="00B64D26">
        <w:trPr>
          <w:trHeight w:val="342"/>
        </w:trPr>
        <w:tc>
          <w:tcPr>
            <w:tcW w:w="9828" w:type="dxa"/>
          </w:tcPr>
          <w:p w14:paraId="5451A01E" w14:textId="77777777" w:rsidR="00015BDD" w:rsidRPr="00810894" w:rsidRDefault="00015BDD" w:rsidP="00B64D26">
            <w:pPr>
              <w:pStyle w:val="FileNumber"/>
              <w:rPr>
                <w:sz w:val="28"/>
                <w:szCs w:val="28"/>
              </w:rPr>
            </w:pPr>
            <w:bookmarkStart w:id="0" w:name="casename_body"/>
            <w:r>
              <w:rPr>
                <w:sz w:val="28"/>
                <w:szCs w:val="28"/>
                <w:rtl/>
              </w:rPr>
              <w:t>דנ"א  1867/21</w:t>
            </w:r>
          </w:p>
        </w:tc>
      </w:tr>
      <w:bookmarkEnd w:id="0"/>
    </w:tbl>
    <w:p w14:paraId="5C5AA9B5" w14:textId="77777777" w:rsidR="00015BDD" w:rsidRDefault="00015BDD" w:rsidP="00015BDD">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15BDD" w14:paraId="5DDC1122" w14:textId="77777777" w:rsidTr="00B64D26">
        <w:trPr>
          <w:trHeight w:val="287"/>
        </w:trPr>
        <w:tc>
          <w:tcPr>
            <w:tcW w:w="3261" w:type="dxa"/>
          </w:tcPr>
          <w:p w14:paraId="1D2D7287" w14:textId="77777777" w:rsidR="00015BDD" w:rsidRDefault="00015BDD" w:rsidP="00B64D26">
            <w:pPr>
              <w:pStyle w:val="BodyRuller"/>
              <w:rPr>
                <w:rFonts w:cs="Miriam"/>
                <w:b/>
                <w:bCs/>
                <w:u w:val="single"/>
              </w:rPr>
            </w:pPr>
            <w:r>
              <w:rPr>
                <w:rFonts w:hint="cs"/>
                <w:rtl/>
              </w:rPr>
              <w:t>ל</w:t>
            </w:r>
            <w:r>
              <w:rPr>
                <w:rtl/>
              </w:rPr>
              <w:t>פני:</w:t>
            </w:r>
            <w:r>
              <w:rPr>
                <w:rtl/>
              </w:rPr>
              <w:tab/>
            </w:r>
          </w:p>
        </w:tc>
        <w:tc>
          <w:tcPr>
            <w:tcW w:w="5239" w:type="dxa"/>
          </w:tcPr>
          <w:p w14:paraId="738F5C7D" w14:textId="77777777" w:rsidR="00015BDD" w:rsidRDefault="00015BDD" w:rsidP="00B64D26">
            <w:pPr>
              <w:pStyle w:val="BodyRuller"/>
            </w:pPr>
            <w:r>
              <w:rPr>
                <w:rtl/>
              </w:rPr>
              <w:t>כבוד הנשיאה א' חיות</w:t>
            </w:r>
          </w:p>
        </w:tc>
      </w:tr>
    </w:tbl>
    <w:p w14:paraId="5E8A2A94" w14:textId="77777777" w:rsidR="00015BDD" w:rsidRPr="00F47D8E" w:rsidRDefault="00015BDD" w:rsidP="00015BDD">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015BDD" w14:paraId="0DF0BE75" w14:textId="77777777" w:rsidTr="00B64D26">
        <w:trPr>
          <w:trHeight w:val="287"/>
        </w:trPr>
        <w:tc>
          <w:tcPr>
            <w:tcW w:w="3261" w:type="dxa"/>
          </w:tcPr>
          <w:p w14:paraId="759058D0" w14:textId="77777777" w:rsidR="00015BDD" w:rsidRPr="00E75223" w:rsidRDefault="00015BDD" w:rsidP="00B64D26">
            <w:pPr>
              <w:pStyle w:val="BodyRuller"/>
              <w:rPr>
                <w:rFonts w:ascii="David" w:hAnsi="David"/>
              </w:rPr>
            </w:pPr>
            <w:r>
              <w:rPr>
                <w:rFonts w:ascii="David" w:hAnsi="David"/>
                <w:rtl/>
              </w:rPr>
              <w:t>המבקש:</w:t>
            </w:r>
          </w:p>
        </w:tc>
        <w:tc>
          <w:tcPr>
            <w:tcW w:w="5239" w:type="dxa"/>
          </w:tcPr>
          <w:p w14:paraId="3DAC16BA" w14:textId="77777777" w:rsidR="00015BDD" w:rsidRDefault="00015BDD" w:rsidP="00B64D26">
            <w:pPr>
              <w:pStyle w:val="BodyRuller"/>
            </w:pPr>
            <w:r>
              <w:rPr>
                <w:rtl/>
              </w:rPr>
              <w:t>מנהל מיסוי מקרקעין תל אביב</w:t>
            </w:r>
          </w:p>
        </w:tc>
      </w:tr>
    </w:tbl>
    <w:p w14:paraId="67C73CA8" w14:textId="77777777" w:rsidR="00015BDD" w:rsidRPr="00160CD3" w:rsidRDefault="00015BDD" w:rsidP="00015BDD">
      <w:pPr>
        <w:pStyle w:val="Ruller3"/>
        <w:rPr>
          <w:sz w:val="10"/>
          <w:szCs w:val="16"/>
        </w:rPr>
      </w:pPr>
    </w:p>
    <w:tbl>
      <w:tblPr>
        <w:bidiVisual/>
        <w:tblW w:w="8363" w:type="dxa"/>
        <w:tblLook w:val="0000" w:firstRow="0" w:lastRow="0" w:firstColumn="0" w:lastColumn="0" w:noHBand="0" w:noVBand="0"/>
      </w:tblPr>
      <w:tblGrid>
        <w:gridCol w:w="3222"/>
        <w:gridCol w:w="5141"/>
      </w:tblGrid>
      <w:tr w:rsidR="00015BDD" w14:paraId="44545F1B" w14:textId="77777777" w:rsidTr="00B64D26">
        <w:tc>
          <w:tcPr>
            <w:tcW w:w="3284" w:type="dxa"/>
          </w:tcPr>
          <w:p w14:paraId="616EF509" w14:textId="77777777" w:rsidR="00015BDD" w:rsidRDefault="00015BDD" w:rsidP="00B64D26">
            <w:pPr>
              <w:pStyle w:val="BodyRuller"/>
            </w:pPr>
          </w:p>
        </w:tc>
        <w:tc>
          <w:tcPr>
            <w:tcW w:w="5238" w:type="dxa"/>
          </w:tcPr>
          <w:p w14:paraId="78BB4BB5" w14:textId="77777777" w:rsidR="00015BDD" w:rsidRDefault="00015BDD" w:rsidP="00B64D26">
            <w:pPr>
              <w:pStyle w:val="BodyRuller"/>
            </w:pPr>
            <w:r>
              <w:rPr>
                <w:rFonts w:hint="cs"/>
                <w:rtl/>
              </w:rPr>
              <w:t>נ</w:t>
            </w:r>
            <w:r>
              <w:t xml:space="preserve">  </w:t>
            </w:r>
            <w:r>
              <w:rPr>
                <w:rFonts w:hint="cs"/>
                <w:rtl/>
              </w:rPr>
              <w:t>ג</w:t>
            </w:r>
            <w:r>
              <w:t xml:space="preserve">  </w:t>
            </w:r>
            <w:r>
              <w:rPr>
                <w:rFonts w:hint="cs"/>
                <w:rtl/>
              </w:rPr>
              <w:t>ד</w:t>
            </w:r>
          </w:p>
        </w:tc>
      </w:tr>
    </w:tbl>
    <w:p w14:paraId="73D16E7D" w14:textId="77777777" w:rsidR="00015BDD" w:rsidRDefault="00015BDD" w:rsidP="00015BDD">
      <w:pPr>
        <w:pStyle w:val="Ruller3"/>
        <w:rPr>
          <w:rtl/>
        </w:rPr>
      </w:pPr>
    </w:p>
    <w:tbl>
      <w:tblPr>
        <w:bidiVisual/>
        <w:tblW w:w="8364" w:type="dxa"/>
        <w:tblLayout w:type="fixed"/>
        <w:tblLook w:val="0000" w:firstRow="0" w:lastRow="0" w:firstColumn="0" w:lastColumn="0" w:noHBand="0" w:noVBand="0"/>
      </w:tblPr>
      <w:tblGrid>
        <w:gridCol w:w="3210"/>
        <w:gridCol w:w="5154"/>
      </w:tblGrid>
      <w:tr w:rsidR="00015BDD" w14:paraId="3D1866A9" w14:textId="77777777" w:rsidTr="00B64D26">
        <w:trPr>
          <w:trHeight w:val="287"/>
        </w:trPr>
        <w:tc>
          <w:tcPr>
            <w:tcW w:w="3261" w:type="dxa"/>
          </w:tcPr>
          <w:p w14:paraId="4488AFE4" w14:textId="77777777" w:rsidR="00015BDD" w:rsidRPr="00E75223" w:rsidRDefault="00015BDD" w:rsidP="00B64D26">
            <w:pPr>
              <w:pStyle w:val="BodyRuller"/>
              <w:rPr>
                <w:rFonts w:ascii="David" w:hAnsi="David"/>
              </w:rPr>
            </w:pPr>
            <w:r>
              <w:rPr>
                <w:rFonts w:ascii="David" w:hAnsi="David"/>
                <w:rtl/>
              </w:rPr>
              <w:t>המשיבים:</w:t>
            </w:r>
          </w:p>
        </w:tc>
        <w:tc>
          <w:tcPr>
            <w:tcW w:w="5239" w:type="dxa"/>
          </w:tcPr>
          <w:p w14:paraId="4AD088AE" w14:textId="77777777" w:rsidR="00015BDD" w:rsidRDefault="00015BDD" w:rsidP="00B64D26">
            <w:pPr>
              <w:pStyle w:val="BodyRuller"/>
            </w:pPr>
            <w:r>
              <w:rPr>
                <w:rtl/>
              </w:rPr>
              <w:t>1. מיטל אביבי רייך</w:t>
            </w:r>
          </w:p>
        </w:tc>
      </w:tr>
      <w:tr w:rsidR="00015BDD" w14:paraId="46DDAC81" w14:textId="77777777" w:rsidTr="00B64D26">
        <w:trPr>
          <w:trHeight w:val="287"/>
        </w:trPr>
        <w:tc>
          <w:tcPr>
            <w:tcW w:w="3261" w:type="dxa"/>
          </w:tcPr>
          <w:p w14:paraId="6C272700" w14:textId="77777777" w:rsidR="00015BDD" w:rsidRDefault="00015BDD" w:rsidP="00B64D26">
            <w:pPr>
              <w:pStyle w:val="BodyRuller"/>
              <w:rPr>
                <w:rFonts w:ascii="David" w:hAnsi="David"/>
                <w:rtl/>
              </w:rPr>
            </w:pPr>
          </w:p>
        </w:tc>
        <w:tc>
          <w:tcPr>
            <w:tcW w:w="5239" w:type="dxa"/>
          </w:tcPr>
          <w:p w14:paraId="35102163" w14:textId="77777777" w:rsidR="00015BDD" w:rsidRDefault="00015BDD" w:rsidP="00B64D26">
            <w:pPr>
              <w:pStyle w:val="BodyRuller"/>
              <w:rPr>
                <w:rtl/>
              </w:rPr>
            </w:pPr>
            <w:r>
              <w:rPr>
                <w:rtl/>
              </w:rPr>
              <w:t>2. דוד רייך</w:t>
            </w:r>
          </w:p>
        </w:tc>
      </w:tr>
    </w:tbl>
    <w:p w14:paraId="412FAD06" w14:textId="77777777" w:rsidR="00015BDD" w:rsidRPr="000175C8" w:rsidRDefault="00015BDD" w:rsidP="00015BDD">
      <w:pPr>
        <w:pStyle w:val="Ruller3"/>
        <w:rPr>
          <w:sz w:val="16"/>
          <w:szCs w:val="22"/>
        </w:rPr>
      </w:pPr>
    </w:p>
    <w:tbl>
      <w:tblPr>
        <w:bidiVisual/>
        <w:tblW w:w="0" w:type="auto"/>
        <w:tblInd w:w="3209" w:type="dxa"/>
        <w:tblLook w:val="0000" w:firstRow="0" w:lastRow="0" w:firstColumn="0" w:lastColumn="0" w:noHBand="0" w:noVBand="0"/>
      </w:tblPr>
      <w:tblGrid>
        <w:gridCol w:w="5103"/>
      </w:tblGrid>
      <w:tr w:rsidR="00015BDD" w14:paraId="701B4ACF" w14:textId="77777777" w:rsidTr="00B64D26">
        <w:tc>
          <w:tcPr>
            <w:tcW w:w="5103" w:type="dxa"/>
          </w:tcPr>
          <w:p w14:paraId="5D0DA90D" w14:textId="77777777" w:rsidR="00015BDD" w:rsidRPr="00265F6E" w:rsidRDefault="00015BDD" w:rsidP="00B64D26">
            <w:pPr>
              <w:pStyle w:val="BodyRuller"/>
              <w:jc w:val="both"/>
              <w:rPr>
                <w:sz w:val="24"/>
                <w:szCs w:val="24"/>
              </w:rPr>
            </w:pPr>
            <w:r>
              <w:rPr>
                <w:rFonts w:hint="cs"/>
                <w:sz w:val="24"/>
                <w:szCs w:val="24"/>
                <w:rtl/>
              </w:rPr>
              <w:t xml:space="preserve">בקשה לקיום דיון נוסף בפסק דינו של בית משפט זה בע"א 9817/17 שניתן ביום 21.2.2021 על ידי כבוד המשנה לנשיאה </w:t>
            </w:r>
            <w:r w:rsidRPr="00A12DD4">
              <w:rPr>
                <w:rFonts w:ascii="Century" w:hAnsi="Century" w:cs="Miriam" w:hint="cs"/>
                <w:b/>
                <w:szCs w:val="24"/>
                <w:rtl/>
              </w:rPr>
              <w:t>ח' מלצר</w:t>
            </w:r>
            <w:r>
              <w:rPr>
                <w:rFonts w:hint="cs"/>
                <w:sz w:val="24"/>
                <w:szCs w:val="24"/>
                <w:rtl/>
              </w:rPr>
              <w:t xml:space="preserve"> וכבוד השופטים: </w:t>
            </w:r>
            <w:r w:rsidRPr="00A12DD4">
              <w:rPr>
                <w:rFonts w:ascii="Century" w:hAnsi="Century" w:cs="Miriam" w:hint="cs"/>
                <w:b/>
                <w:szCs w:val="24"/>
                <w:rtl/>
              </w:rPr>
              <w:t>ד' מינץ</w:t>
            </w:r>
            <w:r>
              <w:rPr>
                <w:rFonts w:hint="cs"/>
                <w:sz w:val="24"/>
                <w:szCs w:val="24"/>
                <w:rtl/>
              </w:rPr>
              <w:t xml:space="preserve"> ו</w:t>
            </w:r>
            <w:r w:rsidRPr="00A12DD4">
              <w:rPr>
                <w:rFonts w:ascii="Century" w:hAnsi="Century" w:cs="Miriam" w:hint="cs"/>
                <w:b/>
                <w:szCs w:val="24"/>
                <w:rtl/>
              </w:rPr>
              <w:t>א' שטיין</w:t>
            </w:r>
            <w:r>
              <w:rPr>
                <w:rFonts w:hint="cs"/>
                <w:sz w:val="24"/>
                <w:szCs w:val="24"/>
                <w:rtl/>
              </w:rPr>
              <w:t>;</w:t>
            </w:r>
            <w:r>
              <w:rPr>
                <w:sz w:val="24"/>
                <w:szCs w:val="24"/>
                <w:rtl/>
              </w:rPr>
              <w:br/>
            </w:r>
            <w:r>
              <w:rPr>
                <w:rFonts w:hint="cs"/>
                <w:sz w:val="24"/>
                <w:szCs w:val="24"/>
                <w:rtl/>
              </w:rPr>
              <w:t>תגובת המשיבים מיום 14.6.2021 לבקשה לקיום דיון נוסף</w:t>
            </w:r>
          </w:p>
        </w:tc>
      </w:tr>
    </w:tbl>
    <w:p w14:paraId="6211E766" w14:textId="77777777" w:rsidR="00015BDD" w:rsidRPr="005E1268" w:rsidRDefault="00015BDD" w:rsidP="00015BDD">
      <w:pPr>
        <w:pStyle w:val="Ruller3"/>
        <w:rPr>
          <w:rtl/>
        </w:rPr>
      </w:pPr>
    </w:p>
    <w:tbl>
      <w:tblPr>
        <w:bidiVisual/>
        <w:tblW w:w="8364" w:type="dxa"/>
        <w:tblLayout w:type="fixed"/>
        <w:tblLook w:val="0000" w:firstRow="0" w:lastRow="0" w:firstColumn="0" w:lastColumn="0" w:noHBand="0" w:noVBand="0"/>
      </w:tblPr>
      <w:tblGrid>
        <w:gridCol w:w="3210"/>
        <w:gridCol w:w="5154"/>
      </w:tblGrid>
      <w:tr w:rsidR="00015BDD" w14:paraId="397AA281" w14:textId="77777777" w:rsidTr="00B64D26">
        <w:trPr>
          <w:trHeight w:val="287"/>
        </w:trPr>
        <w:tc>
          <w:tcPr>
            <w:tcW w:w="3261" w:type="dxa"/>
          </w:tcPr>
          <w:p w14:paraId="63E72C2A" w14:textId="77777777" w:rsidR="00015BDD" w:rsidRPr="00E75223" w:rsidRDefault="00015BDD" w:rsidP="00B64D26">
            <w:pPr>
              <w:pStyle w:val="BodyRuller"/>
              <w:rPr>
                <w:rFonts w:ascii="David" w:hAnsi="David"/>
              </w:rPr>
            </w:pPr>
            <w:r>
              <w:rPr>
                <w:rFonts w:ascii="David" w:hAnsi="David" w:hint="cs"/>
                <w:rtl/>
              </w:rPr>
              <w:t xml:space="preserve">בשם </w:t>
            </w:r>
            <w:r>
              <w:rPr>
                <w:rFonts w:ascii="David" w:hAnsi="David"/>
                <w:rtl/>
              </w:rPr>
              <w:t>המבקש:</w:t>
            </w:r>
          </w:p>
        </w:tc>
        <w:tc>
          <w:tcPr>
            <w:tcW w:w="5239" w:type="dxa"/>
          </w:tcPr>
          <w:p w14:paraId="3696279E" w14:textId="77777777" w:rsidR="00015BDD" w:rsidRDefault="00015BDD" w:rsidP="00B64D26">
            <w:pPr>
              <w:pStyle w:val="BodyRuller"/>
            </w:pPr>
            <w:r>
              <w:rPr>
                <w:rFonts w:hint="cs"/>
                <w:rtl/>
              </w:rPr>
              <w:t xml:space="preserve">עו"ד </w:t>
            </w:r>
            <w:proofErr w:type="spellStart"/>
            <w:r>
              <w:rPr>
                <w:rFonts w:hint="cs"/>
                <w:rtl/>
              </w:rPr>
              <w:t>קמיל</w:t>
            </w:r>
            <w:proofErr w:type="spellEnd"/>
            <w:r>
              <w:rPr>
                <w:rFonts w:hint="cs"/>
                <w:rtl/>
              </w:rPr>
              <w:t xml:space="preserve"> </w:t>
            </w:r>
            <w:proofErr w:type="spellStart"/>
            <w:r>
              <w:rPr>
                <w:rFonts w:hint="cs"/>
                <w:rtl/>
              </w:rPr>
              <w:t>עטילה</w:t>
            </w:r>
            <w:proofErr w:type="spellEnd"/>
            <w:r>
              <w:rPr>
                <w:rFonts w:hint="cs"/>
                <w:rtl/>
              </w:rPr>
              <w:t xml:space="preserve">; עו"ד חן </w:t>
            </w:r>
            <w:proofErr w:type="spellStart"/>
            <w:r>
              <w:rPr>
                <w:rFonts w:hint="cs"/>
                <w:rtl/>
              </w:rPr>
              <w:t>אבידוב</w:t>
            </w:r>
            <w:proofErr w:type="spellEnd"/>
          </w:p>
        </w:tc>
      </w:tr>
    </w:tbl>
    <w:p w14:paraId="30B8FAFE" w14:textId="77777777" w:rsidR="00015BDD" w:rsidRPr="000175C8" w:rsidRDefault="00015BDD" w:rsidP="00015BDD">
      <w:pPr>
        <w:pStyle w:val="Ruller3"/>
        <w:rPr>
          <w:sz w:val="18"/>
          <w:szCs w:val="24"/>
          <w:rtl/>
        </w:rPr>
      </w:pPr>
    </w:p>
    <w:tbl>
      <w:tblPr>
        <w:bidiVisual/>
        <w:tblW w:w="8364" w:type="dxa"/>
        <w:tblLayout w:type="fixed"/>
        <w:tblLook w:val="0000" w:firstRow="0" w:lastRow="0" w:firstColumn="0" w:lastColumn="0" w:noHBand="0" w:noVBand="0"/>
      </w:tblPr>
      <w:tblGrid>
        <w:gridCol w:w="3210"/>
        <w:gridCol w:w="5154"/>
      </w:tblGrid>
      <w:tr w:rsidR="00015BDD" w14:paraId="1965B203" w14:textId="77777777" w:rsidTr="00B64D26">
        <w:trPr>
          <w:trHeight w:val="287"/>
        </w:trPr>
        <w:tc>
          <w:tcPr>
            <w:tcW w:w="3261" w:type="dxa"/>
          </w:tcPr>
          <w:p w14:paraId="4381AABB" w14:textId="77777777" w:rsidR="00015BDD" w:rsidRPr="00E75223" w:rsidRDefault="00015BDD" w:rsidP="00B64D26">
            <w:pPr>
              <w:pStyle w:val="BodyRuller"/>
              <w:rPr>
                <w:rFonts w:ascii="David" w:hAnsi="David"/>
              </w:rPr>
            </w:pPr>
            <w:r>
              <w:rPr>
                <w:rFonts w:ascii="David" w:hAnsi="David" w:hint="cs"/>
                <w:rtl/>
              </w:rPr>
              <w:t xml:space="preserve">בשם </w:t>
            </w:r>
            <w:r>
              <w:rPr>
                <w:rFonts w:ascii="David" w:hAnsi="David"/>
                <w:rtl/>
              </w:rPr>
              <w:t>המ</w:t>
            </w:r>
            <w:r>
              <w:rPr>
                <w:rFonts w:ascii="David" w:hAnsi="David" w:hint="cs"/>
                <w:rtl/>
              </w:rPr>
              <w:t>שיבים</w:t>
            </w:r>
            <w:r>
              <w:rPr>
                <w:rFonts w:ascii="David" w:hAnsi="David"/>
                <w:rtl/>
              </w:rPr>
              <w:t>:</w:t>
            </w:r>
          </w:p>
        </w:tc>
        <w:tc>
          <w:tcPr>
            <w:tcW w:w="5239" w:type="dxa"/>
          </w:tcPr>
          <w:p w14:paraId="607F9435" w14:textId="77777777" w:rsidR="00015BDD" w:rsidRDefault="00015BDD" w:rsidP="00B64D26">
            <w:pPr>
              <w:pStyle w:val="BodyRuller"/>
            </w:pPr>
            <w:r>
              <w:rPr>
                <w:rFonts w:hint="cs"/>
                <w:rtl/>
              </w:rPr>
              <w:t>עו"ד זיו שדה</w:t>
            </w:r>
          </w:p>
        </w:tc>
      </w:tr>
    </w:tbl>
    <w:p w14:paraId="6D6AE11F" w14:textId="77777777" w:rsidR="00015BDD" w:rsidRPr="000175C8" w:rsidRDefault="00015BDD" w:rsidP="00015BDD">
      <w:pPr>
        <w:pStyle w:val="Ruller3"/>
        <w:rPr>
          <w:sz w:val="16"/>
          <w:szCs w:val="22"/>
        </w:rPr>
      </w:pPr>
    </w:p>
    <w:p w14:paraId="384B5FC4" w14:textId="77777777" w:rsidR="00015BDD" w:rsidRPr="000175C8" w:rsidRDefault="00015BDD" w:rsidP="00015BDD">
      <w:pPr>
        <w:tabs>
          <w:tab w:val="left" w:pos="2552"/>
        </w:tabs>
        <w:rPr>
          <w:sz w:val="2"/>
          <w:szCs w:val="6"/>
        </w:rPr>
      </w:pPr>
    </w:p>
    <w:tbl>
      <w:tblPr>
        <w:bidiVisual/>
        <w:tblW w:w="8363" w:type="dxa"/>
        <w:tblLook w:val="0000" w:firstRow="0" w:lastRow="0" w:firstColumn="0" w:lastColumn="0" w:noHBand="0" w:noVBand="0"/>
      </w:tblPr>
      <w:tblGrid>
        <w:gridCol w:w="8363"/>
      </w:tblGrid>
      <w:tr w:rsidR="00015BDD" w14:paraId="789BB31C" w14:textId="77777777" w:rsidTr="00B64D26">
        <w:tc>
          <w:tcPr>
            <w:tcW w:w="9837" w:type="dxa"/>
          </w:tcPr>
          <w:p w14:paraId="3EA5C5A2" w14:textId="77777777" w:rsidR="00015BDD" w:rsidRDefault="00015BDD" w:rsidP="00B64D26">
            <w:pPr>
              <w:pStyle w:val="DocumentHead"/>
            </w:pPr>
            <w:bookmarkStart w:id="1" w:name="secretary"/>
            <w:bookmarkStart w:id="2" w:name="BeginProtocol"/>
            <w:bookmarkEnd w:id="1"/>
            <w:bookmarkEnd w:id="2"/>
            <w:r>
              <w:rPr>
                <w:rtl/>
              </w:rPr>
              <w:t>החלטה</w:t>
            </w:r>
          </w:p>
        </w:tc>
      </w:tr>
    </w:tbl>
    <w:p w14:paraId="08334285" w14:textId="77777777" w:rsidR="00015BDD" w:rsidRDefault="00015BDD" w:rsidP="00015BDD">
      <w:pPr>
        <w:pStyle w:val="BODYVERDICT"/>
      </w:pPr>
    </w:p>
    <w:p w14:paraId="318B99D8" w14:textId="77777777" w:rsidR="00015BDD" w:rsidRPr="005A1E69" w:rsidRDefault="00015BDD" w:rsidP="00015BDD">
      <w:pPr>
        <w:pStyle w:val="Ruller4"/>
        <w:numPr>
          <w:ilvl w:val="0"/>
          <w:numId w:val="0"/>
        </w:numPr>
        <w:rPr>
          <w:rtl/>
        </w:rPr>
      </w:pPr>
      <w:bookmarkStart w:id="3" w:name="Writer_Name"/>
      <w:bookmarkEnd w:id="3"/>
      <w:r>
        <w:rPr>
          <w:rFonts w:ascii="FrankRuehl" w:hAnsi="FrankRuehl"/>
          <w:color w:val="000000"/>
          <w:sz w:val="28"/>
          <w:rtl/>
        </w:rPr>
        <w:tab/>
      </w:r>
      <w:r w:rsidRPr="00A11FC9">
        <w:rPr>
          <w:rFonts w:ascii="FrankRuehl" w:hAnsi="FrankRuehl"/>
          <w:color w:val="000000"/>
          <w:sz w:val="28"/>
          <w:rtl/>
        </w:rPr>
        <w:t xml:space="preserve">בקשה לקיים דיון </w:t>
      </w:r>
      <w:r w:rsidRPr="005A1E69">
        <w:rPr>
          <w:rtl/>
        </w:rPr>
        <w:t>נוסף</w:t>
      </w:r>
      <w:r w:rsidRPr="00A11FC9">
        <w:rPr>
          <w:rFonts w:ascii="FrankRuehl" w:hAnsi="FrankRuehl"/>
          <w:color w:val="000000"/>
          <w:sz w:val="28"/>
          <w:rtl/>
        </w:rPr>
        <w:t xml:space="preserve"> בפסק דינו של בית משפט זה (</w:t>
      </w:r>
      <w:r w:rsidRPr="006D5744">
        <w:rPr>
          <w:rFonts w:ascii="Century" w:hAnsi="Century" w:hint="cs"/>
          <w:sz w:val="22"/>
          <w:rtl/>
        </w:rPr>
        <w:t>המשנה לנשיאה</w:t>
      </w:r>
      <w:r>
        <w:rPr>
          <w:rFonts w:ascii="Miriam" w:hAnsi="Miriam" w:cs="Miriam" w:hint="cs"/>
          <w:color w:val="000000"/>
          <w:szCs w:val="24"/>
          <w:rtl/>
        </w:rPr>
        <w:t xml:space="preserve"> ח</w:t>
      </w:r>
      <w:r w:rsidRPr="00284684">
        <w:rPr>
          <w:rFonts w:ascii="Miriam" w:hAnsi="Miriam" w:cs="Miriam" w:hint="cs"/>
          <w:color w:val="000000"/>
          <w:szCs w:val="24"/>
          <w:rtl/>
        </w:rPr>
        <w:t xml:space="preserve">' </w:t>
      </w:r>
      <w:r>
        <w:rPr>
          <w:rFonts w:ascii="Miriam" w:hAnsi="Miriam" w:cs="Miriam" w:hint="cs"/>
          <w:color w:val="000000"/>
          <w:szCs w:val="24"/>
          <w:rtl/>
        </w:rPr>
        <w:t xml:space="preserve">מלצר </w:t>
      </w:r>
      <w:r w:rsidRPr="006D5744">
        <w:rPr>
          <w:rFonts w:ascii="Century" w:hAnsi="Century" w:hint="cs"/>
          <w:sz w:val="22"/>
          <w:rtl/>
        </w:rPr>
        <w:t>ו</w:t>
      </w:r>
      <w:r w:rsidRPr="00A11FC9">
        <w:rPr>
          <w:rFonts w:ascii="FrankRuehl" w:hAnsi="FrankRuehl"/>
          <w:color w:val="000000"/>
          <w:sz w:val="28"/>
          <w:rtl/>
        </w:rPr>
        <w:t>השופטים</w:t>
      </w:r>
      <w:r w:rsidRPr="00284684">
        <w:rPr>
          <w:rFonts w:ascii="Miriam" w:hAnsi="Miriam" w:cs="Miriam"/>
          <w:color w:val="000000"/>
          <w:szCs w:val="24"/>
          <w:rtl/>
        </w:rPr>
        <w:t xml:space="preserve"> </w:t>
      </w:r>
      <w:r w:rsidRPr="00284684">
        <w:rPr>
          <w:rFonts w:ascii="Miriam" w:hAnsi="Miriam" w:cs="Miriam" w:hint="cs"/>
          <w:color w:val="000000"/>
          <w:szCs w:val="24"/>
          <w:rtl/>
        </w:rPr>
        <w:t xml:space="preserve">ד' מינץ </w:t>
      </w:r>
      <w:r w:rsidRPr="00284684">
        <w:rPr>
          <w:rFonts w:ascii="FrankRuehl" w:hAnsi="FrankRuehl" w:hint="cs"/>
          <w:color w:val="000000"/>
          <w:szCs w:val="24"/>
          <w:rtl/>
        </w:rPr>
        <w:t>ו</w:t>
      </w:r>
      <w:r>
        <w:rPr>
          <w:rFonts w:ascii="Miriam" w:hAnsi="Miriam" w:cs="Miriam" w:hint="cs"/>
          <w:color w:val="000000"/>
          <w:szCs w:val="24"/>
          <w:rtl/>
        </w:rPr>
        <w:t>א' שטיין</w:t>
      </w:r>
      <w:r w:rsidRPr="00A11FC9">
        <w:rPr>
          <w:rFonts w:ascii="FrankRuehl" w:hAnsi="FrankRuehl"/>
          <w:color w:val="000000"/>
          <w:sz w:val="28"/>
          <w:rtl/>
        </w:rPr>
        <w:t xml:space="preserve">) </w:t>
      </w:r>
      <w:r>
        <w:rPr>
          <w:rFonts w:ascii="FrankRuehl" w:hAnsi="FrankRuehl" w:hint="cs"/>
          <w:color w:val="000000"/>
          <w:sz w:val="28"/>
          <w:rtl/>
        </w:rPr>
        <w:t>בע"א 9817/17</w:t>
      </w:r>
      <w:r w:rsidRPr="00A11FC9">
        <w:rPr>
          <w:rFonts w:ascii="FrankRuehl" w:hAnsi="FrankRuehl"/>
          <w:color w:val="000000"/>
          <w:sz w:val="28"/>
          <w:rtl/>
        </w:rPr>
        <w:t xml:space="preserve"> מיום </w:t>
      </w:r>
      <w:r>
        <w:rPr>
          <w:rFonts w:ascii="FrankRuehl" w:hAnsi="FrankRuehl" w:hint="cs"/>
          <w:color w:val="000000"/>
          <w:sz w:val="28"/>
          <w:rtl/>
        </w:rPr>
        <w:t xml:space="preserve">21.2.2021 </w:t>
      </w:r>
      <w:r w:rsidRPr="00A11FC9">
        <w:rPr>
          <w:rFonts w:ascii="FrankRuehl" w:hAnsi="FrankRuehl"/>
          <w:color w:val="000000"/>
          <w:sz w:val="28"/>
          <w:rtl/>
        </w:rPr>
        <w:t>(להלן: </w:t>
      </w:r>
      <w:r w:rsidRPr="00002851">
        <w:rPr>
          <w:rFonts w:ascii="Miriam" w:hAnsi="Miriam" w:cs="Miriam"/>
          <w:color w:val="000000"/>
          <w:szCs w:val="24"/>
          <w:rtl/>
        </w:rPr>
        <w:t>פסק הדין</w:t>
      </w:r>
      <w:r w:rsidRPr="00A11FC9">
        <w:rPr>
          <w:rFonts w:ascii="FrankRuehl" w:hAnsi="FrankRuehl"/>
          <w:color w:val="000000"/>
          <w:sz w:val="28"/>
          <w:rtl/>
        </w:rPr>
        <w:t xml:space="preserve">), </w:t>
      </w:r>
      <w:r>
        <w:rPr>
          <w:rFonts w:ascii="FrankRuehl" w:hAnsi="FrankRuehl" w:hint="cs"/>
          <w:color w:val="000000"/>
          <w:sz w:val="28"/>
          <w:rtl/>
        </w:rPr>
        <w:t xml:space="preserve">בגדרו נדחה ערעור המבקש על החלטה של ועדת הערר (להלן: </w:t>
      </w:r>
      <w:r w:rsidRPr="00DF0520">
        <w:rPr>
          <w:rFonts w:ascii="Century" w:hAnsi="Century" w:cs="Miriam" w:hint="cs"/>
          <w:b/>
          <w:spacing w:val="0"/>
          <w:sz w:val="22"/>
          <w:szCs w:val="24"/>
          <w:rtl/>
        </w:rPr>
        <w:t>ועדת הערר</w:t>
      </w:r>
      <w:r>
        <w:rPr>
          <w:rFonts w:ascii="FrankRuehl" w:hAnsi="FrankRuehl" w:hint="cs"/>
          <w:color w:val="000000"/>
          <w:sz w:val="28"/>
          <w:rtl/>
        </w:rPr>
        <w:t xml:space="preserve">) לפי חוק מיסוי מקרקעין (שבח ורכישה), התשכ"ג-1963 (להלן: </w:t>
      </w:r>
      <w:r w:rsidRPr="00DF0520">
        <w:rPr>
          <w:rFonts w:ascii="Century" w:hAnsi="Century" w:cs="Miriam" w:hint="cs"/>
          <w:b/>
          <w:spacing w:val="0"/>
          <w:sz w:val="22"/>
          <w:szCs w:val="24"/>
          <w:rtl/>
        </w:rPr>
        <w:t>החוק</w:t>
      </w:r>
      <w:r>
        <w:rPr>
          <w:rFonts w:ascii="FrankRuehl" w:hAnsi="FrankRuehl" w:hint="cs"/>
          <w:color w:val="000000"/>
          <w:sz w:val="28"/>
          <w:rtl/>
        </w:rPr>
        <w:t>).</w:t>
      </w:r>
    </w:p>
    <w:p w14:paraId="5399CFC8" w14:textId="77777777" w:rsidR="00015BDD" w:rsidRPr="000175C8" w:rsidRDefault="00015BDD" w:rsidP="00015BDD">
      <w:pPr>
        <w:spacing w:line="360" w:lineRule="atLeast"/>
        <w:ind w:firstLine="720"/>
        <w:jc w:val="both"/>
        <w:rPr>
          <w:rFonts w:ascii="Garamond" w:hAnsi="Garamond" w:cs="Times New Roman"/>
          <w:color w:val="000000"/>
          <w:sz w:val="16"/>
          <w:szCs w:val="16"/>
          <w:rtl/>
        </w:rPr>
      </w:pPr>
    </w:p>
    <w:p w14:paraId="4EC4FD1A" w14:textId="77777777" w:rsidR="00015BDD" w:rsidRPr="002F17F9" w:rsidRDefault="00015BDD" w:rsidP="00015BDD">
      <w:pPr>
        <w:spacing w:line="360" w:lineRule="atLeast"/>
        <w:jc w:val="both"/>
        <w:rPr>
          <w:rFonts w:cs="Miriam"/>
          <w:b/>
          <w:sz w:val="22"/>
          <w:rtl/>
        </w:rPr>
      </w:pPr>
      <w:r w:rsidRPr="002F17F9">
        <w:rPr>
          <w:rFonts w:cs="Miriam" w:hint="cs"/>
          <w:b/>
          <w:sz w:val="22"/>
          <w:rtl/>
        </w:rPr>
        <w:t xml:space="preserve">רקע </w:t>
      </w:r>
    </w:p>
    <w:p w14:paraId="762EB94A" w14:textId="77777777" w:rsidR="00015BDD" w:rsidRDefault="00015BDD" w:rsidP="00015BDD">
      <w:pPr>
        <w:spacing w:line="360" w:lineRule="atLeast"/>
        <w:ind w:firstLine="720"/>
        <w:jc w:val="both"/>
        <w:rPr>
          <w:rFonts w:ascii="Garamond" w:hAnsi="Garamond" w:cs="Times New Roman"/>
          <w:color w:val="000000"/>
          <w:sz w:val="27"/>
          <w:szCs w:val="27"/>
          <w:rtl/>
        </w:rPr>
      </w:pPr>
    </w:p>
    <w:p w14:paraId="79874CD5" w14:textId="424F18B8" w:rsidR="00015BDD" w:rsidRDefault="00015BDD" w:rsidP="00015BDD">
      <w:pPr>
        <w:pStyle w:val="Ruller4"/>
        <w:numPr>
          <w:ilvl w:val="0"/>
          <w:numId w:val="0"/>
        </w:numPr>
        <w:rPr>
          <w:rtl/>
        </w:rPr>
      </w:pPr>
      <w:r w:rsidRPr="00360C42">
        <w:rPr>
          <w:rtl/>
        </w:rPr>
        <w:t xml:space="preserve">1. </w:t>
      </w:r>
      <w:r w:rsidRPr="00360C42">
        <w:rPr>
          <w:rtl/>
        </w:rPr>
        <w:tab/>
      </w:r>
      <w:r>
        <w:rPr>
          <w:rFonts w:hint="cs"/>
          <w:rtl/>
        </w:rPr>
        <w:t xml:space="preserve">ביום 31.8.2016 הגישו המשיבים בקשה לתיקון שומת מס רכישה של דירה בתל אביב, שנערכה ביום 28.6.2012 על בסיס הצהרתם (להלן: </w:t>
      </w:r>
      <w:r w:rsidRPr="000E79DD">
        <w:rPr>
          <w:rFonts w:ascii="Century" w:hAnsi="Century" w:cs="Miriam" w:hint="cs"/>
          <w:b/>
          <w:spacing w:val="0"/>
          <w:sz w:val="22"/>
          <w:szCs w:val="24"/>
          <w:rtl/>
        </w:rPr>
        <w:t>השומה העצמית</w:t>
      </w:r>
      <w:r>
        <w:rPr>
          <w:rFonts w:hint="cs"/>
          <w:rtl/>
        </w:rPr>
        <w:t xml:space="preserve">). ביום 7.9.2016 דחה המבקש את הבקשה, תוך שקבע כי השומה העצמית היא סופית ולא ניתן לשנותה עוד. על החלטה זו הגישו המשיבים ערר, וטענו כי בשומה העצמית נפלה טעות בתום לב, ושבנסיבות העניין יש להעדיף גביית מס אמת. המבקש טען בפני ועדת הערר כי דין הערר להידחות על הסף מחמת התיישנות. זאת, נוכח הוראת סעיף 85 לחוק, אשר קובעת, </w:t>
      </w:r>
      <w:r w:rsidRPr="007810AC">
        <w:rPr>
          <w:rFonts w:hint="eastAsia"/>
          <w:rtl/>
        </w:rPr>
        <w:t>לגישתו</w:t>
      </w:r>
      <w:r w:rsidRPr="007810AC">
        <w:rPr>
          <w:rtl/>
        </w:rPr>
        <w:t xml:space="preserve">, </w:t>
      </w:r>
      <w:r w:rsidRPr="007810AC">
        <w:rPr>
          <w:rFonts w:hint="eastAsia"/>
          <w:rtl/>
        </w:rPr>
        <w:t>הוראת</w:t>
      </w:r>
      <w:r w:rsidRPr="007810AC">
        <w:rPr>
          <w:rtl/>
        </w:rPr>
        <w:t xml:space="preserve"> </w:t>
      </w:r>
      <w:r w:rsidRPr="007810AC">
        <w:rPr>
          <w:rFonts w:hint="eastAsia"/>
          <w:rtl/>
        </w:rPr>
        <w:t>התיישנות</w:t>
      </w:r>
      <w:r w:rsidRPr="007810AC">
        <w:rPr>
          <w:rtl/>
        </w:rPr>
        <w:t xml:space="preserve"> </w:t>
      </w:r>
      <w:r w:rsidRPr="007810AC">
        <w:rPr>
          <w:rFonts w:hint="eastAsia"/>
          <w:rtl/>
        </w:rPr>
        <w:t>מהותית</w:t>
      </w:r>
      <w:r w:rsidRPr="007810AC">
        <w:rPr>
          <w:rtl/>
        </w:rPr>
        <w:t xml:space="preserve"> </w:t>
      </w:r>
      <w:r>
        <w:rPr>
          <w:rFonts w:hint="cs"/>
          <w:rtl/>
        </w:rPr>
        <w:t xml:space="preserve">של </w:t>
      </w:r>
      <w:r w:rsidRPr="007810AC">
        <w:rPr>
          <w:rFonts w:hint="eastAsia"/>
          <w:rtl/>
        </w:rPr>
        <w:t>ארבע</w:t>
      </w:r>
      <w:r w:rsidRPr="007810AC">
        <w:rPr>
          <w:rtl/>
        </w:rPr>
        <w:t xml:space="preserve"> </w:t>
      </w:r>
      <w:r w:rsidRPr="007810AC">
        <w:rPr>
          <w:rFonts w:hint="eastAsia"/>
          <w:rtl/>
        </w:rPr>
        <w:t>שנים</w:t>
      </w:r>
      <w:r w:rsidRPr="007810AC">
        <w:rPr>
          <w:rtl/>
        </w:rPr>
        <w:t xml:space="preserve"> </w:t>
      </w:r>
      <w:r>
        <w:rPr>
          <w:rFonts w:hint="cs"/>
          <w:rtl/>
        </w:rPr>
        <w:t xml:space="preserve">שלאחריהן </w:t>
      </w:r>
      <w:r w:rsidRPr="007810AC">
        <w:rPr>
          <w:rFonts w:hint="eastAsia"/>
          <w:rtl/>
        </w:rPr>
        <w:t>לא</w:t>
      </w:r>
      <w:r w:rsidRPr="007810AC">
        <w:rPr>
          <w:rtl/>
        </w:rPr>
        <w:t xml:space="preserve"> </w:t>
      </w:r>
      <w:r w:rsidRPr="007810AC">
        <w:rPr>
          <w:rFonts w:hint="eastAsia"/>
          <w:rtl/>
        </w:rPr>
        <w:t>ניתן</w:t>
      </w:r>
      <w:r w:rsidRPr="007810AC">
        <w:rPr>
          <w:rtl/>
        </w:rPr>
        <w:t xml:space="preserve"> </w:t>
      </w:r>
      <w:r w:rsidRPr="007810AC">
        <w:rPr>
          <w:rFonts w:hint="eastAsia"/>
          <w:rtl/>
        </w:rPr>
        <w:t>עוד</w:t>
      </w:r>
      <w:r w:rsidRPr="007810AC">
        <w:rPr>
          <w:rtl/>
        </w:rPr>
        <w:t xml:space="preserve"> </w:t>
      </w:r>
      <w:r w:rsidRPr="007810AC">
        <w:rPr>
          <w:rFonts w:hint="eastAsia"/>
          <w:rtl/>
        </w:rPr>
        <w:t>לתקן</w:t>
      </w:r>
      <w:r w:rsidRPr="007810AC">
        <w:rPr>
          <w:rtl/>
        </w:rPr>
        <w:t xml:space="preserve"> </w:t>
      </w:r>
      <w:r w:rsidRPr="007810AC">
        <w:rPr>
          <w:rFonts w:hint="eastAsia"/>
          <w:rtl/>
        </w:rPr>
        <w:lastRenderedPageBreak/>
        <w:t>את</w:t>
      </w:r>
      <w:r w:rsidRPr="007810AC">
        <w:rPr>
          <w:rtl/>
        </w:rPr>
        <w:t xml:space="preserve"> </w:t>
      </w:r>
      <w:r w:rsidRPr="007810AC">
        <w:rPr>
          <w:rFonts w:hint="eastAsia"/>
          <w:rtl/>
        </w:rPr>
        <w:t>שומת</w:t>
      </w:r>
      <w:r w:rsidRPr="007810AC">
        <w:rPr>
          <w:rtl/>
        </w:rPr>
        <w:t xml:space="preserve"> </w:t>
      </w:r>
      <w:r w:rsidR="00C14A02">
        <w:rPr>
          <w:rFonts w:hint="cs"/>
          <w:rtl/>
        </w:rPr>
        <w:t>ה</w:t>
      </w:r>
      <w:r w:rsidRPr="007810AC">
        <w:rPr>
          <w:rFonts w:hint="eastAsia"/>
          <w:rtl/>
        </w:rPr>
        <w:t>מס</w:t>
      </w:r>
      <w:r w:rsidRPr="007810AC">
        <w:rPr>
          <w:rtl/>
        </w:rPr>
        <w:t xml:space="preserve">. </w:t>
      </w:r>
      <w:r>
        <w:rPr>
          <w:rFonts w:hint="cs"/>
          <w:rtl/>
        </w:rPr>
        <w:t xml:space="preserve">עוד נטען </w:t>
      </w:r>
      <w:r w:rsidRPr="005E3282">
        <w:rPr>
          <w:rFonts w:hint="cs"/>
          <w:rtl/>
        </w:rPr>
        <w:t>כי לא ניתן להאריך מועד זה מכוח סעיף 107 לחוק הקובע, כך המבקש, סמכות כללית להארכת מועדים פרוצדורליים</w:t>
      </w:r>
      <w:r>
        <w:rPr>
          <w:rFonts w:hint="cs"/>
          <w:rtl/>
        </w:rPr>
        <w:t xml:space="preserve"> בלבד</w:t>
      </w:r>
      <w:r w:rsidRPr="005E3282">
        <w:rPr>
          <w:rFonts w:hint="cs"/>
          <w:rtl/>
        </w:rPr>
        <w:t xml:space="preserve">. </w:t>
      </w:r>
      <w:r w:rsidRPr="007810AC">
        <w:rPr>
          <w:rtl/>
        </w:rPr>
        <w:tab/>
      </w:r>
    </w:p>
    <w:p w14:paraId="569B7872" w14:textId="77777777" w:rsidR="00015BDD" w:rsidRPr="00160CD3" w:rsidRDefault="00015BDD" w:rsidP="00015BDD">
      <w:pPr>
        <w:pStyle w:val="Ruller40"/>
        <w:rPr>
          <w:sz w:val="12"/>
          <w:szCs w:val="18"/>
          <w:rtl/>
        </w:rPr>
      </w:pPr>
    </w:p>
    <w:p w14:paraId="25688B00" w14:textId="64D1063A" w:rsidR="00015BDD" w:rsidRDefault="00015BDD" w:rsidP="00015BDD">
      <w:pPr>
        <w:pStyle w:val="Ruller4"/>
        <w:numPr>
          <w:ilvl w:val="0"/>
          <w:numId w:val="0"/>
        </w:numPr>
        <w:rPr>
          <w:rtl/>
        </w:rPr>
      </w:pPr>
      <w:r>
        <w:rPr>
          <w:rtl/>
        </w:rPr>
        <w:tab/>
      </w:r>
      <w:r>
        <w:rPr>
          <w:rFonts w:hint="cs"/>
          <w:rtl/>
        </w:rPr>
        <w:t>ביום 22.8.2017 קבעה ועדת הערר פה אחד</w:t>
      </w:r>
      <w:r w:rsidR="00AB190C">
        <w:rPr>
          <w:rFonts w:hint="cs"/>
          <w:rtl/>
        </w:rPr>
        <w:t xml:space="preserve"> בהחלטת ביניים</w:t>
      </w:r>
      <w:r>
        <w:rPr>
          <w:rFonts w:hint="cs"/>
          <w:rtl/>
        </w:rPr>
        <w:t xml:space="preserve"> כי ניתן להאריך את המועד הנקוב בסעיף 85 לחוק מכוח סעיף 107 לחוק. בעקבות כך, הודיע המבקש כי נוכח רצונו לערער על החלטת הוועדה בנוגע לתחולת סעיף 107 לחוק, הוא מסכים לקבלת הערר. הערר התקבל והמבקש הגיש ערעור לבית משפט זה. </w:t>
      </w:r>
    </w:p>
    <w:p w14:paraId="36A953D2" w14:textId="77777777" w:rsidR="00015BDD" w:rsidRPr="00160CD3" w:rsidRDefault="00015BDD" w:rsidP="00015BDD">
      <w:pPr>
        <w:pStyle w:val="Ruller4"/>
        <w:numPr>
          <w:ilvl w:val="0"/>
          <w:numId w:val="0"/>
        </w:numPr>
        <w:rPr>
          <w:sz w:val="12"/>
          <w:szCs w:val="16"/>
          <w:rtl/>
        </w:rPr>
      </w:pPr>
    </w:p>
    <w:p w14:paraId="19016A72" w14:textId="77777777" w:rsidR="00015BDD" w:rsidRPr="00165719" w:rsidRDefault="00015BDD" w:rsidP="00015BDD">
      <w:pPr>
        <w:pStyle w:val="Ruller40"/>
        <w:rPr>
          <w:rFonts w:ascii="Century" w:hAnsi="Century" w:cs="Miriam"/>
          <w:b/>
          <w:spacing w:val="0"/>
          <w:szCs w:val="24"/>
          <w:rtl/>
        </w:rPr>
      </w:pPr>
      <w:r w:rsidRPr="00165719">
        <w:rPr>
          <w:rFonts w:ascii="Century" w:hAnsi="Century" w:cs="Miriam" w:hint="cs"/>
          <w:b/>
          <w:spacing w:val="0"/>
          <w:szCs w:val="24"/>
          <w:rtl/>
        </w:rPr>
        <w:t>פסק הדין נושא הבקשה</w:t>
      </w:r>
    </w:p>
    <w:p w14:paraId="665D5202" w14:textId="77777777" w:rsidR="00015BDD" w:rsidRPr="00160CD3" w:rsidRDefault="00015BDD" w:rsidP="00015BDD">
      <w:pPr>
        <w:pStyle w:val="Ruller40"/>
        <w:rPr>
          <w:sz w:val="12"/>
          <w:szCs w:val="18"/>
          <w:rtl/>
        </w:rPr>
      </w:pPr>
    </w:p>
    <w:p w14:paraId="251FF237" w14:textId="77777777" w:rsidR="00015BDD" w:rsidRDefault="00015BDD" w:rsidP="00015BDD">
      <w:pPr>
        <w:pStyle w:val="Ruller4"/>
        <w:numPr>
          <w:ilvl w:val="0"/>
          <w:numId w:val="0"/>
        </w:numPr>
        <w:rPr>
          <w:rtl/>
        </w:rPr>
      </w:pPr>
      <w:r>
        <w:rPr>
          <w:rFonts w:hint="cs"/>
          <w:rtl/>
        </w:rPr>
        <w:t xml:space="preserve">2. </w:t>
      </w:r>
      <w:r>
        <w:rPr>
          <w:rtl/>
        </w:rPr>
        <w:tab/>
      </w:r>
      <w:r>
        <w:rPr>
          <w:rFonts w:hint="cs"/>
          <w:rtl/>
        </w:rPr>
        <w:t>ביום 21.2.2021 ניתן, כאמור, פסק הדין אשר דחה את ערעור המבקש. הסוגיה העיקרית שעמדה לדיון בערעור נוגעת ליחס שבין הוראות סעיף 85 לחוק והוראות סעיף 107 לחוק. סעיף 85 קובע כי:</w:t>
      </w:r>
    </w:p>
    <w:p w14:paraId="559BF980" w14:textId="77777777" w:rsidR="00015BDD" w:rsidRPr="000175C8" w:rsidRDefault="00015BDD" w:rsidP="00015BDD">
      <w:pPr>
        <w:pStyle w:val="Ruller40"/>
        <w:rPr>
          <w:sz w:val="6"/>
          <w:szCs w:val="12"/>
          <w:rtl/>
        </w:rPr>
      </w:pPr>
    </w:p>
    <w:p w14:paraId="5BBF9551" w14:textId="77777777" w:rsidR="00015BDD" w:rsidRPr="00EF253D" w:rsidRDefault="00015BDD" w:rsidP="00015BDD">
      <w:pPr>
        <w:pStyle w:val="Ruller5"/>
        <w:rPr>
          <w:rFonts w:ascii="Century" w:hAnsi="Century"/>
        </w:rPr>
      </w:pPr>
      <w:r w:rsidRPr="00EF253D">
        <w:rPr>
          <w:rStyle w:val="big-number"/>
          <w:rFonts w:ascii="Century" w:hAnsi="Century" w:hint="cs"/>
          <w:rtl/>
        </w:rPr>
        <w:t>85.   </w:t>
      </w:r>
      <w:r w:rsidRPr="00EF253D">
        <w:rPr>
          <w:rStyle w:val="default"/>
          <w:rFonts w:ascii="Century" w:hAnsi="Century" w:hint="cs"/>
          <w:rtl/>
        </w:rPr>
        <w:t>(א)  המנהל רשאי, בין ביזמתו ובין לפי דרישת מי ששילם מס, לתקן שומה שנעשתה לפי סעיף 78(ב) או (ג) או לפי סעיף 82, תוך ארבע שנים מיום שאושרה כשומה עצמית או מיום שנקבעה שומה לפי מיטב השפיטה, לפי העניין, בכל אחד מהמקרים האלה:</w:t>
      </w:r>
    </w:p>
    <w:p w14:paraId="5FD01AE4" w14:textId="77777777" w:rsidR="00015BDD" w:rsidRPr="000543BF" w:rsidRDefault="00015BDD" w:rsidP="00015BDD">
      <w:pPr>
        <w:pStyle w:val="Ruller5"/>
        <w:rPr>
          <w:rtl/>
        </w:rPr>
      </w:pPr>
      <w:r w:rsidRPr="000543BF">
        <w:rPr>
          <w:rStyle w:val="default"/>
          <w:rFonts w:ascii="Century" w:hAnsi="Century" w:hint="cs"/>
          <w:rtl/>
        </w:rPr>
        <w:t>(1)   נתגלו עובדות חדשות העשויות, לבדן או ביחד עם החומר שהיה בידי המנהל, בעת עשיית השומה, לחייב במס או לשנות את סכום המס;</w:t>
      </w:r>
    </w:p>
    <w:p w14:paraId="4DA48E32" w14:textId="77777777" w:rsidR="00015BDD" w:rsidRPr="000543BF" w:rsidRDefault="00015BDD" w:rsidP="00015BDD">
      <w:pPr>
        <w:pStyle w:val="Ruller5"/>
        <w:rPr>
          <w:rtl/>
        </w:rPr>
      </w:pPr>
      <w:r w:rsidRPr="000543BF">
        <w:rPr>
          <w:rStyle w:val="default"/>
          <w:rFonts w:ascii="Century" w:hAnsi="Century" w:hint="cs"/>
          <w:rtl/>
        </w:rPr>
        <w:t>(2)   המוכר מסר הצהרה בלתי נכונה שהיה בה כדי לשנות את סכום המס או למנוע תשלום מס;</w:t>
      </w:r>
    </w:p>
    <w:p w14:paraId="3CEFE72F" w14:textId="77777777" w:rsidR="00015BDD" w:rsidRPr="000543BF" w:rsidRDefault="00015BDD" w:rsidP="00015BDD">
      <w:pPr>
        <w:pStyle w:val="Ruller5"/>
        <w:rPr>
          <w:rtl/>
        </w:rPr>
      </w:pPr>
      <w:r w:rsidRPr="000543BF">
        <w:rPr>
          <w:rStyle w:val="default"/>
          <w:rFonts w:ascii="Century" w:hAnsi="Century" w:hint="cs"/>
          <w:rtl/>
        </w:rPr>
        <w:t>(3)   נתגלתה טעות בשומה.</w:t>
      </w:r>
    </w:p>
    <w:p w14:paraId="5A84D9CD" w14:textId="77777777" w:rsidR="00015BDD" w:rsidRPr="000543BF" w:rsidRDefault="00015BDD" w:rsidP="00015BDD">
      <w:pPr>
        <w:pStyle w:val="Ruller5"/>
        <w:rPr>
          <w:rtl/>
        </w:rPr>
      </w:pPr>
      <w:r w:rsidRPr="000543BF">
        <w:rPr>
          <w:rStyle w:val="default"/>
          <w:rFonts w:ascii="Century" w:hAnsi="Century" w:hint="cs"/>
          <w:rtl/>
        </w:rPr>
        <w:t>         </w:t>
      </w:r>
    </w:p>
    <w:p w14:paraId="35A4849C" w14:textId="77777777" w:rsidR="00015BDD" w:rsidRDefault="00015BDD" w:rsidP="00015BDD">
      <w:pPr>
        <w:pStyle w:val="Ruller40"/>
        <w:rPr>
          <w:rtl/>
        </w:rPr>
      </w:pPr>
      <w:r>
        <w:rPr>
          <w:rFonts w:hint="cs"/>
          <w:rtl/>
        </w:rPr>
        <w:tab/>
        <w:t>סעיף 107 לחוק קובע כי:</w:t>
      </w:r>
    </w:p>
    <w:p w14:paraId="0380272C" w14:textId="77777777" w:rsidR="00015BDD" w:rsidRPr="000175C8" w:rsidRDefault="00015BDD" w:rsidP="00015BDD">
      <w:pPr>
        <w:pStyle w:val="Ruller40"/>
        <w:rPr>
          <w:rFonts w:ascii="Century" w:hAnsi="Century"/>
          <w:sz w:val="4"/>
          <w:szCs w:val="10"/>
          <w:rtl/>
        </w:rPr>
      </w:pPr>
    </w:p>
    <w:p w14:paraId="666B75EF" w14:textId="77777777" w:rsidR="00015BDD" w:rsidRPr="000543BF" w:rsidRDefault="00015BDD" w:rsidP="00015BDD">
      <w:pPr>
        <w:pStyle w:val="Ruller5"/>
        <w:rPr>
          <w:rFonts w:ascii="Century" w:hAnsi="Century"/>
          <w:rtl/>
        </w:rPr>
      </w:pPr>
      <w:r w:rsidRPr="000543BF">
        <w:rPr>
          <w:rStyle w:val="big-number"/>
          <w:rFonts w:ascii="Century" w:hAnsi="Century" w:hint="cs"/>
          <w:rtl/>
        </w:rPr>
        <w:t>107. </w:t>
      </w:r>
      <w:r w:rsidRPr="000543BF">
        <w:rPr>
          <w:rStyle w:val="default"/>
          <w:rFonts w:ascii="Century" w:hAnsi="Century" w:hint="cs"/>
          <w:rtl/>
        </w:rPr>
        <w:t>(א)  המנהל רשאי להאריך כל מועד שנקבע בחוק זה, אם נתבקש לכך ואם ראה סיבה מספקת להיעתר לבקשה.</w:t>
      </w:r>
    </w:p>
    <w:p w14:paraId="43983F72" w14:textId="77777777" w:rsidR="00015BDD" w:rsidRDefault="00015BDD" w:rsidP="00015BDD">
      <w:pPr>
        <w:pStyle w:val="Ruller40"/>
        <w:rPr>
          <w:rtl/>
        </w:rPr>
      </w:pPr>
    </w:p>
    <w:p w14:paraId="42C6C84A" w14:textId="77A67AE6" w:rsidR="00015BDD" w:rsidRDefault="00015BDD" w:rsidP="00015BDD">
      <w:pPr>
        <w:pStyle w:val="Ruller4"/>
        <w:numPr>
          <w:ilvl w:val="0"/>
          <w:numId w:val="0"/>
        </w:numPr>
        <w:rPr>
          <w:rtl/>
        </w:rPr>
      </w:pPr>
      <w:r>
        <w:rPr>
          <w:rFonts w:hint="cs"/>
          <w:rtl/>
        </w:rPr>
        <w:t xml:space="preserve">3. </w:t>
      </w:r>
      <w:r>
        <w:rPr>
          <w:rtl/>
        </w:rPr>
        <w:tab/>
      </w:r>
      <w:r>
        <w:rPr>
          <w:rFonts w:hint="cs"/>
          <w:rtl/>
        </w:rPr>
        <w:t xml:space="preserve">השופט </w:t>
      </w:r>
      <w:r w:rsidRPr="00393BA3">
        <w:rPr>
          <w:rFonts w:ascii="Century" w:hAnsi="Century" w:cs="Miriam" w:hint="cs"/>
          <w:b/>
          <w:spacing w:val="0"/>
          <w:sz w:val="22"/>
          <w:szCs w:val="24"/>
          <w:rtl/>
        </w:rPr>
        <w:t>מינץ</w:t>
      </w:r>
      <w:r>
        <w:rPr>
          <w:rFonts w:ascii="Century" w:hAnsi="Century" w:hint="cs"/>
          <w:sz w:val="22"/>
          <w:rtl/>
        </w:rPr>
        <w:t>, שחוות דעתו התקבלה בדעת רוב, קבע כי לשון סעיף 107 לחוק היא חד-משמעית, ולפיה המנהל רשאי להאריך "</w:t>
      </w:r>
      <w:r w:rsidRPr="00D80ED3">
        <w:rPr>
          <w:rFonts w:ascii="Century" w:hAnsi="Century" w:cs="Miriam" w:hint="cs"/>
          <w:b/>
          <w:spacing w:val="0"/>
          <w:sz w:val="22"/>
          <w:szCs w:val="24"/>
          <w:rtl/>
        </w:rPr>
        <w:t>כל מועד</w:t>
      </w:r>
      <w:r>
        <w:rPr>
          <w:rFonts w:ascii="Century" w:hAnsi="Century" w:hint="cs"/>
          <w:sz w:val="22"/>
          <w:rtl/>
        </w:rPr>
        <w:t xml:space="preserve"> בחוק", וכי נוסח זה נושא משמעות אחת בלבד לענייננו והיא </w:t>
      </w:r>
      <w:r>
        <w:rPr>
          <w:rFonts w:ascii="Century" w:hAnsi="Century"/>
          <w:sz w:val="22"/>
          <w:rtl/>
        </w:rPr>
        <w:t>–</w:t>
      </w:r>
      <w:r>
        <w:rPr>
          <w:rFonts w:ascii="Century" w:hAnsi="Century" w:hint="cs"/>
          <w:sz w:val="22"/>
          <w:rtl/>
        </w:rPr>
        <w:t xml:space="preserve"> הסמכה להאריך את המועד הקבוע בסעיף 85 לחוק. השופט </w:t>
      </w:r>
      <w:r w:rsidRPr="00A561C6">
        <w:rPr>
          <w:rFonts w:ascii="Century" w:hAnsi="Century" w:cs="Miriam" w:hint="cs"/>
          <w:b/>
          <w:spacing w:val="0"/>
          <w:sz w:val="22"/>
          <w:szCs w:val="24"/>
          <w:rtl/>
        </w:rPr>
        <w:t>מינץ</w:t>
      </w:r>
      <w:r>
        <w:rPr>
          <w:rFonts w:ascii="Century" w:hAnsi="Century" w:hint="cs"/>
          <w:sz w:val="22"/>
          <w:rtl/>
        </w:rPr>
        <w:t xml:space="preserve"> הוסיף כי הוא "מוכן להניח" שסעיף 85 לחוק אכן קובע הסדר של התיישנות מהותית, אך לגישתו סעיף 107 לחוק מאפשר "להפיח חיים חדשים" בזכות שפקעה בשל חלוף המועד הנקוב בסעיף 85 לחוק. בהקשר זה הפנה השופט </w:t>
      </w:r>
      <w:r w:rsidRPr="00D80ED3">
        <w:rPr>
          <w:rFonts w:ascii="Century" w:hAnsi="Century" w:cs="Miriam" w:hint="cs"/>
          <w:b/>
          <w:spacing w:val="0"/>
          <w:sz w:val="22"/>
          <w:szCs w:val="24"/>
          <w:rtl/>
        </w:rPr>
        <w:t>מינץ</w:t>
      </w:r>
      <w:r>
        <w:rPr>
          <w:rFonts w:ascii="Century" w:hAnsi="Century" w:hint="cs"/>
          <w:sz w:val="22"/>
          <w:rtl/>
        </w:rPr>
        <w:t xml:space="preserve"> </w:t>
      </w:r>
      <w:r>
        <w:rPr>
          <w:rFonts w:hint="cs"/>
          <w:rtl/>
        </w:rPr>
        <w:t>לתיקון מס' 34 לחוק משנת 1997,</w:t>
      </w:r>
      <w:r w:rsidR="00520710">
        <w:rPr>
          <w:rFonts w:hint="cs"/>
          <w:rtl/>
        </w:rPr>
        <w:t xml:space="preserve"> במסגרתו שונה נוסחו של סעיף 107, </w:t>
      </w:r>
      <w:r>
        <w:rPr>
          <w:rFonts w:hint="cs"/>
          <w:rtl/>
        </w:rPr>
        <w:t>בוטלו סייגים שהגבילו את סמכותו של המנהל להאריך מועדים מסוימים ונקבע כי המנהל רשאי להאריך "</w:t>
      </w:r>
      <w:r w:rsidRPr="00BE6399">
        <w:rPr>
          <w:rFonts w:ascii="Century" w:hAnsi="Century" w:cs="Miriam" w:hint="cs"/>
          <w:b/>
          <w:spacing w:val="0"/>
          <w:sz w:val="22"/>
          <w:szCs w:val="24"/>
          <w:rtl/>
        </w:rPr>
        <w:t>כל מועד בחוק</w:t>
      </w:r>
      <w:r>
        <w:rPr>
          <w:rFonts w:hint="cs"/>
          <w:rtl/>
        </w:rPr>
        <w:t xml:space="preserve">"  (להלן: </w:t>
      </w:r>
      <w:r w:rsidRPr="00E851BA">
        <w:rPr>
          <w:rFonts w:ascii="Century" w:hAnsi="Century" w:cs="Miriam" w:hint="cs"/>
          <w:b/>
          <w:spacing w:val="0"/>
          <w:szCs w:val="24"/>
          <w:rtl/>
        </w:rPr>
        <w:t>תיקון מס' 34</w:t>
      </w:r>
      <w:r>
        <w:rPr>
          <w:rFonts w:hint="cs"/>
          <w:rtl/>
        </w:rPr>
        <w:t xml:space="preserve">). השופט </w:t>
      </w:r>
      <w:r w:rsidRPr="00830739">
        <w:rPr>
          <w:rFonts w:ascii="Century" w:hAnsi="Century" w:cs="Miriam" w:hint="cs"/>
          <w:b/>
          <w:spacing w:val="0"/>
          <w:sz w:val="22"/>
          <w:szCs w:val="24"/>
          <w:rtl/>
        </w:rPr>
        <w:t>מינץ</w:t>
      </w:r>
      <w:r>
        <w:rPr>
          <w:rFonts w:hint="cs"/>
          <w:rtl/>
        </w:rPr>
        <w:t xml:space="preserve"> הוסיף עוד כי הגם שנוכח לשונו החד-משמעית של </w:t>
      </w:r>
      <w:r>
        <w:rPr>
          <w:rFonts w:hint="cs"/>
          <w:rtl/>
        </w:rPr>
        <w:lastRenderedPageBreak/>
        <w:t xml:space="preserve">החוק הדבר נאמר למעלה מן הצורך </w:t>
      </w:r>
      <w:r>
        <w:rPr>
          <w:rtl/>
        </w:rPr>
        <w:t>–</w:t>
      </w:r>
      <w:r>
        <w:rPr>
          <w:rFonts w:hint="cs"/>
          <w:rtl/>
        </w:rPr>
        <w:t xml:space="preserve"> גם פרשנות תכליתית תומכת במסקנה זו, וכי הדרישה ל"סיבה מספקת" על מנת לעשות שימוש בסמכות הקבועה בסעיף 107 לחוק, קובעת נקודת איזון בין שיקולי יציבות וודאות מחד גיסא ובין שיקולי מס אמת מאידך גיסא ומפיגה את חששו של המבקש שהפרשנות האמורה של הסעיף תאפשר תיקון שומה "עד לאינסוף". השופט </w:t>
      </w:r>
      <w:r w:rsidRPr="00D17E99">
        <w:rPr>
          <w:rFonts w:ascii="Century" w:hAnsi="Century" w:cs="Miriam" w:hint="cs"/>
          <w:b/>
          <w:spacing w:val="0"/>
          <w:sz w:val="22"/>
          <w:szCs w:val="24"/>
          <w:rtl/>
        </w:rPr>
        <w:t>מינץ</w:t>
      </w:r>
      <w:r>
        <w:rPr>
          <w:rFonts w:hint="cs"/>
          <w:rtl/>
        </w:rPr>
        <w:t xml:space="preserve"> הדגיש בהקשר זה כי הסמכות המוקנית למנהל בסעיף 107 לחוק היא סמכות שברשות ולא סמכות חובה, וכי השימוש בסמכות זו לצורך הארכת המועד הקבוע בסעיף 85 לחוק צריך "שייעשה במשורה". נוכח האמור, הציע השופט </w:t>
      </w:r>
      <w:r w:rsidRPr="00D17E99">
        <w:rPr>
          <w:rFonts w:ascii="Century" w:hAnsi="Century" w:cs="Miriam" w:hint="cs"/>
          <w:b/>
          <w:spacing w:val="0"/>
          <w:sz w:val="22"/>
          <w:szCs w:val="24"/>
          <w:rtl/>
        </w:rPr>
        <w:t>מינץ</w:t>
      </w:r>
      <w:r>
        <w:rPr>
          <w:rFonts w:hint="cs"/>
          <w:rtl/>
        </w:rPr>
        <w:t xml:space="preserve"> לדחות את הערעור ולחייב את המבקש בהוצאות המשיבים בסך של 20,000 ש"ח.</w:t>
      </w:r>
    </w:p>
    <w:p w14:paraId="5EFE8A7C" w14:textId="77777777" w:rsidR="00015BDD" w:rsidRPr="00160CD3" w:rsidRDefault="00015BDD" w:rsidP="00015BDD">
      <w:pPr>
        <w:pStyle w:val="Ruller40"/>
        <w:rPr>
          <w:sz w:val="8"/>
          <w:szCs w:val="14"/>
          <w:rtl/>
        </w:rPr>
      </w:pPr>
    </w:p>
    <w:p w14:paraId="66139B73" w14:textId="77777777" w:rsidR="00015BDD" w:rsidRDefault="00015BDD" w:rsidP="00015BDD">
      <w:pPr>
        <w:pStyle w:val="Ruller4"/>
        <w:numPr>
          <w:ilvl w:val="0"/>
          <w:numId w:val="0"/>
        </w:numPr>
        <w:rPr>
          <w:rFonts w:ascii="Century" w:hAnsi="Century"/>
          <w:sz w:val="22"/>
          <w:rtl/>
        </w:rPr>
      </w:pPr>
      <w:r>
        <w:rPr>
          <w:rtl/>
        </w:rPr>
        <w:tab/>
      </w:r>
      <w:r>
        <w:rPr>
          <w:rFonts w:ascii="Century" w:hAnsi="Century" w:hint="cs"/>
          <w:sz w:val="22"/>
          <w:rtl/>
        </w:rPr>
        <w:t xml:space="preserve">המשנה לנשיאה </w:t>
      </w:r>
      <w:r w:rsidRPr="00BC015E">
        <w:rPr>
          <w:rFonts w:ascii="Century" w:hAnsi="Century" w:cs="Miriam" w:hint="cs"/>
          <w:b/>
          <w:spacing w:val="0"/>
          <w:sz w:val="22"/>
          <w:szCs w:val="24"/>
          <w:rtl/>
        </w:rPr>
        <w:t>מלצר</w:t>
      </w:r>
      <w:r>
        <w:rPr>
          <w:rFonts w:ascii="Century" w:hAnsi="Century" w:hint="cs"/>
          <w:sz w:val="22"/>
          <w:rtl/>
        </w:rPr>
        <w:t xml:space="preserve"> עמד על כך שלגישתו ההוראה הקבועה בסעיף 85 לחוק אינה קובעת התיישנות, אלא מדובר במועד שנקצב לצורך השגה או ערעור על החלטה </w:t>
      </w:r>
      <w:proofErr w:type="spellStart"/>
      <w:r>
        <w:rPr>
          <w:rFonts w:ascii="Century" w:hAnsi="Century" w:hint="cs"/>
          <w:sz w:val="22"/>
          <w:rtl/>
        </w:rPr>
        <w:t>מינהלית</w:t>
      </w:r>
      <w:proofErr w:type="spellEnd"/>
      <w:r>
        <w:rPr>
          <w:rFonts w:ascii="Century" w:hAnsi="Century" w:hint="cs"/>
          <w:sz w:val="22"/>
          <w:rtl/>
        </w:rPr>
        <w:t xml:space="preserve">. לשיטת המשנה לנשיאה </w:t>
      </w:r>
      <w:r w:rsidRPr="00520825">
        <w:rPr>
          <w:rFonts w:ascii="Century" w:hAnsi="Century" w:cs="Miriam" w:hint="cs"/>
          <w:b/>
          <w:spacing w:val="0"/>
          <w:sz w:val="22"/>
          <w:szCs w:val="24"/>
          <w:rtl/>
        </w:rPr>
        <w:t>מלצר</w:t>
      </w:r>
      <w:r>
        <w:rPr>
          <w:rFonts w:ascii="Century" w:hAnsi="Century" w:cs="Miriam" w:hint="cs"/>
          <w:b/>
          <w:spacing w:val="0"/>
          <w:sz w:val="22"/>
          <w:szCs w:val="24"/>
          <w:rtl/>
        </w:rPr>
        <w:t xml:space="preserve"> </w:t>
      </w:r>
      <w:r>
        <w:rPr>
          <w:rFonts w:ascii="Century" w:hAnsi="Century" w:cs="Miriam"/>
          <w:b/>
          <w:spacing w:val="0"/>
          <w:sz w:val="22"/>
          <w:szCs w:val="24"/>
          <w:rtl/>
        </w:rPr>
        <w:t>–</w:t>
      </w:r>
      <w:r>
        <w:rPr>
          <w:rFonts w:ascii="Century" w:hAnsi="Century" w:hint="cs"/>
          <w:sz w:val="22"/>
          <w:rtl/>
        </w:rPr>
        <w:t xml:space="preserve"> סמכותו של המנהל לתקן שומה מכוח סעיף 85 לחוק נובעת מסמכותו לתקן החלטה </w:t>
      </w:r>
      <w:proofErr w:type="spellStart"/>
      <w:r>
        <w:rPr>
          <w:rFonts w:ascii="Century" w:hAnsi="Century" w:hint="cs"/>
          <w:sz w:val="22"/>
          <w:rtl/>
        </w:rPr>
        <w:t>מינהלית</w:t>
      </w:r>
      <w:proofErr w:type="spellEnd"/>
      <w:r>
        <w:rPr>
          <w:rFonts w:ascii="Century" w:hAnsi="Century" w:hint="cs"/>
          <w:sz w:val="22"/>
          <w:rtl/>
        </w:rPr>
        <w:t xml:space="preserve"> שקיבל. עם זאת, בנוגע לשאלה האם ניתן להאריך את המועד הקבוע בסעיף 85 לחוק מכוח סעיף 107 לחוק, המשנה לנשיאה </w:t>
      </w:r>
      <w:r w:rsidRPr="009463C8">
        <w:rPr>
          <w:rFonts w:ascii="Century" w:hAnsi="Century" w:cs="Miriam" w:hint="cs"/>
          <w:b/>
          <w:spacing w:val="0"/>
          <w:sz w:val="22"/>
          <w:szCs w:val="24"/>
          <w:rtl/>
        </w:rPr>
        <w:t>מלצר</w:t>
      </w:r>
      <w:r>
        <w:rPr>
          <w:rFonts w:ascii="Century" w:hAnsi="Century" w:hint="cs"/>
          <w:sz w:val="22"/>
          <w:rtl/>
        </w:rPr>
        <w:t xml:space="preserve"> הוסיף כי מקובלים עליו טעמיו של השופט </w:t>
      </w:r>
      <w:r w:rsidRPr="009463C8">
        <w:rPr>
          <w:rFonts w:ascii="Century" w:hAnsi="Century" w:cs="Miriam" w:hint="cs"/>
          <w:b/>
          <w:spacing w:val="0"/>
          <w:sz w:val="22"/>
          <w:szCs w:val="24"/>
          <w:rtl/>
        </w:rPr>
        <w:t>מינץ</w:t>
      </w:r>
      <w:r>
        <w:rPr>
          <w:rFonts w:ascii="Century" w:hAnsi="Century" w:hint="cs"/>
          <w:sz w:val="22"/>
          <w:rtl/>
        </w:rPr>
        <w:t xml:space="preserve"> כך שיש לקרוא את המילים "כל מועד" שבסעיף 107 לחוק כמתפרשות גם על המועד הקבוע בסעיף 85 לחוק. עוד הוסיף המשנה לנשיאה </w:t>
      </w:r>
      <w:r w:rsidRPr="00CA1A58">
        <w:rPr>
          <w:rFonts w:ascii="Century" w:hAnsi="Century" w:cs="Miriam" w:hint="cs"/>
          <w:b/>
          <w:spacing w:val="0"/>
          <w:sz w:val="22"/>
          <w:szCs w:val="24"/>
          <w:rtl/>
        </w:rPr>
        <w:t>מלצר</w:t>
      </w:r>
      <w:r>
        <w:rPr>
          <w:rFonts w:ascii="Century" w:hAnsi="Century" w:hint="cs"/>
          <w:sz w:val="22"/>
          <w:rtl/>
        </w:rPr>
        <w:t xml:space="preserve"> כי לגישתו המבקש לא יוכל ליזום פתיחת שומות של נישומים, מאחר שסעיף 107 מאפשר למנהל להאריך מועד רק אם "נתבקש לכך" ועל כן, אין לראות במנהל כמי ש"מבקש מעצמו" הארכת מועדים.  </w:t>
      </w:r>
    </w:p>
    <w:p w14:paraId="193F73E8" w14:textId="77777777" w:rsidR="00015BDD" w:rsidRPr="00160CD3" w:rsidRDefault="00015BDD" w:rsidP="00015BDD">
      <w:pPr>
        <w:pStyle w:val="Ruller40"/>
        <w:rPr>
          <w:sz w:val="8"/>
          <w:szCs w:val="14"/>
          <w:rtl/>
        </w:rPr>
      </w:pPr>
    </w:p>
    <w:p w14:paraId="324E38B0" w14:textId="77777777" w:rsidR="00015BDD" w:rsidRDefault="00015BDD" w:rsidP="00015BDD">
      <w:pPr>
        <w:pStyle w:val="Ruller4"/>
        <w:numPr>
          <w:ilvl w:val="0"/>
          <w:numId w:val="0"/>
        </w:numPr>
        <w:rPr>
          <w:rFonts w:ascii="Century" w:hAnsi="Century"/>
          <w:sz w:val="22"/>
          <w:rtl/>
        </w:rPr>
      </w:pPr>
      <w:r>
        <w:rPr>
          <w:rFonts w:ascii="Century" w:hAnsi="Century" w:hint="cs"/>
          <w:sz w:val="22"/>
          <w:rtl/>
        </w:rPr>
        <w:t>4.</w:t>
      </w:r>
      <w:r>
        <w:rPr>
          <w:rFonts w:ascii="Century" w:hAnsi="Century" w:hint="cs"/>
          <w:sz w:val="22"/>
          <w:rtl/>
        </w:rPr>
        <w:tab/>
      </w:r>
      <w:r w:rsidRPr="001875BE">
        <w:rPr>
          <w:rFonts w:ascii="Century" w:hAnsi="Century"/>
          <w:sz w:val="22"/>
          <w:rtl/>
        </w:rPr>
        <w:t xml:space="preserve">השופט </w:t>
      </w:r>
      <w:r w:rsidRPr="001875BE">
        <w:rPr>
          <w:rFonts w:ascii="Century" w:hAnsi="Century" w:cs="Miriam"/>
          <w:b/>
          <w:spacing w:val="0"/>
          <w:sz w:val="22"/>
          <w:szCs w:val="24"/>
          <w:rtl/>
        </w:rPr>
        <w:t>שטיין</w:t>
      </w:r>
      <w:r w:rsidRPr="001875BE">
        <w:rPr>
          <w:rFonts w:ascii="Century" w:hAnsi="Century"/>
          <w:sz w:val="22"/>
          <w:rtl/>
        </w:rPr>
        <w:t>, בדעת מיעוט, סבר כי דין הערעור להתקבל. לשיטתו, ההתיישנות המוסדרת בסעיף 85 לחוק היא התיישנות מהותית</w:t>
      </w:r>
      <w:r>
        <w:rPr>
          <w:rFonts w:ascii="Century" w:hAnsi="Century" w:hint="cs"/>
          <w:sz w:val="22"/>
          <w:rtl/>
        </w:rPr>
        <w:t xml:space="preserve"> ו</w:t>
      </w:r>
      <w:r w:rsidRPr="001875BE">
        <w:rPr>
          <w:rFonts w:ascii="Century" w:hAnsi="Century"/>
          <w:sz w:val="22"/>
          <w:rtl/>
        </w:rPr>
        <w:t xml:space="preserve">משכך בחלוף ארבע השנים הקבועות בסעיף 85 לחוק, נוצרת "חזקת אמת" לשומה שאיננה ניתנת לסתירה. </w:t>
      </w:r>
      <w:r>
        <w:rPr>
          <w:rFonts w:ascii="Century" w:hAnsi="Century" w:hint="cs"/>
          <w:sz w:val="22"/>
          <w:rtl/>
        </w:rPr>
        <w:t>לשיטת</w:t>
      </w:r>
      <w:r w:rsidRPr="001875BE">
        <w:rPr>
          <w:rFonts w:ascii="Century" w:hAnsi="Century"/>
          <w:sz w:val="22"/>
          <w:rtl/>
        </w:rPr>
        <w:t xml:space="preserve"> השופט </w:t>
      </w:r>
      <w:r w:rsidRPr="00C85508">
        <w:rPr>
          <w:rFonts w:ascii="Century" w:hAnsi="Century" w:cs="Miriam"/>
          <w:b/>
          <w:spacing w:val="0"/>
          <w:sz w:val="22"/>
          <w:szCs w:val="24"/>
          <w:rtl/>
        </w:rPr>
        <w:t>שטיין</w:t>
      </w:r>
      <w:r w:rsidRPr="001875BE">
        <w:rPr>
          <w:rFonts w:ascii="Century" w:hAnsi="Century"/>
          <w:sz w:val="22"/>
          <w:rtl/>
        </w:rPr>
        <w:t xml:space="preserve">, הוראות סעיף 107 לחוק מאפשרות להאריך כל מועד "שעדיין לא חלף ועודנו רלוונטי, להבדיל ממועד שכבר פקע וחלף עם הרוח", ובהתאם – המנהל רשאי להאריך את המועד הקבוע בסעיף 85 לחוק בתוך ארבע השנים, אך לא לאחר מכן. לשיטת השופט </w:t>
      </w:r>
      <w:r w:rsidRPr="00C85508">
        <w:rPr>
          <w:rFonts w:ascii="Century" w:hAnsi="Century" w:cs="Miriam"/>
          <w:b/>
          <w:spacing w:val="0"/>
          <w:sz w:val="22"/>
          <w:szCs w:val="24"/>
          <w:rtl/>
        </w:rPr>
        <w:t>שטיין</w:t>
      </w:r>
      <w:r w:rsidRPr="001875BE">
        <w:rPr>
          <w:rFonts w:ascii="Century" w:hAnsi="Century"/>
          <w:sz w:val="22"/>
          <w:rtl/>
        </w:rPr>
        <w:t xml:space="preserve"> מסקנה זו מתחייבת מכך שסעיף 107 לחוק קובע הסדר כללי</w:t>
      </w:r>
      <w:r>
        <w:rPr>
          <w:rFonts w:ascii="Century" w:hAnsi="Century" w:hint="cs"/>
          <w:sz w:val="22"/>
          <w:rtl/>
        </w:rPr>
        <w:t>,</w:t>
      </w:r>
      <w:r w:rsidRPr="001875BE">
        <w:rPr>
          <w:rFonts w:ascii="Century" w:hAnsi="Century"/>
          <w:sz w:val="22"/>
          <w:rtl/>
        </w:rPr>
        <w:t xml:space="preserve"> ואילו </w:t>
      </w:r>
      <w:r w:rsidRPr="001875BE">
        <w:rPr>
          <w:rFonts w:ascii="Century" w:hAnsi="Century" w:hint="cs"/>
          <w:sz w:val="22"/>
          <w:rtl/>
        </w:rPr>
        <w:t>סעיף</w:t>
      </w:r>
      <w:r>
        <w:rPr>
          <w:rFonts w:ascii="Century" w:hAnsi="Century"/>
          <w:sz w:val="22"/>
          <w:rtl/>
        </w:rPr>
        <w:t xml:space="preserve"> 85 לחוק קובע הסדר פרטני</w:t>
      </w:r>
      <w:r w:rsidRPr="001875BE">
        <w:rPr>
          <w:rFonts w:ascii="Century" w:hAnsi="Century"/>
          <w:sz w:val="22"/>
          <w:rtl/>
        </w:rPr>
        <w:t xml:space="preserve"> הגובר על הסדר כללי. </w:t>
      </w:r>
      <w:r w:rsidRPr="001875BE">
        <w:rPr>
          <w:rFonts w:ascii="Century" w:hAnsi="Century" w:hint="cs"/>
          <w:sz w:val="22"/>
          <w:rtl/>
        </w:rPr>
        <w:t xml:space="preserve">השופט </w:t>
      </w:r>
      <w:r w:rsidRPr="00C85508">
        <w:rPr>
          <w:rFonts w:ascii="Century" w:hAnsi="Century" w:cs="Miriam" w:hint="cs"/>
          <w:b/>
          <w:spacing w:val="0"/>
          <w:sz w:val="22"/>
          <w:szCs w:val="24"/>
          <w:rtl/>
        </w:rPr>
        <w:t>שטיין</w:t>
      </w:r>
      <w:r w:rsidRPr="001875BE">
        <w:rPr>
          <w:rFonts w:ascii="Century" w:hAnsi="Century" w:hint="cs"/>
          <w:sz w:val="22"/>
          <w:rtl/>
        </w:rPr>
        <w:t xml:space="preserve"> הדגיש כי</w:t>
      </w:r>
      <w:r>
        <w:rPr>
          <w:rFonts w:ascii="Century" w:hAnsi="Century" w:hint="cs"/>
          <w:sz w:val="22"/>
          <w:rtl/>
        </w:rPr>
        <w:t xml:space="preserve"> לשיטתו</w:t>
      </w:r>
      <w:r w:rsidRPr="001875BE">
        <w:rPr>
          <w:rFonts w:ascii="Century" w:hAnsi="Century" w:hint="cs"/>
          <w:sz w:val="22"/>
          <w:rtl/>
        </w:rPr>
        <w:t xml:space="preserve"> תוצאה זו יוצרת "חסינות דו-צדדית" </w:t>
      </w:r>
      <w:r w:rsidRPr="001875BE">
        <w:rPr>
          <w:rFonts w:ascii="Century" w:hAnsi="Century"/>
          <w:sz w:val="22"/>
          <w:rtl/>
        </w:rPr>
        <w:t>–</w:t>
      </w:r>
      <w:r w:rsidRPr="001875BE">
        <w:rPr>
          <w:rFonts w:ascii="Century" w:hAnsi="Century" w:hint="cs"/>
          <w:sz w:val="22"/>
          <w:rtl/>
        </w:rPr>
        <w:t xml:space="preserve"> המדינה אינה רשאית לחייב את הנישומים בתשלום מיסי-חסר ואילו הנישומים אינם רשאים לתבוע החזרת מיסי-יתר. </w:t>
      </w:r>
    </w:p>
    <w:p w14:paraId="7DE1949F" w14:textId="77777777" w:rsidR="00015BDD" w:rsidRDefault="00015BDD" w:rsidP="00015BDD">
      <w:pPr>
        <w:pStyle w:val="Ruller40"/>
        <w:rPr>
          <w:rFonts w:ascii="Century" w:hAnsi="Century" w:cs="Miriam"/>
          <w:b/>
          <w:spacing w:val="0"/>
          <w:szCs w:val="24"/>
          <w:rtl/>
        </w:rPr>
      </w:pPr>
      <w:r>
        <w:rPr>
          <w:rFonts w:ascii="Century" w:hAnsi="Century" w:cs="Miriam" w:hint="cs"/>
          <w:b/>
          <w:spacing w:val="0"/>
          <w:sz w:val="2"/>
          <w:szCs w:val="2"/>
          <w:rtl/>
        </w:rPr>
        <w:t>]</w:t>
      </w:r>
    </w:p>
    <w:p w14:paraId="520F8C0D" w14:textId="77777777" w:rsidR="00015BDD" w:rsidRDefault="00015BDD" w:rsidP="00015BDD">
      <w:pPr>
        <w:pStyle w:val="Ruller40"/>
        <w:rPr>
          <w:rFonts w:ascii="Century" w:hAnsi="Century" w:cs="Miriam"/>
          <w:b/>
          <w:spacing w:val="0"/>
          <w:szCs w:val="24"/>
          <w:rtl/>
        </w:rPr>
      </w:pPr>
    </w:p>
    <w:p w14:paraId="397CA4F7" w14:textId="77777777" w:rsidR="00015BDD" w:rsidRDefault="00015BDD" w:rsidP="00015BDD">
      <w:pPr>
        <w:pStyle w:val="Ruller40"/>
        <w:rPr>
          <w:rtl/>
        </w:rPr>
      </w:pPr>
      <w:r>
        <w:rPr>
          <w:rFonts w:ascii="Century" w:hAnsi="Century" w:cs="Miriam" w:hint="cs"/>
          <w:b/>
          <w:spacing w:val="0"/>
          <w:szCs w:val="24"/>
          <w:rtl/>
        </w:rPr>
        <w:t>טענות הצדדים</w:t>
      </w:r>
    </w:p>
    <w:p w14:paraId="7DD17430" w14:textId="77777777" w:rsidR="00015BDD" w:rsidRDefault="00015BDD" w:rsidP="00015BDD">
      <w:pPr>
        <w:pStyle w:val="Ruller40"/>
        <w:rPr>
          <w:rtl/>
        </w:rPr>
      </w:pPr>
    </w:p>
    <w:p w14:paraId="67635B2F" w14:textId="4C5DD3E1" w:rsidR="00015BDD" w:rsidRDefault="00015BDD" w:rsidP="00C92262">
      <w:pPr>
        <w:pStyle w:val="Ruller4"/>
        <w:numPr>
          <w:ilvl w:val="0"/>
          <w:numId w:val="0"/>
        </w:numPr>
      </w:pPr>
      <w:r>
        <w:rPr>
          <w:rFonts w:ascii="Century" w:hAnsi="Century" w:hint="cs"/>
          <w:sz w:val="22"/>
          <w:rtl/>
        </w:rPr>
        <w:t xml:space="preserve">5. </w:t>
      </w:r>
      <w:r>
        <w:rPr>
          <w:rFonts w:ascii="Century" w:hAnsi="Century"/>
          <w:sz w:val="22"/>
          <w:rtl/>
        </w:rPr>
        <w:tab/>
      </w:r>
      <w:r w:rsidRPr="00F227B6">
        <w:rPr>
          <w:rFonts w:ascii="Century" w:hAnsi="Century" w:hint="cs"/>
          <w:sz w:val="22"/>
          <w:rtl/>
        </w:rPr>
        <w:t>מכאן הבקשה לדיון נוסף. לטענת המבקש, בפסק-הדין "נפל דבר בסופיות בדיני המס"</w:t>
      </w:r>
      <w:r>
        <w:rPr>
          <w:rFonts w:ascii="Century" w:hAnsi="Century" w:hint="cs"/>
          <w:sz w:val="22"/>
          <w:rtl/>
        </w:rPr>
        <w:t xml:space="preserve"> שכן לגישתו </w:t>
      </w:r>
      <w:r w:rsidRPr="00F227B6">
        <w:rPr>
          <w:rFonts w:ascii="Century" w:hAnsi="Century" w:hint="cs"/>
          <w:sz w:val="22"/>
          <w:rtl/>
        </w:rPr>
        <w:t xml:space="preserve">במשך עשרות שנים </w:t>
      </w:r>
      <w:r>
        <w:rPr>
          <w:rFonts w:ascii="Century" w:hAnsi="Century" w:hint="cs"/>
          <w:sz w:val="22"/>
          <w:rtl/>
        </w:rPr>
        <w:t>ועד מועד מתן פסק הדין</w:t>
      </w:r>
      <w:r w:rsidRPr="00F227B6">
        <w:rPr>
          <w:rFonts w:ascii="Century" w:hAnsi="Century" w:hint="cs"/>
          <w:sz w:val="22"/>
          <w:rtl/>
        </w:rPr>
        <w:t xml:space="preserve"> </w:t>
      </w:r>
      <w:r>
        <w:rPr>
          <w:rFonts w:ascii="Century" w:hAnsi="Century" w:hint="cs"/>
          <w:sz w:val="22"/>
          <w:rtl/>
        </w:rPr>
        <w:t xml:space="preserve">נהגה </w:t>
      </w:r>
      <w:r w:rsidRPr="00F227B6">
        <w:rPr>
          <w:rFonts w:ascii="Century" w:hAnsi="Century" w:hint="cs"/>
          <w:sz w:val="22"/>
          <w:rtl/>
        </w:rPr>
        <w:t xml:space="preserve">הלכה שלפיה </w:t>
      </w:r>
      <w:r w:rsidRPr="00F227B6">
        <w:rPr>
          <w:rFonts w:ascii="Century" w:hAnsi="Century" w:hint="cs"/>
          <w:sz w:val="22"/>
          <w:rtl/>
        </w:rPr>
        <w:lastRenderedPageBreak/>
        <w:t>בחלוף ארבע השנים הקבועות בסעיף 85 לחוק לא ניתן לתקן שומה ולא ניתן להאריך תקופה זו "בשום דרך שהיא". ל</w:t>
      </w:r>
      <w:r>
        <w:rPr>
          <w:rFonts w:ascii="Century" w:hAnsi="Century" w:hint="cs"/>
          <w:sz w:val="22"/>
          <w:rtl/>
        </w:rPr>
        <w:t xml:space="preserve">שיטת </w:t>
      </w:r>
      <w:r w:rsidRPr="00F227B6">
        <w:rPr>
          <w:rFonts w:ascii="Century" w:hAnsi="Century" w:hint="cs"/>
          <w:sz w:val="22"/>
          <w:rtl/>
        </w:rPr>
        <w:t xml:space="preserve">המבקש, </w:t>
      </w:r>
      <w:r>
        <w:rPr>
          <w:rFonts w:ascii="Century" w:hAnsi="Century" w:hint="cs"/>
          <w:sz w:val="22"/>
          <w:rtl/>
        </w:rPr>
        <w:t>ה</w:t>
      </w:r>
      <w:r w:rsidRPr="00F227B6">
        <w:rPr>
          <w:rFonts w:ascii="Century" w:hAnsi="Century" w:hint="cs"/>
          <w:sz w:val="22"/>
          <w:rtl/>
        </w:rPr>
        <w:t xml:space="preserve">הלכה </w:t>
      </w:r>
      <w:r>
        <w:rPr>
          <w:rFonts w:ascii="Century" w:hAnsi="Century" w:hint="cs"/>
          <w:sz w:val="22"/>
          <w:rtl/>
        </w:rPr>
        <w:t xml:space="preserve">הנטענת </w:t>
      </w:r>
      <w:r w:rsidRPr="00F227B6">
        <w:rPr>
          <w:rFonts w:ascii="Century" w:hAnsi="Century" w:hint="cs"/>
          <w:sz w:val="22"/>
          <w:rtl/>
        </w:rPr>
        <w:t>באה לידי ביטוי בפסיקת בית משפט זה, ו</w:t>
      </w:r>
      <w:r>
        <w:rPr>
          <w:rFonts w:ascii="Century" w:hAnsi="Century" w:hint="cs"/>
          <w:sz w:val="22"/>
          <w:rtl/>
        </w:rPr>
        <w:t xml:space="preserve">בפרט </w:t>
      </w:r>
      <w:r w:rsidRPr="00F227B6">
        <w:rPr>
          <w:rFonts w:ascii="Century" w:hAnsi="Century" w:hint="cs"/>
          <w:sz w:val="22"/>
          <w:rtl/>
        </w:rPr>
        <w:t xml:space="preserve">בערעורים </w:t>
      </w:r>
      <w:r>
        <w:rPr>
          <w:rFonts w:ascii="Century" w:hAnsi="Century" w:hint="cs"/>
          <w:sz w:val="22"/>
          <w:rtl/>
        </w:rPr>
        <w:t>שעסקו</w:t>
      </w:r>
      <w:r w:rsidRPr="00F227B6">
        <w:rPr>
          <w:rFonts w:ascii="Century" w:hAnsi="Century" w:hint="cs"/>
          <w:sz w:val="22"/>
          <w:rtl/>
        </w:rPr>
        <w:t xml:space="preserve"> </w:t>
      </w:r>
      <w:r>
        <w:rPr>
          <w:rFonts w:ascii="Century" w:hAnsi="Century" w:hint="cs"/>
          <w:sz w:val="22"/>
          <w:rtl/>
        </w:rPr>
        <w:t>ב</w:t>
      </w:r>
      <w:r w:rsidRPr="00F227B6">
        <w:rPr>
          <w:rFonts w:ascii="Century" w:hAnsi="Century" w:hint="cs"/>
          <w:sz w:val="22"/>
          <w:rtl/>
        </w:rPr>
        <w:t>סמכות המנהל להאריך את המועד הקבוע בסעיף 85 לחוק מכוח סעיף 107 לחוק</w:t>
      </w:r>
      <w:r>
        <w:rPr>
          <w:rFonts w:ascii="Century" w:hAnsi="Century" w:hint="cs"/>
          <w:sz w:val="22"/>
          <w:rtl/>
        </w:rPr>
        <w:t>,</w:t>
      </w:r>
      <w:r w:rsidRPr="00F227B6">
        <w:rPr>
          <w:rFonts w:ascii="Century" w:hAnsi="Century" w:hint="cs"/>
          <w:sz w:val="22"/>
          <w:rtl/>
        </w:rPr>
        <w:t xml:space="preserve"> </w:t>
      </w:r>
      <w:r>
        <w:rPr>
          <w:rFonts w:ascii="Century" w:hAnsi="Century" w:hint="cs"/>
          <w:sz w:val="22"/>
          <w:rtl/>
        </w:rPr>
        <w:t xml:space="preserve">שבהם </w:t>
      </w:r>
      <w:r w:rsidRPr="00F227B6">
        <w:rPr>
          <w:rFonts w:ascii="Century" w:hAnsi="Century" w:hint="cs"/>
          <w:sz w:val="22"/>
          <w:rtl/>
        </w:rPr>
        <w:t xml:space="preserve">הומלץ לנישומים לחזור בהם מערעוריהם או להסכים לקבלת ערעור המבקש, לפי העניין. </w:t>
      </w:r>
      <w:r>
        <w:rPr>
          <w:rFonts w:hint="cs"/>
          <w:rtl/>
        </w:rPr>
        <w:t xml:space="preserve">המבקש מוסיף וטוען כי לא זו בלבד שבפסק-הדין נפסקה הלכה הסותרת הלכה קודמת, אלא שהיא גם הלכה חדשנית, חשובה ו"מוקשית ביותר", המצדיקה דיון נוסף שכן היא סותרת עקרונות יסוד בדיני המס ובדיני ההתיישנות </w:t>
      </w:r>
      <w:r w:rsidR="00C92262">
        <w:rPr>
          <w:rFonts w:hint="cs"/>
          <w:rtl/>
        </w:rPr>
        <w:t>ו</w:t>
      </w:r>
      <w:r>
        <w:rPr>
          <w:rFonts w:hint="cs"/>
          <w:rtl/>
        </w:rPr>
        <w:t xml:space="preserve">סוטה מן הכלל שלפיו לאחר התקופה שנקבעה בסעיף 85 לחוק לתיקון השומה, "אמת ויציב </w:t>
      </w:r>
      <w:r>
        <w:rPr>
          <w:rtl/>
        </w:rPr>
        <w:t>–</w:t>
      </w:r>
      <w:r>
        <w:rPr>
          <w:rFonts w:hint="cs"/>
          <w:rtl/>
        </w:rPr>
        <w:t xml:space="preserve"> יציב עדיף". המבקש טוען כי בעקבות פסק-הדין הפכה מסגרת הזמנים של סעיף 85 לחוק להסדר "חסר גבול או מגבלת זמן", בניגוד לתכלית החוק ולכוונת המחוקק. לבסוף, טוען המבקש כי ההלכה שנפסקה מעוררת קשיים מעשיים "ניכרים", בין היתר, נוכח העובדה שבעסקאות מורכבות תיקון שומה של נישום אחד, עשוי להצריך תיקון שומות של נישומים רבים נוספים הקשורים באותה עסקה באופן הפוגע גם באינטרס הסופיות של נישומים נוספים. </w:t>
      </w:r>
      <w:r w:rsidRPr="00F227B6">
        <w:rPr>
          <w:rFonts w:ascii="Century" w:hAnsi="Century" w:hint="cs"/>
          <w:rtl/>
        </w:rPr>
        <w:t xml:space="preserve">לטענת המבקש תוצאת פסק-הדין קשה הן לנישומים והן לקופה הציבורית: לנישומים </w:t>
      </w:r>
      <w:r w:rsidRPr="00F227B6">
        <w:rPr>
          <w:rFonts w:ascii="Century" w:hAnsi="Century"/>
          <w:rtl/>
        </w:rPr>
        <w:t>–</w:t>
      </w:r>
      <w:r w:rsidRPr="00F227B6">
        <w:rPr>
          <w:rFonts w:ascii="Century" w:hAnsi="Century" w:hint="cs"/>
          <w:rtl/>
        </w:rPr>
        <w:t xml:space="preserve"> שלא ייהנו עוד מוודאות לגבי שנות-מס ישנות ש</w:t>
      </w:r>
      <w:r>
        <w:rPr>
          <w:rFonts w:ascii="Century" w:hAnsi="Century" w:hint="cs"/>
          <w:rtl/>
        </w:rPr>
        <w:t>התקופה הסטטוטורית לבחינתן חלפה (</w:t>
      </w:r>
      <w:r w:rsidRPr="00F227B6">
        <w:rPr>
          <w:rFonts w:ascii="Century" w:hAnsi="Century" w:hint="cs"/>
          <w:rtl/>
        </w:rPr>
        <w:t>שכן סמכות כללית להארכת מועדים א</w:t>
      </w:r>
      <w:r>
        <w:rPr>
          <w:rFonts w:ascii="Century" w:hAnsi="Century" w:hint="cs"/>
          <w:rtl/>
        </w:rPr>
        <w:t xml:space="preserve">ינה ייחודית לחוק מיסוי מקרקעין); </w:t>
      </w:r>
      <w:r w:rsidRPr="00F227B6">
        <w:rPr>
          <w:rFonts w:ascii="Century" w:hAnsi="Century" w:hint="cs"/>
          <w:rtl/>
        </w:rPr>
        <w:t xml:space="preserve">לקופה הציבורית </w:t>
      </w:r>
      <w:r w:rsidRPr="00F227B6">
        <w:rPr>
          <w:rFonts w:ascii="Century" w:hAnsi="Century"/>
          <w:rtl/>
        </w:rPr>
        <w:t>–</w:t>
      </w:r>
      <w:r w:rsidRPr="00F227B6">
        <w:rPr>
          <w:rFonts w:ascii="Century" w:hAnsi="Century" w:hint="cs"/>
          <w:rtl/>
        </w:rPr>
        <w:t xml:space="preserve"> נוכח האפשרות לקבל החזר מס כתוצאה מתיקון שומה "ללא שום מגבלת זמן".</w:t>
      </w:r>
      <w:r>
        <w:rPr>
          <w:rFonts w:hint="cs"/>
          <w:rtl/>
        </w:rPr>
        <w:t xml:space="preserve"> </w:t>
      </w:r>
    </w:p>
    <w:p w14:paraId="69ADFCC1" w14:textId="77777777" w:rsidR="00015BDD" w:rsidRPr="000175C8" w:rsidRDefault="00015BDD" w:rsidP="00015BDD">
      <w:pPr>
        <w:pStyle w:val="Ruller4"/>
        <w:numPr>
          <w:ilvl w:val="0"/>
          <w:numId w:val="0"/>
        </w:numPr>
        <w:rPr>
          <w:sz w:val="16"/>
          <w:szCs w:val="20"/>
        </w:rPr>
      </w:pPr>
    </w:p>
    <w:p w14:paraId="52C65A6B" w14:textId="77777777" w:rsidR="00015BDD" w:rsidRDefault="00015BDD" w:rsidP="00015BDD">
      <w:pPr>
        <w:pStyle w:val="Ruller4"/>
        <w:numPr>
          <w:ilvl w:val="0"/>
          <w:numId w:val="0"/>
        </w:numPr>
        <w:rPr>
          <w:rtl/>
        </w:rPr>
      </w:pPr>
      <w:r>
        <w:rPr>
          <w:rtl/>
        </w:rPr>
        <w:tab/>
      </w:r>
      <w:r>
        <w:rPr>
          <w:rFonts w:hint="cs"/>
          <w:rtl/>
        </w:rPr>
        <w:t xml:space="preserve">המשיבים </w:t>
      </w:r>
      <w:proofErr w:type="spellStart"/>
      <w:r>
        <w:rPr>
          <w:rFonts w:hint="cs"/>
          <w:rtl/>
        </w:rPr>
        <w:t>מצידם</w:t>
      </w:r>
      <w:proofErr w:type="spellEnd"/>
      <w:r>
        <w:rPr>
          <w:rFonts w:hint="cs"/>
          <w:rtl/>
        </w:rPr>
        <w:t xml:space="preserve"> סבורים כי דין הבקשה להידחות, והם סומכים את ידיהם על נימוקי המשנה לנשיאה </w:t>
      </w:r>
      <w:r w:rsidRPr="009D3C47">
        <w:rPr>
          <w:rFonts w:ascii="Century" w:hAnsi="Century" w:cs="Miriam" w:hint="cs"/>
          <w:b/>
          <w:spacing w:val="0"/>
          <w:sz w:val="22"/>
          <w:szCs w:val="24"/>
          <w:rtl/>
        </w:rPr>
        <w:t>מלצר</w:t>
      </w:r>
      <w:r w:rsidRPr="009D3C47">
        <w:rPr>
          <w:rFonts w:hint="cs"/>
          <w:rtl/>
        </w:rPr>
        <w:t xml:space="preserve"> </w:t>
      </w:r>
      <w:r>
        <w:rPr>
          <w:rFonts w:hint="cs"/>
          <w:rtl/>
        </w:rPr>
        <w:t xml:space="preserve">והשופט </w:t>
      </w:r>
      <w:r w:rsidRPr="009D3C47">
        <w:rPr>
          <w:rFonts w:ascii="Century" w:hAnsi="Century" w:cs="Miriam" w:hint="cs"/>
          <w:b/>
          <w:spacing w:val="0"/>
          <w:sz w:val="22"/>
          <w:szCs w:val="24"/>
          <w:rtl/>
        </w:rPr>
        <w:t>מינץ</w:t>
      </w:r>
      <w:r>
        <w:rPr>
          <w:rFonts w:hint="cs"/>
          <w:rtl/>
        </w:rPr>
        <w:t xml:space="preserve">. לשיטתם, טרם מתן פסק-הדין לא הייתה בנמצא הלכה ברורה באשר לתחולתו של סעיף 107 לחוק ביחס למועד שנקצב בסעיף 85 לחוק. לגישת המשיבים, טענות המבקש הן טענות </w:t>
      </w:r>
      <w:proofErr w:type="spellStart"/>
      <w:r>
        <w:rPr>
          <w:rFonts w:hint="cs"/>
          <w:rtl/>
        </w:rPr>
        <w:t>ערעוריות</w:t>
      </w:r>
      <w:proofErr w:type="spellEnd"/>
      <w:r>
        <w:rPr>
          <w:rFonts w:hint="cs"/>
          <w:rtl/>
        </w:rPr>
        <w:t xml:space="preserve"> הנובעות מחששו כי פסק-הדין יוביל לבקשות רבות לתיקון שומות, והם מוסיפים כי ברי שייתכנו נסיבות חריגות </w:t>
      </w:r>
      <w:proofErr w:type="spellStart"/>
      <w:r>
        <w:rPr>
          <w:rFonts w:hint="cs"/>
          <w:rtl/>
        </w:rPr>
        <w:t>שבהתקיימן</w:t>
      </w:r>
      <w:proofErr w:type="spellEnd"/>
      <w:r>
        <w:rPr>
          <w:rFonts w:hint="cs"/>
          <w:rtl/>
        </w:rPr>
        <w:t xml:space="preserve"> יש לאפשר את תיקון השומה. עוד נטען כי "רוב מכריע" של ועדות הערר גורסות שניתן להאריך את המועד הקבוע בסעיף 85 לחוק מכוח סעיף 107 לחוק וכי באמצעות תיקון מס' 34 כיוון המחוקק להרחבת הסמכות הנתונה למבקש להאריך מועדים, ולא לצמצמה. לבסוף, טוענים המשיבים כי המבקש גרם להם עינוי דין בשל ריבוי ההליכים שהוא מנהל נגדם, וזאת חרף העובדה שהמחלוקת נסובה על סכומים נמוכים יחסית, שמהם כמעט ולא נותר בידיהם דבר בעקבות ניהול הליכים אלה.</w:t>
      </w:r>
    </w:p>
    <w:p w14:paraId="1E87A0B3" w14:textId="77777777" w:rsidR="00015BDD" w:rsidRDefault="00015BDD" w:rsidP="00015BDD">
      <w:pPr>
        <w:pStyle w:val="Ruller40"/>
        <w:rPr>
          <w:rtl/>
        </w:rPr>
      </w:pPr>
    </w:p>
    <w:p w14:paraId="542CC719" w14:textId="77777777" w:rsidR="00015BDD" w:rsidRDefault="00015BDD" w:rsidP="00015BDD">
      <w:pPr>
        <w:pStyle w:val="Ruller40"/>
        <w:rPr>
          <w:rFonts w:ascii="Century" w:hAnsi="Century" w:cs="Miriam"/>
          <w:b/>
          <w:spacing w:val="0"/>
          <w:szCs w:val="24"/>
          <w:rtl/>
        </w:rPr>
      </w:pPr>
      <w:r>
        <w:rPr>
          <w:rFonts w:ascii="Century" w:hAnsi="Century" w:cs="Miriam" w:hint="cs"/>
          <w:b/>
          <w:spacing w:val="0"/>
          <w:szCs w:val="24"/>
          <w:rtl/>
        </w:rPr>
        <w:t>דיון והכרעה</w:t>
      </w:r>
    </w:p>
    <w:p w14:paraId="54DEDC47" w14:textId="77777777" w:rsidR="00015BDD" w:rsidRPr="00160CD3" w:rsidRDefault="00015BDD" w:rsidP="00015BDD">
      <w:pPr>
        <w:pStyle w:val="Ruller40"/>
        <w:rPr>
          <w:rFonts w:ascii="Century" w:hAnsi="Century" w:cs="Miriam"/>
          <w:b/>
          <w:spacing w:val="0"/>
          <w:sz w:val="14"/>
          <w:szCs w:val="16"/>
          <w:rtl/>
        </w:rPr>
      </w:pPr>
    </w:p>
    <w:p w14:paraId="04B5739A" w14:textId="77777777" w:rsidR="00015BDD" w:rsidRPr="00D73B07" w:rsidRDefault="00015BDD" w:rsidP="00015BDD">
      <w:pPr>
        <w:pStyle w:val="Ruller4"/>
        <w:numPr>
          <w:ilvl w:val="0"/>
          <w:numId w:val="0"/>
        </w:numPr>
        <w:rPr>
          <w:rFonts w:ascii="Century" w:hAnsi="Century"/>
          <w:sz w:val="22"/>
          <w:rtl/>
        </w:rPr>
      </w:pPr>
      <w:r>
        <w:rPr>
          <w:rFonts w:hint="cs"/>
          <w:rtl/>
        </w:rPr>
        <w:t xml:space="preserve">6. </w:t>
      </w:r>
      <w:r>
        <w:rPr>
          <w:rtl/>
        </w:rPr>
        <w:tab/>
      </w:r>
      <w:r>
        <w:rPr>
          <w:rFonts w:hint="cs"/>
          <w:rtl/>
        </w:rPr>
        <w:t xml:space="preserve">עיינתי בפסק-הדין ובטענות הצדדים, ובאתי לידי מסקנה כי דין הבקשה להידחות. סעיף 30 לחוק בתי המשפט [נוסח משולב], התשמ"ד-1984 קובע כי ניתן </w:t>
      </w:r>
      <w:r>
        <w:rPr>
          <w:rFonts w:hint="cs"/>
          <w:rtl/>
        </w:rPr>
        <w:lastRenderedPageBreak/>
        <w:t xml:space="preserve">להורות על דיון נוסף בהתקיים אחת משתי חלופות: האחת </w:t>
      </w:r>
      <w:r>
        <w:rPr>
          <w:rtl/>
        </w:rPr>
        <w:t>–</w:t>
      </w:r>
      <w:r>
        <w:rPr>
          <w:rFonts w:hint="cs"/>
          <w:rtl/>
        </w:rPr>
        <w:t xml:space="preserve"> ש"</w:t>
      </w:r>
      <w:r w:rsidRPr="00D73B07">
        <w:rPr>
          <w:rFonts w:ascii="Century" w:hAnsi="Century" w:cs="Miriam"/>
          <w:b/>
          <w:spacing w:val="0"/>
          <w:sz w:val="22"/>
          <w:szCs w:val="24"/>
          <w:rtl/>
        </w:rPr>
        <w:t>ההלכה שנפסקה בבית המשפט העליון עומדת בסתירה להלכה קודמת של בית המשפט העליון</w:t>
      </w:r>
      <w:r>
        <w:rPr>
          <w:rFonts w:ascii="FrankRuehl" w:hAnsi="FrankRuehl" w:hint="cs"/>
          <w:color w:val="000000"/>
          <w:sz w:val="26"/>
          <w:szCs w:val="26"/>
          <w:rtl/>
        </w:rPr>
        <w:t xml:space="preserve">"; </w:t>
      </w:r>
      <w:r>
        <w:rPr>
          <w:rFonts w:ascii="Century" w:hAnsi="Century" w:hint="cs"/>
          <w:sz w:val="22"/>
          <w:rtl/>
        </w:rPr>
        <w:t>והשניי</w:t>
      </w:r>
      <w:r>
        <w:rPr>
          <w:rFonts w:ascii="Century" w:hAnsi="Century" w:hint="eastAsia"/>
          <w:sz w:val="22"/>
          <w:rtl/>
        </w:rPr>
        <w:t>ה</w:t>
      </w:r>
      <w:r>
        <w:rPr>
          <w:rFonts w:ascii="FrankRuehl" w:hAnsi="FrankRuehl" w:hint="cs"/>
          <w:color w:val="000000"/>
          <w:sz w:val="26"/>
          <w:szCs w:val="26"/>
          <w:rtl/>
        </w:rPr>
        <w:t xml:space="preserve"> </w:t>
      </w:r>
      <w:r>
        <w:rPr>
          <w:rFonts w:hint="cs"/>
          <w:rtl/>
        </w:rPr>
        <w:t xml:space="preserve"> </w:t>
      </w:r>
      <w:r>
        <w:rPr>
          <w:rtl/>
        </w:rPr>
        <w:t>–</w:t>
      </w:r>
      <w:r>
        <w:rPr>
          <w:rFonts w:hint="cs"/>
          <w:rtl/>
        </w:rPr>
        <w:t xml:space="preserve"> </w:t>
      </w:r>
      <w:r>
        <w:rPr>
          <w:rFonts w:ascii="FrankRuehl" w:hAnsi="FrankRuehl" w:hint="cs"/>
          <w:color w:val="000000"/>
          <w:sz w:val="26"/>
          <w:szCs w:val="26"/>
          <w:rtl/>
        </w:rPr>
        <w:t xml:space="preserve"> </w:t>
      </w:r>
      <w:r w:rsidRPr="00D73B07">
        <w:rPr>
          <w:rFonts w:ascii="Century" w:hAnsi="Century" w:hint="cs"/>
          <w:sz w:val="22"/>
          <w:rtl/>
        </w:rPr>
        <w:t>"</w:t>
      </w:r>
      <w:r w:rsidRPr="00D73B07">
        <w:rPr>
          <w:rFonts w:ascii="Century" w:hAnsi="Century" w:cs="Miriam"/>
          <w:b/>
          <w:spacing w:val="0"/>
          <w:sz w:val="22"/>
          <w:szCs w:val="24"/>
          <w:rtl/>
        </w:rPr>
        <w:t>מפאת חשיבותה, קשיותה או חידושה של הלכה שנפסקה</w:t>
      </w:r>
      <w:r>
        <w:rPr>
          <w:rFonts w:ascii="Century" w:hAnsi="Century" w:hint="cs"/>
          <w:sz w:val="22"/>
          <w:rtl/>
        </w:rPr>
        <w:t>".</w:t>
      </w:r>
      <w:r w:rsidRPr="00D73B07">
        <w:rPr>
          <w:rFonts w:ascii="Century" w:hAnsi="Century" w:hint="cs"/>
          <w:sz w:val="22"/>
          <w:rtl/>
        </w:rPr>
        <w:t xml:space="preserve"> מן הטעמים שאפרט, איני סבורה כי עלה בידי המבקש להוכיח את התקיימות </w:t>
      </w:r>
      <w:r w:rsidRPr="00EC429D">
        <w:rPr>
          <w:rFonts w:ascii="Century" w:hAnsi="Century"/>
          <w:sz w:val="22"/>
          <w:rtl/>
        </w:rPr>
        <w:t>תְּנָאֵי</w:t>
      </w:r>
      <w:r w:rsidRPr="00D73B07">
        <w:rPr>
          <w:rFonts w:ascii="Century" w:hAnsi="Century" w:hint="cs"/>
          <w:sz w:val="22"/>
          <w:rtl/>
        </w:rPr>
        <w:t xml:space="preserve"> </w:t>
      </w:r>
      <w:r>
        <w:rPr>
          <w:rFonts w:ascii="Century" w:hAnsi="Century" w:hint="cs"/>
          <w:sz w:val="22"/>
          <w:rtl/>
        </w:rPr>
        <w:t>איזו מן</w:t>
      </w:r>
      <w:r w:rsidRPr="00D73B07">
        <w:rPr>
          <w:rFonts w:ascii="Century" w:hAnsi="Century" w:hint="cs"/>
          <w:sz w:val="22"/>
          <w:rtl/>
        </w:rPr>
        <w:t xml:space="preserve"> החלופות</w:t>
      </w:r>
      <w:r>
        <w:rPr>
          <w:rFonts w:ascii="Century" w:hAnsi="Century" w:hint="cs"/>
          <w:sz w:val="22"/>
          <w:rtl/>
        </w:rPr>
        <w:t xml:space="preserve"> האמורות. </w:t>
      </w:r>
    </w:p>
    <w:p w14:paraId="40208C53" w14:textId="77777777" w:rsidR="00015BDD" w:rsidRPr="00160CD3" w:rsidRDefault="00015BDD" w:rsidP="00015BDD">
      <w:pPr>
        <w:pStyle w:val="Ruller40"/>
        <w:rPr>
          <w:sz w:val="16"/>
          <w:szCs w:val="22"/>
          <w:rtl/>
        </w:rPr>
      </w:pPr>
    </w:p>
    <w:p w14:paraId="3BB41A87" w14:textId="150CDD50" w:rsidR="00015BDD" w:rsidRDefault="00015BDD" w:rsidP="00F47D8E">
      <w:pPr>
        <w:pStyle w:val="Ruller4"/>
        <w:numPr>
          <w:ilvl w:val="0"/>
          <w:numId w:val="0"/>
        </w:numPr>
        <w:rPr>
          <w:rtl/>
        </w:rPr>
      </w:pPr>
      <w:r>
        <w:rPr>
          <w:rFonts w:hint="cs"/>
          <w:rtl/>
        </w:rPr>
        <w:t>7.</w:t>
      </w:r>
      <w:r>
        <w:rPr>
          <w:rFonts w:hint="cs"/>
          <w:rtl/>
        </w:rPr>
        <w:tab/>
        <w:t>קשה להלום את טענת המבקש לפיה קיימת הלכה "מושרשת" ששינויה הוא בבחינת "שינוי סדרי עולם" בסופיות דיני המס. פסקי-הדין שאליהם הפנה המבקש</w:t>
      </w:r>
      <w:r w:rsidR="00CE3B91">
        <w:rPr>
          <w:rFonts w:hint="cs"/>
          <w:rtl/>
        </w:rPr>
        <w:t xml:space="preserve"> בהקשר זה</w:t>
      </w:r>
      <w:r>
        <w:rPr>
          <w:rFonts w:hint="cs"/>
          <w:rtl/>
        </w:rPr>
        <w:t xml:space="preserve"> אינם תומכים בטענתו: חלקם ניתנו טרם תיקון מס' 34 ואף לא עסקו במישרין בתחולת סעיף 107 לחוק על סעיף 85 לחוק (ראו, בין היתר: ע"א 417/74 </w:t>
      </w:r>
      <w:r w:rsidRPr="00DD4300">
        <w:rPr>
          <w:rFonts w:ascii="Century" w:hAnsi="Century" w:cs="Miriam" w:hint="cs"/>
          <w:b/>
          <w:spacing w:val="0"/>
          <w:sz w:val="22"/>
          <w:szCs w:val="24"/>
          <w:rtl/>
        </w:rPr>
        <w:t xml:space="preserve">מנהל מס שבח מקרקעין נ' </w:t>
      </w:r>
      <w:proofErr w:type="spellStart"/>
      <w:r w:rsidRPr="00DD4300">
        <w:rPr>
          <w:rFonts w:ascii="Century" w:hAnsi="Century" w:cs="Miriam" w:hint="cs"/>
          <w:b/>
          <w:spacing w:val="0"/>
          <w:sz w:val="22"/>
          <w:szCs w:val="24"/>
          <w:rtl/>
        </w:rPr>
        <w:t>פאליי</w:t>
      </w:r>
      <w:proofErr w:type="spellEnd"/>
      <w:r>
        <w:rPr>
          <w:rFonts w:hint="cs"/>
          <w:rtl/>
        </w:rPr>
        <w:t xml:space="preserve">, פ"ד </w:t>
      </w:r>
      <w:proofErr w:type="spellStart"/>
      <w:r>
        <w:rPr>
          <w:rFonts w:hint="cs"/>
          <w:rtl/>
        </w:rPr>
        <w:t>כט</w:t>
      </w:r>
      <w:proofErr w:type="spellEnd"/>
      <w:r>
        <w:rPr>
          <w:rFonts w:hint="cs"/>
          <w:rtl/>
        </w:rPr>
        <w:t xml:space="preserve">(1) 681 (1976); ע"א 494/76 </w:t>
      </w:r>
      <w:r w:rsidRPr="00DD4300">
        <w:rPr>
          <w:rFonts w:ascii="Century" w:hAnsi="Century" w:cs="Miriam" w:hint="cs"/>
          <w:b/>
          <w:spacing w:val="0"/>
          <w:sz w:val="22"/>
          <w:szCs w:val="24"/>
          <w:rtl/>
        </w:rPr>
        <w:t>קרול נ' מנהל מס שבח מקרקעין</w:t>
      </w:r>
      <w:r>
        <w:rPr>
          <w:rFonts w:hint="cs"/>
          <w:rtl/>
        </w:rPr>
        <w:t xml:space="preserve">, פ"ד לא(3) 239 (1977); ע"א 530/81 </w:t>
      </w:r>
      <w:proofErr w:type="spellStart"/>
      <w:r w:rsidRPr="00DD4300">
        <w:rPr>
          <w:rFonts w:ascii="Century" w:hAnsi="Century" w:cs="Miriam" w:hint="cs"/>
          <w:b/>
          <w:spacing w:val="0"/>
          <w:sz w:val="22"/>
          <w:szCs w:val="24"/>
          <w:rtl/>
        </w:rPr>
        <w:t>קולטון</w:t>
      </w:r>
      <w:proofErr w:type="spellEnd"/>
      <w:r w:rsidRPr="00DD4300">
        <w:rPr>
          <w:rFonts w:ascii="Century" w:hAnsi="Century" w:cs="Miriam" w:hint="cs"/>
          <w:b/>
          <w:spacing w:val="0"/>
          <w:sz w:val="22"/>
          <w:szCs w:val="24"/>
          <w:rtl/>
        </w:rPr>
        <w:t xml:space="preserve"> נ' מנהל מס שבח מקרקעין</w:t>
      </w:r>
      <w:r>
        <w:rPr>
          <w:rFonts w:hint="cs"/>
          <w:rtl/>
        </w:rPr>
        <w:t xml:space="preserve">, פ"ד </w:t>
      </w:r>
      <w:proofErr w:type="spellStart"/>
      <w:r>
        <w:rPr>
          <w:rFonts w:hint="cs"/>
          <w:rtl/>
        </w:rPr>
        <w:t>לז</w:t>
      </w:r>
      <w:proofErr w:type="spellEnd"/>
      <w:r>
        <w:rPr>
          <w:rFonts w:hint="cs"/>
          <w:rtl/>
        </w:rPr>
        <w:t>(1) 333 (1983)). פסקי-דין אחרים שאליהם הפנה המבקש, אשר ניתנו לאחר תיקון מס' 34 ובהם בוטלו החלטות ועדות ערר להאריך את המועד הקבוע בסעיף 85 לחוק מכוח סעיף 107 לחוק, נתנו</w:t>
      </w:r>
      <w:r w:rsidR="002C329A">
        <w:rPr>
          <w:rFonts w:hint="cs"/>
          <w:rtl/>
        </w:rPr>
        <w:t xml:space="preserve"> תוקף להסכמות שהושגו בין הצדדים</w:t>
      </w:r>
      <w:r>
        <w:rPr>
          <w:rFonts w:hint="cs"/>
          <w:rtl/>
        </w:rPr>
        <w:t xml:space="preserve"> </w:t>
      </w:r>
      <w:r w:rsidRPr="00BD1BFA">
        <w:rPr>
          <w:rFonts w:hint="cs"/>
          <w:rtl/>
        </w:rPr>
        <w:t>וברי כי פסקי-דין אלה אינם יוצרים הלכה</w:t>
      </w:r>
      <w:r>
        <w:rPr>
          <w:rFonts w:hint="cs"/>
          <w:rtl/>
        </w:rPr>
        <w:t xml:space="preserve"> (ע"א 821/08 </w:t>
      </w:r>
      <w:r w:rsidRPr="00DD4300">
        <w:rPr>
          <w:rFonts w:ascii="Century" w:hAnsi="Century" w:cs="Miriam" w:hint="cs"/>
          <w:b/>
          <w:spacing w:val="0"/>
          <w:sz w:val="22"/>
          <w:szCs w:val="24"/>
          <w:rtl/>
        </w:rPr>
        <w:t>מנהל מיסוי מקרקעין נ' חברת פרויקטים גן העיר</w:t>
      </w:r>
      <w:r>
        <w:rPr>
          <w:rFonts w:hint="cs"/>
          <w:rtl/>
        </w:rPr>
        <w:t xml:space="preserve"> (10.2.2010); ע"א 5676/09 </w:t>
      </w:r>
      <w:r w:rsidRPr="00DD4300">
        <w:rPr>
          <w:rFonts w:ascii="Century" w:hAnsi="Century" w:cs="Miriam" w:hint="cs"/>
          <w:b/>
          <w:spacing w:val="0"/>
          <w:sz w:val="22"/>
          <w:szCs w:val="24"/>
          <w:rtl/>
        </w:rPr>
        <w:t>קליימן נ' מנהל מיסוי מקרקעין מרכז</w:t>
      </w:r>
      <w:r>
        <w:rPr>
          <w:rFonts w:hint="cs"/>
          <w:rtl/>
        </w:rPr>
        <w:t xml:space="preserve"> (4.4.2011); ע"א 489/13 </w:t>
      </w:r>
      <w:r w:rsidRPr="00DD4300">
        <w:rPr>
          <w:rFonts w:ascii="Century" w:hAnsi="Century" w:cs="Miriam" w:hint="cs"/>
          <w:b/>
          <w:spacing w:val="0"/>
          <w:sz w:val="22"/>
          <w:szCs w:val="24"/>
          <w:rtl/>
        </w:rPr>
        <w:t xml:space="preserve">מנהל מיסוי מקרקעין נצרת נ' עיזבון </w:t>
      </w:r>
      <w:r w:rsidRPr="00BD1BFA">
        <w:rPr>
          <w:rFonts w:ascii="Century" w:hAnsi="Century" w:cs="Miriam" w:hint="cs"/>
          <w:b/>
          <w:spacing w:val="0"/>
          <w:sz w:val="22"/>
          <w:szCs w:val="24"/>
          <w:rtl/>
        </w:rPr>
        <w:t xml:space="preserve">המנוח </w:t>
      </w:r>
      <w:proofErr w:type="spellStart"/>
      <w:r w:rsidRPr="00BD1BFA">
        <w:rPr>
          <w:rFonts w:ascii="Century" w:hAnsi="Century" w:cs="Miriam" w:hint="cs"/>
          <w:b/>
          <w:spacing w:val="0"/>
          <w:sz w:val="22"/>
          <w:szCs w:val="24"/>
          <w:rtl/>
        </w:rPr>
        <w:t>איברהים</w:t>
      </w:r>
      <w:proofErr w:type="spellEnd"/>
      <w:r w:rsidRPr="00BD1BFA">
        <w:rPr>
          <w:rFonts w:ascii="Century" w:hAnsi="Century" w:cs="Miriam" w:hint="cs"/>
          <w:b/>
          <w:spacing w:val="0"/>
          <w:sz w:val="22"/>
          <w:szCs w:val="24"/>
          <w:rtl/>
        </w:rPr>
        <w:t xml:space="preserve"> אסמר </w:t>
      </w:r>
      <w:proofErr w:type="spellStart"/>
      <w:r w:rsidRPr="00BD1BFA">
        <w:rPr>
          <w:rFonts w:ascii="Century" w:hAnsi="Century" w:cs="Miriam" w:hint="cs"/>
          <w:b/>
          <w:spacing w:val="0"/>
          <w:sz w:val="22"/>
          <w:szCs w:val="24"/>
          <w:rtl/>
        </w:rPr>
        <w:t>סעאידה</w:t>
      </w:r>
      <w:proofErr w:type="spellEnd"/>
      <w:r w:rsidRPr="00BD1BFA">
        <w:rPr>
          <w:rFonts w:hint="cs"/>
          <w:rtl/>
        </w:rPr>
        <w:t xml:space="preserve"> (17.3.2014); ע"א 5070/15 </w:t>
      </w:r>
      <w:r w:rsidRPr="0095079B">
        <w:rPr>
          <w:rFonts w:ascii="Century" w:hAnsi="Century" w:cs="Miriam" w:hint="eastAsia"/>
          <w:b/>
          <w:spacing w:val="0"/>
          <w:sz w:val="22"/>
          <w:szCs w:val="24"/>
          <w:rtl/>
        </w:rPr>
        <w:t>בר</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גיורא</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נ</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מנהל</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משרד</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מיסוי</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מקרקעין</w:t>
      </w:r>
      <w:r w:rsidRPr="0095079B">
        <w:rPr>
          <w:rFonts w:ascii="Century" w:hAnsi="Century" w:cs="Miriam"/>
          <w:b/>
          <w:spacing w:val="0"/>
          <w:sz w:val="22"/>
          <w:szCs w:val="24"/>
          <w:rtl/>
        </w:rPr>
        <w:t xml:space="preserve"> </w:t>
      </w:r>
      <w:r w:rsidRPr="0095079B">
        <w:rPr>
          <w:rFonts w:ascii="Century" w:hAnsi="Century" w:cs="Miriam" w:hint="eastAsia"/>
          <w:b/>
          <w:spacing w:val="0"/>
          <w:sz w:val="22"/>
          <w:szCs w:val="24"/>
          <w:rtl/>
        </w:rPr>
        <w:t>חדרה</w:t>
      </w:r>
      <w:r w:rsidRPr="0095079B">
        <w:rPr>
          <w:rtl/>
        </w:rPr>
        <w:t xml:space="preserve"> (8.5.2017)).</w:t>
      </w:r>
      <w:r>
        <w:rPr>
          <w:rFonts w:hint="cs"/>
          <w:rtl/>
        </w:rPr>
        <w:t xml:space="preserve"> מנגד, הצדק עם המשיבים כי בהחלטות רבות של ועדות הערר נקבע באופן מפורש </w:t>
      </w:r>
      <w:r w:rsidR="00492CF8">
        <w:rPr>
          <w:rFonts w:hint="cs"/>
          <w:rtl/>
        </w:rPr>
        <w:t>ש</w:t>
      </w:r>
      <w:r>
        <w:rPr>
          <w:rFonts w:hint="cs"/>
          <w:rtl/>
        </w:rPr>
        <w:t>ניתן להאריך את המועד הקבוע בסעיף 85 לחוק מ</w:t>
      </w:r>
      <w:r w:rsidR="003404FD">
        <w:rPr>
          <w:rFonts w:hint="cs"/>
          <w:rtl/>
        </w:rPr>
        <w:t>כוח</w:t>
      </w:r>
      <w:r w:rsidR="00E96AC6">
        <w:rPr>
          <w:rFonts w:hint="cs"/>
          <w:rtl/>
        </w:rPr>
        <w:t xml:space="preserve"> סעיף 107 לחוק. </w:t>
      </w:r>
      <w:r>
        <w:rPr>
          <w:rFonts w:hint="cs"/>
          <w:rtl/>
        </w:rPr>
        <w:t>על חלק מהחלטות אלה</w:t>
      </w:r>
      <w:r w:rsidR="00364693">
        <w:rPr>
          <w:rFonts w:hint="cs"/>
          <w:rtl/>
        </w:rPr>
        <w:t xml:space="preserve"> אף</w:t>
      </w:r>
      <w:r>
        <w:rPr>
          <w:rFonts w:hint="cs"/>
          <w:rtl/>
        </w:rPr>
        <w:t xml:space="preserve"> בחר המבקש שלא לערער (ראו, בין היתר: </w:t>
      </w:r>
      <w:proofErr w:type="spellStart"/>
      <w:r>
        <w:rPr>
          <w:rFonts w:hint="cs"/>
          <w:rtl/>
        </w:rPr>
        <w:t>ו"ע</w:t>
      </w:r>
      <w:proofErr w:type="spellEnd"/>
      <w:r>
        <w:rPr>
          <w:rFonts w:hint="cs"/>
          <w:rtl/>
        </w:rPr>
        <w:t xml:space="preserve"> (מחוזי ת"א) 1063/02 </w:t>
      </w:r>
      <w:r w:rsidRPr="00DD4300">
        <w:rPr>
          <w:rFonts w:ascii="Century" w:hAnsi="Century" w:cs="Miriam" w:hint="cs"/>
          <w:b/>
          <w:spacing w:val="0"/>
          <w:sz w:val="22"/>
          <w:szCs w:val="24"/>
          <w:rtl/>
        </w:rPr>
        <w:t>סולטן נ' מנהל מס שבח נתניה</w:t>
      </w:r>
      <w:r>
        <w:rPr>
          <w:rFonts w:hint="cs"/>
          <w:rtl/>
        </w:rPr>
        <w:t xml:space="preserve"> (8.1.2007); </w:t>
      </w:r>
      <w:proofErr w:type="spellStart"/>
      <w:r>
        <w:rPr>
          <w:rFonts w:hint="cs"/>
          <w:rtl/>
        </w:rPr>
        <w:t>ו"ע</w:t>
      </w:r>
      <w:proofErr w:type="spellEnd"/>
      <w:r>
        <w:rPr>
          <w:rFonts w:hint="cs"/>
          <w:rtl/>
        </w:rPr>
        <w:t xml:space="preserve"> (מחוזי י-ם) 1007/05 </w:t>
      </w:r>
      <w:r w:rsidRPr="00DD4300">
        <w:rPr>
          <w:rFonts w:ascii="Century" w:hAnsi="Century" w:cs="Miriam" w:hint="cs"/>
          <w:b/>
          <w:spacing w:val="0"/>
          <w:sz w:val="22"/>
          <w:szCs w:val="24"/>
          <w:rtl/>
        </w:rPr>
        <w:t>המשלחת הדתית הרוסית של הפטריארכיה של מוסקבה נ' מנהל מיסוי מקרקעין ירושלים</w:t>
      </w:r>
      <w:r>
        <w:rPr>
          <w:rFonts w:hint="cs"/>
          <w:rtl/>
        </w:rPr>
        <w:t xml:space="preserve"> (22.8.2007))</w:t>
      </w:r>
      <w:r w:rsidR="00F47D8E">
        <w:rPr>
          <w:rFonts w:hint="cs"/>
          <w:rtl/>
        </w:rPr>
        <w:t xml:space="preserve">. ומכל מקום, המבקש </w:t>
      </w:r>
      <w:r>
        <w:rPr>
          <w:rFonts w:hint="cs"/>
          <w:rtl/>
        </w:rPr>
        <w:t xml:space="preserve">לא הצביע על פסק-דין של בית </w:t>
      </w:r>
      <w:r w:rsidR="00033B7A">
        <w:rPr>
          <w:rFonts w:hint="cs"/>
          <w:rtl/>
        </w:rPr>
        <w:t xml:space="preserve">משפט זה שהכריע מפורשות בשאלה זו. יתרה מכך </w:t>
      </w:r>
      <w:r w:rsidR="00033B7A">
        <w:rPr>
          <w:rtl/>
        </w:rPr>
        <w:t>–</w:t>
      </w:r>
      <w:r w:rsidR="006200F0">
        <w:rPr>
          <w:rFonts w:hint="cs"/>
          <w:rtl/>
        </w:rPr>
        <w:t xml:space="preserve"> </w:t>
      </w:r>
      <w:r>
        <w:rPr>
          <w:rFonts w:hint="cs"/>
          <w:rtl/>
        </w:rPr>
        <w:t>בשני פסקי-דין שאליהם הפנה</w:t>
      </w:r>
      <w:r w:rsidR="00F47D8E">
        <w:rPr>
          <w:rFonts w:hint="cs"/>
          <w:rtl/>
        </w:rPr>
        <w:t xml:space="preserve"> המבקש אף</w:t>
      </w:r>
      <w:r>
        <w:rPr>
          <w:rFonts w:hint="cs"/>
          <w:rtl/>
        </w:rPr>
        <w:t xml:space="preserve"> הובעה תמיכה</w:t>
      </w:r>
      <w:r w:rsidR="00C737D3">
        <w:rPr>
          <w:rFonts w:hint="cs"/>
          <w:rtl/>
        </w:rPr>
        <w:t xml:space="preserve"> </w:t>
      </w:r>
      <w:r w:rsidR="00C737D3">
        <w:rPr>
          <w:rtl/>
        </w:rPr>
        <w:t>–</w:t>
      </w:r>
      <w:r w:rsidR="00C737D3">
        <w:rPr>
          <w:rFonts w:hint="cs"/>
          <w:rtl/>
        </w:rPr>
        <w:t xml:space="preserve"> אם כי באמרת אגב </w:t>
      </w:r>
      <w:r w:rsidR="00C737D3">
        <w:rPr>
          <w:rtl/>
        </w:rPr>
        <w:t>–</w:t>
      </w:r>
      <w:r w:rsidR="00C737D3">
        <w:rPr>
          <w:rFonts w:hint="cs"/>
          <w:rtl/>
        </w:rPr>
        <w:t xml:space="preserve"> </w:t>
      </w:r>
      <w:r>
        <w:rPr>
          <w:rFonts w:ascii="Century" w:hAnsi="Century" w:hint="cs"/>
          <w:sz w:val="22"/>
          <w:rtl/>
        </w:rPr>
        <w:t xml:space="preserve">בעמדה שלפיה </w:t>
      </w:r>
      <w:r>
        <w:rPr>
          <w:rFonts w:hint="cs"/>
          <w:rtl/>
        </w:rPr>
        <w:t>ניתן להאריך את המועד הקב</w:t>
      </w:r>
      <w:r w:rsidR="009F24AF">
        <w:rPr>
          <w:rFonts w:hint="cs"/>
          <w:rtl/>
        </w:rPr>
        <w:t>וע בסעיף 85 מכוח סעיף 107 לחוק</w:t>
      </w:r>
      <w:r>
        <w:rPr>
          <w:rFonts w:hint="cs"/>
          <w:rtl/>
        </w:rPr>
        <w:t xml:space="preserve"> (</w:t>
      </w:r>
      <w:r w:rsidRPr="00BD1BFA">
        <w:rPr>
          <w:rFonts w:hint="cs"/>
          <w:rtl/>
        </w:rPr>
        <w:t xml:space="preserve">ראו </w:t>
      </w:r>
      <w:r w:rsidRPr="00240926">
        <w:rPr>
          <w:rFonts w:ascii="Century" w:hAnsi="Century" w:hint="eastAsia"/>
          <w:sz w:val="22"/>
          <w:rtl/>
        </w:rPr>
        <w:t>ע</w:t>
      </w:r>
      <w:r w:rsidRPr="00240926">
        <w:rPr>
          <w:rFonts w:ascii="Century" w:hAnsi="Century"/>
          <w:sz w:val="22"/>
          <w:rtl/>
        </w:rPr>
        <w:t>"</w:t>
      </w:r>
      <w:r w:rsidRPr="00240926">
        <w:rPr>
          <w:rFonts w:ascii="Century" w:hAnsi="Century" w:hint="eastAsia"/>
          <w:sz w:val="22"/>
          <w:rtl/>
        </w:rPr>
        <w:t>א</w:t>
      </w:r>
      <w:r w:rsidRPr="00240926">
        <w:rPr>
          <w:rFonts w:ascii="Century" w:hAnsi="Century"/>
          <w:sz w:val="22"/>
          <w:rtl/>
        </w:rPr>
        <w:t xml:space="preserve"> 7759/07 </w:t>
      </w:r>
      <w:r w:rsidRPr="00240926">
        <w:rPr>
          <w:rFonts w:ascii="Century" w:hAnsi="Century" w:cs="Miriam" w:hint="eastAsia"/>
          <w:b/>
          <w:spacing w:val="0"/>
          <w:sz w:val="22"/>
          <w:szCs w:val="24"/>
          <w:rtl/>
        </w:rPr>
        <w:t>כספי</w:t>
      </w:r>
      <w:r w:rsidRPr="00240926">
        <w:rPr>
          <w:rFonts w:ascii="Century" w:hAnsi="Century" w:cs="Miriam"/>
          <w:b/>
          <w:spacing w:val="0"/>
          <w:sz w:val="22"/>
          <w:szCs w:val="24"/>
          <w:rtl/>
        </w:rPr>
        <w:t xml:space="preserve"> </w:t>
      </w:r>
      <w:r w:rsidRPr="00240926">
        <w:rPr>
          <w:rFonts w:ascii="Century" w:hAnsi="Century" w:cs="Miriam" w:hint="eastAsia"/>
          <w:b/>
          <w:spacing w:val="0"/>
          <w:sz w:val="22"/>
          <w:szCs w:val="24"/>
          <w:rtl/>
        </w:rPr>
        <w:t>נ</w:t>
      </w:r>
      <w:r w:rsidRPr="00240926">
        <w:rPr>
          <w:rFonts w:ascii="Century" w:hAnsi="Century" w:cs="Miriam"/>
          <w:b/>
          <w:spacing w:val="0"/>
          <w:sz w:val="22"/>
          <w:szCs w:val="24"/>
          <w:rtl/>
        </w:rPr>
        <w:t xml:space="preserve">' </w:t>
      </w:r>
      <w:r w:rsidRPr="00240926">
        <w:rPr>
          <w:rFonts w:ascii="Century" w:hAnsi="Century" w:cs="Miriam" w:hint="eastAsia"/>
          <w:b/>
          <w:spacing w:val="0"/>
          <w:sz w:val="22"/>
          <w:szCs w:val="24"/>
          <w:rtl/>
        </w:rPr>
        <w:t>מנהל</w:t>
      </w:r>
      <w:r w:rsidRPr="00240926">
        <w:rPr>
          <w:rFonts w:ascii="Century" w:hAnsi="Century" w:cs="Miriam"/>
          <w:b/>
          <w:spacing w:val="0"/>
          <w:sz w:val="22"/>
          <w:szCs w:val="24"/>
          <w:rtl/>
        </w:rPr>
        <w:t xml:space="preserve"> </w:t>
      </w:r>
      <w:r w:rsidRPr="00240926">
        <w:rPr>
          <w:rFonts w:ascii="Century" w:hAnsi="Century" w:cs="Miriam" w:hint="eastAsia"/>
          <w:b/>
          <w:spacing w:val="0"/>
          <w:sz w:val="22"/>
          <w:szCs w:val="24"/>
          <w:rtl/>
        </w:rPr>
        <w:t>מס</w:t>
      </w:r>
      <w:r w:rsidRPr="00240926">
        <w:rPr>
          <w:rFonts w:ascii="Century" w:hAnsi="Century" w:cs="Miriam"/>
          <w:b/>
          <w:spacing w:val="0"/>
          <w:sz w:val="22"/>
          <w:szCs w:val="24"/>
          <w:rtl/>
        </w:rPr>
        <w:t xml:space="preserve"> </w:t>
      </w:r>
      <w:r w:rsidRPr="00240926">
        <w:rPr>
          <w:rFonts w:ascii="Century" w:hAnsi="Century" w:cs="Miriam" w:hint="eastAsia"/>
          <w:b/>
          <w:spacing w:val="0"/>
          <w:sz w:val="22"/>
          <w:szCs w:val="24"/>
          <w:rtl/>
        </w:rPr>
        <w:t>שבח</w:t>
      </w:r>
      <w:r w:rsidRPr="00240926">
        <w:rPr>
          <w:rFonts w:ascii="Century" w:hAnsi="Century" w:cs="Miriam"/>
          <w:b/>
          <w:spacing w:val="0"/>
          <w:sz w:val="22"/>
          <w:szCs w:val="24"/>
          <w:rtl/>
        </w:rPr>
        <w:t xml:space="preserve"> </w:t>
      </w:r>
      <w:r w:rsidRPr="00240926">
        <w:rPr>
          <w:rFonts w:ascii="Century" w:hAnsi="Century" w:cs="Miriam" w:hint="eastAsia"/>
          <w:b/>
          <w:spacing w:val="0"/>
          <w:sz w:val="22"/>
          <w:szCs w:val="24"/>
          <w:rtl/>
        </w:rPr>
        <w:t>מקרקעין</w:t>
      </w:r>
      <w:r w:rsidRPr="00240926">
        <w:rPr>
          <w:rFonts w:ascii="Century" w:hAnsi="Century" w:cs="Miriam"/>
          <w:b/>
          <w:spacing w:val="0"/>
          <w:sz w:val="22"/>
          <w:szCs w:val="24"/>
          <w:rtl/>
        </w:rPr>
        <w:t xml:space="preserve"> </w:t>
      </w:r>
      <w:r w:rsidRPr="00240926">
        <w:rPr>
          <w:rFonts w:ascii="Century" w:hAnsi="Century" w:cs="Miriam" w:hint="eastAsia"/>
          <w:b/>
          <w:spacing w:val="0"/>
          <w:sz w:val="22"/>
          <w:szCs w:val="24"/>
          <w:rtl/>
        </w:rPr>
        <w:t>נתניה</w:t>
      </w:r>
      <w:r>
        <w:rPr>
          <w:rFonts w:ascii="Century" w:hAnsi="Century" w:hint="cs"/>
          <w:sz w:val="22"/>
          <w:rtl/>
        </w:rPr>
        <w:t xml:space="preserve">, פסקה י"ב לחוות דעת של השופט (כתוארו אז) </w:t>
      </w:r>
      <w:r w:rsidRPr="00240926">
        <w:rPr>
          <w:rFonts w:ascii="Century" w:hAnsi="Century" w:cs="Miriam" w:hint="cs"/>
          <w:b/>
          <w:spacing w:val="0"/>
          <w:sz w:val="22"/>
          <w:szCs w:val="24"/>
          <w:rtl/>
        </w:rPr>
        <w:t>א' רובינשטיין</w:t>
      </w:r>
      <w:r w:rsidRPr="000175C8">
        <w:rPr>
          <w:rFonts w:ascii="Century" w:hAnsi="Century"/>
          <w:sz w:val="22"/>
          <w:rtl/>
        </w:rPr>
        <w:t xml:space="preserve"> (12.4.2010)</w:t>
      </w:r>
      <w:r>
        <w:rPr>
          <w:rFonts w:ascii="Century" w:hAnsi="Century" w:hint="cs"/>
          <w:sz w:val="22"/>
          <w:rtl/>
        </w:rPr>
        <w:t xml:space="preserve">; </w:t>
      </w:r>
      <w:r w:rsidRPr="000175C8">
        <w:rPr>
          <w:rFonts w:ascii="Century" w:hAnsi="Century" w:hint="eastAsia"/>
          <w:sz w:val="22"/>
          <w:rtl/>
        </w:rPr>
        <w:t>ע</w:t>
      </w:r>
      <w:r w:rsidRPr="000175C8">
        <w:rPr>
          <w:rFonts w:ascii="Century" w:hAnsi="Century"/>
          <w:sz w:val="22"/>
          <w:rtl/>
        </w:rPr>
        <w:t>"</w:t>
      </w:r>
      <w:r w:rsidRPr="000175C8">
        <w:rPr>
          <w:rFonts w:ascii="Century" w:hAnsi="Century" w:hint="eastAsia"/>
          <w:sz w:val="22"/>
          <w:rtl/>
        </w:rPr>
        <w:t>א</w:t>
      </w:r>
      <w:r w:rsidRPr="000175C8">
        <w:rPr>
          <w:rFonts w:ascii="Century" w:hAnsi="Century"/>
          <w:sz w:val="22"/>
          <w:rtl/>
        </w:rPr>
        <w:t xml:space="preserve"> 5461/11 </w:t>
      </w:r>
      <w:r w:rsidRPr="000175C8">
        <w:rPr>
          <w:rFonts w:ascii="Century" w:hAnsi="Century" w:cs="Miriam" w:hint="eastAsia"/>
          <w:b/>
          <w:spacing w:val="0"/>
          <w:sz w:val="22"/>
          <w:szCs w:val="24"/>
          <w:rtl/>
        </w:rPr>
        <w:t>חכמי</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נ</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מנהל</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מיסוי</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מקרקעין</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אזור</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ירושלים</w:t>
      </w:r>
      <w:r w:rsidRPr="00240926">
        <w:rPr>
          <w:rFonts w:ascii="Century" w:hAnsi="Century" w:hint="cs"/>
          <w:sz w:val="22"/>
          <w:rtl/>
        </w:rPr>
        <w:t>,</w:t>
      </w:r>
      <w:r>
        <w:rPr>
          <w:rFonts w:ascii="Century" w:hAnsi="Century" w:cs="Miriam" w:hint="cs"/>
          <w:b/>
          <w:spacing w:val="0"/>
          <w:sz w:val="22"/>
          <w:szCs w:val="24"/>
          <w:rtl/>
        </w:rPr>
        <w:t xml:space="preserve"> </w:t>
      </w:r>
      <w:r>
        <w:rPr>
          <w:rFonts w:ascii="Century" w:hAnsi="Century" w:hint="cs"/>
          <w:sz w:val="22"/>
          <w:rtl/>
        </w:rPr>
        <w:t xml:space="preserve">פסקה 13 לחוות דעתו של השופט </w:t>
      </w:r>
      <w:r w:rsidRPr="00240926">
        <w:rPr>
          <w:rFonts w:ascii="Century" w:hAnsi="Century" w:cs="Miriam" w:hint="cs"/>
          <w:b/>
          <w:spacing w:val="0"/>
          <w:sz w:val="22"/>
          <w:szCs w:val="24"/>
          <w:rtl/>
        </w:rPr>
        <w:t xml:space="preserve">י' </w:t>
      </w:r>
      <w:proofErr w:type="spellStart"/>
      <w:r w:rsidRPr="00240926">
        <w:rPr>
          <w:rFonts w:ascii="Century" w:hAnsi="Century" w:cs="Miriam" w:hint="cs"/>
          <w:b/>
          <w:spacing w:val="0"/>
          <w:sz w:val="22"/>
          <w:szCs w:val="24"/>
          <w:rtl/>
        </w:rPr>
        <w:t>דנציגר</w:t>
      </w:r>
      <w:proofErr w:type="spellEnd"/>
      <w:r w:rsidRPr="000175C8">
        <w:rPr>
          <w:rFonts w:ascii="Century" w:hAnsi="Century"/>
          <w:sz w:val="22"/>
          <w:rtl/>
        </w:rPr>
        <w:t xml:space="preserve"> (5.2.2013))</w:t>
      </w:r>
      <w:r>
        <w:rPr>
          <w:rFonts w:ascii="Century" w:hAnsi="Century" w:hint="cs"/>
          <w:sz w:val="22"/>
          <w:rtl/>
        </w:rPr>
        <w:t>.</w:t>
      </w:r>
    </w:p>
    <w:p w14:paraId="076A86BC" w14:textId="77777777" w:rsidR="00015BDD" w:rsidRPr="00160CD3" w:rsidRDefault="00015BDD" w:rsidP="00015BDD">
      <w:pPr>
        <w:pStyle w:val="Ruller4"/>
        <w:numPr>
          <w:ilvl w:val="0"/>
          <w:numId w:val="0"/>
        </w:numPr>
        <w:rPr>
          <w:sz w:val="22"/>
          <w:szCs w:val="22"/>
          <w:rtl/>
        </w:rPr>
      </w:pPr>
    </w:p>
    <w:p w14:paraId="1CBF9E09" w14:textId="48120162" w:rsidR="00015BDD" w:rsidRDefault="00015BDD" w:rsidP="00205C8E">
      <w:pPr>
        <w:pStyle w:val="Ruller4"/>
        <w:numPr>
          <w:ilvl w:val="0"/>
          <w:numId w:val="0"/>
        </w:numPr>
        <w:rPr>
          <w:rtl/>
        </w:rPr>
      </w:pPr>
      <w:r>
        <w:rPr>
          <w:rtl/>
        </w:rPr>
        <w:tab/>
      </w:r>
      <w:r>
        <w:rPr>
          <w:rFonts w:hint="cs"/>
          <w:rtl/>
        </w:rPr>
        <w:t xml:space="preserve">מן האמור לעיל עולה כי </w:t>
      </w:r>
      <w:r w:rsidRPr="007F57BC">
        <w:rPr>
          <w:rFonts w:ascii="Century" w:hAnsi="Century" w:hint="cs"/>
          <w:sz w:val="22"/>
          <w:rtl/>
        </w:rPr>
        <w:t>לא הייתה בעבר הלכה ברורה שלפיה לא</w:t>
      </w:r>
      <w:r>
        <w:rPr>
          <w:rFonts w:ascii="Century" w:hAnsi="Century" w:hint="cs"/>
          <w:sz w:val="22"/>
          <w:rtl/>
        </w:rPr>
        <w:t xml:space="preserve"> ניתן להאריך את התקופה הקבועה ב</w:t>
      </w:r>
      <w:r w:rsidR="001159C5">
        <w:rPr>
          <w:rFonts w:ascii="Century" w:hAnsi="Century" w:hint="cs"/>
          <w:sz w:val="22"/>
          <w:rtl/>
        </w:rPr>
        <w:t>סעיף 85 לחוק מכוח סעיף 107 לחוק</w:t>
      </w:r>
      <w:r>
        <w:rPr>
          <w:rFonts w:ascii="Century" w:hAnsi="Century" w:hint="cs"/>
          <w:sz w:val="22"/>
          <w:rtl/>
        </w:rPr>
        <w:t xml:space="preserve"> </w:t>
      </w:r>
      <w:r w:rsidR="00205C8E">
        <w:rPr>
          <w:rFonts w:hint="cs"/>
          <w:rtl/>
        </w:rPr>
        <w:t xml:space="preserve">ולמצער, </w:t>
      </w:r>
      <w:r>
        <w:rPr>
          <w:rFonts w:hint="cs"/>
          <w:rtl/>
        </w:rPr>
        <w:t>שררה</w:t>
      </w:r>
      <w:r w:rsidR="00205C8E">
        <w:rPr>
          <w:rFonts w:hint="cs"/>
          <w:rtl/>
        </w:rPr>
        <w:t xml:space="preserve"> עד כה</w:t>
      </w:r>
      <w:r>
        <w:rPr>
          <w:rFonts w:hint="cs"/>
          <w:rtl/>
        </w:rPr>
        <w:t xml:space="preserve"> אי-בהירות באשר לאפשרות לעשות כן. לפיכך, אין לקבל את הטענה כי פסק-הדין </w:t>
      </w:r>
      <w:r w:rsidRPr="000175C8">
        <w:rPr>
          <w:rFonts w:ascii="Century" w:hAnsi="Century" w:cs="Miriam" w:hint="eastAsia"/>
          <w:b/>
          <w:spacing w:val="0"/>
          <w:sz w:val="22"/>
          <w:szCs w:val="24"/>
          <w:rtl/>
        </w:rPr>
        <w:t>סותר</w:t>
      </w:r>
      <w:r>
        <w:rPr>
          <w:rFonts w:hint="cs"/>
          <w:rtl/>
        </w:rPr>
        <w:t xml:space="preserve"> הלכה קודמת. </w:t>
      </w:r>
    </w:p>
    <w:p w14:paraId="7E1E7A89" w14:textId="77777777" w:rsidR="00015BDD" w:rsidRPr="00160CD3" w:rsidRDefault="00015BDD" w:rsidP="00015BDD">
      <w:pPr>
        <w:pStyle w:val="Ruller4"/>
        <w:numPr>
          <w:ilvl w:val="0"/>
          <w:numId w:val="0"/>
        </w:numPr>
        <w:rPr>
          <w:sz w:val="10"/>
          <w:szCs w:val="14"/>
          <w:rtl/>
        </w:rPr>
      </w:pPr>
    </w:p>
    <w:p w14:paraId="724FCD9B" w14:textId="3288700C" w:rsidR="00015BDD" w:rsidRDefault="00015BDD" w:rsidP="00964E56">
      <w:pPr>
        <w:pStyle w:val="Ruller4"/>
        <w:numPr>
          <w:ilvl w:val="0"/>
          <w:numId w:val="0"/>
        </w:numPr>
        <w:rPr>
          <w:rFonts w:ascii="Century" w:hAnsi="Century"/>
          <w:rtl/>
        </w:rPr>
      </w:pPr>
      <w:r>
        <w:rPr>
          <w:rFonts w:ascii="Century" w:hAnsi="Century" w:hint="cs"/>
          <w:sz w:val="22"/>
          <w:rtl/>
        </w:rPr>
        <w:lastRenderedPageBreak/>
        <w:t>8.</w:t>
      </w:r>
      <w:r>
        <w:rPr>
          <w:rFonts w:ascii="Century" w:hAnsi="Century" w:hint="cs"/>
          <w:sz w:val="22"/>
          <w:rtl/>
        </w:rPr>
        <w:tab/>
        <w:t xml:space="preserve">אשר לטענת המבקש כי </w:t>
      </w:r>
      <w:r>
        <w:rPr>
          <w:rFonts w:hint="cs"/>
          <w:rtl/>
        </w:rPr>
        <w:t>ההלכה שנפסקה בפסק-הדין מצדיקה קיום דיון נוסף "</w:t>
      </w:r>
      <w:r w:rsidRPr="00610C78">
        <w:rPr>
          <w:rFonts w:ascii="Century" w:hAnsi="Century" w:cs="Miriam"/>
          <w:b/>
          <w:spacing w:val="0"/>
          <w:sz w:val="22"/>
          <w:szCs w:val="24"/>
          <w:rtl/>
        </w:rPr>
        <w:t>מפאת חשיבותה, קשיותה או חידושה</w:t>
      </w:r>
      <w:r w:rsidRPr="00BD1BFA">
        <w:rPr>
          <w:rFonts w:ascii="FrankRuehl" w:hAnsi="FrankRuehl" w:hint="cs"/>
          <w:color w:val="000000"/>
          <w:sz w:val="26"/>
          <w:szCs w:val="26"/>
          <w:rtl/>
        </w:rPr>
        <w:t xml:space="preserve">" </w:t>
      </w:r>
      <w:r w:rsidR="00F47D8E">
        <w:rPr>
          <w:rFonts w:ascii="Century" w:hAnsi="Century" w:hint="cs"/>
          <w:sz w:val="22"/>
          <w:rtl/>
        </w:rPr>
        <w:t>ו</w:t>
      </w:r>
      <w:r w:rsidR="00C960B8">
        <w:rPr>
          <w:rFonts w:ascii="Century" w:hAnsi="Century" w:hint="cs"/>
          <w:sz w:val="22"/>
          <w:rtl/>
        </w:rPr>
        <w:t>משום</w:t>
      </w:r>
      <w:r w:rsidRPr="000175C8">
        <w:rPr>
          <w:rFonts w:ascii="Century" w:hAnsi="Century"/>
          <w:sz w:val="22"/>
          <w:rtl/>
        </w:rPr>
        <w:t xml:space="preserve"> </w:t>
      </w:r>
      <w:r w:rsidR="00C960B8">
        <w:rPr>
          <w:rFonts w:ascii="Century" w:hAnsi="Century" w:hint="cs"/>
          <w:sz w:val="22"/>
          <w:rtl/>
        </w:rPr>
        <w:t>ש</w:t>
      </w:r>
      <w:r w:rsidRPr="000175C8">
        <w:rPr>
          <w:rFonts w:ascii="Century" w:hAnsi="Century" w:hint="eastAsia"/>
          <w:sz w:val="22"/>
          <w:rtl/>
        </w:rPr>
        <w:t>היא</w:t>
      </w:r>
      <w:r w:rsidRPr="00BD1BFA">
        <w:rPr>
          <w:rFonts w:ascii="FrankRuehl" w:hAnsi="FrankRuehl" w:hint="cs"/>
          <w:color w:val="000000"/>
          <w:sz w:val="26"/>
          <w:szCs w:val="26"/>
          <w:rtl/>
        </w:rPr>
        <w:t xml:space="preserve"> </w:t>
      </w:r>
      <w:r w:rsidRPr="000175C8">
        <w:rPr>
          <w:rFonts w:ascii="Century" w:hAnsi="Century"/>
          <w:sz w:val="22"/>
          <w:rtl/>
        </w:rPr>
        <w:t>"</w:t>
      </w:r>
      <w:r w:rsidRPr="000175C8">
        <w:rPr>
          <w:rFonts w:ascii="Century" w:hAnsi="Century" w:hint="eastAsia"/>
          <w:sz w:val="22"/>
          <w:rtl/>
        </w:rPr>
        <w:t>סותרת</w:t>
      </w:r>
      <w:r w:rsidRPr="000175C8">
        <w:rPr>
          <w:rFonts w:ascii="Century" w:hAnsi="Century"/>
          <w:sz w:val="22"/>
          <w:rtl/>
        </w:rPr>
        <w:t xml:space="preserve"> </w:t>
      </w:r>
      <w:r w:rsidRPr="000175C8">
        <w:rPr>
          <w:rFonts w:ascii="Century" w:hAnsi="Century" w:hint="eastAsia"/>
          <w:sz w:val="22"/>
          <w:rtl/>
        </w:rPr>
        <w:t>עקרונות</w:t>
      </w:r>
      <w:r w:rsidRPr="000175C8">
        <w:rPr>
          <w:rFonts w:ascii="Century" w:hAnsi="Century"/>
          <w:sz w:val="22"/>
          <w:rtl/>
        </w:rPr>
        <w:t xml:space="preserve"> </w:t>
      </w:r>
      <w:r w:rsidRPr="000175C8">
        <w:rPr>
          <w:rFonts w:ascii="Century" w:hAnsi="Century" w:hint="eastAsia"/>
          <w:sz w:val="22"/>
          <w:rtl/>
        </w:rPr>
        <w:t>יסוד</w:t>
      </w:r>
      <w:r w:rsidRPr="000175C8">
        <w:rPr>
          <w:rFonts w:ascii="Century" w:hAnsi="Century"/>
          <w:sz w:val="22"/>
          <w:rtl/>
        </w:rPr>
        <w:t xml:space="preserve"> </w:t>
      </w:r>
      <w:r w:rsidRPr="000175C8">
        <w:rPr>
          <w:rFonts w:ascii="Century" w:hAnsi="Century" w:hint="eastAsia"/>
          <w:sz w:val="22"/>
          <w:rtl/>
        </w:rPr>
        <w:t>בדיני</w:t>
      </w:r>
      <w:r w:rsidRPr="000175C8">
        <w:rPr>
          <w:rFonts w:ascii="Century" w:hAnsi="Century"/>
          <w:sz w:val="22"/>
          <w:rtl/>
        </w:rPr>
        <w:t xml:space="preserve"> </w:t>
      </w:r>
      <w:r w:rsidRPr="000175C8">
        <w:rPr>
          <w:rFonts w:ascii="Century" w:hAnsi="Century" w:hint="eastAsia"/>
          <w:sz w:val="22"/>
          <w:rtl/>
        </w:rPr>
        <w:t>המס</w:t>
      </w:r>
      <w:r w:rsidRPr="000175C8">
        <w:rPr>
          <w:rFonts w:ascii="Century" w:hAnsi="Century"/>
          <w:sz w:val="22"/>
          <w:rtl/>
        </w:rPr>
        <w:t xml:space="preserve"> </w:t>
      </w:r>
      <w:r w:rsidRPr="000175C8">
        <w:rPr>
          <w:rFonts w:ascii="Century" w:hAnsi="Century" w:hint="eastAsia"/>
          <w:sz w:val="22"/>
          <w:rtl/>
        </w:rPr>
        <w:t>ובדיני</w:t>
      </w:r>
      <w:r w:rsidRPr="000175C8">
        <w:rPr>
          <w:rFonts w:ascii="Century" w:hAnsi="Century"/>
          <w:sz w:val="22"/>
          <w:rtl/>
        </w:rPr>
        <w:t xml:space="preserve"> </w:t>
      </w:r>
      <w:r w:rsidRPr="000175C8">
        <w:rPr>
          <w:rFonts w:ascii="Century" w:hAnsi="Century" w:hint="eastAsia"/>
          <w:sz w:val="22"/>
          <w:rtl/>
        </w:rPr>
        <w:t>ההתיישנות</w:t>
      </w:r>
      <w:r w:rsidRPr="000175C8">
        <w:rPr>
          <w:rFonts w:ascii="Century" w:hAnsi="Century"/>
          <w:sz w:val="22"/>
          <w:rtl/>
        </w:rPr>
        <w:t>"</w:t>
      </w:r>
      <w:r w:rsidRPr="00BD1BFA">
        <w:rPr>
          <w:rFonts w:ascii="Century" w:hAnsi="Century" w:hint="cs"/>
          <w:sz w:val="22"/>
          <w:rtl/>
        </w:rPr>
        <w:t xml:space="preserve"> וצפויה ל</w:t>
      </w:r>
      <w:r w:rsidRPr="0072313A">
        <w:rPr>
          <w:rFonts w:ascii="Century" w:hAnsi="Century" w:hint="eastAsia"/>
          <w:sz w:val="22"/>
          <w:rtl/>
        </w:rPr>
        <w:t>הוביל</w:t>
      </w:r>
      <w:r w:rsidRPr="0072313A">
        <w:rPr>
          <w:rFonts w:ascii="Century" w:hAnsi="Century"/>
          <w:sz w:val="22"/>
          <w:rtl/>
        </w:rPr>
        <w:t xml:space="preserve"> </w:t>
      </w:r>
      <w:r w:rsidRPr="0072313A">
        <w:rPr>
          <w:rFonts w:ascii="Century" w:hAnsi="Century" w:hint="eastAsia"/>
          <w:sz w:val="22"/>
          <w:rtl/>
        </w:rPr>
        <w:t>לקשיים</w:t>
      </w:r>
      <w:r w:rsidRPr="0072313A">
        <w:rPr>
          <w:rFonts w:ascii="Century" w:hAnsi="Century"/>
          <w:sz w:val="22"/>
          <w:rtl/>
        </w:rPr>
        <w:t xml:space="preserve"> </w:t>
      </w:r>
      <w:r w:rsidRPr="0072313A">
        <w:rPr>
          <w:rFonts w:ascii="Century" w:hAnsi="Century" w:hint="eastAsia"/>
          <w:sz w:val="22"/>
          <w:rtl/>
        </w:rPr>
        <w:t>מעשיים</w:t>
      </w:r>
      <w:r w:rsidRPr="0072313A">
        <w:rPr>
          <w:rFonts w:ascii="Century" w:hAnsi="Century"/>
          <w:sz w:val="22"/>
          <w:rtl/>
        </w:rPr>
        <w:t xml:space="preserve"> </w:t>
      </w:r>
      <w:r w:rsidRPr="0072313A">
        <w:rPr>
          <w:rFonts w:ascii="Century" w:hAnsi="Century" w:hint="eastAsia"/>
          <w:sz w:val="22"/>
          <w:rtl/>
        </w:rPr>
        <w:t>רבים</w:t>
      </w:r>
      <w:r w:rsidRPr="0072313A">
        <w:rPr>
          <w:rFonts w:ascii="Century" w:hAnsi="Century"/>
          <w:sz w:val="22"/>
          <w:rtl/>
        </w:rPr>
        <w:t xml:space="preserve">. </w:t>
      </w:r>
      <w:r>
        <w:rPr>
          <w:rFonts w:ascii="Century" w:hAnsi="Century" w:hint="cs"/>
          <w:sz w:val="22"/>
          <w:rtl/>
        </w:rPr>
        <w:t xml:space="preserve">משעה ששופטי הרוב נחלקו ביניהם ביחס </w:t>
      </w:r>
      <w:r w:rsidR="00F47D8E">
        <w:rPr>
          <w:rFonts w:ascii="Century" w:hAnsi="Century" w:hint="cs"/>
          <w:sz w:val="22"/>
          <w:rtl/>
        </w:rPr>
        <w:t>למשמעותו</w:t>
      </w:r>
      <w:r>
        <w:rPr>
          <w:rFonts w:ascii="Century" w:hAnsi="Century" w:hint="cs"/>
          <w:sz w:val="22"/>
          <w:rtl/>
        </w:rPr>
        <w:t xml:space="preserve"> של סעיף 85 לחוק </w:t>
      </w:r>
      <w:r w:rsidR="00F47D8E">
        <w:rPr>
          <w:rFonts w:ascii="Century" w:hAnsi="Century" w:hint="cs"/>
          <w:sz w:val="22"/>
          <w:rtl/>
        </w:rPr>
        <w:t>בהיבט של</w:t>
      </w:r>
      <w:r>
        <w:rPr>
          <w:rFonts w:ascii="Century" w:hAnsi="Century" w:hint="cs"/>
          <w:sz w:val="22"/>
          <w:rtl/>
        </w:rPr>
        <w:t xml:space="preserve"> דיני ההתיישנות, ממילא לא </w:t>
      </w:r>
      <w:r w:rsidR="00F47D8E">
        <w:rPr>
          <w:rFonts w:ascii="Century" w:hAnsi="Century" w:hint="cs"/>
          <w:sz w:val="22"/>
          <w:rtl/>
        </w:rPr>
        <w:t>נקבעה</w:t>
      </w:r>
      <w:r w:rsidR="00964E56">
        <w:rPr>
          <w:rFonts w:ascii="Century" w:hAnsi="Century" w:hint="cs"/>
          <w:sz w:val="22"/>
          <w:rtl/>
        </w:rPr>
        <w:t xml:space="preserve"> </w:t>
      </w:r>
      <w:r w:rsidR="00F47D8E">
        <w:rPr>
          <w:rFonts w:ascii="Century" w:hAnsi="Century" w:hint="cs"/>
          <w:sz w:val="22"/>
          <w:rtl/>
        </w:rPr>
        <w:t>בפסק-הדין</w:t>
      </w:r>
      <w:r>
        <w:rPr>
          <w:rFonts w:ascii="Century" w:hAnsi="Century" w:hint="cs"/>
          <w:sz w:val="22"/>
          <w:rtl/>
        </w:rPr>
        <w:t xml:space="preserve"> כל הלכה </w:t>
      </w:r>
      <w:r w:rsidRPr="000175C8">
        <w:rPr>
          <w:rFonts w:ascii="Century" w:hAnsi="Century" w:cs="Miriam" w:hint="eastAsia"/>
          <w:b/>
          <w:spacing w:val="0"/>
          <w:sz w:val="22"/>
          <w:szCs w:val="24"/>
          <w:rtl/>
        </w:rPr>
        <w:t>בדיני</w:t>
      </w:r>
      <w:r w:rsidRPr="000175C8">
        <w:rPr>
          <w:rFonts w:ascii="Century" w:hAnsi="Century" w:cs="Miriam"/>
          <w:b/>
          <w:spacing w:val="0"/>
          <w:sz w:val="22"/>
          <w:szCs w:val="24"/>
          <w:rtl/>
        </w:rPr>
        <w:t xml:space="preserve"> </w:t>
      </w:r>
      <w:r w:rsidRPr="000175C8">
        <w:rPr>
          <w:rFonts w:ascii="Century" w:hAnsi="Century" w:cs="Miriam" w:hint="eastAsia"/>
          <w:b/>
          <w:spacing w:val="0"/>
          <w:sz w:val="22"/>
          <w:szCs w:val="24"/>
          <w:rtl/>
        </w:rPr>
        <w:t>התיישנות</w:t>
      </w:r>
      <w:r>
        <w:rPr>
          <w:rFonts w:ascii="Century" w:hAnsi="Century" w:hint="cs"/>
          <w:sz w:val="22"/>
          <w:rtl/>
        </w:rPr>
        <w:t xml:space="preserve"> (השופט </w:t>
      </w:r>
      <w:r w:rsidRPr="000175C8">
        <w:rPr>
          <w:rFonts w:ascii="Century" w:hAnsi="Century" w:cs="Miriam" w:hint="cs"/>
          <w:b/>
          <w:spacing w:val="0"/>
          <w:sz w:val="22"/>
          <w:szCs w:val="24"/>
          <w:rtl/>
        </w:rPr>
        <w:t>שטיין</w:t>
      </w:r>
      <w:r>
        <w:rPr>
          <w:rFonts w:ascii="Century" w:hAnsi="Century" w:hint="cs"/>
          <w:sz w:val="22"/>
          <w:rtl/>
        </w:rPr>
        <w:t xml:space="preserve"> סבר</w:t>
      </w:r>
      <w:r w:rsidR="00F47D8E">
        <w:rPr>
          <w:rFonts w:ascii="Century" w:hAnsi="Century" w:hint="cs"/>
          <w:sz w:val="22"/>
          <w:rtl/>
        </w:rPr>
        <w:t xml:space="preserve"> אמנם</w:t>
      </w:r>
      <w:r>
        <w:rPr>
          <w:rFonts w:ascii="Century" w:hAnsi="Century" w:hint="cs"/>
          <w:sz w:val="22"/>
          <w:rtl/>
        </w:rPr>
        <w:t xml:space="preserve"> כי מדובר בהתיישנות מהותית, אך השופט </w:t>
      </w:r>
      <w:r w:rsidRPr="000175C8">
        <w:rPr>
          <w:rFonts w:ascii="Century" w:hAnsi="Century" w:cs="Miriam" w:hint="cs"/>
          <w:b/>
          <w:spacing w:val="0"/>
          <w:sz w:val="22"/>
          <w:szCs w:val="24"/>
          <w:rtl/>
        </w:rPr>
        <w:t>מינץ</w:t>
      </w:r>
      <w:r>
        <w:rPr>
          <w:rFonts w:ascii="Century" w:hAnsi="Century" w:hint="cs"/>
          <w:sz w:val="22"/>
          <w:rtl/>
        </w:rPr>
        <w:t xml:space="preserve"> כתב רק כי הוא "מוכן להניח" שמדובר בהתיישנות מהותית, וגם זאת למעלה מן הצורך נוכח מסקנתו). </w:t>
      </w:r>
      <w:r w:rsidRPr="00610C78">
        <w:rPr>
          <w:rFonts w:ascii="Century" w:hAnsi="Century" w:hint="cs"/>
          <w:rtl/>
        </w:rPr>
        <w:t xml:space="preserve">הטענה </w:t>
      </w:r>
      <w:r>
        <w:rPr>
          <w:rFonts w:ascii="Century" w:hAnsi="Century" w:hint="cs"/>
          <w:rtl/>
        </w:rPr>
        <w:t xml:space="preserve">לפיה </w:t>
      </w:r>
      <w:r w:rsidRPr="00610C78">
        <w:rPr>
          <w:rFonts w:ascii="Century" w:hAnsi="Century" w:hint="cs"/>
          <w:rtl/>
        </w:rPr>
        <w:t xml:space="preserve">בעקבות פסק-הדין צפוי המבקש להיות "מוצף" </w:t>
      </w:r>
      <w:r>
        <w:rPr>
          <w:rFonts w:ascii="Century" w:hAnsi="Century" w:hint="cs"/>
          <w:rtl/>
        </w:rPr>
        <w:t>בהליכים</w:t>
      </w:r>
      <w:r w:rsidR="00964E56">
        <w:rPr>
          <w:rFonts w:ascii="Century" w:hAnsi="Century" w:hint="cs"/>
          <w:rtl/>
        </w:rPr>
        <w:t>,</w:t>
      </w:r>
      <w:r>
        <w:rPr>
          <w:rFonts w:ascii="Century" w:hAnsi="Century" w:hint="cs"/>
          <w:rtl/>
        </w:rPr>
        <w:t xml:space="preserve"> </w:t>
      </w:r>
      <w:r w:rsidRPr="00610C78">
        <w:rPr>
          <w:rFonts w:ascii="Century" w:hAnsi="Century" w:hint="cs"/>
          <w:rtl/>
        </w:rPr>
        <w:t xml:space="preserve">לא נתמכה בראיות והיא </w:t>
      </w:r>
      <w:r>
        <w:rPr>
          <w:rFonts w:ascii="Century" w:hAnsi="Century" w:hint="cs"/>
          <w:rtl/>
        </w:rPr>
        <w:t xml:space="preserve">במידה רבה </w:t>
      </w:r>
      <w:r w:rsidRPr="00610C78">
        <w:rPr>
          <w:rFonts w:ascii="Century" w:hAnsi="Century" w:hint="cs"/>
          <w:rtl/>
        </w:rPr>
        <w:t>ספקולטיבית</w:t>
      </w:r>
      <w:r>
        <w:rPr>
          <w:rFonts w:ascii="Century" w:hAnsi="Century" w:hint="cs"/>
          <w:rtl/>
        </w:rPr>
        <w:t xml:space="preserve"> ואינה מצדיקה קיום דיון נוסף </w:t>
      </w:r>
      <w:r w:rsidRPr="00610C78">
        <w:rPr>
          <w:rFonts w:ascii="Century" w:hAnsi="Century" w:hint="cs"/>
          <w:rtl/>
        </w:rPr>
        <w:t xml:space="preserve">(ראו: דנ"א 898/21 </w:t>
      </w:r>
      <w:r w:rsidRPr="00610C78">
        <w:rPr>
          <w:rFonts w:ascii="Century" w:hAnsi="Century" w:cs="Miriam" w:hint="cs"/>
          <w:b/>
          <w:spacing w:val="0"/>
          <w:szCs w:val="24"/>
          <w:rtl/>
        </w:rPr>
        <w:t>עיריית כרמיאל נ' המשביר 365 החזקות בע"מ</w:t>
      </w:r>
      <w:r w:rsidRPr="00610C78">
        <w:rPr>
          <w:rFonts w:ascii="Century" w:hAnsi="Century" w:hint="cs"/>
          <w:rtl/>
        </w:rPr>
        <w:t>, פסקה 8 (19.5.2021))</w:t>
      </w:r>
      <w:r w:rsidR="00C42B5A">
        <w:rPr>
          <w:rFonts w:ascii="Century" w:hAnsi="Century" w:hint="cs"/>
          <w:rtl/>
        </w:rPr>
        <w:t xml:space="preserve">. בהקשר זה, וכפי שפורט לעיל, </w:t>
      </w:r>
      <w:r w:rsidR="00964E56">
        <w:rPr>
          <w:rFonts w:ascii="Century" w:hAnsi="Century" w:hint="cs"/>
          <w:rtl/>
        </w:rPr>
        <w:t>היו</w:t>
      </w:r>
      <w:r w:rsidR="00C42B5A">
        <w:rPr>
          <w:rFonts w:ascii="Century" w:hAnsi="Century" w:hint="cs"/>
          <w:rtl/>
        </w:rPr>
        <w:t xml:space="preserve"> </w:t>
      </w:r>
      <w:r w:rsidRPr="007F57BC">
        <w:rPr>
          <w:rFonts w:ascii="Century" w:hAnsi="Century" w:hint="cs"/>
          <w:rtl/>
        </w:rPr>
        <w:t>עוד קודם שניתן פסק-הדין</w:t>
      </w:r>
      <w:r>
        <w:rPr>
          <w:rFonts w:ascii="Century" w:hAnsi="Century" w:hint="cs"/>
          <w:rtl/>
        </w:rPr>
        <w:t xml:space="preserve"> </w:t>
      </w:r>
      <w:r w:rsidR="00C42B5A">
        <w:rPr>
          <w:rFonts w:ascii="Century" w:hAnsi="Century" w:hint="cs"/>
          <w:rtl/>
        </w:rPr>
        <w:t>התדיינו</w:t>
      </w:r>
      <w:r w:rsidR="00F44674">
        <w:rPr>
          <w:rFonts w:ascii="Century" w:hAnsi="Century" w:hint="cs"/>
          <w:rtl/>
        </w:rPr>
        <w:t>יו</w:t>
      </w:r>
      <w:r w:rsidR="00C42B5A">
        <w:rPr>
          <w:rFonts w:ascii="Century" w:hAnsi="Century" w:hint="cs"/>
          <w:rtl/>
        </w:rPr>
        <w:t>ת באשר ל</w:t>
      </w:r>
      <w:r>
        <w:rPr>
          <w:rFonts w:ascii="Century" w:hAnsi="Century" w:hint="cs"/>
          <w:rtl/>
        </w:rPr>
        <w:t xml:space="preserve">הארכת </w:t>
      </w:r>
      <w:r w:rsidRPr="007F57BC">
        <w:rPr>
          <w:rFonts w:ascii="Century" w:hAnsi="Century" w:hint="cs"/>
          <w:rtl/>
        </w:rPr>
        <w:t>המועד הנקוב בסעיף 85 לחוק מכוח סעיף 107 לחוק</w:t>
      </w:r>
      <w:r w:rsidR="00964E56">
        <w:rPr>
          <w:rFonts w:ascii="Century" w:hAnsi="Century" w:hint="cs"/>
          <w:rtl/>
        </w:rPr>
        <w:t>,</w:t>
      </w:r>
      <w:r w:rsidR="00C42B5A">
        <w:rPr>
          <w:rFonts w:ascii="Century" w:hAnsi="Century" w:hint="cs"/>
          <w:rtl/>
        </w:rPr>
        <w:t xml:space="preserve"> </w:t>
      </w:r>
      <w:r w:rsidR="00964E56">
        <w:rPr>
          <w:rFonts w:ascii="Century" w:hAnsi="Century" w:hint="cs"/>
          <w:rtl/>
        </w:rPr>
        <w:t>ו</w:t>
      </w:r>
      <w:r>
        <w:rPr>
          <w:rFonts w:ascii="Century" w:hAnsi="Century" w:hint="cs"/>
          <w:rtl/>
        </w:rPr>
        <w:t>חלק מוועדות הערר אף קבעו שהדבר ניתן</w:t>
      </w:r>
      <w:r w:rsidR="00964E56">
        <w:rPr>
          <w:rFonts w:ascii="Century" w:hAnsi="Century" w:hint="cs"/>
          <w:rtl/>
        </w:rPr>
        <w:t>.</w:t>
      </w:r>
      <w:r>
        <w:rPr>
          <w:rFonts w:ascii="Century" w:hAnsi="Century" w:hint="cs"/>
          <w:rtl/>
        </w:rPr>
        <w:t xml:space="preserve"> גישה זו </w:t>
      </w:r>
      <w:r w:rsidRPr="007F57BC">
        <w:rPr>
          <w:rFonts w:ascii="Century" w:hAnsi="Century" w:hint="cs"/>
          <w:rtl/>
        </w:rPr>
        <w:t>נתמכה</w:t>
      </w:r>
      <w:r w:rsidR="00964E56">
        <w:rPr>
          <w:rFonts w:ascii="Century" w:hAnsi="Century" w:hint="cs"/>
          <w:rtl/>
        </w:rPr>
        <w:t>, כאמור,</w:t>
      </w:r>
      <w:r w:rsidRPr="007F57BC">
        <w:rPr>
          <w:rFonts w:ascii="Century" w:hAnsi="Century" w:hint="cs"/>
          <w:rtl/>
        </w:rPr>
        <w:t xml:space="preserve"> בהערות אגב בפסיקת</w:t>
      </w:r>
      <w:r w:rsidR="00FB7CA6">
        <w:rPr>
          <w:rFonts w:ascii="Century" w:hAnsi="Century" w:hint="cs"/>
          <w:rtl/>
        </w:rPr>
        <w:t>ו של</w:t>
      </w:r>
      <w:r w:rsidRPr="007F57BC">
        <w:rPr>
          <w:rFonts w:ascii="Century" w:hAnsi="Century" w:hint="cs"/>
          <w:rtl/>
        </w:rPr>
        <w:t xml:space="preserve"> בית משפט זה. </w:t>
      </w:r>
      <w:r>
        <w:rPr>
          <w:rFonts w:ascii="Century" w:hAnsi="Century" w:hint="cs"/>
          <w:rtl/>
        </w:rPr>
        <w:t>זאת ועוד.</w:t>
      </w:r>
      <w:r w:rsidRPr="00610C78">
        <w:rPr>
          <w:rFonts w:ascii="Century" w:hAnsi="Century" w:hint="cs"/>
          <w:rtl/>
        </w:rPr>
        <w:t xml:space="preserve"> השופט </w:t>
      </w:r>
      <w:r w:rsidRPr="00610C78">
        <w:rPr>
          <w:rFonts w:ascii="Century" w:hAnsi="Century" w:cs="Miriam" w:hint="cs"/>
          <w:b/>
          <w:spacing w:val="0"/>
          <w:szCs w:val="24"/>
          <w:rtl/>
        </w:rPr>
        <w:t>מינץ</w:t>
      </w:r>
      <w:r w:rsidRPr="00610C78">
        <w:rPr>
          <w:rFonts w:ascii="Century" w:hAnsi="Century" w:hint="cs"/>
          <w:rtl/>
        </w:rPr>
        <w:t xml:space="preserve"> התייחס </w:t>
      </w:r>
      <w:r>
        <w:rPr>
          <w:rFonts w:ascii="Century" w:hAnsi="Century" w:hint="cs"/>
          <w:rtl/>
        </w:rPr>
        <w:t>באופן מפורש</w:t>
      </w:r>
      <w:r w:rsidRPr="00610C78">
        <w:rPr>
          <w:rFonts w:ascii="Century" w:hAnsi="Century" w:hint="cs"/>
          <w:rtl/>
        </w:rPr>
        <w:t xml:space="preserve"> בפסק-דינו לחשש שהעלה המבקש לפיו הוא "יוצף" בבקשות והדגיש כי</w:t>
      </w:r>
      <w:r>
        <w:rPr>
          <w:rFonts w:ascii="Century" w:hAnsi="Century" w:hint="cs"/>
          <w:rtl/>
        </w:rPr>
        <w:t xml:space="preserve"> הסמכות להאריך את המועד הנקוב בסעיף 85 לחוק מכוח </w:t>
      </w:r>
      <w:r w:rsidRPr="00610C78">
        <w:rPr>
          <w:rFonts w:ascii="Century" w:hAnsi="Century" w:hint="cs"/>
          <w:rtl/>
        </w:rPr>
        <w:t xml:space="preserve">סעיף 107 </w:t>
      </w:r>
      <w:r>
        <w:rPr>
          <w:rFonts w:ascii="Century" w:hAnsi="Century" w:hint="cs"/>
          <w:rtl/>
        </w:rPr>
        <w:t xml:space="preserve">לחוק, </w:t>
      </w:r>
      <w:r w:rsidR="0072612E">
        <w:rPr>
          <w:rFonts w:ascii="Century" w:hAnsi="Century" w:hint="cs"/>
          <w:rtl/>
        </w:rPr>
        <w:t>נתונה למבקש ר</w:t>
      </w:r>
      <w:r w:rsidR="00063FF5">
        <w:rPr>
          <w:rFonts w:ascii="Century" w:hAnsi="Century" w:hint="cs"/>
          <w:rtl/>
        </w:rPr>
        <w:t xml:space="preserve">ק בהתקיים "סיבה מספקת" וכי </w:t>
      </w:r>
      <w:r w:rsidRPr="00610C78">
        <w:rPr>
          <w:rFonts w:ascii="Century" w:hAnsi="Century" w:hint="cs"/>
          <w:rtl/>
        </w:rPr>
        <w:t>השימוש בסמכות</w:t>
      </w:r>
      <w:r w:rsidR="00063FF5">
        <w:rPr>
          <w:rFonts w:ascii="Century" w:hAnsi="Century" w:hint="cs"/>
          <w:rtl/>
        </w:rPr>
        <w:t>ו זו</w:t>
      </w:r>
      <w:r w:rsidRPr="00610C78">
        <w:rPr>
          <w:rFonts w:ascii="Century" w:hAnsi="Century" w:hint="cs"/>
          <w:rtl/>
        </w:rPr>
        <w:t xml:space="preserve"> "צריך שייעשה במשורה"</w:t>
      </w:r>
      <w:r>
        <w:rPr>
          <w:rFonts w:ascii="Century" w:hAnsi="Century" w:hint="cs"/>
          <w:rtl/>
        </w:rPr>
        <w:t xml:space="preserve">. </w:t>
      </w:r>
    </w:p>
    <w:p w14:paraId="7A8FAC9D" w14:textId="77777777" w:rsidR="00015BDD" w:rsidRPr="00160CD3" w:rsidRDefault="00015BDD" w:rsidP="00015BDD">
      <w:pPr>
        <w:pStyle w:val="Ruller4"/>
        <w:numPr>
          <w:ilvl w:val="0"/>
          <w:numId w:val="0"/>
        </w:numPr>
        <w:rPr>
          <w:rFonts w:ascii="Century" w:hAnsi="Century"/>
          <w:sz w:val="18"/>
          <w:szCs w:val="22"/>
          <w:rtl/>
        </w:rPr>
      </w:pPr>
    </w:p>
    <w:p w14:paraId="74DE063B" w14:textId="2F6CF2BE" w:rsidR="00015BDD" w:rsidRDefault="00015BDD" w:rsidP="00F1320B">
      <w:pPr>
        <w:pStyle w:val="Ruller4"/>
        <w:numPr>
          <w:ilvl w:val="0"/>
          <w:numId w:val="0"/>
        </w:numPr>
        <w:rPr>
          <w:rFonts w:ascii="Century" w:hAnsi="Century"/>
          <w:sz w:val="22"/>
          <w:rtl/>
        </w:rPr>
      </w:pPr>
      <w:r>
        <w:rPr>
          <w:rFonts w:ascii="Century" w:hAnsi="Century"/>
          <w:rtl/>
        </w:rPr>
        <w:tab/>
      </w:r>
      <w:r>
        <w:rPr>
          <w:rFonts w:hint="cs"/>
          <w:rtl/>
        </w:rPr>
        <w:t xml:space="preserve">אשר לחשש לפגיעה בנישומים בשל פתיחת שומות "סגורות" על ידי המבקש עצמו </w:t>
      </w:r>
      <w:r>
        <w:rPr>
          <w:rtl/>
        </w:rPr>
        <w:t>–</w:t>
      </w:r>
      <w:r>
        <w:rPr>
          <w:rFonts w:hint="cs"/>
          <w:rtl/>
        </w:rPr>
        <w:t xml:space="preserve"> סוגיה זו כלל לא נד</w:t>
      </w:r>
      <w:r w:rsidR="00ED26AE">
        <w:rPr>
          <w:rFonts w:hint="cs"/>
          <w:rtl/>
        </w:rPr>
        <w:t xml:space="preserve">ונה וממילא לא הוכרעה בפסק הדין. </w:t>
      </w:r>
      <w:r>
        <w:rPr>
          <w:rFonts w:hint="cs"/>
          <w:rtl/>
        </w:rPr>
        <w:t xml:space="preserve">המשנה לנשיאה </w:t>
      </w:r>
      <w:r w:rsidRPr="000175C8">
        <w:rPr>
          <w:rFonts w:ascii="Century" w:hAnsi="Century" w:cs="Miriam" w:hint="eastAsia"/>
          <w:b/>
          <w:spacing w:val="0"/>
          <w:sz w:val="22"/>
          <w:szCs w:val="24"/>
          <w:rtl/>
        </w:rPr>
        <w:t>מלצר</w:t>
      </w:r>
      <w:r>
        <w:rPr>
          <w:rFonts w:hint="cs"/>
          <w:rtl/>
        </w:rPr>
        <w:t xml:space="preserve">  </w:t>
      </w:r>
      <w:r w:rsidR="00ED26AE">
        <w:rPr>
          <w:rFonts w:ascii="Century" w:hAnsi="Century" w:hint="cs"/>
          <w:sz w:val="22"/>
          <w:rtl/>
        </w:rPr>
        <w:t xml:space="preserve">ציין אומנם בהקשר זה כי לגישתו </w:t>
      </w:r>
      <w:r>
        <w:rPr>
          <w:rFonts w:ascii="Century" w:hAnsi="Century" w:hint="cs"/>
          <w:sz w:val="22"/>
          <w:rtl/>
        </w:rPr>
        <w:t xml:space="preserve">רק הנישום </w:t>
      </w:r>
      <w:r w:rsidRPr="00116BC1">
        <w:rPr>
          <w:rFonts w:ascii="Century" w:hAnsi="Century" w:hint="cs"/>
          <w:sz w:val="22"/>
          <w:rtl/>
        </w:rPr>
        <w:t>רשאי לבקש להאר</w:t>
      </w:r>
      <w:r>
        <w:rPr>
          <w:rFonts w:ascii="Century" w:hAnsi="Century" w:hint="cs"/>
          <w:sz w:val="22"/>
          <w:rtl/>
        </w:rPr>
        <w:t>יך את המועד הנקוב בסעיף 85 לחוק</w:t>
      </w:r>
      <w:r>
        <w:rPr>
          <w:rFonts w:hint="cs"/>
          <w:rtl/>
        </w:rPr>
        <w:t xml:space="preserve">, אך </w:t>
      </w:r>
      <w:r w:rsidR="00ED26AE">
        <w:rPr>
          <w:rFonts w:hint="cs"/>
          <w:rtl/>
        </w:rPr>
        <w:t xml:space="preserve">עמדה זו </w:t>
      </w:r>
      <w:r w:rsidR="00ED26AE" w:rsidRPr="002273D8">
        <w:rPr>
          <w:rFonts w:hint="cs"/>
          <w:rtl/>
        </w:rPr>
        <w:t>הובעה</w:t>
      </w:r>
      <w:r>
        <w:rPr>
          <w:rFonts w:hint="cs"/>
          <w:rtl/>
        </w:rPr>
        <w:t xml:space="preserve"> </w:t>
      </w:r>
      <w:r w:rsidR="00ED26AE">
        <w:rPr>
          <w:rFonts w:hint="cs"/>
          <w:rtl/>
        </w:rPr>
        <w:t>כ</w:t>
      </w:r>
      <w:r>
        <w:rPr>
          <w:rFonts w:hint="cs"/>
          <w:rtl/>
        </w:rPr>
        <w:t xml:space="preserve">דעת יחיד </w:t>
      </w:r>
      <w:r w:rsidR="003F3B1F">
        <w:rPr>
          <w:rFonts w:hint="cs"/>
          <w:rtl/>
        </w:rPr>
        <w:t>ומשכך,</w:t>
      </w:r>
      <w:r>
        <w:rPr>
          <w:rFonts w:hint="cs"/>
          <w:rtl/>
        </w:rPr>
        <w:t xml:space="preserve"> אין צורך לקבוע בה מסמרות ואין מקום להורות על דיון נוסף</w:t>
      </w:r>
      <w:r w:rsidR="00CA4CE1">
        <w:rPr>
          <w:rFonts w:hint="cs"/>
          <w:rtl/>
        </w:rPr>
        <w:t xml:space="preserve"> בגינה</w:t>
      </w:r>
      <w:r>
        <w:rPr>
          <w:rFonts w:hint="cs"/>
          <w:rtl/>
        </w:rPr>
        <w:t xml:space="preserve">. </w:t>
      </w:r>
      <w:r w:rsidR="00964E56">
        <w:rPr>
          <w:rFonts w:hint="cs"/>
          <w:rtl/>
        </w:rPr>
        <w:t>ו</w:t>
      </w:r>
      <w:r w:rsidRPr="00116BC1">
        <w:rPr>
          <w:rFonts w:ascii="Century" w:hAnsi="Century" w:hint="cs"/>
          <w:sz w:val="22"/>
          <w:rtl/>
        </w:rPr>
        <w:t>הוא הדין</w:t>
      </w:r>
      <w:r>
        <w:rPr>
          <w:rFonts w:ascii="Century" w:hAnsi="Century" w:hint="cs"/>
          <w:sz w:val="22"/>
          <w:rtl/>
        </w:rPr>
        <w:t xml:space="preserve"> באשר</w:t>
      </w:r>
      <w:r w:rsidRPr="00116BC1">
        <w:rPr>
          <w:rFonts w:ascii="Century" w:hAnsi="Century" w:hint="cs"/>
          <w:sz w:val="22"/>
          <w:rtl/>
        </w:rPr>
        <w:t xml:space="preserve"> לפגיעה אפשרית בנישומים בשל כך </w:t>
      </w:r>
      <w:r>
        <w:rPr>
          <w:rFonts w:ascii="Century" w:hAnsi="Century" w:hint="cs"/>
          <w:sz w:val="22"/>
          <w:rtl/>
        </w:rPr>
        <w:t>ש</w:t>
      </w:r>
      <w:r w:rsidRPr="00116BC1">
        <w:rPr>
          <w:rFonts w:ascii="Century" w:hAnsi="Century" w:hint="cs"/>
          <w:sz w:val="22"/>
          <w:rtl/>
        </w:rPr>
        <w:t>האפשרות להאריך מועדים</w:t>
      </w:r>
      <w:r>
        <w:rPr>
          <w:rFonts w:ascii="Century" w:hAnsi="Century" w:hint="cs"/>
          <w:sz w:val="22"/>
          <w:rtl/>
        </w:rPr>
        <w:t xml:space="preserve"> תורחב בעקבות פסק-הדין גם לגבי </w:t>
      </w:r>
      <w:r w:rsidRPr="00116BC1">
        <w:rPr>
          <w:rFonts w:ascii="Century" w:hAnsi="Century" w:hint="cs"/>
          <w:sz w:val="22"/>
          <w:rtl/>
        </w:rPr>
        <w:t>חוקים אחרים מכוח סעיפי הסמכה כלליים בחוקים אלה</w:t>
      </w:r>
      <w:r>
        <w:rPr>
          <w:rFonts w:ascii="Century" w:hAnsi="Century" w:hint="cs"/>
          <w:sz w:val="22"/>
          <w:rtl/>
        </w:rPr>
        <w:t xml:space="preserve"> (ראו: דנ"א 1032/18 </w:t>
      </w:r>
      <w:r w:rsidRPr="00885ECD">
        <w:rPr>
          <w:rFonts w:ascii="Century" w:hAnsi="Century" w:cs="Miriam" w:hint="cs"/>
          <w:b/>
          <w:spacing w:val="0"/>
          <w:sz w:val="22"/>
          <w:szCs w:val="24"/>
          <w:rtl/>
        </w:rPr>
        <w:t>אלדר נכסים</w:t>
      </w:r>
      <w:r>
        <w:rPr>
          <w:rFonts w:ascii="Century" w:hAnsi="Century" w:cs="Miriam" w:hint="cs"/>
          <w:b/>
          <w:spacing w:val="0"/>
          <w:sz w:val="22"/>
          <w:szCs w:val="24"/>
          <w:rtl/>
        </w:rPr>
        <w:t xml:space="preserve"> בע"מ נ' מנהל מיסוי מקרקעין תל אביב</w:t>
      </w:r>
      <w:r>
        <w:rPr>
          <w:rFonts w:ascii="Century" w:hAnsi="Century" w:hint="cs"/>
          <w:sz w:val="22"/>
          <w:rtl/>
        </w:rPr>
        <w:t>, בפסקה 9 (18.9.2018))</w:t>
      </w:r>
      <w:r w:rsidRPr="00116BC1">
        <w:rPr>
          <w:rFonts w:ascii="Century" w:hAnsi="Century" w:hint="cs"/>
          <w:sz w:val="22"/>
          <w:rtl/>
        </w:rPr>
        <w:t xml:space="preserve">. </w:t>
      </w:r>
    </w:p>
    <w:p w14:paraId="04A207BD" w14:textId="77777777" w:rsidR="00015BDD" w:rsidRPr="00160CD3" w:rsidRDefault="00015BDD" w:rsidP="00015BDD">
      <w:pPr>
        <w:pStyle w:val="Ruller4"/>
        <w:numPr>
          <w:ilvl w:val="0"/>
          <w:numId w:val="0"/>
        </w:numPr>
        <w:rPr>
          <w:rFonts w:ascii="Century" w:hAnsi="Century"/>
          <w:sz w:val="20"/>
          <w:szCs w:val="26"/>
          <w:rtl/>
        </w:rPr>
      </w:pPr>
    </w:p>
    <w:p w14:paraId="570F8C57" w14:textId="77777777" w:rsidR="00015BDD" w:rsidRPr="006E04DB" w:rsidRDefault="00015BDD" w:rsidP="00015BDD">
      <w:pPr>
        <w:pStyle w:val="Ruller4"/>
        <w:numPr>
          <w:ilvl w:val="0"/>
          <w:numId w:val="0"/>
        </w:numPr>
        <w:rPr>
          <w:rFonts w:ascii="Century" w:hAnsi="Century"/>
          <w:sz w:val="22"/>
          <w:rtl/>
        </w:rPr>
      </w:pPr>
      <w:r>
        <w:rPr>
          <w:rFonts w:ascii="Century" w:hAnsi="Century" w:hint="cs"/>
          <w:sz w:val="22"/>
          <w:rtl/>
        </w:rPr>
        <w:t xml:space="preserve">9. </w:t>
      </w:r>
      <w:r>
        <w:rPr>
          <w:rFonts w:ascii="Century" w:hAnsi="Century" w:hint="cs"/>
          <w:sz w:val="22"/>
          <w:rtl/>
        </w:rPr>
        <w:tab/>
      </w:r>
      <w:r>
        <w:rPr>
          <w:rFonts w:hint="cs"/>
          <w:rtl/>
        </w:rPr>
        <w:t xml:space="preserve">מכל הטעמים המפורטים לעיל, הבקשה לדיון נוסף נדחית. המבקש יישא בהוצאות המשיבים בסך של 25,000 ש"ח. </w:t>
      </w:r>
    </w:p>
    <w:p w14:paraId="0A87C5AB" w14:textId="77777777" w:rsidR="00015BDD" w:rsidRPr="00160CD3" w:rsidRDefault="00015BDD" w:rsidP="00015BDD">
      <w:pPr>
        <w:pStyle w:val="BODYVERDICT"/>
        <w:rPr>
          <w:rFonts w:cs="Miriam"/>
          <w:sz w:val="28"/>
          <w:u w:val="single"/>
          <w:rtl/>
        </w:rPr>
      </w:pPr>
    </w:p>
    <w:p w14:paraId="15B6DF5B" w14:textId="1ED58D1B" w:rsidR="00015BDD" w:rsidRDefault="00015BDD" w:rsidP="000B0FE1">
      <w:pPr>
        <w:pStyle w:val="BODYVERDICT"/>
        <w:rPr>
          <w:rtl/>
        </w:rPr>
      </w:pPr>
      <w:r>
        <w:rPr>
          <w:rFonts w:cs="Miriam"/>
          <w:sz w:val="24"/>
          <w:szCs w:val="24"/>
          <w:u w:val="single"/>
          <w:rtl/>
        </w:rPr>
        <w:softHyphen/>
      </w:r>
      <w:r w:rsidR="00875CB7">
        <w:rPr>
          <w:rtl/>
        </w:rPr>
        <w:tab/>
        <w:t xml:space="preserve">ניתנה היום, </w:t>
      </w:r>
      <w:r w:rsidR="00875CB7">
        <w:rPr>
          <w:rFonts w:hint="eastAsia"/>
          <w:rtl/>
        </w:rPr>
        <w:t>‏</w:t>
      </w:r>
      <w:r w:rsidR="000B0FE1">
        <w:rPr>
          <w:rFonts w:hint="cs"/>
          <w:rtl/>
        </w:rPr>
        <w:t>ט</w:t>
      </w:r>
      <w:r w:rsidR="00875CB7">
        <w:rPr>
          <w:rtl/>
        </w:rPr>
        <w:t xml:space="preserve">' באב </w:t>
      </w:r>
      <w:proofErr w:type="spellStart"/>
      <w:r w:rsidR="00875CB7">
        <w:rPr>
          <w:rtl/>
        </w:rPr>
        <w:t>התשפ"א</w:t>
      </w:r>
      <w:proofErr w:type="spellEnd"/>
      <w:r w:rsidR="00875CB7">
        <w:rPr>
          <w:rtl/>
        </w:rPr>
        <w:t xml:space="preserve"> (</w:t>
      </w:r>
      <w:r w:rsidR="00875CB7">
        <w:rPr>
          <w:rFonts w:hint="eastAsia"/>
          <w:rtl/>
        </w:rPr>
        <w:t>‏</w:t>
      </w:r>
      <w:r w:rsidR="00875CB7">
        <w:rPr>
          <w:rtl/>
        </w:rPr>
        <w:t>1</w:t>
      </w:r>
      <w:r w:rsidR="000B0FE1">
        <w:rPr>
          <w:rFonts w:hint="cs"/>
          <w:rtl/>
        </w:rPr>
        <w:t>8</w:t>
      </w:r>
      <w:r w:rsidR="00875CB7">
        <w:rPr>
          <w:rtl/>
        </w:rPr>
        <w:t>.7.2021).</w:t>
      </w:r>
    </w:p>
    <w:p w14:paraId="5D5F41F0" w14:textId="77777777" w:rsidR="00875CB7" w:rsidRDefault="00875CB7" w:rsidP="00875CB7">
      <w:pPr>
        <w:pStyle w:val="BODYVERDICT"/>
        <w:rPr>
          <w:rtl/>
        </w:rPr>
      </w:pPr>
    </w:p>
    <w:p w14:paraId="4D1909A8" w14:textId="77777777" w:rsidR="00015BDD" w:rsidRPr="00234287" w:rsidRDefault="00015BDD" w:rsidP="00015BDD">
      <w:pPr>
        <w:pStyle w:val="BODYVERDICT"/>
        <w:rPr>
          <w:rtl/>
        </w:rPr>
      </w:pPr>
    </w:p>
    <w:tbl>
      <w:tblPr>
        <w:bidiVisual/>
        <w:tblW w:w="8363" w:type="dxa"/>
        <w:tblLook w:val="01E0" w:firstRow="1" w:lastRow="1" w:firstColumn="1" w:lastColumn="1" w:noHBand="0" w:noVBand="0"/>
      </w:tblPr>
      <w:tblGrid>
        <w:gridCol w:w="2786"/>
        <w:gridCol w:w="2787"/>
        <w:gridCol w:w="2790"/>
      </w:tblGrid>
      <w:tr w:rsidR="00015BDD" w14:paraId="6C3C205F" w14:textId="77777777" w:rsidTr="00B64D26">
        <w:tc>
          <w:tcPr>
            <w:tcW w:w="2786" w:type="dxa"/>
            <w:shd w:val="clear" w:color="auto" w:fill="auto"/>
          </w:tcPr>
          <w:p w14:paraId="54944C65" w14:textId="77777777" w:rsidR="00015BDD" w:rsidRDefault="00015BDD" w:rsidP="00B64D26">
            <w:pPr>
              <w:pStyle w:val="Ruller40"/>
              <w:rPr>
                <w:rtl/>
              </w:rPr>
            </w:pPr>
            <w:bookmarkStart w:id="4" w:name="Start_Write"/>
            <w:bookmarkEnd w:id="4"/>
          </w:p>
        </w:tc>
        <w:tc>
          <w:tcPr>
            <w:tcW w:w="2787" w:type="dxa"/>
            <w:shd w:val="clear" w:color="auto" w:fill="auto"/>
          </w:tcPr>
          <w:p w14:paraId="58439AC7" w14:textId="77777777" w:rsidR="00015BDD" w:rsidRDefault="00015BDD" w:rsidP="00B64D26">
            <w:pPr>
              <w:pStyle w:val="Ruller40"/>
              <w:jc w:val="center"/>
              <w:rPr>
                <w:rtl/>
              </w:rPr>
            </w:pPr>
          </w:p>
        </w:tc>
        <w:tc>
          <w:tcPr>
            <w:tcW w:w="2790" w:type="dxa"/>
            <w:shd w:val="clear" w:color="auto" w:fill="auto"/>
          </w:tcPr>
          <w:p w14:paraId="3495A733" w14:textId="77777777" w:rsidR="00015BDD" w:rsidRDefault="00015BDD" w:rsidP="00B64D26">
            <w:pPr>
              <w:pStyle w:val="Ruller40"/>
              <w:jc w:val="center"/>
              <w:rPr>
                <w:rtl/>
              </w:rPr>
            </w:pPr>
            <w:r>
              <w:rPr>
                <w:rtl/>
              </w:rPr>
              <w:t xml:space="preserve"> ה נ ש י א ה</w:t>
            </w:r>
          </w:p>
        </w:tc>
      </w:tr>
    </w:tbl>
    <w:p w14:paraId="59B2DC57" w14:textId="77777777" w:rsidR="00015BDD" w:rsidRPr="00160CD3" w:rsidRDefault="00015BDD" w:rsidP="00015BDD">
      <w:pPr>
        <w:pStyle w:val="Ruller40"/>
        <w:rPr>
          <w:sz w:val="12"/>
          <w:szCs w:val="12"/>
          <w:rtl/>
        </w:rPr>
      </w:pPr>
    </w:p>
    <w:p w14:paraId="3DBBCAF3" w14:textId="77777777" w:rsidR="00015BDD" w:rsidRDefault="00015BDD" w:rsidP="00015BDD">
      <w:pPr>
        <w:rPr>
          <w:szCs w:val="16"/>
          <w:rtl/>
        </w:rPr>
      </w:pPr>
      <w:r>
        <w:rPr>
          <w:szCs w:val="16"/>
          <w:rtl/>
        </w:rPr>
        <w:t>_________________</w:t>
      </w:r>
      <w:r>
        <w:rPr>
          <w:rFonts w:hint="cs"/>
          <w:szCs w:val="16"/>
          <w:rtl/>
        </w:rPr>
        <w:t>________</w:t>
      </w:r>
    </w:p>
    <w:p w14:paraId="6865A1D8" w14:textId="77777777" w:rsidR="00015BDD" w:rsidRDefault="00015BDD" w:rsidP="00015BDD">
      <w:pPr>
        <w:pStyle w:val="Ruller38"/>
        <w:rPr>
          <w:rtl/>
        </w:rPr>
      </w:pPr>
      <w:r>
        <w:rPr>
          <w:sz w:val="16"/>
        </w:rPr>
        <w:t xml:space="preserve">   21018670_V06.docx   </w:t>
      </w:r>
      <w:proofErr w:type="spellStart"/>
      <w:r>
        <w:rPr>
          <w:sz w:val="16"/>
          <w:rtl/>
        </w:rPr>
        <w:t>רי</w:t>
      </w:r>
      <w:proofErr w:type="spellEnd"/>
    </w:p>
    <w:p w14:paraId="1DFEC5F2" w14:textId="77777777" w:rsidR="00015BDD" w:rsidRDefault="00015BDD" w:rsidP="00015BDD">
      <w:pPr>
        <w:pStyle w:val="Ruller38"/>
        <w:rPr>
          <w:rtl/>
        </w:rPr>
      </w:pPr>
      <w:r>
        <w:rPr>
          <w:rtl/>
        </w:rPr>
        <w:t>מרכז מידע, טל'</w:t>
      </w:r>
      <w:r>
        <w:rPr>
          <w:rFonts w:hint="cs"/>
          <w:rtl/>
        </w:rPr>
        <w:t xml:space="preserve"> 077-2703333, 3852* ; אתר אינטרנט,  </w:t>
      </w:r>
      <w:hyperlink r:id="rId8" w:history="1">
        <w:r w:rsidRPr="00BB4C68">
          <w:rPr>
            <w:rStyle w:val="Hyperlink"/>
            <w:sz w:val="16"/>
          </w:rPr>
          <w:t>https://supreme.court.gov.il</w:t>
        </w:r>
      </w:hyperlink>
    </w:p>
    <w:p w14:paraId="3C169DB8" w14:textId="77777777" w:rsidR="003F1F97" w:rsidRPr="00015BDD" w:rsidRDefault="003F1F97" w:rsidP="00015BDD">
      <w:pPr>
        <w:rPr>
          <w:szCs w:val="20"/>
          <w:rtl/>
        </w:rPr>
      </w:pPr>
      <w:bookmarkStart w:id="5" w:name="_GoBack"/>
      <w:bookmarkEnd w:id="5"/>
    </w:p>
    <w:sectPr w:rsidR="003F1F97" w:rsidRPr="00015BDD"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DB3D" w14:textId="77777777" w:rsidR="007F7512" w:rsidRDefault="007F7512">
      <w:r>
        <w:separator/>
      </w:r>
    </w:p>
  </w:endnote>
  <w:endnote w:type="continuationSeparator" w:id="0">
    <w:p w14:paraId="58C45B6D" w14:textId="77777777"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TUR">
    <w:altName w:val="Arial"/>
    <w:charset w:val="00"/>
    <w:family w:val="swiss"/>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4A8E" w14:textId="77777777"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14:paraId="0E2FFF62" w14:textId="77777777" w:rsidR="00377102" w:rsidRDefault="00377102">
    <w:pPr>
      <w:pStyle w:val="a3"/>
      <w:rPr>
        <w:rtl/>
      </w:rPr>
    </w:pPr>
  </w:p>
  <w:p w14:paraId="62650540" w14:textId="77777777"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89C7" w14:textId="77777777" w:rsidR="000706AC" w:rsidRDefault="000706A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011D" w14:textId="77777777" w:rsidR="00045B4D" w:rsidRPr="00F959DB" w:rsidRDefault="00045B4D" w:rsidP="00914156">
    <w:pPr>
      <w:pStyle w:val="a3"/>
      <w:bidi w:val="0"/>
      <w:jc w:val="right"/>
      <w:rPr>
        <w:sz w:val="16"/>
        <w:szCs w:val="16"/>
      </w:rPr>
    </w:pPr>
    <w:bookmarkStart w:id="6" w:name="footer_line"/>
    <w:bookmarkEnd w:id="6"/>
  </w:p>
  <w:p w14:paraId="73C4B369" w14:textId="77777777"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A3A0" w14:textId="77777777" w:rsidR="007F7512" w:rsidRDefault="007F7512">
      <w:r>
        <w:separator/>
      </w:r>
    </w:p>
  </w:footnote>
  <w:footnote w:type="continuationSeparator" w:id="0">
    <w:p w14:paraId="7059287D" w14:textId="77777777"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E028" w14:textId="77777777"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14:paraId="26BF41AA" w14:textId="77777777" w:rsidR="00377102" w:rsidRDefault="00377102">
    <w:pPr>
      <w:pStyle w:val="a5"/>
      <w:rPr>
        <w:rtl/>
      </w:rPr>
    </w:pPr>
  </w:p>
  <w:p w14:paraId="1246D626" w14:textId="77777777"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76698" w14:textId="4847B015"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964E56">
      <w:rPr>
        <w:rStyle w:val="a4"/>
        <w:noProof/>
        <w:rtl/>
      </w:rPr>
      <w:t>6</w:t>
    </w:r>
    <w:r>
      <w:rPr>
        <w:rStyle w:val="a4"/>
        <w:rtl/>
      </w:rPr>
      <w:fldChar w:fldCharType="end"/>
    </w:r>
  </w:p>
  <w:p w14:paraId="0B67DF04" w14:textId="77777777" w:rsidR="00377102" w:rsidRDefault="00377102">
    <w:pPr>
      <w:pStyle w:val="a5"/>
      <w:rPr>
        <w:rtl/>
      </w:rPr>
    </w:pPr>
  </w:p>
  <w:p w14:paraId="2AE3516E" w14:textId="77777777"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14:paraId="3E8C658D" w14:textId="77777777" w:rsidTr="00EC23AC">
      <w:trPr>
        <w:trHeight w:val="342"/>
      </w:trPr>
      <w:tc>
        <w:tcPr>
          <w:tcW w:w="9828" w:type="dxa"/>
        </w:tcPr>
        <w:p w14:paraId="7DD70FF7" w14:textId="77777777"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14:anchorId="078C99E1" wp14:editId="37F80E74">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14:paraId="2B209E94" w14:textId="77777777"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30D22D5E">
      <w:start w:val="1"/>
      <w:numFmt w:val="decimal"/>
      <w:pStyle w:val="Ruller4"/>
      <w:lvlText w:val="%1."/>
      <w:lvlJc w:val="left"/>
      <w:pPr>
        <w:tabs>
          <w:tab w:val="num" w:pos="907"/>
        </w:tabs>
        <w:ind w:left="0" w:firstLine="0"/>
      </w:pPr>
      <w:rPr>
        <w:rFonts w:hint="default"/>
      </w:rPr>
    </w:lvl>
    <w:lvl w:ilvl="1" w:tplc="EA344C26" w:tentative="1">
      <w:start w:val="1"/>
      <w:numFmt w:val="lowerLetter"/>
      <w:lvlText w:val="%2."/>
      <w:lvlJc w:val="left"/>
      <w:pPr>
        <w:tabs>
          <w:tab w:val="num" w:pos="1440"/>
        </w:tabs>
        <w:ind w:left="1440" w:hanging="360"/>
      </w:pPr>
    </w:lvl>
    <w:lvl w:ilvl="2" w:tplc="D6F27D08" w:tentative="1">
      <w:start w:val="1"/>
      <w:numFmt w:val="lowerRoman"/>
      <w:lvlText w:val="%3."/>
      <w:lvlJc w:val="right"/>
      <w:pPr>
        <w:tabs>
          <w:tab w:val="num" w:pos="2160"/>
        </w:tabs>
        <w:ind w:left="2160" w:hanging="180"/>
      </w:pPr>
    </w:lvl>
    <w:lvl w:ilvl="3" w:tplc="1B5AB358" w:tentative="1">
      <w:start w:val="1"/>
      <w:numFmt w:val="decimal"/>
      <w:lvlText w:val="%4."/>
      <w:lvlJc w:val="left"/>
      <w:pPr>
        <w:tabs>
          <w:tab w:val="num" w:pos="2880"/>
        </w:tabs>
        <w:ind w:left="2880" w:hanging="360"/>
      </w:pPr>
    </w:lvl>
    <w:lvl w:ilvl="4" w:tplc="AE98A682" w:tentative="1">
      <w:start w:val="1"/>
      <w:numFmt w:val="lowerLetter"/>
      <w:lvlText w:val="%5."/>
      <w:lvlJc w:val="left"/>
      <w:pPr>
        <w:tabs>
          <w:tab w:val="num" w:pos="3600"/>
        </w:tabs>
        <w:ind w:left="3600" w:hanging="360"/>
      </w:pPr>
    </w:lvl>
    <w:lvl w:ilvl="5" w:tplc="4074FA98" w:tentative="1">
      <w:start w:val="1"/>
      <w:numFmt w:val="lowerRoman"/>
      <w:lvlText w:val="%6."/>
      <w:lvlJc w:val="right"/>
      <w:pPr>
        <w:tabs>
          <w:tab w:val="num" w:pos="4320"/>
        </w:tabs>
        <w:ind w:left="4320" w:hanging="180"/>
      </w:pPr>
    </w:lvl>
    <w:lvl w:ilvl="6" w:tplc="3E06F286" w:tentative="1">
      <w:start w:val="1"/>
      <w:numFmt w:val="decimal"/>
      <w:lvlText w:val="%7."/>
      <w:lvlJc w:val="left"/>
      <w:pPr>
        <w:tabs>
          <w:tab w:val="num" w:pos="5040"/>
        </w:tabs>
        <w:ind w:left="5040" w:hanging="360"/>
      </w:pPr>
    </w:lvl>
    <w:lvl w:ilvl="7" w:tplc="B7884A06" w:tentative="1">
      <w:start w:val="1"/>
      <w:numFmt w:val="lowerLetter"/>
      <w:lvlText w:val="%8."/>
      <w:lvlJc w:val="left"/>
      <w:pPr>
        <w:tabs>
          <w:tab w:val="num" w:pos="5760"/>
        </w:tabs>
        <w:ind w:left="5760" w:hanging="360"/>
      </w:pPr>
    </w:lvl>
    <w:lvl w:ilvl="8" w:tplc="2336204A" w:tentative="1">
      <w:start w:val="1"/>
      <w:numFmt w:val="lowerRoman"/>
      <w:lvlText w:val="%9."/>
      <w:lvlJc w:val="right"/>
      <w:pPr>
        <w:tabs>
          <w:tab w:val="num" w:pos="6480"/>
        </w:tabs>
        <w:ind w:left="6480" w:hanging="180"/>
      </w:pPr>
    </w:lvl>
  </w:abstractNum>
  <w:abstractNum w:abstractNumId="11" w15:restartNumberingAfterBreak="0">
    <w:nsid w:val="202B43B8"/>
    <w:multiLevelType w:val="hybridMultilevel"/>
    <w:tmpl w:val="D5360224"/>
    <w:lvl w:ilvl="0" w:tplc="CEB45E02">
      <w:start w:val="4"/>
      <w:numFmt w:val="decimal"/>
      <w:lvlText w:val="%1."/>
      <w:lvlJc w:val="left"/>
      <w:pPr>
        <w:ind w:left="720" w:hanging="360"/>
      </w:pPr>
      <w:rPr>
        <w:rFonts w:ascii="Arial TUR" w:hAnsi="Arial TU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656DF"/>
    <w:multiLevelType w:val="hybridMultilevel"/>
    <w:tmpl w:val="D902B616"/>
    <w:lvl w:ilvl="0" w:tplc="A35ECCC2">
      <w:start w:val="7"/>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B7A14"/>
    <w:multiLevelType w:val="hybridMultilevel"/>
    <w:tmpl w:val="9E443288"/>
    <w:lvl w:ilvl="0" w:tplc="E8A6E848">
      <w:start w:val="1"/>
      <w:numFmt w:val="decimal"/>
      <w:lvlText w:val="%1."/>
      <w:lvlJc w:val="left"/>
      <w:pPr>
        <w:ind w:left="360" w:hanging="360"/>
      </w:pPr>
      <w:rPr>
        <w:rFonts w:hint="default"/>
        <w:b w:val="0"/>
        <w:bCs w:val="0"/>
        <w:sz w:val="28"/>
        <w:lang w:val="en-US" w:bidi="he-IL"/>
      </w:rPr>
    </w:lvl>
    <w:lvl w:ilvl="1" w:tplc="DF3467E0">
      <w:start w:val="1"/>
      <w:numFmt w:val="lowerLetter"/>
      <w:lvlText w:val="%2."/>
      <w:lvlJc w:val="left"/>
      <w:pPr>
        <w:ind w:left="1080" w:hanging="360"/>
      </w:pPr>
    </w:lvl>
    <w:lvl w:ilvl="2" w:tplc="8C145450" w:tentative="1">
      <w:start w:val="1"/>
      <w:numFmt w:val="lowerRoman"/>
      <w:lvlText w:val="%3."/>
      <w:lvlJc w:val="right"/>
      <w:pPr>
        <w:ind w:left="1800" w:hanging="180"/>
      </w:pPr>
    </w:lvl>
    <w:lvl w:ilvl="3" w:tplc="EA4CEB02" w:tentative="1">
      <w:start w:val="1"/>
      <w:numFmt w:val="decimal"/>
      <w:lvlText w:val="%4."/>
      <w:lvlJc w:val="left"/>
      <w:pPr>
        <w:ind w:left="2520" w:hanging="360"/>
      </w:pPr>
    </w:lvl>
    <w:lvl w:ilvl="4" w:tplc="29EA5386" w:tentative="1">
      <w:start w:val="1"/>
      <w:numFmt w:val="lowerLetter"/>
      <w:lvlText w:val="%5."/>
      <w:lvlJc w:val="left"/>
      <w:pPr>
        <w:ind w:left="3240" w:hanging="360"/>
      </w:pPr>
    </w:lvl>
    <w:lvl w:ilvl="5" w:tplc="95A8DD12" w:tentative="1">
      <w:start w:val="1"/>
      <w:numFmt w:val="lowerRoman"/>
      <w:lvlText w:val="%6."/>
      <w:lvlJc w:val="right"/>
      <w:pPr>
        <w:ind w:left="3960" w:hanging="180"/>
      </w:pPr>
    </w:lvl>
    <w:lvl w:ilvl="6" w:tplc="A2261662" w:tentative="1">
      <w:start w:val="1"/>
      <w:numFmt w:val="decimal"/>
      <w:lvlText w:val="%7."/>
      <w:lvlJc w:val="left"/>
      <w:pPr>
        <w:ind w:left="4680" w:hanging="360"/>
      </w:pPr>
    </w:lvl>
    <w:lvl w:ilvl="7" w:tplc="32A2FF2A" w:tentative="1">
      <w:start w:val="1"/>
      <w:numFmt w:val="lowerLetter"/>
      <w:lvlText w:val="%8."/>
      <w:lvlJc w:val="left"/>
      <w:pPr>
        <w:ind w:left="5400" w:hanging="360"/>
      </w:pPr>
    </w:lvl>
    <w:lvl w:ilvl="8" w:tplc="72D25C42"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5BDD"/>
    <w:rsid w:val="00016EF1"/>
    <w:rsid w:val="00017F52"/>
    <w:rsid w:val="00032036"/>
    <w:rsid w:val="00033B7A"/>
    <w:rsid w:val="00036227"/>
    <w:rsid w:val="00044953"/>
    <w:rsid w:val="00045B4D"/>
    <w:rsid w:val="000464A6"/>
    <w:rsid w:val="00053654"/>
    <w:rsid w:val="00055333"/>
    <w:rsid w:val="00063FF5"/>
    <w:rsid w:val="000706AC"/>
    <w:rsid w:val="000725F5"/>
    <w:rsid w:val="00072AD2"/>
    <w:rsid w:val="000775C5"/>
    <w:rsid w:val="00082262"/>
    <w:rsid w:val="00083C74"/>
    <w:rsid w:val="00090041"/>
    <w:rsid w:val="00090571"/>
    <w:rsid w:val="000A61C8"/>
    <w:rsid w:val="000B0FE1"/>
    <w:rsid w:val="000B1478"/>
    <w:rsid w:val="000C4690"/>
    <w:rsid w:val="000C55B1"/>
    <w:rsid w:val="000D25C4"/>
    <w:rsid w:val="000E1E62"/>
    <w:rsid w:val="000E7B8D"/>
    <w:rsid w:val="000F2606"/>
    <w:rsid w:val="00107226"/>
    <w:rsid w:val="001159C5"/>
    <w:rsid w:val="001203D0"/>
    <w:rsid w:val="00127CBC"/>
    <w:rsid w:val="00134A67"/>
    <w:rsid w:val="001363F0"/>
    <w:rsid w:val="001414F0"/>
    <w:rsid w:val="00142BAA"/>
    <w:rsid w:val="001573D7"/>
    <w:rsid w:val="0017327F"/>
    <w:rsid w:val="00182052"/>
    <w:rsid w:val="00187525"/>
    <w:rsid w:val="00187BCE"/>
    <w:rsid w:val="001A0164"/>
    <w:rsid w:val="001A27B5"/>
    <w:rsid w:val="001D0CDD"/>
    <w:rsid w:val="001D4BBE"/>
    <w:rsid w:val="001E11E2"/>
    <w:rsid w:val="00200D6B"/>
    <w:rsid w:val="00203BB4"/>
    <w:rsid w:val="00205C8E"/>
    <w:rsid w:val="002114AF"/>
    <w:rsid w:val="002122ED"/>
    <w:rsid w:val="00214B6F"/>
    <w:rsid w:val="002273D8"/>
    <w:rsid w:val="00234287"/>
    <w:rsid w:val="002649E9"/>
    <w:rsid w:val="00265F6E"/>
    <w:rsid w:val="002737C6"/>
    <w:rsid w:val="00276138"/>
    <w:rsid w:val="0028158B"/>
    <w:rsid w:val="002876BF"/>
    <w:rsid w:val="002A2E02"/>
    <w:rsid w:val="002A34B3"/>
    <w:rsid w:val="002A4A7A"/>
    <w:rsid w:val="002A4BF3"/>
    <w:rsid w:val="002C329A"/>
    <w:rsid w:val="002D38F1"/>
    <w:rsid w:val="002E2E42"/>
    <w:rsid w:val="002E6996"/>
    <w:rsid w:val="002F7BB6"/>
    <w:rsid w:val="003404FD"/>
    <w:rsid w:val="003448B2"/>
    <w:rsid w:val="00360C42"/>
    <w:rsid w:val="00361DB2"/>
    <w:rsid w:val="00364693"/>
    <w:rsid w:val="00372325"/>
    <w:rsid w:val="0037622E"/>
    <w:rsid w:val="00377102"/>
    <w:rsid w:val="003812F3"/>
    <w:rsid w:val="00384218"/>
    <w:rsid w:val="00387366"/>
    <w:rsid w:val="0039709B"/>
    <w:rsid w:val="003A3EBE"/>
    <w:rsid w:val="003B26E3"/>
    <w:rsid w:val="003D72DA"/>
    <w:rsid w:val="003E39CB"/>
    <w:rsid w:val="003E5A39"/>
    <w:rsid w:val="003E67BF"/>
    <w:rsid w:val="003F1F97"/>
    <w:rsid w:val="003F3B1F"/>
    <w:rsid w:val="00403B55"/>
    <w:rsid w:val="0041048F"/>
    <w:rsid w:val="0041188C"/>
    <w:rsid w:val="00437D59"/>
    <w:rsid w:val="00440D9A"/>
    <w:rsid w:val="00441EE9"/>
    <w:rsid w:val="0045184C"/>
    <w:rsid w:val="004610A4"/>
    <w:rsid w:val="00465199"/>
    <w:rsid w:val="00470091"/>
    <w:rsid w:val="00473AF9"/>
    <w:rsid w:val="00473CAC"/>
    <w:rsid w:val="00483A28"/>
    <w:rsid w:val="00492CF8"/>
    <w:rsid w:val="004A1079"/>
    <w:rsid w:val="004B29FF"/>
    <w:rsid w:val="004B37D2"/>
    <w:rsid w:val="004C7868"/>
    <w:rsid w:val="004D71DF"/>
    <w:rsid w:val="004E3378"/>
    <w:rsid w:val="004F36AA"/>
    <w:rsid w:val="004F5551"/>
    <w:rsid w:val="005014DD"/>
    <w:rsid w:val="00502343"/>
    <w:rsid w:val="00502CBA"/>
    <w:rsid w:val="00503A3E"/>
    <w:rsid w:val="00512B60"/>
    <w:rsid w:val="00520710"/>
    <w:rsid w:val="00522B39"/>
    <w:rsid w:val="00527F02"/>
    <w:rsid w:val="00535257"/>
    <w:rsid w:val="005352C3"/>
    <w:rsid w:val="00536DCF"/>
    <w:rsid w:val="00540C75"/>
    <w:rsid w:val="00551391"/>
    <w:rsid w:val="0056612A"/>
    <w:rsid w:val="00566A65"/>
    <w:rsid w:val="00570850"/>
    <w:rsid w:val="00572773"/>
    <w:rsid w:val="005803E2"/>
    <w:rsid w:val="00583A60"/>
    <w:rsid w:val="0058440A"/>
    <w:rsid w:val="00591983"/>
    <w:rsid w:val="005B0469"/>
    <w:rsid w:val="005B67BB"/>
    <w:rsid w:val="005E1268"/>
    <w:rsid w:val="005E6339"/>
    <w:rsid w:val="005F19AA"/>
    <w:rsid w:val="00606314"/>
    <w:rsid w:val="006200F0"/>
    <w:rsid w:val="006205BE"/>
    <w:rsid w:val="00623721"/>
    <w:rsid w:val="00624A42"/>
    <w:rsid w:val="0064217C"/>
    <w:rsid w:val="00650EBF"/>
    <w:rsid w:val="0065522F"/>
    <w:rsid w:val="0067552B"/>
    <w:rsid w:val="006841B8"/>
    <w:rsid w:val="00686821"/>
    <w:rsid w:val="006954FA"/>
    <w:rsid w:val="00697681"/>
    <w:rsid w:val="006A30F7"/>
    <w:rsid w:val="006B40C8"/>
    <w:rsid w:val="006C42AD"/>
    <w:rsid w:val="006D6C5C"/>
    <w:rsid w:val="006E04DB"/>
    <w:rsid w:val="006E55BA"/>
    <w:rsid w:val="006E6911"/>
    <w:rsid w:val="006F242B"/>
    <w:rsid w:val="006F2AC3"/>
    <w:rsid w:val="006F54A0"/>
    <w:rsid w:val="0072313A"/>
    <w:rsid w:val="00725345"/>
    <w:rsid w:val="0072612E"/>
    <w:rsid w:val="00730F6F"/>
    <w:rsid w:val="007328CA"/>
    <w:rsid w:val="0073468F"/>
    <w:rsid w:val="00741CC0"/>
    <w:rsid w:val="007450D4"/>
    <w:rsid w:val="007607DE"/>
    <w:rsid w:val="007626ED"/>
    <w:rsid w:val="007810AC"/>
    <w:rsid w:val="007845CB"/>
    <w:rsid w:val="007B48DA"/>
    <w:rsid w:val="007B512F"/>
    <w:rsid w:val="007B6B1D"/>
    <w:rsid w:val="007B71CB"/>
    <w:rsid w:val="007C1122"/>
    <w:rsid w:val="007C2FAC"/>
    <w:rsid w:val="007E042D"/>
    <w:rsid w:val="007E7D5C"/>
    <w:rsid w:val="007F7512"/>
    <w:rsid w:val="00801F86"/>
    <w:rsid w:val="00810894"/>
    <w:rsid w:val="008143AB"/>
    <w:rsid w:val="0081514D"/>
    <w:rsid w:val="00820354"/>
    <w:rsid w:val="008234EF"/>
    <w:rsid w:val="0083345F"/>
    <w:rsid w:val="00836667"/>
    <w:rsid w:val="00851FF7"/>
    <w:rsid w:val="00853977"/>
    <w:rsid w:val="00855506"/>
    <w:rsid w:val="00866D0F"/>
    <w:rsid w:val="00875CB7"/>
    <w:rsid w:val="00885ECD"/>
    <w:rsid w:val="008C2F11"/>
    <w:rsid w:val="008D39D9"/>
    <w:rsid w:val="008D60D5"/>
    <w:rsid w:val="008D78B9"/>
    <w:rsid w:val="008E3F85"/>
    <w:rsid w:val="008F6098"/>
    <w:rsid w:val="009051E8"/>
    <w:rsid w:val="00914156"/>
    <w:rsid w:val="00916FF8"/>
    <w:rsid w:val="009179CB"/>
    <w:rsid w:val="00922093"/>
    <w:rsid w:val="009242A5"/>
    <w:rsid w:val="00926DA8"/>
    <w:rsid w:val="00930B57"/>
    <w:rsid w:val="00930C85"/>
    <w:rsid w:val="00946C3C"/>
    <w:rsid w:val="0095079B"/>
    <w:rsid w:val="00954172"/>
    <w:rsid w:val="00960D17"/>
    <w:rsid w:val="00964E56"/>
    <w:rsid w:val="00971DC1"/>
    <w:rsid w:val="00991429"/>
    <w:rsid w:val="00993670"/>
    <w:rsid w:val="009A1264"/>
    <w:rsid w:val="009A1EA3"/>
    <w:rsid w:val="009B38DA"/>
    <w:rsid w:val="009C0BCD"/>
    <w:rsid w:val="009C150D"/>
    <w:rsid w:val="009C44A3"/>
    <w:rsid w:val="009D18A6"/>
    <w:rsid w:val="009E10D8"/>
    <w:rsid w:val="009E2076"/>
    <w:rsid w:val="009F1A03"/>
    <w:rsid w:val="009F24AF"/>
    <w:rsid w:val="009F2F53"/>
    <w:rsid w:val="009F4187"/>
    <w:rsid w:val="00A03BA9"/>
    <w:rsid w:val="00A12E0F"/>
    <w:rsid w:val="00A16909"/>
    <w:rsid w:val="00A34C8A"/>
    <w:rsid w:val="00A34E40"/>
    <w:rsid w:val="00A51FAE"/>
    <w:rsid w:val="00A521D1"/>
    <w:rsid w:val="00A53593"/>
    <w:rsid w:val="00A53A2B"/>
    <w:rsid w:val="00A54C9F"/>
    <w:rsid w:val="00A561C6"/>
    <w:rsid w:val="00A568EE"/>
    <w:rsid w:val="00A670B3"/>
    <w:rsid w:val="00A70285"/>
    <w:rsid w:val="00A72179"/>
    <w:rsid w:val="00A77285"/>
    <w:rsid w:val="00A80845"/>
    <w:rsid w:val="00A8219D"/>
    <w:rsid w:val="00A85935"/>
    <w:rsid w:val="00AA6E4E"/>
    <w:rsid w:val="00AB1714"/>
    <w:rsid w:val="00AB190C"/>
    <w:rsid w:val="00AB5EAF"/>
    <w:rsid w:val="00AB69F7"/>
    <w:rsid w:val="00AB7631"/>
    <w:rsid w:val="00AC781F"/>
    <w:rsid w:val="00AD097B"/>
    <w:rsid w:val="00AD5D1E"/>
    <w:rsid w:val="00AD64B9"/>
    <w:rsid w:val="00AD7B55"/>
    <w:rsid w:val="00AE022B"/>
    <w:rsid w:val="00AE6D5A"/>
    <w:rsid w:val="00B009CC"/>
    <w:rsid w:val="00B0782A"/>
    <w:rsid w:val="00B263A8"/>
    <w:rsid w:val="00B32B07"/>
    <w:rsid w:val="00B35A05"/>
    <w:rsid w:val="00B37A07"/>
    <w:rsid w:val="00B5698F"/>
    <w:rsid w:val="00B56EF0"/>
    <w:rsid w:val="00B62B8C"/>
    <w:rsid w:val="00B63343"/>
    <w:rsid w:val="00B87FF7"/>
    <w:rsid w:val="00B940FC"/>
    <w:rsid w:val="00B967A4"/>
    <w:rsid w:val="00BA0B08"/>
    <w:rsid w:val="00BB4A78"/>
    <w:rsid w:val="00BC0E82"/>
    <w:rsid w:val="00BD1BFA"/>
    <w:rsid w:val="00BD40F9"/>
    <w:rsid w:val="00BE1D85"/>
    <w:rsid w:val="00BF0F22"/>
    <w:rsid w:val="00C14A02"/>
    <w:rsid w:val="00C41C86"/>
    <w:rsid w:val="00C42B5A"/>
    <w:rsid w:val="00C609A8"/>
    <w:rsid w:val="00C63A6C"/>
    <w:rsid w:val="00C63C2F"/>
    <w:rsid w:val="00C64AC4"/>
    <w:rsid w:val="00C737D3"/>
    <w:rsid w:val="00C74192"/>
    <w:rsid w:val="00C92262"/>
    <w:rsid w:val="00C960B8"/>
    <w:rsid w:val="00CA12C1"/>
    <w:rsid w:val="00CA13AF"/>
    <w:rsid w:val="00CA1444"/>
    <w:rsid w:val="00CA36C7"/>
    <w:rsid w:val="00CA4CE1"/>
    <w:rsid w:val="00CA7399"/>
    <w:rsid w:val="00CB1590"/>
    <w:rsid w:val="00CB1644"/>
    <w:rsid w:val="00CB7600"/>
    <w:rsid w:val="00CC0E9D"/>
    <w:rsid w:val="00CC3639"/>
    <w:rsid w:val="00CD32AA"/>
    <w:rsid w:val="00CE3B91"/>
    <w:rsid w:val="00CE705C"/>
    <w:rsid w:val="00CF3D61"/>
    <w:rsid w:val="00D00B1D"/>
    <w:rsid w:val="00D00CB7"/>
    <w:rsid w:val="00D14718"/>
    <w:rsid w:val="00D206B2"/>
    <w:rsid w:val="00D22FDD"/>
    <w:rsid w:val="00D25F16"/>
    <w:rsid w:val="00D264FB"/>
    <w:rsid w:val="00D41404"/>
    <w:rsid w:val="00D42101"/>
    <w:rsid w:val="00D437DD"/>
    <w:rsid w:val="00D57873"/>
    <w:rsid w:val="00D83ED2"/>
    <w:rsid w:val="00D86DBD"/>
    <w:rsid w:val="00D925CF"/>
    <w:rsid w:val="00DB158B"/>
    <w:rsid w:val="00DD4300"/>
    <w:rsid w:val="00DE6B1E"/>
    <w:rsid w:val="00DF421A"/>
    <w:rsid w:val="00E07A2D"/>
    <w:rsid w:val="00E20B05"/>
    <w:rsid w:val="00E21CA9"/>
    <w:rsid w:val="00E31063"/>
    <w:rsid w:val="00E36FE9"/>
    <w:rsid w:val="00E40867"/>
    <w:rsid w:val="00E474C7"/>
    <w:rsid w:val="00E500B1"/>
    <w:rsid w:val="00E54127"/>
    <w:rsid w:val="00E63384"/>
    <w:rsid w:val="00E73E98"/>
    <w:rsid w:val="00E7485C"/>
    <w:rsid w:val="00E75223"/>
    <w:rsid w:val="00E7642C"/>
    <w:rsid w:val="00E90D72"/>
    <w:rsid w:val="00E96AC6"/>
    <w:rsid w:val="00EA0BE1"/>
    <w:rsid w:val="00EA21A4"/>
    <w:rsid w:val="00EB40D0"/>
    <w:rsid w:val="00EC23AC"/>
    <w:rsid w:val="00EC2992"/>
    <w:rsid w:val="00ED26AE"/>
    <w:rsid w:val="00ED4025"/>
    <w:rsid w:val="00ED46A4"/>
    <w:rsid w:val="00ED6FD9"/>
    <w:rsid w:val="00EE3810"/>
    <w:rsid w:val="00EF43F1"/>
    <w:rsid w:val="00F01F24"/>
    <w:rsid w:val="00F03972"/>
    <w:rsid w:val="00F11CA3"/>
    <w:rsid w:val="00F1320B"/>
    <w:rsid w:val="00F14103"/>
    <w:rsid w:val="00F2342E"/>
    <w:rsid w:val="00F322AE"/>
    <w:rsid w:val="00F355A6"/>
    <w:rsid w:val="00F4049A"/>
    <w:rsid w:val="00F42B41"/>
    <w:rsid w:val="00F42D8F"/>
    <w:rsid w:val="00F44674"/>
    <w:rsid w:val="00F47D8E"/>
    <w:rsid w:val="00F47E77"/>
    <w:rsid w:val="00F63C3B"/>
    <w:rsid w:val="00F65F65"/>
    <w:rsid w:val="00F83A47"/>
    <w:rsid w:val="00F959DB"/>
    <w:rsid w:val="00FB3E9D"/>
    <w:rsid w:val="00FB7CA6"/>
    <w:rsid w:val="00FC0252"/>
    <w:rsid w:val="00FC2CD8"/>
    <w:rsid w:val="00FD729D"/>
    <w:rsid w:val="00FE4A3D"/>
    <w:rsid w:val="00FF4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22B7"/>
  <w15:chartTrackingRefBased/>
  <w15:docId w15:val="{F12AF6E3-6F5D-4A98-B350-9E7CCC52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0"/>
    <w:next w:val="Ruller40"/>
    <w:link w:val="Ruller41"/>
    <w:rsid w:val="00DE6B1E"/>
    <w:pPr>
      <w:numPr>
        <w:numId w:val="11"/>
      </w:numPr>
    </w:pPr>
    <w:rPr>
      <w:rFonts w:ascii="Garamond" w:hAnsi="Garamond"/>
      <w:sz w:val="24"/>
    </w:rPr>
  </w:style>
  <w:style w:type="character" w:customStyle="1" w:styleId="Ruller41">
    <w:name w:val="Ruller 4 ממוספר תו"/>
    <w:link w:val="Ruller4"/>
    <w:locked/>
    <w:rsid w:val="00DE6B1E"/>
    <w:rPr>
      <w:rFonts w:ascii="Garamond" w:hAnsi="Garamond" w:cs="FrankRuehl"/>
      <w:spacing w:val="10"/>
      <w:sz w:val="24"/>
      <w:szCs w:val="28"/>
    </w:rPr>
  </w:style>
  <w:style w:type="character" w:customStyle="1" w:styleId="big-number">
    <w:name w:val="big-number"/>
    <w:basedOn w:val="a0"/>
    <w:rsid w:val="00DE6B1E"/>
  </w:style>
  <w:style w:type="character" w:customStyle="1" w:styleId="default">
    <w:name w:val="default"/>
    <w:basedOn w:val="a0"/>
    <w:rsid w:val="00DE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9717</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החלטה בתיק דנ"א  1867/21</vt:lpstr>
    </vt:vector>
  </TitlesOfParts>
  <Company/>
  <LinksUpToDate>false</LinksUpToDate>
  <CharactersWithSpaces>11764</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2021-07-28T18:48:24Z</cp:lastPrinted>
  <dcterms:created xsi:type="dcterms:W3CDTF">2021-07-28T18:48:24Z</dcterms:created>
  <dcterms:modified xsi:type="dcterms:W3CDTF">2021-07-28T18:48:24Z</dcterms:modified>
</cp:coreProperties>
</file>