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8363" w:type="dxa"/>
        <w:tblInd w:w="9" w:type="dxa"/>
        <w:tblLook w:val="0000" w:firstRow="0" w:lastRow="0" w:firstColumn="0" w:lastColumn="0" w:noHBand="0" w:noVBand="0"/>
      </w:tblPr>
      <w:tblGrid>
        <w:gridCol w:w="8363"/>
      </w:tblGrid>
      <w:tr w:rsidR="00036227" w:rsidTr="00D05738">
        <w:tc>
          <w:tcPr>
            <w:tcW w:w="8363" w:type="dxa"/>
          </w:tcPr>
          <w:p w:rsidR="00916FF8" w:rsidRPr="00624A42" w:rsidRDefault="00817BD8" w:rsidP="004C7868">
            <w:pPr>
              <w:pStyle w:val="FileNumber0"/>
              <w:rPr>
                <w:sz w:val="28"/>
                <w:u w:val="single"/>
                <w:rtl/>
              </w:rPr>
            </w:pPr>
            <w:r>
              <w:rPr>
                <w:u w:val="single"/>
                <w:rtl/>
              </w:rPr>
              <w:t>בבית המשפט העליון בשבתו כבית משפט לערעורים אזרחיים</w:t>
            </w:r>
          </w:p>
        </w:tc>
      </w:tr>
    </w:tbl>
    <w:p w:rsidR="00916FF8" w:rsidRDefault="00916FF8">
      <w:pPr>
        <w:jc w:val="right"/>
        <w:rPr>
          <w:rFonts w:cs="Miriam"/>
          <w:b/>
          <w:bCs/>
          <w:u w:val="single"/>
        </w:rPr>
      </w:pPr>
    </w:p>
    <w:tbl>
      <w:tblPr>
        <w:bidiVisual/>
        <w:tblW w:w="8363" w:type="dxa"/>
        <w:tblLook w:val="0000" w:firstRow="0" w:lastRow="0" w:firstColumn="0" w:lastColumn="0" w:noHBand="0" w:noVBand="0"/>
      </w:tblPr>
      <w:tblGrid>
        <w:gridCol w:w="8363"/>
      </w:tblGrid>
      <w:tr w:rsidR="00036227" w:rsidTr="0039709B">
        <w:trPr>
          <w:trHeight w:val="342"/>
        </w:trPr>
        <w:tc>
          <w:tcPr>
            <w:tcW w:w="9828" w:type="dxa"/>
          </w:tcPr>
          <w:p w:rsidR="00916FF8" w:rsidRPr="00810894" w:rsidRDefault="00817BD8" w:rsidP="00940AA4">
            <w:pPr>
              <w:pStyle w:val="FileNumber"/>
              <w:rPr>
                <w:sz w:val="28"/>
                <w:szCs w:val="28"/>
              </w:rPr>
            </w:pPr>
            <w:bookmarkStart w:id="0" w:name="casename_body"/>
            <w:r>
              <w:rPr>
                <w:sz w:val="28"/>
                <w:szCs w:val="28"/>
                <w:rtl/>
              </w:rPr>
              <w:t>ע"א 3454/21</w:t>
            </w:r>
          </w:p>
        </w:tc>
      </w:tr>
      <w:bookmarkEnd w:id="0"/>
    </w:tbl>
    <w:p w:rsidR="00916FF8" w:rsidRDefault="00916FF8">
      <w:pPr>
        <w:jc w:val="right"/>
        <w:rPr>
          <w:rFonts w:cs="Miriam"/>
          <w:b/>
          <w:bCs/>
          <w:u w:val="single"/>
        </w:rPr>
      </w:pPr>
    </w:p>
    <w:tbl>
      <w:tblPr>
        <w:bidiVisual/>
        <w:tblW w:w="8364" w:type="dxa"/>
        <w:tblLayout w:type="fixed"/>
        <w:tblLook w:val="0000" w:firstRow="0" w:lastRow="0" w:firstColumn="0" w:lastColumn="0" w:noHBand="0" w:noVBand="0"/>
      </w:tblPr>
      <w:tblGrid>
        <w:gridCol w:w="3120"/>
        <w:gridCol w:w="5244"/>
      </w:tblGrid>
      <w:tr w:rsidR="00036227" w:rsidTr="004B1D9F">
        <w:trPr>
          <w:trHeight w:val="287"/>
        </w:trPr>
        <w:tc>
          <w:tcPr>
            <w:tcW w:w="3120" w:type="dxa"/>
          </w:tcPr>
          <w:p w:rsidR="00036227" w:rsidRDefault="00CB7600">
            <w:pPr>
              <w:pStyle w:val="BodyRuller"/>
              <w:rPr>
                <w:rFonts w:cs="Miriam"/>
                <w:b/>
                <w:bCs/>
                <w:u w:val="single"/>
              </w:rPr>
            </w:pPr>
            <w:r>
              <w:rPr>
                <w:rFonts w:hint="cs"/>
                <w:rtl/>
              </w:rPr>
              <w:t>ל</w:t>
            </w:r>
            <w:r w:rsidR="00036227">
              <w:rPr>
                <w:rtl/>
              </w:rPr>
              <w:t>פני:</w:t>
            </w:r>
            <w:r w:rsidR="00036227">
              <w:rPr>
                <w:rtl/>
              </w:rPr>
              <w:tab/>
            </w:r>
          </w:p>
        </w:tc>
        <w:tc>
          <w:tcPr>
            <w:tcW w:w="5244" w:type="dxa"/>
          </w:tcPr>
          <w:p w:rsidR="00036227" w:rsidRDefault="00817BD8">
            <w:pPr>
              <w:pStyle w:val="BodyRuller"/>
            </w:pPr>
            <w:r>
              <w:rPr>
                <w:rtl/>
              </w:rPr>
              <w:t>כבוד השופטת ע' ברון</w:t>
            </w:r>
          </w:p>
        </w:tc>
      </w:tr>
      <w:tr w:rsidR="00817BD8" w:rsidTr="004B1D9F">
        <w:trPr>
          <w:trHeight w:val="287"/>
        </w:trPr>
        <w:tc>
          <w:tcPr>
            <w:tcW w:w="3120" w:type="dxa"/>
          </w:tcPr>
          <w:p w:rsidR="00817BD8" w:rsidRDefault="00817BD8">
            <w:pPr>
              <w:pStyle w:val="BodyRuller"/>
              <w:rPr>
                <w:rtl/>
              </w:rPr>
            </w:pPr>
          </w:p>
        </w:tc>
        <w:tc>
          <w:tcPr>
            <w:tcW w:w="5244" w:type="dxa"/>
          </w:tcPr>
          <w:p w:rsidR="00817BD8" w:rsidRDefault="00817BD8">
            <w:pPr>
              <w:pStyle w:val="BodyRuller"/>
              <w:rPr>
                <w:rtl/>
              </w:rPr>
            </w:pPr>
            <w:r>
              <w:rPr>
                <w:rtl/>
              </w:rPr>
              <w:t>כבוד השופטת י' וילנר</w:t>
            </w:r>
          </w:p>
        </w:tc>
      </w:tr>
      <w:tr w:rsidR="00817BD8" w:rsidTr="004B1D9F">
        <w:trPr>
          <w:trHeight w:val="287"/>
        </w:trPr>
        <w:tc>
          <w:tcPr>
            <w:tcW w:w="3120" w:type="dxa"/>
          </w:tcPr>
          <w:p w:rsidR="00817BD8" w:rsidRDefault="00817BD8">
            <w:pPr>
              <w:pStyle w:val="BodyRuller"/>
              <w:rPr>
                <w:rtl/>
              </w:rPr>
            </w:pPr>
          </w:p>
        </w:tc>
        <w:tc>
          <w:tcPr>
            <w:tcW w:w="5244" w:type="dxa"/>
          </w:tcPr>
          <w:p w:rsidR="00817BD8" w:rsidRDefault="00817BD8">
            <w:pPr>
              <w:pStyle w:val="BodyRuller"/>
              <w:rPr>
                <w:rtl/>
              </w:rPr>
            </w:pPr>
            <w:r>
              <w:rPr>
                <w:rtl/>
              </w:rPr>
              <w:t>כבוד השופטת ר' רונן</w:t>
            </w:r>
          </w:p>
        </w:tc>
      </w:tr>
    </w:tbl>
    <w:p w:rsidR="00916FF8" w:rsidRDefault="00916FF8">
      <w:pPr>
        <w:pStyle w:val="Ruller3"/>
        <w:rPr>
          <w:rFonts w:cs="Miriam"/>
          <w:b/>
          <w:bCs/>
          <w:u w:val="single"/>
          <w:rtl/>
        </w:rPr>
      </w:pPr>
    </w:p>
    <w:tbl>
      <w:tblPr>
        <w:bidiVisual/>
        <w:tblW w:w="8364" w:type="dxa"/>
        <w:tblLayout w:type="fixed"/>
        <w:tblLook w:val="0000" w:firstRow="0" w:lastRow="0" w:firstColumn="0" w:lastColumn="0" w:noHBand="0" w:noVBand="0"/>
      </w:tblPr>
      <w:tblGrid>
        <w:gridCol w:w="3120"/>
        <w:gridCol w:w="5244"/>
      </w:tblGrid>
      <w:tr w:rsidR="00D00CB7" w:rsidTr="004B1D9F">
        <w:trPr>
          <w:trHeight w:val="287"/>
        </w:trPr>
        <w:tc>
          <w:tcPr>
            <w:tcW w:w="3120" w:type="dxa"/>
          </w:tcPr>
          <w:p w:rsidR="00D00CB7" w:rsidRPr="00E75223" w:rsidRDefault="00817BD8" w:rsidP="00DD6306">
            <w:pPr>
              <w:pStyle w:val="BodyRuller"/>
              <w:rPr>
                <w:rFonts w:ascii="David" w:hAnsi="David"/>
              </w:rPr>
            </w:pPr>
            <w:r>
              <w:rPr>
                <w:rFonts w:ascii="David" w:hAnsi="David"/>
                <w:rtl/>
              </w:rPr>
              <w:t>המערער</w:t>
            </w:r>
            <w:r w:rsidR="007E77E8">
              <w:rPr>
                <w:rFonts w:ascii="David" w:hAnsi="David" w:hint="cs"/>
                <w:rtl/>
              </w:rPr>
              <w:t>ת</w:t>
            </w:r>
            <w:r>
              <w:rPr>
                <w:rFonts w:ascii="David" w:hAnsi="David"/>
                <w:rtl/>
              </w:rPr>
              <w:t>:</w:t>
            </w:r>
          </w:p>
        </w:tc>
        <w:tc>
          <w:tcPr>
            <w:tcW w:w="5244" w:type="dxa"/>
          </w:tcPr>
          <w:p w:rsidR="00D00CB7" w:rsidRDefault="007E77E8" w:rsidP="00DD6306">
            <w:pPr>
              <w:pStyle w:val="BodyRuller"/>
            </w:pPr>
            <w:r>
              <w:rPr>
                <w:rtl/>
              </w:rPr>
              <w:t>יינות ביתן</w:t>
            </w:r>
            <w:r w:rsidR="00817BD8">
              <w:rPr>
                <w:rtl/>
              </w:rPr>
              <w:t xml:space="preserve"> בע"מ</w:t>
            </w:r>
          </w:p>
        </w:tc>
      </w:tr>
    </w:tbl>
    <w:p w:rsidR="00D00CB7" w:rsidRDefault="00D00CB7" w:rsidP="00D05738">
      <w:pPr>
        <w:pStyle w:val="Ruller3"/>
        <w:spacing w:line="240" w:lineRule="auto"/>
      </w:pPr>
    </w:p>
    <w:tbl>
      <w:tblPr>
        <w:bidiVisual/>
        <w:tblW w:w="8363" w:type="dxa"/>
        <w:tblLook w:val="0000" w:firstRow="0" w:lastRow="0" w:firstColumn="0" w:lastColumn="0" w:noHBand="0" w:noVBand="0"/>
      </w:tblPr>
      <w:tblGrid>
        <w:gridCol w:w="3120"/>
        <w:gridCol w:w="5243"/>
      </w:tblGrid>
      <w:tr w:rsidR="00036227" w:rsidTr="004B1D9F">
        <w:tc>
          <w:tcPr>
            <w:tcW w:w="3120" w:type="dxa"/>
          </w:tcPr>
          <w:p w:rsidR="00036227" w:rsidRDefault="00036227">
            <w:pPr>
              <w:pStyle w:val="BodyRuller"/>
            </w:pPr>
          </w:p>
        </w:tc>
        <w:tc>
          <w:tcPr>
            <w:tcW w:w="5243" w:type="dxa"/>
          </w:tcPr>
          <w:p w:rsidR="00036227" w:rsidRDefault="00036227">
            <w:pPr>
              <w:pStyle w:val="BodyRuller"/>
            </w:pPr>
            <w:r>
              <w:rPr>
                <w:rFonts w:hint="cs"/>
                <w:rtl/>
              </w:rPr>
              <w:t>נ</w:t>
            </w:r>
            <w:r>
              <w:t xml:space="preserve">  </w:t>
            </w:r>
            <w:r>
              <w:rPr>
                <w:rFonts w:hint="cs"/>
                <w:rtl/>
              </w:rPr>
              <w:t>ג</w:t>
            </w:r>
            <w:r>
              <w:t xml:space="preserve">  </w:t>
            </w:r>
            <w:r>
              <w:rPr>
                <w:rFonts w:hint="cs"/>
                <w:rtl/>
              </w:rPr>
              <w:t>ד</w:t>
            </w:r>
          </w:p>
        </w:tc>
      </w:tr>
    </w:tbl>
    <w:p w:rsidR="00916FF8" w:rsidRDefault="00916FF8" w:rsidP="00D05738">
      <w:pPr>
        <w:pStyle w:val="Ruller3"/>
        <w:spacing w:line="240" w:lineRule="auto"/>
        <w:rPr>
          <w:rtl/>
        </w:rPr>
      </w:pPr>
    </w:p>
    <w:tbl>
      <w:tblPr>
        <w:bidiVisual/>
        <w:tblW w:w="8364" w:type="dxa"/>
        <w:tblLayout w:type="fixed"/>
        <w:tblLook w:val="0000" w:firstRow="0" w:lastRow="0" w:firstColumn="0" w:lastColumn="0" w:noHBand="0" w:noVBand="0"/>
      </w:tblPr>
      <w:tblGrid>
        <w:gridCol w:w="3120"/>
        <w:gridCol w:w="5244"/>
      </w:tblGrid>
      <w:tr w:rsidR="0083345F" w:rsidTr="004B1D9F">
        <w:trPr>
          <w:trHeight w:val="287"/>
        </w:trPr>
        <w:tc>
          <w:tcPr>
            <w:tcW w:w="3120" w:type="dxa"/>
          </w:tcPr>
          <w:p w:rsidR="0083345F" w:rsidRPr="00E75223" w:rsidRDefault="00817BD8" w:rsidP="00DD6306">
            <w:pPr>
              <w:pStyle w:val="BodyRuller"/>
              <w:rPr>
                <w:rFonts w:ascii="David" w:hAnsi="David"/>
              </w:rPr>
            </w:pPr>
            <w:r>
              <w:rPr>
                <w:rFonts w:ascii="David" w:hAnsi="David"/>
                <w:rtl/>
              </w:rPr>
              <w:t>המשיב:</w:t>
            </w:r>
          </w:p>
        </w:tc>
        <w:tc>
          <w:tcPr>
            <w:tcW w:w="5244" w:type="dxa"/>
          </w:tcPr>
          <w:p w:rsidR="0083345F" w:rsidRDefault="00817BD8" w:rsidP="00DD6306">
            <w:pPr>
              <w:pStyle w:val="BodyRuller"/>
            </w:pPr>
            <w:r>
              <w:rPr>
                <w:rtl/>
              </w:rPr>
              <w:t>פקיד שומה אשקלון</w:t>
            </w:r>
          </w:p>
        </w:tc>
      </w:tr>
    </w:tbl>
    <w:p w:rsidR="0083345F" w:rsidRDefault="0083345F" w:rsidP="00D05738">
      <w:pPr>
        <w:pStyle w:val="Ruller3"/>
        <w:spacing w:line="240" w:lineRule="auto"/>
      </w:pPr>
    </w:p>
    <w:tbl>
      <w:tblPr>
        <w:bidiVisual/>
        <w:tblW w:w="0" w:type="auto"/>
        <w:tblInd w:w="3067" w:type="dxa"/>
        <w:tblLook w:val="0000" w:firstRow="0" w:lastRow="0" w:firstColumn="0" w:lastColumn="0" w:noHBand="0" w:noVBand="0"/>
      </w:tblPr>
      <w:tblGrid>
        <w:gridCol w:w="5245"/>
      </w:tblGrid>
      <w:tr w:rsidR="00036227" w:rsidTr="004B1D9F">
        <w:tc>
          <w:tcPr>
            <w:tcW w:w="5245" w:type="dxa"/>
          </w:tcPr>
          <w:p w:rsidR="00916FF8" w:rsidRPr="00265F6E" w:rsidRDefault="00817BD8" w:rsidP="004B1D9F">
            <w:pPr>
              <w:pStyle w:val="BodyRuller"/>
              <w:jc w:val="both"/>
              <w:rPr>
                <w:sz w:val="24"/>
                <w:szCs w:val="24"/>
              </w:rPr>
            </w:pPr>
            <w:r>
              <w:rPr>
                <w:sz w:val="24"/>
                <w:szCs w:val="24"/>
                <w:rtl/>
              </w:rPr>
              <w:t xml:space="preserve">ערעור על פסק דינו של בית המשפט המחוזי </w:t>
            </w:r>
            <w:r w:rsidR="004B1D9F">
              <w:rPr>
                <w:rFonts w:hint="cs"/>
                <w:sz w:val="24"/>
                <w:szCs w:val="24"/>
                <w:rtl/>
              </w:rPr>
              <w:t>בבאר שבע מיום 4.4.2021 (כבוד</w:t>
            </w:r>
            <w:r w:rsidR="00252BA9">
              <w:rPr>
                <w:rFonts w:hint="cs"/>
                <w:sz w:val="24"/>
                <w:szCs w:val="24"/>
                <w:rtl/>
              </w:rPr>
              <w:t xml:space="preserve"> השופטת </w:t>
            </w:r>
            <w:r w:rsidR="00252BA9" w:rsidRPr="00252BA9">
              <w:rPr>
                <w:rFonts w:ascii="Century" w:hAnsi="Century" w:cs="Miriam" w:hint="cs"/>
                <w:b/>
                <w:szCs w:val="24"/>
                <w:rtl/>
              </w:rPr>
              <w:t>י' ייטב</w:t>
            </w:r>
            <w:r w:rsidR="00252BA9">
              <w:rPr>
                <w:rFonts w:hint="cs"/>
                <w:sz w:val="24"/>
                <w:szCs w:val="24"/>
                <w:rtl/>
              </w:rPr>
              <w:t>) ב-ע"מ 54050-01-18</w:t>
            </w:r>
          </w:p>
        </w:tc>
      </w:tr>
    </w:tbl>
    <w:p w:rsidR="00916FF8" w:rsidRDefault="00916FF8" w:rsidP="00D05738">
      <w:pPr>
        <w:pStyle w:val="Ruller3"/>
        <w:spacing w:line="240" w:lineRule="auto"/>
        <w:rPr>
          <w:rtl/>
        </w:rPr>
      </w:pPr>
    </w:p>
    <w:tbl>
      <w:tblPr>
        <w:bidiVisual/>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0"/>
        <w:gridCol w:w="2533"/>
        <w:gridCol w:w="2710"/>
      </w:tblGrid>
      <w:tr w:rsidR="008C2F11" w:rsidTr="004B1D9F">
        <w:tc>
          <w:tcPr>
            <w:tcW w:w="3120" w:type="dxa"/>
            <w:tcBorders>
              <w:top w:val="nil"/>
              <w:left w:val="nil"/>
              <w:bottom w:val="nil"/>
              <w:right w:val="nil"/>
            </w:tcBorders>
          </w:tcPr>
          <w:p w:rsidR="008C2F11" w:rsidRPr="00265F6E" w:rsidRDefault="008C2F11">
            <w:pPr>
              <w:pStyle w:val="BodyRuller"/>
              <w:rPr>
                <w:sz w:val="24"/>
                <w:szCs w:val="24"/>
              </w:rPr>
            </w:pPr>
            <w:r w:rsidRPr="00265F6E">
              <w:rPr>
                <w:sz w:val="24"/>
                <w:szCs w:val="24"/>
                <w:rtl/>
              </w:rPr>
              <w:t>תאריך הישיבה:</w:t>
            </w:r>
          </w:p>
        </w:tc>
        <w:tc>
          <w:tcPr>
            <w:tcW w:w="2533" w:type="dxa"/>
            <w:tcBorders>
              <w:top w:val="nil"/>
              <w:left w:val="nil"/>
              <w:bottom w:val="nil"/>
              <w:right w:val="nil"/>
            </w:tcBorders>
          </w:tcPr>
          <w:p w:rsidR="008C2F11" w:rsidRDefault="00817BD8">
            <w:pPr>
              <w:pStyle w:val="BodyRuller"/>
              <w:rPr>
                <w:rtl/>
              </w:rPr>
            </w:pPr>
            <w:r>
              <w:rPr>
                <w:sz w:val="24"/>
                <w:szCs w:val="24"/>
                <w:rtl/>
              </w:rPr>
              <w:t xml:space="preserve">ח' בשבט </w:t>
            </w:r>
            <w:proofErr w:type="spellStart"/>
            <w:r>
              <w:rPr>
                <w:sz w:val="24"/>
                <w:szCs w:val="24"/>
                <w:rtl/>
              </w:rPr>
              <w:t>התשפ"ג</w:t>
            </w:r>
            <w:proofErr w:type="spellEnd"/>
            <w:r w:rsidR="008C2F11">
              <w:t xml:space="preserve">       </w:t>
            </w:r>
          </w:p>
        </w:tc>
        <w:tc>
          <w:tcPr>
            <w:tcW w:w="2710" w:type="dxa"/>
            <w:tcBorders>
              <w:top w:val="nil"/>
              <w:left w:val="nil"/>
              <w:bottom w:val="nil"/>
              <w:right w:val="nil"/>
            </w:tcBorders>
          </w:tcPr>
          <w:p w:rsidR="008C2F11" w:rsidRDefault="00817BD8" w:rsidP="00252BA9">
            <w:pPr>
              <w:pStyle w:val="BodyRuller"/>
              <w:rPr>
                <w:sz w:val="24"/>
                <w:szCs w:val="24"/>
                <w:rtl/>
              </w:rPr>
            </w:pPr>
            <w:r>
              <w:t>(30.</w:t>
            </w:r>
            <w:r w:rsidR="00252BA9">
              <w:t>1</w:t>
            </w:r>
            <w:r>
              <w:t>.2023)</w:t>
            </w:r>
            <w:r w:rsidR="00200D6B">
              <w:t xml:space="preserve"> </w:t>
            </w:r>
          </w:p>
        </w:tc>
      </w:tr>
    </w:tbl>
    <w:p w:rsidR="00916FF8" w:rsidRDefault="00916FF8" w:rsidP="00D05738">
      <w:pPr>
        <w:pStyle w:val="Ruller3"/>
        <w:spacing w:line="240" w:lineRule="auto"/>
      </w:pPr>
    </w:p>
    <w:tbl>
      <w:tblPr>
        <w:bidiVisual/>
        <w:tblW w:w="8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
        <w:gridCol w:w="3093"/>
        <w:gridCol w:w="27"/>
        <w:gridCol w:w="5216"/>
        <w:gridCol w:w="27"/>
      </w:tblGrid>
      <w:tr w:rsidR="00036227" w:rsidTr="00D05738">
        <w:trPr>
          <w:gridAfter w:val="1"/>
          <w:wAfter w:w="27" w:type="dxa"/>
        </w:trPr>
        <w:tc>
          <w:tcPr>
            <w:tcW w:w="3120" w:type="dxa"/>
            <w:gridSpan w:val="2"/>
            <w:tcBorders>
              <w:top w:val="nil"/>
              <w:left w:val="nil"/>
              <w:bottom w:val="nil"/>
              <w:right w:val="nil"/>
            </w:tcBorders>
          </w:tcPr>
          <w:p w:rsidR="00036227" w:rsidRDefault="00817BD8">
            <w:pPr>
              <w:pStyle w:val="BodyRuller"/>
            </w:pPr>
            <w:r>
              <w:rPr>
                <w:rtl/>
              </w:rPr>
              <w:t>בשם המערער</w:t>
            </w:r>
            <w:r w:rsidR="007E77E8">
              <w:rPr>
                <w:rFonts w:hint="cs"/>
                <w:rtl/>
              </w:rPr>
              <w:t>ת</w:t>
            </w:r>
            <w:r>
              <w:rPr>
                <w:rtl/>
              </w:rPr>
              <w:t>:</w:t>
            </w:r>
          </w:p>
        </w:tc>
        <w:tc>
          <w:tcPr>
            <w:tcW w:w="5243" w:type="dxa"/>
            <w:gridSpan w:val="2"/>
            <w:tcBorders>
              <w:top w:val="nil"/>
              <w:left w:val="nil"/>
              <w:bottom w:val="nil"/>
              <w:right w:val="nil"/>
            </w:tcBorders>
          </w:tcPr>
          <w:p w:rsidR="00036227" w:rsidRPr="009C7F90" w:rsidRDefault="00817BD8" w:rsidP="009C7F90">
            <w:pPr>
              <w:pStyle w:val="BodyRuller"/>
              <w:jc w:val="both"/>
              <w:rPr>
                <w:rFonts w:ascii="David" w:hAnsi="David"/>
                <w:sz w:val="28"/>
              </w:rPr>
            </w:pPr>
            <w:r w:rsidRPr="009C7F90">
              <w:rPr>
                <w:rFonts w:ascii="David" w:hAnsi="David"/>
                <w:sz w:val="28"/>
                <w:rtl/>
              </w:rPr>
              <w:t xml:space="preserve">עו"ד </w:t>
            </w:r>
            <w:r w:rsidR="009C7F90" w:rsidRPr="009C7F90">
              <w:rPr>
                <w:rFonts w:ascii="David" w:hAnsi="David"/>
                <w:sz w:val="28"/>
                <w:rtl/>
              </w:rPr>
              <w:t>יוסי אלישע</w:t>
            </w:r>
            <w:r w:rsidR="009C7F90" w:rsidRPr="009C7F90">
              <w:rPr>
                <w:rFonts w:ascii="David" w:hAnsi="David"/>
                <w:sz w:val="28"/>
              </w:rPr>
              <w:t>;</w:t>
            </w:r>
            <w:r w:rsidR="009C7F90" w:rsidRPr="009C7F90">
              <w:rPr>
                <w:rFonts w:ascii="David" w:hAnsi="David"/>
                <w:sz w:val="28"/>
                <w:rtl/>
              </w:rPr>
              <w:t xml:space="preserve"> עו"ד בני קלדרון</w:t>
            </w:r>
            <w:r w:rsidR="009C7F90" w:rsidRPr="009C7F90">
              <w:rPr>
                <w:rFonts w:ascii="David" w:hAnsi="David"/>
                <w:sz w:val="28"/>
              </w:rPr>
              <w:t>;</w:t>
            </w:r>
            <w:r w:rsidR="009C7F90" w:rsidRPr="009C7F90">
              <w:rPr>
                <w:rFonts w:ascii="David" w:hAnsi="David"/>
                <w:sz w:val="28"/>
                <w:rtl/>
              </w:rPr>
              <w:t xml:space="preserve"> עו"ד גיל </w:t>
            </w:r>
            <w:proofErr w:type="spellStart"/>
            <w:r w:rsidR="009C7F90" w:rsidRPr="009C7F90">
              <w:rPr>
                <w:rFonts w:ascii="David" w:hAnsi="David"/>
                <w:sz w:val="28"/>
                <w:rtl/>
              </w:rPr>
              <w:t>גריידי</w:t>
            </w:r>
            <w:proofErr w:type="spellEnd"/>
          </w:p>
        </w:tc>
      </w:tr>
      <w:tr w:rsidR="00036227" w:rsidTr="00D05738">
        <w:trPr>
          <w:gridBefore w:val="1"/>
          <w:wBefore w:w="27" w:type="dxa"/>
        </w:trPr>
        <w:tc>
          <w:tcPr>
            <w:tcW w:w="3120" w:type="dxa"/>
            <w:gridSpan w:val="2"/>
            <w:tcBorders>
              <w:top w:val="nil"/>
              <w:left w:val="nil"/>
              <w:bottom w:val="nil"/>
              <w:right w:val="nil"/>
            </w:tcBorders>
          </w:tcPr>
          <w:p w:rsidR="00036227" w:rsidRDefault="00817BD8">
            <w:pPr>
              <w:pStyle w:val="BodyRuller"/>
            </w:pPr>
            <w:r>
              <w:rPr>
                <w:rtl/>
              </w:rPr>
              <w:t>בשם המשיב:</w:t>
            </w:r>
          </w:p>
        </w:tc>
        <w:tc>
          <w:tcPr>
            <w:tcW w:w="5243" w:type="dxa"/>
            <w:gridSpan w:val="2"/>
            <w:tcBorders>
              <w:top w:val="nil"/>
              <w:left w:val="nil"/>
              <w:bottom w:val="nil"/>
              <w:right w:val="nil"/>
            </w:tcBorders>
          </w:tcPr>
          <w:p w:rsidR="00036227" w:rsidRDefault="00817BD8" w:rsidP="009C7F90">
            <w:pPr>
              <w:pStyle w:val="BodyRuller"/>
            </w:pPr>
            <w:r>
              <w:rPr>
                <w:rtl/>
              </w:rPr>
              <w:t xml:space="preserve">עו"ד </w:t>
            </w:r>
            <w:r w:rsidR="009C7F90">
              <w:rPr>
                <w:rFonts w:hint="cs"/>
                <w:rtl/>
              </w:rPr>
              <w:t xml:space="preserve">חן </w:t>
            </w:r>
            <w:proofErr w:type="spellStart"/>
            <w:r w:rsidR="009C7F90">
              <w:rPr>
                <w:rFonts w:hint="cs"/>
                <w:rtl/>
              </w:rPr>
              <w:t>אבידוב</w:t>
            </w:r>
            <w:proofErr w:type="spellEnd"/>
          </w:p>
        </w:tc>
      </w:tr>
    </w:tbl>
    <w:p w:rsidR="00916FF8" w:rsidRDefault="00916FF8" w:rsidP="00D05738">
      <w:pPr>
        <w:tabs>
          <w:tab w:val="left" w:pos="2552"/>
        </w:tabs>
        <w:rPr>
          <w:rtl/>
        </w:rPr>
      </w:pPr>
    </w:p>
    <w:p w:rsidR="008A7FC8" w:rsidRDefault="008A7FC8" w:rsidP="00D05738">
      <w:pPr>
        <w:tabs>
          <w:tab w:val="left" w:pos="2552"/>
        </w:tabs>
      </w:pPr>
    </w:p>
    <w:tbl>
      <w:tblPr>
        <w:bidiVisual/>
        <w:tblW w:w="8363" w:type="dxa"/>
        <w:tblLook w:val="0000" w:firstRow="0" w:lastRow="0" w:firstColumn="0" w:lastColumn="0" w:noHBand="0" w:noVBand="0"/>
      </w:tblPr>
      <w:tblGrid>
        <w:gridCol w:w="8363"/>
      </w:tblGrid>
      <w:tr w:rsidR="00036227" w:rsidTr="00D00B1D">
        <w:tc>
          <w:tcPr>
            <w:tcW w:w="9837" w:type="dxa"/>
          </w:tcPr>
          <w:p w:rsidR="00916FF8" w:rsidRDefault="00817BD8">
            <w:pPr>
              <w:pStyle w:val="DocumentHead"/>
            </w:pPr>
            <w:bookmarkStart w:id="1" w:name="secretary"/>
            <w:bookmarkStart w:id="2" w:name="BeginProtocol"/>
            <w:bookmarkEnd w:id="1"/>
            <w:bookmarkEnd w:id="2"/>
            <w:r>
              <w:rPr>
                <w:rtl/>
              </w:rPr>
              <w:t>פסק-דין</w:t>
            </w:r>
          </w:p>
        </w:tc>
      </w:tr>
    </w:tbl>
    <w:p w:rsidR="0065522F" w:rsidRPr="00D05738" w:rsidRDefault="0065522F" w:rsidP="00D05738">
      <w:pPr>
        <w:pStyle w:val="BODYVERDICT"/>
        <w:rPr>
          <w:sz w:val="10"/>
          <w:szCs w:val="16"/>
          <w:rtl/>
        </w:rPr>
      </w:pPr>
    </w:p>
    <w:p w:rsidR="00D05738" w:rsidRDefault="00D05738">
      <w:pPr>
        <w:pStyle w:val="BODYVERDICT"/>
      </w:pPr>
    </w:p>
    <w:p w:rsidR="00916FF8" w:rsidRPr="00503A3E" w:rsidRDefault="00817BD8">
      <w:pPr>
        <w:pStyle w:val="BODYVERDICT"/>
        <w:rPr>
          <w:rFonts w:cs="Miriam"/>
          <w:sz w:val="24"/>
          <w:szCs w:val="24"/>
          <w:u w:val="single"/>
          <w:rtl/>
        </w:rPr>
      </w:pPr>
      <w:bookmarkStart w:id="3" w:name="Writer_Name"/>
      <w:bookmarkEnd w:id="3"/>
      <w:r>
        <w:rPr>
          <w:rFonts w:cs="Miriam"/>
          <w:sz w:val="24"/>
          <w:szCs w:val="24"/>
          <w:u w:val="single"/>
          <w:rtl/>
        </w:rPr>
        <w:t>השופטת ע' ברון</w:t>
      </w:r>
      <w:r w:rsidRPr="00554C85">
        <w:rPr>
          <w:rFonts w:cs="Miriam"/>
          <w:sz w:val="24"/>
          <w:szCs w:val="24"/>
          <w:rtl/>
        </w:rPr>
        <w:t>:</w:t>
      </w:r>
    </w:p>
    <w:p w:rsidR="000B1478" w:rsidRDefault="000B1478" w:rsidP="00A51FAE">
      <w:pPr>
        <w:pStyle w:val="Ruller41"/>
        <w:rPr>
          <w:rFonts w:hint="cs"/>
          <w:rtl/>
        </w:rPr>
      </w:pPr>
      <w:bookmarkStart w:id="4" w:name="Start_Write"/>
      <w:bookmarkEnd w:id="4"/>
    </w:p>
    <w:p w:rsidR="007D6167" w:rsidRDefault="007D6167" w:rsidP="00FD713A">
      <w:pPr>
        <w:pStyle w:val="Ruller4"/>
        <w:rPr>
          <w:rtl/>
        </w:rPr>
      </w:pPr>
      <w:r>
        <w:rPr>
          <w:rFonts w:hint="cs"/>
          <w:rtl/>
        </w:rPr>
        <w:t xml:space="preserve">זהו ערעור על פסק דינו של בית המשפט המחוזי בבאר שבע מיום 4.4.2021 (השופטת </w:t>
      </w:r>
      <w:r w:rsidRPr="008B44C2">
        <w:rPr>
          <w:rFonts w:ascii="Century" w:hAnsi="Century" w:cs="Miriam" w:hint="cs"/>
          <w:b/>
          <w:spacing w:val="0"/>
          <w:sz w:val="22"/>
          <w:szCs w:val="24"/>
          <w:rtl/>
        </w:rPr>
        <w:t>י' ייטב</w:t>
      </w:r>
      <w:r>
        <w:rPr>
          <w:rFonts w:hint="cs"/>
          <w:rtl/>
        </w:rPr>
        <w:t xml:space="preserve">) ב-ע"מ 54050-01-18. בפסק הדין נדחה ערעור מס שהגישה המערערת, יינות ביתן בע"מ, על שומת מס הכנסה שנקבעה לה </w:t>
      </w:r>
      <w:r w:rsidR="00571382">
        <w:rPr>
          <w:rFonts w:ascii="FrankRuehl" w:hAnsi="FrankRuehl" w:hint="cs"/>
          <w:sz w:val="28"/>
          <w:rtl/>
        </w:rPr>
        <w:t xml:space="preserve">על ידי המשיב (להלן: </w:t>
      </w:r>
      <w:r w:rsidR="00571382" w:rsidRPr="00571382">
        <w:rPr>
          <w:rFonts w:ascii="Century" w:hAnsi="Century" w:cs="Miriam" w:hint="cs"/>
          <w:b/>
          <w:spacing w:val="0"/>
          <w:sz w:val="22"/>
          <w:szCs w:val="24"/>
          <w:rtl/>
        </w:rPr>
        <w:t>פקיד השומה</w:t>
      </w:r>
      <w:r w:rsidR="00571382">
        <w:rPr>
          <w:rFonts w:ascii="FrankRuehl" w:hAnsi="FrankRuehl" w:hint="cs"/>
          <w:sz w:val="28"/>
          <w:rtl/>
        </w:rPr>
        <w:t>)</w:t>
      </w:r>
      <w:r w:rsidR="00622A59">
        <w:rPr>
          <w:rFonts w:ascii="FrankRuehl" w:hAnsi="FrankRuehl" w:hint="cs"/>
          <w:sz w:val="28"/>
          <w:rtl/>
        </w:rPr>
        <w:t xml:space="preserve"> </w:t>
      </w:r>
      <w:r w:rsidR="00571382">
        <w:rPr>
          <w:rFonts w:ascii="FrankRuehl" w:hAnsi="FrankRuehl" w:hint="cs"/>
          <w:sz w:val="28"/>
          <w:rtl/>
        </w:rPr>
        <w:t xml:space="preserve">לשנים 2013 ו-2014. </w:t>
      </w:r>
      <w:r>
        <w:rPr>
          <w:rFonts w:hint="cs"/>
          <w:rtl/>
        </w:rPr>
        <w:t xml:space="preserve">לצד זאת נקבע בפסק הדין כי </w:t>
      </w:r>
      <w:r w:rsidR="00622A59">
        <w:rPr>
          <w:rFonts w:hint="cs"/>
          <w:rtl/>
        </w:rPr>
        <w:t xml:space="preserve">יוטל על </w:t>
      </w:r>
      <w:r w:rsidR="00571382">
        <w:rPr>
          <w:rFonts w:hint="cs"/>
          <w:rtl/>
        </w:rPr>
        <w:t xml:space="preserve">המערערת קנס גירעון בגין </w:t>
      </w:r>
      <w:r w:rsidR="00721A82">
        <w:rPr>
          <w:rFonts w:hint="cs"/>
          <w:rtl/>
        </w:rPr>
        <w:t>הדיווח שהגישה ב</w:t>
      </w:r>
      <w:r w:rsidR="00571382">
        <w:rPr>
          <w:rFonts w:hint="cs"/>
          <w:rtl/>
        </w:rPr>
        <w:t>שנת 2014, ו</w:t>
      </w:r>
      <w:r w:rsidR="00622A59">
        <w:rPr>
          <w:rFonts w:hint="cs"/>
          <w:rtl/>
        </w:rPr>
        <w:t xml:space="preserve">כי היא </w:t>
      </w:r>
      <w:r w:rsidR="00571382">
        <w:rPr>
          <w:rFonts w:hint="cs"/>
          <w:rtl/>
        </w:rPr>
        <w:t xml:space="preserve">תישא בהוצאות פקיד השומה בסך של 250,000 ש"ח. </w:t>
      </w:r>
      <w:r w:rsidR="00047355">
        <w:rPr>
          <w:rFonts w:hint="cs"/>
          <w:rtl/>
        </w:rPr>
        <w:t>עניינ</w:t>
      </w:r>
      <w:r w:rsidR="00622A59">
        <w:rPr>
          <w:rFonts w:hint="cs"/>
          <w:rtl/>
        </w:rPr>
        <w:t>ו של הערעור</w:t>
      </w:r>
      <w:r w:rsidR="00047355">
        <w:rPr>
          <w:rFonts w:hint="cs"/>
          <w:rtl/>
        </w:rPr>
        <w:t xml:space="preserve"> דנן</w:t>
      </w:r>
      <w:r w:rsidR="00622A59">
        <w:rPr>
          <w:rFonts w:hint="cs"/>
          <w:rtl/>
        </w:rPr>
        <w:t xml:space="preserve"> הוא בסוגיית קנס הגירעון וההוצאות בלבד.</w:t>
      </w:r>
    </w:p>
    <w:p w:rsidR="00D05738" w:rsidRPr="00D05738" w:rsidRDefault="00D05738" w:rsidP="00D05738">
      <w:pPr>
        <w:pStyle w:val="Ruller41"/>
        <w:rPr>
          <w:rtl/>
        </w:rPr>
      </w:pPr>
    </w:p>
    <w:p w:rsidR="007D6167" w:rsidRPr="00436584" w:rsidRDefault="007D6167" w:rsidP="007D6167">
      <w:pPr>
        <w:pStyle w:val="Ruller41"/>
        <w:rPr>
          <w:rFonts w:ascii="Century" w:hAnsi="Century" w:cs="Miriam"/>
          <w:b/>
          <w:spacing w:val="0"/>
          <w:szCs w:val="24"/>
          <w:rtl/>
        </w:rPr>
      </w:pPr>
      <w:r w:rsidRPr="00436584">
        <w:rPr>
          <w:rFonts w:ascii="Century" w:hAnsi="Century" w:cs="Miriam" w:hint="cs"/>
          <w:b/>
          <w:spacing w:val="0"/>
          <w:szCs w:val="24"/>
          <w:rtl/>
        </w:rPr>
        <w:t>רקע דרוש לעניין</w:t>
      </w:r>
    </w:p>
    <w:p w:rsidR="007D6167" w:rsidRPr="00436584" w:rsidRDefault="007D6167" w:rsidP="007D6167">
      <w:pPr>
        <w:pStyle w:val="Ruller41"/>
        <w:spacing w:line="240" w:lineRule="auto"/>
        <w:rPr>
          <w:rFonts w:ascii="Century" w:hAnsi="Century" w:cs="Miriam"/>
          <w:b/>
          <w:spacing w:val="0"/>
          <w:szCs w:val="24"/>
          <w:rtl/>
        </w:rPr>
      </w:pPr>
    </w:p>
    <w:p w:rsidR="007D6167" w:rsidRDefault="007D6167" w:rsidP="00160365">
      <w:pPr>
        <w:pStyle w:val="Ruller4"/>
        <w:rPr>
          <w:rtl/>
        </w:rPr>
      </w:pPr>
      <w:r>
        <w:rPr>
          <w:rFonts w:hint="cs"/>
          <w:rtl/>
        </w:rPr>
        <w:t xml:space="preserve">המערערת היא חברה פרטית שהחלה את פעילותה בשנת 1995, ועיסוקה העיקרי הוא בהפעלת רשת מרכולים גדולה שסניפיה פרושים ברחבי הארץ. בשלהי שנת 2012 ביקשה המערערת להרחיב את פעילותה, ולצורך </w:t>
      </w:r>
      <w:r w:rsidR="00160365">
        <w:rPr>
          <w:rFonts w:hint="cs"/>
          <w:rtl/>
        </w:rPr>
        <w:t>זה</w:t>
      </w:r>
      <w:r>
        <w:rPr>
          <w:rFonts w:hint="cs"/>
          <w:rtl/>
        </w:rPr>
        <w:t xml:space="preserve"> התקשרה בהסכם לביצוע עסקה לרכישת מלוא המניות של חברה קמעונאית גדולה אחרת </w:t>
      </w:r>
      <w:r>
        <w:rPr>
          <w:rtl/>
        </w:rPr>
        <w:t>–</w:t>
      </w:r>
      <w:r>
        <w:rPr>
          <w:rFonts w:hint="cs"/>
          <w:rtl/>
        </w:rPr>
        <w:t xml:space="preserve"> חברת </w:t>
      </w:r>
      <w:proofErr w:type="spellStart"/>
      <w:r>
        <w:rPr>
          <w:rFonts w:hint="cs"/>
          <w:rtl/>
        </w:rPr>
        <w:t>ע.ר</w:t>
      </w:r>
      <w:proofErr w:type="spellEnd"/>
      <w:r w:rsidR="0074027C">
        <w:rPr>
          <w:rFonts w:hint="cs"/>
          <w:rtl/>
        </w:rPr>
        <w:t>.</w:t>
      </w:r>
      <w:r>
        <w:rPr>
          <w:rFonts w:hint="cs"/>
          <w:rtl/>
        </w:rPr>
        <w:t xml:space="preserve"> צים </w:t>
      </w:r>
      <w:r w:rsidR="00F618D0">
        <w:rPr>
          <w:rFonts w:hint="cs"/>
          <w:rtl/>
        </w:rPr>
        <w:t xml:space="preserve">שיווק ישיר </w:t>
      </w:r>
      <w:r>
        <w:rPr>
          <w:rFonts w:hint="cs"/>
          <w:rtl/>
        </w:rPr>
        <w:lastRenderedPageBreak/>
        <w:t xml:space="preserve">בע"מ </w:t>
      </w:r>
      <w:r>
        <w:rPr>
          <w:rtl/>
        </w:rPr>
        <w:t>–</w:t>
      </w:r>
      <w:r>
        <w:rPr>
          <w:rFonts w:hint="cs"/>
          <w:rtl/>
        </w:rPr>
        <w:t xml:space="preserve"> חברה ציבורית שנסחרה בבורסה בתל אביב והפעילה את רשת המרכולים "כמעט חינם" (להלן: </w:t>
      </w:r>
      <w:r w:rsidRPr="00EB214D">
        <w:rPr>
          <w:rFonts w:ascii="Century" w:hAnsi="Century" w:cs="Miriam" w:hint="cs"/>
          <w:b/>
          <w:spacing w:val="0"/>
          <w:sz w:val="22"/>
          <w:szCs w:val="24"/>
          <w:rtl/>
        </w:rPr>
        <w:t>ההסכ</w:t>
      </w:r>
      <w:r>
        <w:rPr>
          <w:rFonts w:ascii="Century" w:hAnsi="Century" w:cs="Miriam" w:hint="cs"/>
          <w:b/>
          <w:spacing w:val="0"/>
          <w:sz w:val="22"/>
          <w:szCs w:val="24"/>
          <w:rtl/>
        </w:rPr>
        <w:t>ם</w:t>
      </w:r>
      <w:r w:rsidRPr="00EB214D">
        <w:rPr>
          <w:rFonts w:ascii="Century" w:hAnsi="Century" w:hint="cs"/>
          <w:sz w:val="22"/>
          <w:rtl/>
        </w:rPr>
        <w:t>,</w:t>
      </w:r>
      <w:r>
        <w:rPr>
          <w:rFonts w:ascii="Century" w:hAnsi="Century" w:cs="Miriam" w:hint="cs"/>
          <w:b/>
          <w:spacing w:val="0"/>
          <w:sz w:val="22"/>
          <w:szCs w:val="24"/>
          <w:rtl/>
        </w:rPr>
        <w:t xml:space="preserve"> </w:t>
      </w:r>
      <w:r w:rsidRPr="00AF4A9F">
        <w:rPr>
          <w:rFonts w:ascii="Century" w:hAnsi="Century" w:cs="Miriam" w:hint="cs"/>
          <w:b/>
          <w:spacing w:val="0"/>
          <w:sz w:val="22"/>
          <w:szCs w:val="24"/>
          <w:rtl/>
        </w:rPr>
        <w:t>העסקה</w:t>
      </w:r>
      <w:r>
        <w:rPr>
          <w:rFonts w:hint="cs"/>
          <w:rtl/>
        </w:rPr>
        <w:t xml:space="preserve"> </w:t>
      </w:r>
      <w:r w:rsidRPr="00FC6EE4">
        <w:rPr>
          <w:rFonts w:ascii="Century" w:hAnsi="Century" w:cs="Miriam" w:hint="cs"/>
          <w:b/>
          <w:spacing w:val="0"/>
          <w:sz w:val="22"/>
          <w:szCs w:val="24"/>
          <w:rtl/>
        </w:rPr>
        <w:t>לרכישת כמעט חינם</w:t>
      </w:r>
      <w:r w:rsidRPr="00FC6EE4">
        <w:rPr>
          <w:rFonts w:hint="cs"/>
          <w:rtl/>
        </w:rPr>
        <w:t xml:space="preserve"> </w:t>
      </w:r>
      <w:r>
        <w:rPr>
          <w:rFonts w:hint="cs"/>
          <w:rtl/>
        </w:rPr>
        <w:t xml:space="preserve">או </w:t>
      </w:r>
      <w:r w:rsidRPr="00FC6EE4">
        <w:rPr>
          <w:rFonts w:ascii="Century" w:hAnsi="Century" w:cs="Miriam" w:hint="cs"/>
          <w:b/>
          <w:spacing w:val="0"/>
          <w:sz w:val="22"/>
          <w:szCs w:val="24"/>
          <w:rtl/>
        </w:rPr>
        <w:t>העסקה</w:t>
      </w:r>
      <w:r w:rsidRPr="00FC6EE4">
        <w:rPr>
          <w:rFonts w:hint="cs"/>
          <w:rtl/>
        </w:rPr>
        <w:t xml:space="preserve"> </w:t>
      </w:r>
      <w:r>
        <w:rPr>
          <w:rFonts w:hint="cs"/>
          <w:rtl/>
        </w:rPr>
        <w:t>ו-</w:t>
      </w:r>
      <w:r>
        <w:rPr>
          <w:rFonts w:ascii="Century" w:hAnsi="Century" w:cs="Miriam" w:hint="cs"/>
          <w:b/>
          <w:spacing w:val="0"/>
          <w:sz w:val="22"/>
          <w:szCs w:val="24"/>
          <w:rtl/>
        </w:rPr>
        <w:t>כמעט חינם</w:t>
      </w:r>
      <w:r w:rsidRPr="00AF4A9F">
        <w:rPr>
          <w:rFonts w:ascii="Century" w:hAnsi="Century" w:hint="cs"/>
          <w:sz w:val="22"/>
          <w:rtl/>
        </w:rPr>
        <w:t>, בהתאמה</w:t>
      </w:r>
      <w:r>
        <w:rPr>
          <w:rFonts w:hint="cs"/>
          <w:rtl/>
        </w:rPr>
        <w:t>).</w:t>
      </w:r>
    </w:p>
    <w:p w:rsidR="007D6167" w:rsidRPr="00EB214D" w:rsidRDefault="007D6167" w:rsidP="00D05738">
      <w:pPr>
        <w:pStyle w:val="Ruller41"/>
        <w:spacing w:line="240" w:lineRule="auto"/>
        <w:rPr>
          <w:rtl/>
        </w:rPr>
      </w:pPr>
    </w:p>
    <w:p w:rsidR="007D6167" w:rsidRDefault="007D6167" w:rsidP="007D6167">
      <w:pPr>
        <w:pStyle w:val="Ruller4"/>
        <w:numPr>
          <w:ilvl w:val="0"/>
          <w:numId w:val="0"/>
        </w:numPr>
        <w:rPr>
          <w:rtl/>
        </w:rPr>
      </w:pPr>
      <w:r>
        <w:rPr>
          <w:rtl/>
        </w:rPr>
        <w:tab/>
      </w:r>
      <w:r>
        <w:rPr>
          <w:rFonts w:hint="cs"/>
          <w:rtl/>
        </w:rPr>
        <w:t xml:space="preserve">בהסכם נקבע כי רכישת כמעט חינם על ידי המערערת תתבצע על דרך של מיזוג משולש הופכי </w:t>
      </w:r>
      <w:r>
        <w:rPr>
          <w:rtl/>
        </w:rPr>
        <w:t>–</w:t>
      </w:r>
      <w:r>
        <w:rPr>
          <w:rFonts w:hint="cs"/>
          <w:rtl/>
        </w:rPr>
        <w:t xml:space="preserve"> המערערת תקים "חברת יעד", שהיא חברת בת ייעודית בבעלותה המלאה, וזו תתמזג בשלמותה אל תוך כמעט חינם ותחוסל מיד לאחר </w:t>
      </w:r>
      <w:r w:rsidRPr="00353B17">
        <w:rPr>
          <w:rFonts w:ascii="FrankRuehl" w:hAnsi="FrankRuehl"/>
          <w:sz w:val="28"/>
          <w:rtl/>
        </w:rPr>
        <w:t>מכן</w:t>
      </w:r>
      <w:r w:rsidRPr="00353B17">
        <w:rPr>
          <w:rFonts w:ascii="FrankRuehl" w:hAnsi="FrankRuehl"/>
          <w:sz w:val="28"/>
        </w:rPr>
        <w:t>;</w:t>
      </w:r>
      <w:r w:rsidRPr="00353B17">
        <w:rPr>
          <w:rFonts w:ascii="FrankRuehl" w:hAnsi="FrankRuehl"/>
          <w:sz w:val="28"/>
          <w:rtl/>
        </w:rPr>
        <w:t xml:space="preserve"> כך </w:t>
      </w:r>
      <w:r>
        <w:rPr>
          <w:rFonts w:ascii="FrankRuehl" w:hAnsi="FrankRuehl" w:hint="cs"/>
          <w:sz w:val="28"/>
          <w:rtl/>
        </w:rPr>
        <w:t xml:space="preserve">שהמערערת </w:t>
      </w:r>
      <w:r>
        <w:rPr>
          <w:rFonts w:hint="cs"/>
          <w:rtl/>
        </w:rPr>
        <w:t xml:space="preserve">תיוותר בעלת 100% ממניות כמעט חינם, שתימחק מהמסחר ותהפוך לחברה פרטית. לעניין התמורה שתשולם לבעלי המניות של כמעט חינם נקבע בהסכם כי זו תעמוד על סך של 350 מיליון ש"ח, בניכוי הדיבידנד שישולם לבעלי מניות כמעט חינם בראשית שנת 2013 (להלן: </w:t>
      </w:r>
      <w:r w:rsidRPr="00BC1F7A">
        <w:rPr>
          <w:rFonts w:ascii="Century" w:hAnsi="Century" w:cs="Miriam" w:hint="cs"/>
          <w:b/>
          <w:spacing w:val="0"/>
          <w:sz w:val="22"/>
          <w:szCs w:val="24"/>
          <w:rtl/>
        </w:rPr>
        <w:t>הדיבידנד</w:t>
      </w:r>
      <w:r>
        <w:rPr>
          <w:rFonts w:hint="cs"/>
          <w:rtl/>
        </w:rPr>
        <w:t>). עוד נקבע כי ביצוע העסקה יהיה כפוף לקבלת אישור מתאים מ</w:t>
      </w:r>
      <w:r w:rsidR="00B87AE0">
        <w:rPr>
          <w:rFonts w:hint="cs"/>
          <w:rtl/>
        </w:rPr>
        <w:t xml:space="preserve">את הממונה על התחרות (הממונה על הגבלים </w:t>
      </w:r>
      <w:r>
        <w:rPr>
          <w:rFonts w:hint="cs"/>
          <w:rtl/>
        </w:rPr>
        <w:t>עסקיים דאז).</w:t>
      </w:r>
    </w:p>
    <w:p w:rsidR="007D6167" w:rsidRDefault="007D6167" w:rsidP="00D05738">
      <w:pPr>
        <w:pStyle w:val="Ruller41"/>
        <w:spacing w:line="240" w:lineRule="auto"/>
        <w:rPr>
          <w:rtl/>
        </w:rPr>
      </w:pPr>
    </w:p>
    <w:p w:rsidR="007D6167" w:rsidRDefault="007D6167" w:rsidP="000F7785">
      <w:pPr>
        <w:pStyle w:val="Ruller41"/>
        <w:rPr>
          <w:rtl/>
        </w:rPr>
      </w:pPr>
      <w:r>
        <w:rPr>
          <w:rtl/>
        </w:rPr>
        <w:tab/>
      </w:r>
      <w:r>
        <w:rPr>
          <w:rFonts w:hint="cs"/>
          <w:rtl/>
        </w:rPr>
        <w:t xml:space="preserve">תנאי ההסכם התמלאו בראשית שנת 2013, שאז העסקה יצאה אל הפועל והושלמה. סך הדיבידנד שחולק לבעלי המניות של כמעט חינם עמד על 83.1 מיליון ש"ח, והסכום שנותר למערערת לשלם להם בגין מניותיהם היה 266.9 מיליון ש"ח. ביום 9.1.2013 התקבל אישור מאת הממונה על התחרות לביצוע </w:t>
      </w:r>
      <w:r w:rsidRPr="00435200">
        <w:rPr>
          <w:rFonts w:ascii="FrankRuehl" w:hAnsi="FrankRuehl"/>
          <w:sz w:val="28"/>
          <w:rtl/>
        </w:rPr>
        <w:t>העסקה</w:t>
      </w:r>
      <w:r w:rsidRPr="00435200">
        <w:rPr>
          <w:rFonts w:ascii="FrankRuehl" w:hAnsi="FrankRuehl"/>
          <w:sz w:val="28"/>
        </w:rPr>
        <w:t>;</w:t>
      </w:r>
      <w:r w:rsidRPr="00435200">
        <w:rPr>
          <w:rFonts w:ascii="FrankRuehl" w:hAnsi="FrankRuehl"/>
          <w:sz w:val="28"/>
          <w:rtl/>
        </w:rPr>
        <w:t xml:space="preserve"> וביום</w:t>
      </w:r>
      <w:r>
        <w:rPr>
          <w:rFonts w:hint="cs"/>
          <w:rtl/>
        </w:rPr>
        <w:t xml:space="preserve"> 4.2.2013 הגיעה העסקה לסיומה כאשר התמורה הועברה לידי בעלי המניות של כמעט חינם, שנמחקה מן המסחר בבורסה והמערערת נרשמה כבעלת מלוא מניותיה. יבואר כי בסכום המלא ששולם היו מגולמות גם עלויות עסקה שונות, כך שלגרסת המערערת התשלום שהעבירה בפועל לבעלי מניות כמעט חינם היה מעט נמוך יותר ועמד על סך של 263.6 מיליון ש"ח (להלן: </w:t>
      </w:r>
      <w:r w:rsidR="000F7785">
        <w:rPr>
          <w:rFonts w:ascii="Century" w:hAnsi="Century" w:cs="Miriam" w:hint="cs"/>
          <w:b/>
          <w:spacing w:val="0"/>
          <w:szCs w:val="24"/>
          <w:rtl/>
        </w:rPr>
        <w:t xml:space="preserve">התשלום לבעלי </w:t>
      </w:r>
      <w:r>
        <w:rPr>
          <w:rFonts w:ascii="Century" w:hAnsi="Century" w:cs="Miriam" w:hint="cs"/>
          <w:b/>
          <w:spacing w:val="0"/>
          <w:szCs w:val="24"/>
          <w:rtl/>
        </w:rPr>
        <w:t>מניות</w:t>
      </w:r>
      <w:r>
        <w:rPr>
          <w:rFonts w:hint="cs"/>
          <w:rtl/>
        </w:rPr>
        <w:t xml:space="preserve"> </w:t>
      </w:r>
      <w:r>
        <w:rPr>
          <w:rFonts w:ascii="Century" w:hAnsi="Century" w:cs="Miriam" w:hint="cs"/>
          <w:b/>
          <w:spacing w:val="0"/>
          <w:szCs w:val="24"/>
          <w:rtl/>
        </w:rPr>
        <w:t>כמעט חינם</w:t>
      </w:r>
      <w:r w:rsidRPr="00B9460E">
        <w:rPr>
          <w:rFonts w:ascii="Century" w:hAnsi="Century" w:hint="cs"/>
          <w:rtl/>
        </w:rPr>
        <w:t>).</w:t>
      </w:r>
    </w:p>
    <w:p w:rsidR="007D6167" w:rsidRDefault="007D6167" w:rsidP="007D6167">
      <w:pPr>
        <w:pStyle w:val="Ruller41"/>
        <w:rPr>
          <w:rtl/>
        </w:rPr>
      </w:pPr>
    </w:p>
    <w:p w:rsidR="007D6167" w:rsidRPr="00315DBF" w:rsidRDefault="007D6167" w:rsidP="00DC65FE">
      <w:pPr>
        <w:pStyle w:val="Ruller4"/>
        <w:rPr>
          <w:rtl/>
        </w:rPr>
      </w:pPr>
      <w:r>
        <w:rPr>
          <w:rFonts w:hint="cs"/>
          <w:rtl/>
        </w:rPr>
        <w:t xml:space="preserve">לאחר שהושלמה, המערערת רשמה את העסקה לרכישת כמעט חינם בדוחותיה הכספיים לשנים 2013 ו-2014 (להלן: </w:t>
      </w:r>
      <w:r w:rsidRPr="00A115B1">
        <w:rPr>
          <w:rFonts w:ascii="Century" w:hAnsi="Century" w:cs="Miriam" w:hint="cs"/>
          <w:b/>
          <w:spacing w:val="0"/>
          <w:sz w:val="22"/>
          <w:szCs w:val="24"/>
          <w:rtl/>
        </w:rPr>
        <w:t>הדוחות הכספיים</w:t>
      </w:r>
      <w:r w:rsidR="00E240E6">
        <w:rPr>
          <w:rFonts w:hint="cs"/>
          <w:rtl/>
        </w:rPr>
        <w:t>)</w:t>
      </w:r>
      <w:r w:rsidR="00E240E6" w:rsidRPr="00E240E6">
        <w:rPr>
          <w:rFonts w:ascii="FrankRuehl" w:hAnsi="FrankRuehl"/>
          <w:sz w:val="28"/>
        </w:rPr>
        <w:t>;</w:t>
      </w:r>
      <w:r>
        <w:rPr>
          <w:rFonts w:hint="cs"/>
          <w:rtl/>
        </w:rPr>
        <w:t xml:space="preserve"> </w:t>
      </w:r>
      <w:r w:rsidR="00E240E6">
        <w:rPr>
          <w:rFonts w:hint="cs"/>
          <w:rtl/>
        </w:rPr>
        <w:t>ואלה</w:t>
      </w:r>
      <w:r>
        <w:rPr>
          <w:rFonts w:hint="cs"/>
          <w:rtl/>
        </w:rPr>
        <w:t xml:space="preserve"> הוגשו </w:t>
      </w:r>
      <w:r w:rsidR="00E16DFE">
        <w:rPr>
          <w:rFonts w:hint="cs"/>
          <w:rtl/>
        </w:rPr>
        <w:t xml:space="preserve">למשיב, פקיד </w:t>
      </w:r>
      <w:r>
        <w:rPr>
          <w:rFonts w:hint="cs"/>
          <w:rtl/>
        </w:rPr>
        <w:t xml:space="preserve">שומה אשקלון (להלן: </w:t>
      </w:r>
      <w:r w:rsidRPr="00267E45">
        <w:rPr>
          <w:rFonts w:ascii="Century" w:hAnsi="Century" w:cs="Miriam" w:hint="cs"/>
          <w:b/>
          <w:spacing w:val="0"/>
          <w:sz w:val="22"/>
          <w:szCs w:val="24"/>
          <w:rtl/>
        </w:rPr>
        <w:t>פקיד השומה</w:t>
      </w:r>
      <w:r>
        <w:rPr>
          <w:rFonts w:hint="cs"/>
          <w:rtl/>
        </w:rPr>
        <w:t xml:space="preserve">), לצורך דיווח על הכנסתה החייבת של המערערת לשנים אלה. מאופן הרישום בדוחות הכספיים עלה כי המערערת רכשה נכס נוסף במסגרת העסקה מלבד מניותיה של כמעט חינם, שלו ייחסה המערערת </w:t>
      </w:r>
      <w:r w:rsidR="00E80795">
        <w:rPr>
          <w:rFonts w:hint="cs"/>
          <w:rtl/>
        </w:rPr>
        <w:t>שווי</w:t>
      </w:r>
      <w:r>
        <w:rPr>
          <w:rFonts w:hint="cs"/>
          <w:rtl/>
        </w:rPr>
        <w:t xml:space="preserve"> של 110.2 מיליון ש"ח מתוך </w:t>
      </w:r>
      <w:r w:rsidR="000F7785">
        <w:rPr>
          <w:rFonts w:hint="cs"/>
          <w:rtl/>
        </w:rPr>
        <w:t>התשלום</w:t>
      </w:r>
      <w:r w:rsidR="00DC65FE">
        <w:rPr>
          <w:rFonts w:hint="cs"/>
          <w:rtl/>
        </w:rPr>
        <w:t xml:space="preserve"> לבעלי מניות כמעט חינם. </w:t>
      </w:r>
      <w:r>
        <w:rPr>
          <w:rFonts w:hint="cs"/>
          <w:rtl/>
        </w:rPr>
        <w:t xml:space="preserve">נכס זה </w:t>
      </w:r>
      <w:r w:rsidR="00DC65FE">
        <w:rPr>
          <w:rFonts w:hint="cs"/>
          <w:rtl/>
        </w:rPr>
        <w:t>כינתה</w:t>
      </w:r>
      <w:r>
        <w:rPr>
          <w:rFonts w:hint="cs"/>
          <w:rtl/>
        </w:rPr>
        <w:t xml:space="preserve"> המערערת "זכות למענק ספקים", והדברים נרשמו כדלקמן: </w:t>
      </w:r>
    </w:p>
    <w:p w:rsidR="007D6167" w:rsidRPr="008A7FC8" w:rsidRDefault="007D6167" w:rsidP="007D6167">
      <w:pPr>
        <w:pStyle w:val="Ruller41"/>
        <w:rPr>
          <w:sz w:val="16"/>
          <w:szCs w:val="20"/>
          <w:rtl/>
        </w:rPr>
      </w:pPr>
    </w:p>
    <w:tbl>
      <w:tblPr>
        <w:tblStyle w:val="a6"/>
        <w:bidiVisual/>
        <w:tblW w:w="0" w:type="auto"/>
        <w:tblLook w:val="04A0" w:firstRow="1" w:lastRow="0" w:firstColumn="1" w:lastColumn="0" w:noHBand="0" w:noVBand="1"/>
      </w:tblPr>
      <w:tblGrid>
        <w:gridCol w:w="4148"/>
        <w:gridCol w:w="4148"/>
      </w:tblGrid>
      <w:tr w:rsidR="007D6167" w:rsidTr="00D67209">
        <w:tc>
          <w:tcPr>
            <w:tcW w:w="4148" w:type="dxa"/>
          </w:tcPr>
          <w:p w:rsidR="007D6167" w:rsidRDefault="007D6167" w:rsidP="00D67209">
            <w:pPr>
              <w:pStyle w:val="Ruller41"/>
              <w:jc w:val="center"/>
              <w:rPr>
                <w:rtl/>
              </w:rPr>
            </w:pPr>
            <w:r>
              <w:rPr>
                <w:rFonts w:hint="cs"/>
                <w:rtl/>
              </w:rPr>
              <w:t>השקעה במניות כמעט חינם</w:t>
            </w:r>
          </w:p>
        </w:tc>
        <w:tc>
          <w:tcPr>
            <w:tcW w:w="4148" w:type="dxa"/>
          </w:tcPr>
          <w:p w:rsidR="007D6167" w:rsidRDefault="007D6167" w:rsidP="00D67209">
            <w:pPr>
              <w:pStyle w:val="Ruller41"/>
              <w:jc w:val="center"/>
              <w:rPr>
                <w:rtl/>
              </w:rPr>
            </w:pPr>
            <w:r>
              <w:rPr>
                <w:rFonts w:hint="cs"/>
                <w:rtl/>
              </w:rPr>
              <w:t>153.4 מיליון ש"ח</w:t>
            </w:r>
          </w:p>
        </w:tc>
      </w:tr>
      <w:tr w:rsidR="007D6167" w:rsidTr="00D67209">
        <w:tc>
          <w:tcPr>
            <w:tcW w:w="4148" w:type="dxa"/>
          </w:tcPr>
          <w:p w:rsidR="007D6167" w:rsidRDefault="007D6167" w:rsidP="00D67209">
            <w:pPr>
              <w:pStyle w:val="Ruller41"/>
              <w:jc w:val="center"/>
              <w:rPr>
                <w:rtl/>
              </w:rPr>
            </w:pPr>
            <w:r>
              <w:rPr>
                <w:rFonts w:hint="cs"/>
                <w:rtl/>
              </w:rPr>
              <w:t>זכות למענק ספקים</w:t>
            </w:r>
          </w:p>
        </w:tc>
        <w:tc>
          <w:tcPr>
            <w:tcW w:w="4148" w:type="dxa"/>
          </w:tcPr>
          <w:p w:rsidR="007D6167" w:rsidRDefault="007D6167" w:rsidP="00D67209">
            <w:pPr>
              <w:pStyle w:val="Ruller41"/>
              <w:jc w:val="center"/>
              <w:rPr>
                <w:rtl/>
              </w:rPr>
            </w:pPr>
            <w:r>
              <w:rPr>
                <w:rFonts w:hint="cs"/>
                <w:rtl/>
              </w:rPr>
              <w:t>110.2 מיליון ש"ח</w:t>
            </w:r>
          </w:p>
        </w:tc>
      </w:tr>
      <w:tr w:rsidR="007D6167" w:rsidTr="00D67209">
        <w:tc>
          <w:tcPr>
            <w:tcW w:w="4148" w:type="dxa"/>
          </w:tcPr>
          <w:p w:rsidR="007D6167" w:rsidRDefault="007D6167" w:rsidP="00D67209">
            <w:pPr>
              <w:pStyle w:val="Ruller41"/>
              <w:jc w:val="center"/>
              <w:rPr>
                <w:rtl/>
              </w:rPr>
            </w:pPr>
            <w:r>
              <w:rPr>
                <w:rFonts w:hint="cs"/>
                <w:rtl/>
              </w:rPr>
              <w:t>סך עלות רכישת המניות</w:t>
            </w:r>
          </w:p>
        </w:tc>
        <w:tc>
          <w:tcPr>
            <w:tcW w:w="4148" w:type="dxa"/>
          </w:tcPr>
          <w:p w:rsidR="007D6167" w:rsidRDefault="007D6167" w:rsidP="00D67209">
            <w:pPr>
              <w:pStyle w:val="Ruller41"/>
              <w:jc w:val="center"/>
              <w:rPr>
                <w:rtl/>
              </w:rPr>
            </w:pPr>
            <w:r>
              <w:rPr>
                <w:rFonts w:hint="cs"/>
                <w:rtl/>
              </w:rPr>
              <w:t>263.6 מיליון ש"ח</w:t>
            </w:r>
          </w:p>
        </w:tc>
      </w:tr>
    </w:tbl>
    <w:p w:rsidR="007D6167" w:rsidRPr="00516915" w:rsidRDefault="007D6167" w:rsidP="007D6167">
      <w:pPr>
        <w:pStyle w:val="Ruller41"/>
        <w:rPr>
          <w:rtl/>
        </w:rPr>
      </w:pPr>
    </w:p>
    <w:p w:rsidR="007D6167" w:rsidRDefault="007D6167" w:rsidP="00FE4F7F">
      <w:pPr>
        <w:pStyle w:val="Ruller4"/>
        <w:numPr>
          <w:ilvl w:val="0"/>
          <w:numId w:val="0"/>
        </w:numPr>
        <w:rPr>
          <w:rtl/>
        </w:rPr>
      </w:pPr>
      <w:r>
        <w:rPr>
          <w:rFonts w:hint="cs"/>
          <w:rtl/>
        </w:rPr>
        <w:lastRenderedPageBreak/>
        <w:t xml:space="preserve"> </w:t>
      </w:r>
      <w:r>
        <w:rPr>
          <w:rtl/>
        </w:rPr>
        <w:tab/>
      </w:r>
      <w:r>
        <w:rPr>
          <w:rFonts w:hint="cs"/>
          <w:rtl/>
        </w:rPr>
        <w:t xml:space="preserve">המערערת טענה כי "זכות למענק ספקים" היא נכס הון בלתי מוחשי שמקורו בכך שעובר לעסקה התחייבו בפניה ספקים שעמם היא עובדת כי במקרה שבו תרכוש את כמעט חינם, תזכה מהם למענקים (להלן: </w:t>
      </w:r>
      <w:r w:rsidRPr="008F6654">
        <w:rPr>
          <w:rFonts w:ascii="Century" w:hAnsi="Century" w:cs="Miriam" w:hint="cs"/>
          <w:b/>
          <w:spacing w:val="0"/>
          <w:sz w:val="22"/>
          <w:szCs w:val="24"/>
          <w:rtl/>
        </w:rPr>
        <w:t>המענקים מספקים</w:t>
      </w:r>
      <w:r w:rsidRPr="008F6654">
        <w:rPr>
          <w:rFonts w:hint="cs"/>
          <w:rtl/>
        </w:rPr>
        <w:t xml:space="preserve"> </w:t>
      </w:r>
      <w:r>
        <w:rPr>
          <w:rFonts w:hint="cs"/>
          <w:rtl/>
        </w:rPr>
        <w:t xml:space="preserve">או </w:t>
      </w:r>
      <w:r w:rsidRPr="008F6654">
        <w:rPr>
          <w:rFonts w:ascii="Century" w:hAnsi="Century" w:cs="Miriam" w:hint="cs"/>
          <w:b/>
          <w:spacing w:val="0"/>
          <w:sz w:val="22"/>
          <w:szCs w:val="24"/>
          <w:rtl/>
        </w:rPr>
        <w:t>המענקים</w:t>
      </w:r>
      <w:r>
        <w:rPr>
          <w:rFonts w:hint="cs"/>
          <w:rtl/>
        </w:rPr>
        <w:t xml:space="preserve">). התחייבות זו עולה כדי זכות חוזית לקבלת המענקים בשנים שלאחר העסקה (שאת שיעורם הצפוי העריכה </w:t>
      </w:r>
      <w:r w:rsidR="00140451">
        <w:rPr>
          <w:rFonts w:hint="cs"/>
          <w:rtl/>
        </w:rPr>
        <w:t xml:space="preserve">המערערת </w:t>
      </w:r>
      <w:r>
        <w:rPr>
          <w:rFonts w:hint="cs"/>
          <w:rtl/>
        </w:rPr>
        <w:t xml:space="preserve">בסך של 110.2 מיליון ש"ח) </w:t>
      </w:r>
      <w:r>
        <w:rPr>
          <w:rtl/>
        </w:rPr>
        <w:t>–</w:t>
      </w:r>
      <w:r>
        <w:rPr>
          <w:rFonts w:hint="cs"/>
          <w:rtl/>
        </w:rPr>
        <w:t xml:space="preserve"> </w:t>
      </w:r>
      <w:r>
        <w:rPr>
          <w:rFonts w:ascii="FrankRuehl" w:hAnsi="FrankRuehl" w:hint="cs"/>
          <w:sz w:val="28"/>
          <w:rtl/>
        </w:rPr>
        <w:t>וכמו זכויות חוזיות אחרות היא מהווה</w:t>
      </w:r>
      <w:r>
        <w:rPr>
          <w:rFonts w:ascii="FrankRuehl" w:hAnsi="FrankRuehl"/>
          <w:sz w:val="28"/>
          <w:rtl/>
        </w:rPr>
        <w:t xml:space="preserve"> </w:t>
      </w:r>
      <w:r>
        <w:rPr>
          <w:rFonts w:ascii="FrankRuehl" w:hAnsi="FrankRuehl" w:hint="cs"/>
          <w:sz w:val="28"/>
          <w:rtl/>
        </w:rPr>
        <w:t>נ</w:t>
      </w:r>
      <w:r w:rsidRPr="00E574B4">
        <w:rPr>
          <w:rFonts w:ascii="FrankRuehl" w:hAnsi="FrankRuehl"/>
          <w:sz w:val="28"/>
          <w:rtl/>
        </w:rPr>
        <w:t xml:space="preserve">כס הון בלתי מוחשי, </w:t>
      </w:r>
      <w:r>
        <w:rPr>
          <w:rFonts w:ascii="FrankRuehl" w:hAnsi="FrankRuehl" w:hint="cs"/>
          <w:sz w:val="28"/>
          <w:rtl/>
        </w:rPr>
        <w:t xml:space="preserve">שאותו רכשה כחלק מן העסקה (הנכס יכונה להלן, בהתאם להקשר: </w:t>
      </w:r>
      <w:r w:rsidRPr="00004047">
        <w:rPr>
          <w:rFonts w:ascii="Century" w:hAnsi="Century" w:cs="Miriam" w:hint="cs"/>
          <w:b/>
          <w:spacing w:val="0"/>
          <w:sz w:val="22"/>
          <w:szCs w:val="24"/>
          <w:rtl/>
        </w:rPr>
        <w:t>ה</w:t>
      </w:r>
      <w:r w:rsidRPr="00002590">
        <w:rPr>
          <w:rFonts w:ascii="Century" w:hAnsi="Century" w:cs="Miriam" w:hint="cs"/>
          <w:b/>
          <w:spacing w:val="0"/>
          <w:sz w:val="22"/>
          <w:szCs w:val="24"/>
          <w:rtl/>
        </w:rPr>
        <w:t>זכות למענק ספקים</w:t>
      </w:r>
      <w:r w:rsidR="00FE4F7F">
        <w:rPr>
          <w:rFonts w:ascii="FrankRuehl" w:hAnsi="FrankRuehl" w:hint="cs"/>
          <w:sz w:val="28"/>
          <w:rtl/>
        </w:rPr>
        <w:t xml:space="preserve"> או</w:t>
      </w:r>
      <w:r>
        <w:rPr>
          <w:rFonts w:ascii="FrankRuehl" w:hAnsi="FrankRuehl" w:hint="cs"/>
          <w:sz w:val="28"/>
          <w:rtl/>
        </w:rPr>
        <w:t xml:space="preserve"> </w:t>
      </w:r>
      <w:r>
        <w:rPr>
          <w:rFonts w:ascii="Century" w:hAnsi="Century" w:cs="Miriam" w:hint="cs"/>
          <w:b/>
          <w:spacing w:val="0"/>
          <w:sz w:val="22"/>
          <w:szCs w:val="24"/>
          <w:rtl/>
        </w:rPr>
        <w:t>הנכס הבלתי מוחשי</w:t>
      </w:r>
      <w:r w:rsidRPr="00452951">
        <w:rPr>
          <w:rFonts w:ascii="Century" w:hAnsi="Century" w:hint="cs"/>
          <w:sz w:val="22"/>
          <w:rtl/>
        </w:rPr>
        <w:t>)</w:t>
      </w:r>
      <w:r>
        <w:rPr>
          <w:rFonts w:ascii="Century" w:hAnsi="Century" w:hint="cs"/>
          <w:sz w:val="22"/>
          <w:rtl/>
        </w:rPr>
        <w:t>.</w:t>
      </w:r>
    </w:p>
    <w:p w:rsidR="007D6167" w:rsidRDefault="007D6167" w:rsidP="00D05738">
      <w:pPr>
        <w:pStyle w:val="Ruller41"/>
        <w:spacing w:line="240" w:lineRule="auto"/>
        <w:rPr>
          <w:rtl/>
        </w:rPr>
      </w:pPr>
    </w:p>
    <w:p w:rsidR="007D6167" w:rsidRDefault="007D6167" w:rsidP="00FE4F7F">
      <w:pPr>
        <w:pStyle w:val="Ruller41"/>
        <w:rPr>
          <w:rtl/>
        </w:rPr>
      </w:pPr>
      <w:r>
        <w:rPr>
          <w:rtl/>
        </w:rPr>
        <w:tab/>
      </w:r>
      <w:r>
        <w:rPr>
          <w:rFonts w:hint="cs"/>
          <w:rtl/>
        </w:rPr>
        <w:t xml:space="preserve">כרקע לטענתה של </w:t>
      </w:r>
      <w:r w:rsidR="006967B2">
        <w:rPr>
          <w:rFonts w:hint="cs"/>
          <w:rtl/>
        </w:rPr>
        <w:t>המערערת</w:t>
      </w:r>
      <w:r>
        <w:rPr>
          <w:rFonts w:hint="cs"/>
          <w:rtl/>
        </w:rPr>
        <w:t xml:space="preserve"> בעניין זה, יבואר כי "מענקים" ששולמו מצד ספקים לקמעונאים היו נוהג רווח בשנים שבהן בוצעה העסקה. עם זאת, בדרך כלל לא היה מדובר במענקים של ממש, שכן הם הותנו בפעולות שונות שהקמעונאי מתחייב לבצע לטובת הספק, כגון הגדלת שיעורי מכירות והקצאת שטחי מדף בסניפים. בכל אופן, יצוין למען שלמות התמונה כי בסמוך לאחר העסקה, נא</w:t>
      </w:r>
      <w:r w:rsidR="00993C1D">
        <w:rPr>
          <w:rFonts w:hint="cs"/>
          <w:rtl/>
        </w:rPr>
        <w:t>סר הנוהג שלפיו שולמו מענקים אלה</w:t>
      </w:r>
      <w:r w:rsidR="00993C1D" w:rsidRPr="00993C1D">
        <w:rPr>
          <w:rFonts w:ascii="FrankRuehl" w:hAnsi="FrankRuehl"/>
          <w:sz w:val="28"/>
        </w:rPr>
        <w:t>;</w:t>
      </w:r>
      <w:r w:rsidRPr="00993C1D">
        <w:rPr>
          <w:rFonts w:ascii="FrankRuehl" w:hAnsi="FrankRuehl"/>
          <w:sz w:val="28"/>
          <w:rtl/>
        </w:rPr>
        <w:t xml:space="preserve"> זאת במסגרת</w:t>
      </w:r>
      <w:r>
        <w:rPr>
          <w:rFonts w:hint="cs"/>
          <w:rtl/>
        </w:rPr>
        <w:t xml:space="preserve"> </w:t>
      </w:r>
      <w:r w:rsidRPr="008F6654">
        <w:rPr>
          <w:rFonts w:hint="eastAsia"/>
          <w:rtl/>
        </w:rPr>
        <w:t>חוק</w:t>
      </w:r>
      <w:r w:rsidRPr="008F6654">
        <w:rPr>
          <w:rtl/>
        </w:rPr>
        <w:t xml:space="preserve"> </w:t>
      </w:r>
      <w:r w:rsidRPr="008F6654">
        <w:rPr>
          <w:rFonts w:hint="eastAsia"/>
          <w:rtl/>
        </w:rPr>
        <w:t>קידום</w:t>
      </w:r>
      <w:r w:rsidRPr="008F6654">
        <w:rPr>
          <w:rtl/>
        </w:rPr>
        <w:t xml:space="preserve"> </w:t>
      </w:r>
      <w:r w:rsidRPr="008F6654">
        <w:rPr>
          <w:rFonts w:hint="eastAsia"/>
          <w:rtl/>
        </w:rPr>
        <w:t>התחרות</w:t>
      </w:r>
      <w:r w:rsidRPr="008F6654">
        <w:rPr>
          <w:rtl/>
        </w:rPr>
        <w:t xml:space="preserve"> </w:t>
      </w:r>
      <w:r w:rsidRPr="008F6654">
        <w:rPr>
          <w:rFonts w:hint="eastAsia"/>
          <w:rtl/>
        </w:rPr>
        <w:t>בענף</w:t>
      </w:r>
      <w:r w:rsidRPr="008F6654">
        <w:rPr>
          <w:rtl/>
        </w:rPr>
        <w:t xml:space="preserve"> </w:t>
      </w:r>
      <w:r w:rsidRPr="008F6654">
        <w:rPr>
          <w:rFonts w:hint="eastAsia"/>
          <w:rtl/>
        </w:rPr>
        <w:t>המזון</w:t>
      </w:r>
      <w:r w:rsidRPr="008F6654">
        <w:rPr>
          <w:rtl/>
        </w:rPr>
        <w:t xml:space="preserve">, </w:t>
      </w:r>
      <w:r w:rsidRPr="008F6654">
        <w:rPr>
          <w:rFonts w:hint="eastAsia"/>
          <w:rtl/>
        </w:rPr>
        <w:t>התשע</w:t>
      </w:r>
      <w:r w:rsidRPr="008F6654">
        <w:rPr>
          <w:rtl/>
        </w:rPr>
        <w:t>"</w:t>
      </w:r>
      <w:r w:rsidRPr="008F6654">
        <w:rPr>
          <w:rFonts w:hint="eastAsia"/>
          <w:rtl/>
        </w:rPr>
        <w:t>ד</w:t>
      </w:r>
      <w:r w:rsidRPr="008F6654">
        <w:rPr>
          <w:rtl/>
        </w:rPr>
        <w:t>-2014</w:t>
      </w:r>
      <w:r>
        <w:rPr>
          <w:rFonts w:hint="cs"/>
          <w:rtl/>
        </w:rPr>
        <w:t>.</w:t>
      </w:r>
    </w:p>
    <w:p w:rsidR="007D6167" w:rsidRDefault="007D6167" w:rsidP="007D6167">
      <w:pPr>
        <w:pStyle w:val="Ruller41"/>
        <w:rPr>
          <w:rtl/>
        </w:rPr>
      </w:pPr>
    </w:p>
    <w:p w:rsidR="007D6167" w:rsidRPr="0087437D" w:rsidRDefault="007D6167" w:rsidP="00EF5DE8">
      <w:pPr>
        <w:pStyle w:val="Ruller4"/>
        <w:rPr>
          <w:rtl/>
        </w:rPr>
      </w:pPr>
      <w:r>
        <w:rPr>
          <w:rFonts w:ascii="FrankRuehl" w:hAnsi="FrankRuehl" w:hint="cs"/>
          <w:sz w:val="28"/>
          <w:rtl/>
        </w:rPr>
        <w:t xml:space="preserve">לרישומה של הזכות למענק ספקים כנכס עצמאי, בהתאם לאופן שבו היא הוגדרה על ידי המערערת, היו משמעויות מרחיקות לכת לעניין הכנסתה החייבת במס. </w:t>
      </w:r>
      <w:r w:rsidR="00C25DF5">
        <w:rPr>
          <w:rFonts w:ascii="FrankRuehl" w:hAnsi="FrankRuehl" w:hint="cs"/>
          <w:sz w:val="28"/>
          <w:rtl/>
        </w:rPr>
        <w:t xml:space="preserve">לשיטתה של המערערת, </w:t>
      </w:r>
      <w:r>
        <w:rPr>
          <w:rFonts w:ascii="FrankRuehl" w:hAnsi="FrankRuehl" w:hint="cs"/>
          <w:sz w:val="28"/>
          <w:rtl/>
        </w:rPr>
        <w:t xml:space="preserve">הזכות למענק ספקים מהווה נכס הון </w:t>
      </w:r>
      <w:r w:rsidRPr="0087437D">
        <w:rPr>
          <w:rFonts w:ascii="FrankRuehl" w:hAnsi="FrankRuehl"/>
          <w:sz w:val="28"/>
          <w:rtl/>
        </w:rPr>
        <w:t xml:space="preserve">"מניב פירות", </w:t>
      </w:r>
      <w:r>
        <w:rPr>
          <w:rFonts w:ascii="FrankRuehl" w:hAnsi="FrankRuehl" w:hint="cs"/>
          <w:sz w:val="28"/>
          <w:rtl/>
        </w:rPr>
        <w:t>שמ</w:t>
      </w:r>
      <w:r w:rsidR="00993C1D">
        <w:rPr>
          <w:rFonts w:ascii="FrankRuehl" w:hAnsi="FrankRuehl" w:hint="cs"/>
          <w:sz w:val="28"/>
          <w:rtl/>
        </w:rPr>
        <w:t>ייצר</w:t>
      </w:r>
      <w:r>
        <w:rPr>
          <w:rFonts w:ascii="FrankRuehl" w:hAnsi="FrankRuehl" w:hint="cs"/>
          <w:sz w:val="28"/>
          <w:rtl/>
        </w:rPr>
        <w:t xml:space="preserve"> </w:t>
      </w:r>
      <w:r w:rsidR="00C25DF5">
        <w:rPr>
          <w:rFonts w:ascii="FrankRuehl" w:hAnsi="FrankRuehl" w:hint="cs"/>
          <w:sz w:val="28"/>
          <w:rtl/>
        </w:rPr>
        <w:t>לה</w:t>
      </w:r>
      <w:r w:rsidRPr="0087437D">
        <w:rPr>
          <w:rFonts w:ascii="FrankRuehl" w:hAnsi="FrankRuehl"/>
          <w:sz w:val="28"/>
          <w:rtl/>
        </w:rPr>
        <w:t xml:space="preserve"> הכנסה בדמות </w:t>
      </w:r>
      <w:r>
        <w:rPr>
          <w:rFonts w:ascii="FrankRuehl" w:hAnsi="FrankRuehl" w:hint="cs"/>
          <w:sz w:val="28"/>
          <w:rtl/>
        </w:rPr>
        <w:t>ה</w:t>
      </w:r>
      <w:r w:rsidRPr="0087437D">
        <w:rPr>
          <w:rFonts w:ascii="FrankRuehl" w:hAnsi="FrankRuehl"/>
          <w:sz w:val="28"/>
          <w:rtl/>
        </w:rPr>
        <w:t>מענקים</w:t>
      </w:r>
      <w:r>
        <w:rPr>
          <w:rFonts w:ascii="FrankRuehl" w:hAnsi="FrankRuehl" w:hint="cs"/>
          <w:sz w:val="28"/>
          <w:rtl/>
        </w:rPr>
        <w:t xml:space="preserve"> </w:t>
      </w:r>
      <w:r w:rsidR="00C25DF5">
        <w:rPr>
          <w:rFonts w:ascii="FrankRuehl" w:hAnsi="FrankRuehl" w:hint="cs"/>
          <w:sz w:val="28"/>
          <w:rtl/>
        </w:rPr>
        <w:t xml:space="preserve">שלטענתה </w:t>
      </w:r>
      <w:r>
        <w:rPr>
          <w:rFonts w:ascii="FrankRuehl" w:hAnsi="FrankRuehl" w:hint="cs"/>
          <w:sz w:val="28"/>
          <w:rtl/>
        </w:rPr>
        <w:t>מתקבלים</w:t>
      </w:r>
      <w:r w:rsidRPr="0087437D">
        <w:rPr>
          <w:rFonts w:ascii="FrankRuehl" w:hAnsi="FrankRuehl"/>
          <w:sz w:val="28"/>
          <w:rtl/>
        </w:rPr>
        <w:t xml:space="preserve"> מ</w:t>
      </w:r>
      <w:r>
        <w:rPr>
          <w:rFonts w:ascii="FrankRuehl" w:hAnsi="FrankRuehl" w:hint="cs"/>
          <w:sz w:val="28"/>
          <w:rtl/>
        </w:rPr>
        <w:t>ן ה</w:t>
      </w:r>
      <w:r w:rsidRPr="0087437D">
        <w:rPr>
          <w:rFonts w:ascii="FrankRuehl" w:hAnsi="FrankRuehl"/>
          <w:sz w:val="28"/>
          <w:rtl/>
        </w:rPr>
        <w:t>ספקים</w:t>
      </w:r>
      <w:r>
        <w:rPr>
          <w:rFonts w:ascii="FrankRuehl" w:hAnsi="FrankRuehl"/>
          <w:sz w:val="28"/>
        </w:rPr>
        <w:t>;</w:t>
      </w:r>
      <w:r>
        <w:rPr>
          <w:rFonts w:ascii="FrankRuehl" w:hAnsi="FrankRuehl" w:hint="cs"/>
          <w:sz w:val="28"/>
          <w:rtl/>
        </w:rPr>
        <w:t xml:space="preserve"> והיא הוגדרה כנכס</w:t>
      </w:r>
      <w:r w:rsidRPr="0087437D">
        <w:rPr>
          <w:rFonts w:ascii="FrankRuehl" w:hAnsi="FrankRuehl"/>
          <w:sz w:val="28"/>
          <w:rtl/>
        </w:rPr>
        <w:t xml:space="preserve"> בר-פחת</w:t>
      </w:r>
      <w:r>
        <w:rPr>
          <w:rFonts w:ascii="FrankRuehl" w:hAnsi="FrankRuehl" w:hint="cs"/>
          <w:sz w:val="28"/>
          <w:rtl/>
        </w:rPr>
        <w:t>, ש</w:t>
      </w:r>
      <w:r w:rsidR="00C25DF5">
        <w:rPr>
          <w:rFonts w:ascii="FrankRuehl" w:hAnsi="FrankRuehl" w:hint="cs"/>
          <w:sz w:val="28"/>
          <w:rtl/>
        </w:rPr>
        <w:t>כן שווי הזכות למענק ספקים</w:t>
      </w:r>
      <w:r>
        <w:rPr>
          <w:rFonts w:ascii="FrankRuehl" w:hAnsi="FrankRuehl" w:hint="cs"/>
          <w:sz w:val="28"/>
          <w:rtl/>
        </w:rPr>
        <w:t xml:space="preserve"> הולך וקטן ככל שיותר מענקים משולמים למערערת. תקופת החיים של </w:t>
      </w:r>
      <w:r w:rsidR="00C25DF5">
        <w:rPr>
          <w:rFonts w:ascii="FrankRuehl" w:hAnsi="FrankRuehl" w:hint="cs"/>
          <w:sz w:val="28"/>
          <w:rtl/>
        </w:rPr>
        <w:t>הזכות למענק ספקים</w:t>
      </w:r>
      <w:r>
        <w:rPr>
          <w:rFonts w:ascii="FrankRuehl" w:hAnsi="FrankRuehl" w:hint="cs"/>
          <w:sz w:val="28"/>
          <w:rtl/>
        </w:rPr>
        <w:t xml:space="preserve"> הוערכה ב-3.5 שנים, </w:t>
      </w:r>
      <w:r w:rsidR="00C25DF5">
        <w:rPr>
          <w:rFonts w:ascii="FrankRuehl" w:hAnsi="FrankRuehl" w:hint="cs"/>
          <w:sz w:val="28"/>
          <w:rtl/>
        </w:rPr>
        <w:t>והמערערת טענה</w:t>
      </w:r>
      <w:r>
        <w:rPr>
          <w:rFonts w:ascii="FrankRuehl" w:hAnsi="FrankRuehl" w:hint="cs"/>
          <w:sz w:val="28"/>
          <w:rtl/>
        </w:rPr>
        <w:t xml:space="preserve"> כי לאורך תקופה זו </w:t>
      </w:r>
      <w:r w:rsidR="00C25DF5">
        <w:rPr>
          <w:rFonts w:ascii="FrankRuehl" w:hAnsi="FrankRuehl" w:hint="cs"/>
          <w:sz w:val="28"/>
          <w:rtl/>
        </w:rPr>
        <w:t>היא</w:t>
      </w:r>
      <w:r>
        <w:rPr>
          <w:rFonts w:ascii="FrankRuehl" w:hAnsi="FrankRuehl" w:hint="cs"/>
          <w:sz w:val="28"/>
          <w:rtl/>
        </w:rPr>
        <w:t xml:space="preserve"> זכאית להפחית את שיעור הפחת של הנכס</w:t>
      </w:r>
      <w:r w:rsidR="00230AB5">
        <w:rPr>
          <w:rFonts w:ascii="FrankRuehl" w:hAnsi="FrankRuehl" w:hint="cs"/>
          <w:sz w:val="28"/>
          <w:rtl/>
        </w:rPr>
        <w:t xml:space="preserve"> </w:t>
      </w:r>
      <w:r>
        <w:rPr>
          <w:rFonts w:ascii="FrankRuehl" w:hAnsi="FrankRuehl"/>
          <w:sz w:val="28"/>
          <w:rtl/>
        </w:rPr>
        <w:t>–</w:t>
      </w:r>
      <w:r>
        <w:rPr>
          <w:rFonts w:ascii="FrankRuehl" w:hAnsi="FrankRuehl" w:hint="cs"/>
          <w:sz w:val="28"/>
          <w:rtl/>
        </w:rPr>
        <w:t xml:space="preserve"> כלומר, את גובה המענקים </w:t>
      </w:r>
      <w:r w:rsidR="00230AB5">
        <w:rPr>
          <w:rFonts w:ascii="FrankRuehl" w:hAnsi="FrankRuehl" w:hint="cs"/>
          <w:sz w:val="28"/>
          <w:rtl/>
        </w:rPr>
        <w:t>ש</w:t>
      </w:r>
      <w:r w:rsidR="00EF5DE8">
        <w:rPr>
          <w:rFonts w:ascii="FrankRuehl" w:hAnsi="FrankRuehl" w:hint="cs"/>
          <w:sz w:val="28"/>
          <w:rtl/>
        </w:rPr>
        <w:t>כבר שולמו</w:t>
      </w:r>
      <w:r w:rsidR="00230AB5">
        <w:rPr>
          <w:rFonts w:ascii="FrankRuehl" w:hAnsi="FrankRuehl" w:hint="cs"/>
          <w:sz w:val="28"/>
          <w:rtl/>
        </w:rPr>
        <w:t xml:space="preserve"> לה על ידי הספקים בהתאם להסכמות ע</w:t>
      </w:r>
      <w:r w:rsidR="00F04219">
        <w:rPr>
          <w:rFonts w:ascii="FrankRuehl" w:hAnsi="FrankRuehl" w:hint="cs"/>
          <w:sz w:val="28"/>
          <w:rtl/>
        </w:rPr>
        <w:t>י</w:t>
      </w:r>
      <w:r w:rsidR="00230AB5">
        <w:rPr>
          <w:rFonts w:ascii="FrankRuehl" w:hAnsi="FrankRuehl" w:hint="cs"/>
          <w:sz w:val="28"/>
          <w:rtl/>
        </w:rPr>
        <w:t>מם</w:t>
      </w:r>
      <w:r>
        <w:rPr>
          <w:rFonts w:ascii="FrankRuehl" w:hAnsi="FrankRuehl" w:hint="cs"/>
          <w:sz w:val="28"/>
          <w:rtl/>
        </w:rPr>
        <w:t xml:space="preserve"> </w:t>
      </w:r>
      <w:r>
        <w:rPr>
          <w:rFonts w:ascii="FrankRuehl" w:hAnsi="FrankRuehl"/>
          <w:sz w:val="28"/>
          <w:rtl/>
        </w:rPr>
        <w:t>–</w:t>
      </w:r>
      <w:r>
        <w:rPr>
          <w:rFonts w:ascii="FrankRuehl" w:hAnsi="FrankRuehl" w:hint="cs"/>
          <w:sz w:val="28"/>
          <w:rtl/>
        </w:rPr>
        <w:t xml:space="preserve"> מהכנסתה החייבת. </w:t>
      </w:r>
      <w:r w:rsidRPr="0087437D">
        <w:rPr>
          <w:rFonts w:ascii="FrankRuehl" w:hAnsi="FrankRuehl" w:hint="cs"/>
          <w:sz w:val="28"/>
          <w:rtl/>
        </w:rPr>
        <w:t>כך</w:t>
      </w:r>
      <w:r>
        <w:rPr>
          <w:rFonts w:ascii="FrankRuehl" w:hAnsi="FrankRuehl" w:hint="cs"/>
          <w:sz w:val="28"/>
          <w:rtl/>
        </w:rPr>
        <w:t xml:space="preserve"> </w:t>
      </w:r>
      <w:r w:rsidRPr="0087437D">
        <w:rPr>
          <w:rFonts w:ascii="FrankRuehl" w:hAnsi="FrankRuehl" w:hint="cs"/>
          <w:sz w:val="28"/>
          <w:rtl/>
        </w:rPr>
        <w:t xml:space="preserve">תוארו הדברים במסגרת </w:t>
      </w:r>
      <w:r>
        <w:rPr>
          <w:rFonts w:ascii="FrankRuehl" w:hAnsi="FrankRuehl" w:hint="cs"/>
          <w:sz w:val="28"/>
          <w:rtl/>
        </w:rPr>
        <w:t>ה</w:t>
      </w:r>
      <w:r w:rsidRPr="0087437D">
        <w:rPr>
          <w:rFonts w:ascii="FrankRuehl" w:hAnsi="FrankRuehl" w:hint="cs"/>
          <w:sz w:val="28"/>
          <w:rtl/>
        </w:rPr>
        <w:t>דוח הכספי לשנת 2013:</w:t>
      </w:r>
    </w:p>
    <w:p w:rsidR="007D6167" w:rsidRDefault="007D6167" w:rsidP="00D05738">
      <w:pPr>
        <w:pStyle w:val="Ruller41"/>
        <w:spacing w:line="240" w:lineRule="auto"/>
        <w:rPr>
          <w:rtl/>
        </w:rPr>
      </w:pPr>
    </w:p>
    <w:p w:rsidR="007D6167" w:rsidRDefault="007D6167" w:rsidP="007D6167">
      <w:pPr>
        <w:pStyle w:val="Ruller5"/>
        <w:rPr>
          <w:rtl/>
        </w:rPr>
      </w:pPr>
      <w:r>
        <w:rPr>
          <w:rFonts w:hint="cs"/>
          <w:rtl/>
        </w:rPr>
        <w:t xml:space="preserve">"נכס בלתי מוחשי, זכות למענק ספקים </w:t>
      </w:r>
      <w:r>
        <w:rPr>
          <w:rtl/>
        </w:rPr>
        <w:t>–</w:t>
      </w:r>
      <w:r>
        <w:rPr>
          <w:rFonts w:hint="cs"/>
          <w:rtl/>
        </w:rPr>
        <w:t xml:space="preserve"> כתוצאה מהשגת השליטה בחברה הנרכשת (כמעט חינם-</w:t>
      </w:r>
      <w:proofErr w:type="spellStart"/>
      <w:r>
        <w:rPr>
          <w:rFonts w:hint="cs"/>
          <w:rtl/>
        </w:rPr>
        <w:t>ע'ב</w:t>
      </w:r>
      <w:proofErr w:type="spellEnd"/>
      <w:r>
        <w:rPr>
          <w:rFonts w:hint="cs"/>
          <w:rtl/>
        </w:rPr>
        <w:t>') סיכמה החברה מול ספקים השונים על קבלת מענקים. שווי המענק מספקים נאמד בכ-110.2 מיליון ש"ח וע"פ הסיכומים עם הספקים.</w:t>
      </w:r>
    </w:p>
    <w:p w:rsidR="007D6167" w:rsidRPr="009E4250" w:rsidRDefault="007D6167" w:rsidP="007D6167">
      <w:pPr>
        <w:pStyle w:val="Ruller5"/>
        <w:rPr>
          <w:rtl/>
        </w:rPr>
      </w:pPr>
      <w:r>
        <w:rPr>
          <w:rFonts w:hint="cs"/>
          <w:rtl/>
        </w:rPr>
        <w:t>החברה תובעת את הוצאות הפחת בנכס הבלתי מוחשי בהתאם לקצב קבלת המענקים ובהתאם לסיכומים עם הספקים לתקופה של עד 3.5 שנים." (שם, ביאור 6).</w:t>
      </w:r>
    </w:p>
    <w:p w:rsidR="007D6167" w:rsidRDefault="007D6167" w:rsidP="007D6167">
      <w:pPr>
        <w:pStyle w:val="Ruller4"/>
        <w:numPr>
          <w:ilvl w:val="0"/>
          <w:numId w:val="0"/>
        </w:numPr>
        <w:rPr>
          <w:rFonts w:ascii="FrankRuehl" w:hAnsi="FrankRuehl"/>
          <w:sz w:val="28"/>
          <w:rtl/>
        </w:rPr>
      </w:pPr>
    </w:p>
    <w:p w:rsidR="007D6167" w:rsidRPr="00214D5E" w:rsidRDefault="007D6167" w:rsidP="008A322E">
      <w:pPr>
        <w:pStyle w:val="Ruller41"/>
        <w:rPr>
          <w:rtl/>
        </w:rPr>
      </w:pPr>
      <w:r>
        <w:rPr>
          <w:rtl/>
        </w:rPr>
        <w:tab/>
      </w:r>
      <w:r>
        <w:rPr>
          <w:rFonts w:hint="cs"/>
          <w:rtl/>
        </w:rPr>
        <w:t>המערערת פעלה בהתאם לכך, ו</w:t>
      </w:r>
      <w:r w:rsidR="002F1E89">
        <w:rPr>
          <w:rFonts w:hint="cs"/>
          <w:rtl/>
        </w:rPr>
        <w:t xml:space="preserve">בדיווח לשנים 2013 ו-2014 שהעבירה לפקיד השומה, </w:t>
      </w:r>
      <w:r>
        <w:rPr>
          <w:rFonts w:hint="cs"/>
          <w:rtl/>
        </w:rPr>
        <w:t>הפחיתה מהכנסתה</w:t>
      </w:r>
      <w:r w:rsidR="00B536FD">
        <w:rPr>
          <w:rFonts w:hint="cs"/>
          <w:rtl/>
        </w:rPr>
        <w:t xml:space="preserve"> החייבת</w:t>
      </w:r>
      <w:r>
        <w:rPr>
          <w:rFonts w:hint="cs"/>
          <w:rtl/>
        </w:rPr>
        <w:t xml:space="preserve"> </w:t>
      </w:r>
      <w:r w:rsidR="0040146C">
        <w:rPr>
          <w:rFonts w:hint="cs"/>
          <w:rtl/>
        </w:rPr>
        <w:t>סכומים שזקפה ל</w:t>
      </w:r>
      <w:r w:rsidR="000B6AA5">
        <w:rPr>
          <w:rFonts w:hint="cs"/>
          <w:rtl/>
        </w:rPr>
        <w:t>מענקים מ</w:t>
      </w:r>
      <w:r>
        <w:rPr>
          <w:rFonts w:hint="cs"/>
          <w:rtl/>
        </w:rPr>
        <w:t xml:space="preserve">ספקים כנגד </w:t>
      </w:r>
      <w:r w:rsidR="008A322E">
        <w:rPr>
          <w:rFonts w:hint="cs"/>
          <w:rtl/>
        </w:rPr>
        <w:t xml:space="preserve">הפחת הנטען </w:t>
      </w:r>
      <w:r>
        <w:rPr>
          <w:rFonts w:hint="cs"/>
          <w:rtl/>
        </w:rPr>
        <w:t xml:space="preserve">של הזכות למענק ספקים (במאמר מוסגר יצוין כי בפועל התברר שההפחתות נעשו </w:t>
      </w:r>
      <w:r>
        <w:rPr>
          <w:rFonts w:hint="cs"/>
          <w:rtl/>
        </w:rPr>
        <w:lastRenderedPageBreak/>
        <w:t xml:space="preserve">בהתאם </w:t>
      </w:r>
      <w:r w:rsidRPr="0025390E">
        <w:rPr>
          <w:rFonts w:ascii="Century" w:hAnsi="Century" w:cs="Miriam" w:hint="cs"/>
          <w:b/>
          <w:spacing w:val="0"/>
          <w:szCs w:val="24"/>
          <w:rtl/>
        </w:rPr>
        <w:t>לצפי</w:t>
      </w:r>
      <w:r w:rsidRPr="0025390E">
        <w:rPr>
          <w:rFonts w:hint="cs"/>
          <w:rtl/>
        </w:rPr>
        <w:t xml:space="preserve"> </w:t>
      </w:r>
      <w:r>
        <w:rPr>
          <w:rFonts w:hint="cs"/>
          <w:rtl/>
        </w:rPr>
        <w:t xml:space="preserve">לקבלת מענקים, ולא בהתאם לגובה המענקים שהתקבלו </w:t>
      </w:r>
      <w:r w:rsidRPr="0025390E">
        <w:rPr>
          <w:rFonts w:ascii="Century" w:hAnsi="Century" w:cs="Miriam" w:hint="cs"/>
          <w:b/>
          <w:spacing w:val="0"/>
          <w:szCs w:val="24"/>
          <w:rtl/>
        </w:rPr>
        <w:t>בפועל</w:t>
      </w:r>
      <w:r>
        <w:rPr>
          <w:rFonts w:hint="cs"/>
          <w:rtl/>
        </w:rPr>
        <w:t xml:space="preserve">). כך, </w:t>
      </w:r>
      <w:r w:rsidR="0069637D">
        <w:rPr>
          <w:rFonts w:hint="cs"/>
          <w:rtl/>
        </w:rPr>
        <w:t>בדיווח</w:t>
      </w:r>
      <w:r>
        <w:rPr>
          <w:rFonts w:hint="cs"/>
          <w:rtl/>
        </w:rPr>
        <w:t xml:space="preserve"> לשנת 2013 הופחת סך של 46.512 מיליון ש"ח מן ההכנסה החייבת, </w:t>
      </w:r>
      <w:r w:rsidR="0069637D">
        <w:rPr>
          <w:rFonts w:hint="cs"/>
          <w:rtl/>
        </w:rPr>
        <w:t>ובדיווח</w:t>
      </w:r>
      <w:r w:rsidR="009C2F03">
        <w:rPr>
          <w:rFonts w:hint="cs"/>
          <w:rtl/>
        </w:rPr>
        <w:t xml:space="preserve"> לשנת 2014 הופחתו </w:t>
      </w:r>
      <w:r>
        <w:rPr>
          <w:rFonts w:hint="cs"/>
          <w:rtl/>
        </w:rPr>
        <w:t>37.645</w:t>
      </w:r>
      <w:r w:rsidR="009C2F03">
        <w:rPr>
          <w:rFonts w:hint="cs"/>
          <w:rtl/>
        </w:rPr>
        <w:t xml:space="preserve"> מיליון</w:t>
      </w:r>
      <w:r>
        <w:rPr>
          <w:rFonts w:hint="cs"/>
          <w:rtl/>
        </w:rPr>
        <w:t xml:space="preserve"> ש"ח</w:t>
      </w:r>
      <w:r w:rsidR="0069637D">
        <w:rPr>
          <w:rFonts w:hint="cs"/>
          <w:rtl/>
        </w:rPr>
        <w:t>.</w:t>
      </w:r>
    </w:p>
    <w:p w:rsidR="007D6167" w:rsidRDefault="007D6167" w:rsidP="007D6167">
      <w:pPr>
        <w:pStyle w:val="Ruller41"/>
        <w:rPr>
          <w:rtl/>
        </w:rPr>
      </w:pPr>
    </w:p>
    <w:p w:rsidR="00D05738" w:rsidRDefault="007D6167" w:rsidP="00FB7F01">
      <w:pPr>
        <w:pStyle w:val="Ruller4"/>
        <w:rPr>
          <w:rtl/>
        </w:rPr>
      </w:pPr>
      <w:r>
        <w:rPr>
          <w:rFonts w:hint="cs"/>
          <w:rtl/>
        </w:rPr>
        <w:t xml:space="preserve">לאחר שפקיד השומה </w:t>
      </w:r>
      <w:r w:rsidR="002D7E41">
        <w:rPr>
          <w:rFonts w:hint="cs"/>
          <w:rtl/>
        </w:rPr>
        <w:t xml:space="preserve">קיבל </w:t>
      </w:r>
      <w:r>
        <w:rPr>
          <w:rFonts w:hint="cs"/>
          <w:rtl/>
        </w:rPr>
        <w:t xml:space="preserve">את </w:t>
      </w:r>
      <w:r w:rsidR="0069637D">
        <w:rPr>
          <w:rFonts w:hint="cs"/>
          <w:rtl/>
        </w:rPr>
        <w:t>הדיווח של המערערת על הכנסתה החייבת לשנים 2013 ו-2014</w:t>
      </w:r>
      <w:r>
        <w:rPr>
          <w:rFonts w:hint="cs"/>
          <w:rtl/>
        </w:rPr>
        <w:t xml:space="preserve">, ולנוכח ההפחתות שביצעה כנגד הזכות למענק ספקים, סירב לאשר את </w:t>
      </w:r>
      <w:r w:rsidR="0069637D">
        <w:rPr>
          <w:rFonts w:hint="cs"/>
          <w:rtl/>
        </w:rPr>
        <w:t>הדיווח</w:t>
      </w:r>
      <w:r>
        <w:rPr>
          <w:rFonts w:hint="cs"/>
          <w:rtl/>
        </w:rPr>
        <w:t>. בהודעה ששלח למערערת ביום 4.4.2016 ציין פקיד השומה כי החליט לעשות שימוש בסמכותו לפי סעיף 145(א)(2)(ב) ל</w:t>
      </w:r>
      <w:r w:rsidRPr="00E112EA">
        <w:rPr>
          <w:rFonts w:hint="eastAsia"/>
          <w:rtl/>
        </w:rPr>
        <w:t>פקודת</w:t>
      </w:r>
      <w:r w:rsidRPr="00E112EA">
        <w:rPr>
          <w:rtl/>
        </w:rPr>
        <w:t xml:space="preserve"> </w:t>
      </w:r>
      <w:r w:rsidRPr="00E112EA">
        <w:rPr>
          <w:rFonts w:hint="eastAsia"/>
          <w:rtl/>
        </w:rPr>
        <w:t>מס</w:t>
      </w:r>
      <w:r w:rsidRPr="00E112EA">
        <w:rPr>
          <w:rtl/>
        </w:rPr>
        <w:t xml:space="preserve"> </w:t>
      </w:r>
      <w:r w:rsidRPr="00E112EA">
        <w:rPr>
          <w:rFonts w:hint="eastAsia"/>
          <w:rtl/>
        </w:rPr>
        <w:t>הכנסה</w:t>
      </w:r>
      <w:r w:rsidRPr="00E112EA">
        <w:rPr>
          <w:rtl/>
        </w:rPr>
        <w:t xml:space="preserve"> [</w:t>
      </w:r>
      <w:r w:rsidRPr="00E112EA">
        <w:rPr>
          <w:rFonts w:hint="eastAsia"/>
          <w:rtl/>
        </w:rPr>
        <w:t>נוסח</w:t>
      </w:r>
      <w:r w:rsidRPr="00E112EA">
        <w:rPr>
          <w:rtl/>
        </w:rPr>
        <w:t xml:space="preserve"> </w:t>
      </w:r>
      <w:r w:rsidRPr="00E112EA">
        <w:rPr>
          <w:rFonts w:hint="eastAsia"/>
          <w:rtl/>
        </w:rPr>
        <w:t>חדש</w:t>
      </w:r>
      <w:r w:rsidRPr="00E112EA">
        <w:rPr>
          <w:rtl/>
        </w:rPr>
        <w:t>]</w:t>
      </w:r>
      <w:r w:rsidRPr="00E112EA">
        <w:rPr>
          <w:rFonts w:hint="cs"/>
          <w:rtl/>
        </w:rPr>
        <w:t xml:space="preserve"> </w:t>
      </w:r>
      <w:r>
        <w:rPr>
          <w:rFonts w:hint="cs"/>
          <w:rtl/>
        </w:rPr>
        <w:t xml:space="preserve">(להלן: </w:t>
      </w:r>
      <w:r w:rsidRPr="00D05738">
        <w:rPr>
          <w:rFonts w:ascii="Century" w:hAnsi="Century" w:cs="Miriam" w:hint="cs"/>
          <w:b/>
          <w:spacing w:val="0"/>
          <w:sz w:val="22"/>
          <w:szCs w:val="24"/>
          <w:rtl/>
        </w:rPr>
        <w:t>פקודת מס הכנסה</w:t>
      </w:r>
      <w:r w:rsidRPr="00E112EA">
        <w:rPr>
          <w:rFonts w:hint="cs"/>
          <w:rtl/>
        </w:rPr>
        <w:t xml:space="preserve"> </w:t>
      </w:r>
      <w:r>
        <w:rPr>
          <w:rFonts w:hint="cs"/>
          <w:rtl/>
        </w:rPr>
        <w:t xml:space="preserve">או </w:t>
      </w:r>
      <w:r w:rsidRPr="00D05738">
        <w:rPr>
          <w:rFonts w:ascii="Century" w:hAnsi="Century" w:cs="Miriam" w:hint="cs"/>
          <w:b/>
          <w:spacing w:val="0"/>
          <w:sz w:val="22"/>
          <w:szCs w:val="24"/>
          <w:rtl/>
        </w:rPr>
        <w:t>הפקודה</w:t>
      </w:r>
      <w:r>
        <w:rPr>
          <w:rFonts w:hint="cs"/>
          <w:rtl/>
        </w:rPr>
        <w:t xml:space="preserve">), ולקבוע </w:t>
      </w:r>
      <w:r w:rsidR="00BE4B6D">
        <w:rPr>
          <w:rFonts w:hint="cs"/>
          <w:rtl/>
        </w:rPr>
        <w:t xml:space="preserve">"לפי מיטב שפיטתו" </w:t>
      </w:r>
      <w:r>
        <w:rPr>
          <w:rFonts w:hint="cs"/>
          <w:rtl/>
        </w:rPr>
        <w:t>את הכנסתה החייבת לשנים 2013 ו-</w:t>
      </w:r>
      <w:r w:rsidRPr="00D05738">
        <w:rPr>
          <w:rFonts w:ascii="FrankRuehl" w:hAnsi="FrankRuehl"/>
          <w:sz w:val="28"/>
          <w:rtl/>
        </w:rPr>
        <w:t>2014</w:t>
      </w:r>
      <w:r w:rsidRPr="00D05738">
        <w:rPr>
          <w:rFonts w:ascii="FrankRuehl" w:hAnsi="FrankRuehl"/>
          <w:sz w:val="28"/>
        </w:rPr>
        <w:t>;</w:t>
      </w:r>
      <w:r w:rsidRPr="00D05738">
        <w:rPr>
          <w:rFonts w:ascii="FrankRuehl" w:hAnsi="FrankRuehl"/>
          <w:sz w:val="28"/>
          <w:rtl/>
        </w:rPr>
        <w:t xml:space="preserve"> בין היתר </w:t>
      </w:r>
      <w:r w:rsidR="00707836" w:rsidRPr="00D05738">
        <w:rPr>
          <w:rFonts w:ascii="FrankRuehl" w:hAnsi="FrankRuehl" w:hint="cs"/>
          <w:sz w:val="28"/>
          <w:rtl/>
        </w:rPr>
        <w:t xml:space="preserve">בכל הנוגע ל"תיאום הפחתת מענק ספקים", כך שלהכנסה החייבת </w:t>
      </w:r>
      <w:r w:rsidR="00B52056" w:rsidRPr="00D05738">
        <w:rPr>
          <w:rFonts w:ascii="FrankRuehl" w:hAnsi="FrankRuehl"/>
          <w:sz w:val="28"/>
          <w:rtl/>
        </w:rPr>
        <w:t>יתווספו</w:t>
      </w:r>
      <w:r w:rsidRPr="00D05738">
        <w:rPr>
          <w:rFonts w:ascii="FrankRuehl" w:hAnsi="FrankRuehl"/>
          <w:sz w:val="28"/>
          <w:rtl/>
        </w:rPr>
        <w:t xml:space="preserve"> </w:t>
      </w:r>
      <w:r w:rsidR="003B643B" w:rsidRPr="00D05738">
        <w:rPr>
          <w:rFonts w:ascii="FrankRuehl" w:hAnsi="FrankRuehl" w:hint="cs"/>
          <w:sz w:val="28"/>
          <w:rtl/>
        </w:rPr>
        <w:t xml:space="preserve">סכומי </w:t>
      </w:r>
      <w:r w:rsidR="00B52056" w:rsidRPr="00D05738">
        <w:rPr>
          <w:rFonts w:ascii="FrankRuehl" w:hAnsi="FrankRuehl" w:hint="cs"/>
          <w:sz w:val="28"/>
          <w:rtl/>
        </w:rPr>
        <w:t>ה</w:t>
      </w:r>
      <w:r w:rsidR="003B643B" w:rsidRPr="00D05738">
        <w:rPr>
          <w:rFonts w:ascii="FrankRuehl" w:hAnsi="FrankRuehl" w:hint="cs"/>
          <w:sz w:val="28"/>
          <w:rtl/>
        </w:rPr>
        <w:t>מענקי</w:t>
      </w:r>
      <w:r w:rsidR="00B52056" w:rsidRPr="00D05738">
        <w:rPr>
          <w:rFonts w:ascii="FrankRuehl" w:hAnsi="FrankRuehl" w:hint="cs"/>
          <w:sz w:val="28"/>
          <w:rtl/>
        </w:rPr>
        <w:t>ם מ</w:t>
      </w:r>
      <w:r w:rsidR="003B643B" w:rsidRPr="00D05738">
        <w:rPr>
          <w:rFonts w:ascii="FrankRuehl" w:hAnsi="FrankRuehl" w:hint="cs"/>
          <w:sz w:val="28"/>
          <w:rtl/>
        </w:rPr>
        <w:t>ספקים שהופחתו</w:t>
      </w:r>
      <w:r w:rsidR="00FA754C" w:rsidRPr="00D05738">
        <w:rPr>
          <w:rFonts w:ascii="FrankRuehl" w:hAnsi="FrankRuehl" w:hint="cs"/>
          <w:sz w:val="28"/>
          <w:rtl/>
        </w:rPr>
        <w:t xml:space="preserve"> ממנה.</w:t>
      </w:r>
      <w:r>
        <w:rPr>
          <w:rFonts w:hint="cs"/>
          <w:rtl/>
        </w:rPr>
        <w:t xml:space="preserve"> בחלקה האחרון של ההודעה הוסיף פקיד השומה וציין </w:t>
      </w:r>
      <w:r w:rsidR="00642736">
        <w:rPr>
          <w:rFonts w:hint="cs"/>
          <w:rtl/>
        </w:rPr>
        <w:t>כי "</w:t>
      </w:r>
      <w:r w:rsidR="00642736" w:rsidRPr="00D05738">
        <w:rPr>
          <w:rFonts w:ascii="Century" w:hAnsi="Century" w:cs="Miriam" w:hint="cs"/>
          <w:b/>
          <w:spacing w:val="0"/>
          <w:sz w:val="22"/>
          <w:szCs w:val="24"/>
          <w:rtl/>
        </w:rPr>
        <w:t>קנס גירעון יוטל כחוק</w:t>
      </w:r>
      <w:r w:rsidR="00642736">
        <w:rPr>
          <w:rFonts w:hint="cs"/>
          <w:rtl/>
        </w:rPr>
        <w:t>"</w:t>
      </w:r>
      <w:r w:rsidR="00642736" w:rsidRPr="00D05738">
        <w:rPr>
          <w:rFonts w:ascii="FrankRuehl" w:hAnsi="FrankRuehl"/>
          <w:sz w:val="28"/>
        </w:rPr>
        <w:t>;</w:t>
      </w:r>
      <w:r w:rsidR="001B0357">
        <w:rPr>
          <w:rFonts w:hint="cs"/>
          <w:rtl/>
        </w:rPr>
        <w:t xml:space="preserve"> </w:t>
      </w:r>
      <w:r w:rsidR="002F1E89">
        <w:rPr>
          <w:rFonts w:hint="cs"/>
          <w:rtl/>
        </w:rPr>
        <w:t>ויבואר</w:t>
      </w:r>
      <w:r w:rsidR="001B0357">
        <w:rPr>
          <w:rFonts w:hint="cs"/>
          <w:rtl/>
        </w:rPr>
        <w:t xml:space="preserve"> בנקודה זו כי מדובר בקנס שניתן להטיל על נישום שקיים </w:t>
      </w:r>
      <w:r w:rsidR="00D37676">
        <w:rPr>
          <w:rFonts w:hint="cs"/>
          <w:rtl/>
        </w:rPr>
        <w:t>גירעון</w:t>
      </w:r>
      <w:r w:rsidR="001B0357">
        <w:rPr>
          <w:rFonts w:hint="cs"/>
          <w:rtl/>
        </w:rPr>
        <w:t xml:space="preserve"> </w:t>
      </w:r>
      <w:r w:rsidR="00D37676">
        <w:rPr>
          <w:rFonts w:hint="cs"/>
          <w:rtl/>
        </w:rPr>
        <w:t xml:space="preserve">(פער) </w:t>
      </w:r>
      <w:r w:rsidR="001B0357">
        <w:rPr>
          <w:rFonts w:hint="cs"/>
          <w:rtl/>
        </w:rPr>
        <w:t xml:space="preserve">של למעלה מ-50% בין המס שדיווח כי עליו לשלם </w:t>
      </w:r>
      <w:r w:rsidR="0099280E">
        <w:rPr>
          <w:rFonts w:hint="cs"/>
          <w:rtl/>
        </w:rPr>
        <w:t>ו</w:t>
      </w:r>
      <w:r w:rsidR="001B0357">
        <w:rPr>
          <w:rFonts w:hint="cs"/>
          <w:rtl/>
        </w:rPr>
        <w:t xml:space="preserve">בין המס שפקיד השומה </w:t>
      </w:r>
      <w:r w:rsidR="00D37676">
        <w:rPr>
          <w:rFonts w:hint="cs"/>
          <w:rtl/>
        </w:rPr>
        <w:t>קבע</w:t>
      </w:r>
      <w:r w:rsidR="001B0357">
        <w:rPr>
          <w:rFonts w:hint="cs"/>
          <w:rtl/>
        </w:rPr>
        <w:t xml:space="preserve"> כי עליו לשלם בפועל.</w:t>
      </w:r>
    </w:p>
    <w:p w:rsidR="00D05738" w:rsidRPr="00D05738" w:rsidRDefault="00D05738" w:rsidP="00D05738">
      <w:pPr>
        <w:pStyle w:val="Ruller41"/>
        <w:rPr>
          <w:rtl/>
        </w:rPr>
      </w:pPr>
    </w:p>
    <w:p w:rsidR="007D6167" w:rsidRDefault="007D6167" w:rsidP="0005618E">
      <w:pPr>
        <w:pStyle w:val="Ruller41"/>
        <w:rPr>
          <w:rtl/>
        </w:rPr>
      </w:pPr>
      <w:r>
        <w:rPr>
          <w:rtl/>
        </w:rPr>
        <w:tab/>
      </w:r>
      <w:r>
        <w:rPr>
          <w:rFonts w:hint="cs"/>
          <w:rtl/>
        </w:rPr>
        <w:t xml:space="preserve">המערערת ניהלה הליך השגה מול פקיד השומה, אך זה לא הוביל להסכמות </w:t>
      </w:r>
      <w:r w:rsidR="0005618E">
        <w:rPr>
          <w:rFonts w:hint="cs"/>
          <w:rtl/>
        </w:rPr>
        <w:t xml:space="preserve">חרף ניסיונות </w:t>
      </w:r>
      <w:r w:rsidR="0005618E" w:rsidRPr="0005618E">
        <w:rPr>
          <w:rFonts w:ascii="FrankRuehl" w:hAnsi="FrankRuehl"/>
          <w:sz w:val="28"/>
          <w:rtl/>
        </w:rPr>
        <w:t>שנעשו</w:t>
      </w:r>
      <w:r w:rsidR="0005618E" w:rsidRPr="0005618E">
        <w:rPr>
          <w:rFonts w:ascii="FrankRuehl" w:hAnsi="FrankRuehl"/>
          <w:sz w:val="28"/>
        </w:rPr>
        <w:t>;</w:t>
      </w:r>
      <w:r w:rsidR="0005618E">
        <w:rPr>
          <w:rFonts w:hint="cs"/>
          <w:rtl/>
        </w:rPr>
        <w:t xml:space="preserve"> </w:t>
      </w:r>
      <w:r>
        <w:rPr>
          <w:rFonts w:hint="cs"/>
          <w:rtl/>
        </w:rPr>
        <w:t>וביום 24.12.2017 נשלחה אליה הודעה שלפיה הוחלט על קביעת הכנסתה החייבת לשנים 2013 ו-2014 בצו</w:t>
      </w:r>
      <w:r w:rsidR="0005618E">
        <w:rPr>
          <w:rFonts w:hint="cs"/>
          <w:rtl/>
        </w:rPr>
        <w:t xml:space="preserve"> לפי סעיף 152(ב) לפקודה</w:t>
      </w:r>
      <w:r>
        <w:rPr>
          <w:rFonts w:hint="cs"/>
          <w:rtl/>
        </w:rPr>
        <w:t xml:space="preserve">. בהודעה זו צוין כי סכום העסקה שולם כולו בעבור מניות כמעט חינם, שהן הנכס היחיד שהועבר בין </w:t>
      </w:r>
      <w:r w:rsidRPr="00E67446">
        <w:rPr>
          <w:rFonts w:ascii="FrankRuehl" w:hAnsi="FrankRuehl"/>
          <w:sz w:val="28"/>
          <w:rtl/>
        </w:rPr>
        <w:t>הצדדים</w:t>
      </w:r>
      <w:r>
        <w:rPr>
          <w:rFonts w:ascii="FrankRuehl" w:hAnsi="FrankRuehl" w:hint="cs"/>
          <w:sz w:val="28"/>
          <w:rtl/>
        </w:rPr>
        <w:t>,</w:t>
      </w:r>
      <w:r w:rsidRPr="00E67446">
        <w:rPr>
          <w:rFonts w:ascii="FrankRuehl" w:hAnsi="FrankRuehl"/>
          <w:sz w:val="28"/>
          <w:rtl/>
        </w:rPr>
        <w:t xml:space="preserve"> וכי </w:t>
      </w:r>
      <w:r>
        <w:rPr>
          <w:rFonts w:ascii="FrankRuehl" w:hAnsi="FrankRuehl" w:hint="cs"/>
          <w:sz w:val="28"/>
          <w:rtl/>
        </w:rPr>
        <w:t>ה</w:t>
      </w:r>
      <w:r>
        <w:rPr>
          <w:rFonts w:hint="cs"/>
          <w:rtl/>
        </w:rPr>
        <w:t xml:space="preserve">נכס הבלתי מוחשי המכונה "זכות למענק ספקים" נוצר יש מאין על ידי המערערת </w:t>
      </w:r>
      <w:r w:rsidR="0005618E">
        <w:rPr>
          <w:rFonts w:hint="cs"/>
          <w:rtl/>
        </w:rPr>
        <w:t>ו</w:t>
      </w:r>
      <w:r>
        <w:rPr>
          <w:rFonts w:hint="cs"/>
          <w:rtl/>
        </w:rPr>
        <w:t xml:space="preserve">אינו מתיישב עם נתוני העסקה. כן הובהר כי מניה מאגדת בתוכה את כלל הזכויות והנכסים של החברה, ולפיכך גם אם אכן קיימת זכות </w:t>
      </w:r>
      <w:r w:rsidR="0005618E">
        <w:rPr>
          <w:rFonts w:hint="cs"/>
          <w:rtl/>
        </w:rPr>
        <w:t>כנטען</w:t>
      </w:r>
      <w:r>
        <w:rPr>
          <w:rFonts w:hint="cs"/>
          <w:rtl/>
        </w:rPr>
        <w:t xml:space="preserve"> היא ממילא אינה מהווה נכס שהמערערת רכשה באופן ישיר, אלא </w:t>
      </w:r>
      <w:r w:rsidR="0005618E">
        <w:rPr>
          <w:rFonts w:hint="cs"/>
          <w:rtl/>
        </w:rPr>
        <w:t>באה בגדרי</w:t>
      </w:r>
      <w:r>
        <w:rPr>
          <w:rFonts w:hint="cs"/>
          <w:rtl/>
        </w:rPr>
        <w:t xml:space="preserve"> הזכויות שהיא זכאית להן משהפכה לבעלת המניות של כמעט חינם. גם בשולי הודעה זו צוין כי "</w:t>
      </w:r>
      <w:r w:rsidR="00CA6AA5" w:rsidRPr="0005618E">
        <w:rPr>
          <w:rFonts w:ascii="Century" w:hAnsi="Century" w:cs="Miriam" w:hint="cs"/>
          <w:b/>
          <w:spacing w:val="0"/>
          <w:szCs w:val="24"/>
          <w:rtl/>
        </w:rPr>
        <w:t>קנס</w:t>
      </w:r>
      <w:r w:rsidRPr="0005618E">
        <w:rPr>
          <w:rFonts w:ascii="Century" w:hAnsi="Century" w:cs="Miriam" w:hint="cs"/>
          <w:b/>
          <w:spacing w:val="0"/>
          <w:szCs w:val="24"/>
          <w:rtl/>
        </w:rPr>
        <w:t xml:space="preserve"> גירעון יוטל כחוק</w:t>
      </w:r>
      <w:r>
        <w:rPr>
          <w:rFonts w:hint="cs"/>
          <w:rtl/>
        </w:rPr>
        <w:t>".</w:t>
      </w:r>
    </w:p>
    <w:p w:rsidR="00D05738" w:rsidRDefault="00D05738" w:rsidP="0005618E">
      <w:pPr>
        <w:pStyle w:val="Ruller41"/>
        <w:rPr>
          <w:rtl/>
        </w:rPr>
      </w:pPr>
    </w:p>
    <w:p w:rsidR="007D6167" w:rsidRDefault="007D6167" w:rsidP="007A3EC9">
      <w:pPr>
        <w:pStyle w:val="Ruller41"/>
        <w:rPr>
          <w:rtl/>
        </w:rPr>
      </w:pPr>
      <w:r>
        <w:rPr>
          <w:rtl/>
        </w:rPr>
        <w:tab/>
      </w:r>
      <w:r>
        <w:rPr>
          <w:rFonts w:hint="cs"/>
          <w:rtl/>
        </w:rPr>
        <w:t xml:space="preserve">למען שלמות התמונה יוער כי פקיד השומה קבע בצו את הכנסתה החייבת של </w:t>
      </w:r>
      <w:r w:rsidR="003D51CA">
        <w:rPr>
          <w:rFonts w:hint="cs"/>
          <w:rtl/>
        </w:rPr>
        <w:t>המערערת</w:t>
      </w:r>
      <w:r>
        <w:rPr>
          <w:rFonts w:hint="cs"/>
          <w:rtl/>
        </w:rPr>
        <w:t xml:space="preserve"> גם </w:t>
      </w:r>
      <w:r w:rsidRPr="002A0381">
        <w:rPr>
          <w:rFonts w:ascii="FrankRuehl" w:hAnsi="FrankRuehl"/>
          <w:sz w:val="28"/>
          <w:rtl/>
        </w:rPr>
        <w:t xml:space="preserve">בגין </w:t>
      </w:r>
      <w:r w:rsidR="00CA1F57" w:rsidRPr="002A0381">
        <w:rPr>
          <w:rFonts w:ascii="FrankRuehl" w:hAnsi="FrankRuehl"/>
          <w:sz w:val="28"/>
          <w:rtl/>
        </w:rPr>
        <w:t xml:space="preserve">רכיבים נוספים, </w:t>
      </w:r>
      <w:r>
        <w:rPr>
          <w:rFonts w:hint="cs"/>
          <w:rtl/>
        </w:rPr>
        <w:t xml:space="preserve">אך אלה אינם מענייננו שכן </w:t>
      </w:r>
      <w:r w:rsidR="00B34052">
        <w:rPr>
          <w:rFonts w:hint="cs"/>
          <w:rtl/>
        </w:rPr>
        <w:t>המערערת לא השיגה עליהם</w:t>
      </w:r>
      <w:r>
        <w:rPr>
          <w:rFonts w:hint="cs"/>
          <w:rtl/>
        </w:rPr>
        <w:t>.</w:t>
      </w:r>
      <w:r w:rsidR="00D37676">
        <w:rPr>
          <w:rFonts w:hint="cs"/>
          <w:rtl/>
        </w:rPr>
        <w:t xml:space="preserve"> ועוד </w:t>
      </w:r>
      <w:r w:rsidR="002F1E89">
        <w:rPr>
          <w:rFonts w:hint="cs"/>
          <w:rtl/>
        </w:rPr>
        <w:t xml:space="preserve">יוער כי בשנת 2013 </w:t>
      </w:r>
      <w:r w:rsidR="00DE36BF">
        <w:rPr>
          <w:rFonts w:hint="cs"/>
          <w:rtl/>
        </w:rPr>
        <w:t xml:space="preserve">שיעור </w:t>
      </w:r>
      <w:r w:rsidR="002F1E89">
        <w:rPr>
          <w:rFonts w:hint="cs"/>
          <w:rtl/>
        </w:rPr>
        <w:t>ה</w:t>
      </w:r>
      <w:r w:rsidR="000B6AA5">
        <w:rPr>
          <w:rFonts w:hint="cs"/>
          <w:rtl/>
        </w:rPr>
        <w:t xml:space="preserve">גירעון </w:t>
      </w:r>
      <w:r w:rsidR="00DE36BF">
        <w:rPr>
          <w:rFonts w:hint="cs"/>
          <w:rtl/>
        </w:rPr>
        <w:t>בין סכום ה</w:t>
      </w:r>
      <w:r w:rsidR="005F2480">
        <w:rPr>
          <w:rFonts w:hint="cs"/>
          <w:rtl/>
        </w:rPr>
        <w:t>מס שהמערערת דיווחה כי עליה לשלם</w:t>
      </w:r>
      <w:r w:rsidR="00DE36BF">
        <w:rPr>
          <w:rFonts w:hint="cs"/>
          <w:rtl/>
        </w:rPr>
        <w:t xml:space="preserve"> </w:t>
      </w:r>
      <w:r w:rsidR="007A3EC9">
        <w:rPr>
          <w:rFonts w:hint="cs"/>
          <w:rtl/>
        </w:rPr>
        <w:t>ו</w:t>
      </w:r>
      <w:r w:rsidR="00DE36BF">
        <w:rPr>
          <w:rFonts w:hint="cs"/>
          <w:rtl/>
        </w:rPr>
        <w:t xml:space="preserve">בין הסכום שקבע פקיד השומה, היה נמוך במעט </w:t>
      </w:r>
      <w:r w:rsidR="00DE36BF" w:rsidRPr="00DE36BF">
        <w:rPr>
          <w:rFonts w:ascii="FrankRuehl" w:hAnsi="FrankRuehl"/>
          <w:sz w:val="28"/>
          <w:rtl/>
        </w:rPr>
        <w:t>מ-50%</w:t>
      </w:r>
      <w:r w:rsidR="00DE36BF" w:rsidRPr="00DE36BF">
        <w:rPr>
          <w:rFonts w:ascii="FrankRuehl" w:hAnsi="FrankRuehl"/>
          <w:sz w:val="28"/>
        </w:rPr>
        <w:t>;</w:t>
      </w:r>
      <w:r w:rsidR="00DE36BF" w:rsidRPr="00DE36BF">
        <w:rPr>
          <w:rFonts w:ascii="FrankRuehl" w:hAnsi="FrankRuehl"/>
          <w:sz w:val="28"/>
          <w:rtl/>
        </w:rPr>
        <w:t xml:space="preserve"> ואילו</w:t>
      </w:r>
      <w:r w:rsidR="00DE36BF">
        <w:rPr>
          <w:rFonts w:hint="cs"/>
          <w:rtl/>
        </w:rPr>
        <w:t xml:space="preserve"> בשנת 2014 הגירעון היה גבוה מ-50%. לפיכך, </w:t>
      </w:r>
      <w:r w:rsidR="00CA6AA5">
        <w:rPr>
          <w:rFonts w:hint="cs"/>
          <w:rtl/>
        </w:rPr>
        <w:t>האמירה שלפיה "</w:t>
      </w:r>
      <w:r w:rsidR="00CA6AA5" w:rsidRPr="003878F3">
        <w:rPr>
          <w:rFonts w:ascii="Century" w:hAnsi="Century" w:cs="Miriam" w:hint="cs"/>
          <w:b/>
          <w:spacing w:val="0"/>
          <w:szCs w:val="24"/>
          <w:rtl/>
        </w:rPr>
        <w:t>קנס גירעון יוטל כחוק</w:t>
      </w:r>
      <w:r w:rsidR="00CA6AA5">
        <w:rPr>
          <w:rFonts w:hint="cs"/>
          <w:rtl/>
        </w:rPr>
        <w:t>" התייחסה לשנת 2014 בלבד.</w:t>
      </w:r>
    </w:p>
    <w:p w:rsidR="007D6167" w:rsidRDefault="007D6167" w:rsidP="007D6167">
      <w:pPr>
        <w:pStyle w:val="Ruller41"/>
        <w:rPr>
          <w:rtl/>
        </w:rPr>
      </w:pPr>
    </w:p>
    <w:p w:rsidR="007D6167" w:rsidRDefault="007D6167" w:rsidP="00BF5418">
      <w:pPr>
        <w:pStyle w:val="Ruller4"/>
        <w:rPr>
          <w:rtl/>
        </w:rPr>
      </w:pPr>
      <w:r>
        <w:rPr>
          <w:rFonts w:hint="cs"/>
          <w:rtl/>
        </w:rPr>
        <w:lastRenderedPageBreak/>
        <w:t xml:space="preserve">לאחר הדברים האלה הגישה המערערת ערעור מס לבית המשפט המחוזי, שביסודו טענות עובדתיות ומשפטיות כאחד. עיקרן היה בכך שהזכות למענק ספקים אכן מהווה נכס בלתי מוחשי ובר-פחת שאותו רכשה בעסקה, כפי </w:t>
      </w:r>
      <w:r w:rsidR="005F2480">
        <w:rPr>
          <w:rFonts w:hint="cs"/>
          <w:rtl/>
        </w:rPr>
        <w:t>שנתנה לדברים ביטוי</w:t>
      </w:r>
      <w:r>
        <w:rPr>
          <w:rFonts w:hint="cs"/>
          <w:rtl/>
        </w:rPr>
        <w:t xml:space="preserve"> בדוחות </w:t>
      </w:r>
      <w:r w:rsidRPr="0048600C">
        <w:rPr>
          <w:rFonts w:ascii="FrankRuehl" w:hAnsi="FrankRuehl"/>
          <w:sz w:val="28"/>
          <w:rtl/>
        </w:rPr>
        <w:t>הכספיים</w:t>
      </w:r>
      <w:r w:rsidRPr="0048600C">
        <w:rPr>
          <w:rFonts w:ascii="FrankRuehl" w:hAnsi="FrankRuehl"/>
          <w:sz w:val="28"/>
        </w:rPr>
        <w:t>;</w:t>
      </w:r>
      <w:r w:rsidRPr="0048600C">
        <w:rPr>
          <w:rFonts w:ascii="FrankRuehl" w:hAnsi="FrankRuehl"/>
          <w:sz w:val="28"/>
          <w:rtl/>
        </w:rPr>
        <w:t xml:space="preserve"> </w:t>
      </w:r>
      <w:r w:rsidR="00A26A1E">
        <w:rPr>
          <w:rFonts w:ascii="FrankRuehl" w:hAnsi="FrankRuehl" w:hint="cs"/>
          <w:sz w:val="28"/>
          <w:rtl/>
        </w:rPr>
        <w:t xml:space="preserve">כאשר שיעור הפחת יסודו בקצב קבלת המענקים מספקים לאורך חיי הנכס. </w:t>
      </w:r>
      <w:r w:rsidR="005F66BB">
        <w:rPr>
          <w:rFonts w:ascii="FrankRuehl" w:hAnsi="FrankRuehl"/>
          <w:sz w:val="28"/>
          <w:rtl/>
        </w:rPr>
        <w:t>משכך</w:t>
      </w:r>
      <w:r w:rsidR="005F66BB">
        <w:rPr>
          <w:rFonts w:ascii="FrankRuehl" w:hAnsi="FrankRuehl" w:hint="cs"/>
          <w:sz w:val="28"/>
          <w:rtl/>
        </w:rPr>
        <w:t>, לטענתה,</w:t>
      </w:r>
      <w:r w:rsidR="005F66BB">
        <w:rPr>
          <w:rFonts w:hint="cs"/>
          <w:rtl/>
        </w:rPr>
        <w:t xml:space="preserve"> </w:t>
      </w:r>
      <w:r w:rsidRPr="005F66BB">
        <w:rPr>
          <w:rFonts w:ascii="FrankRuehl" w:hAnsi="FrankRuehl"/>
          <w:sz w:val="28"/>
          <w:rtl/>
        </w:rPr>
        <w:t xml:space="preserve">לא נפל כל פגם בדיווח </w:t>
      </w:r>
      <w:r w:rsidR="00810A28" w:rsidRPr="005F66BB">
        <w:rPr>
          <w:rFonts w:ascii="FrankRuehl" w:hAnsi="FrankRuehl" w:hint="cs"/>
          <w:sz w:val="28"/>
          <w:rtl/>
        </w:rPr>
        <w:t>העצמי</w:t>
      </w:r>
      <w:r w:rsidRPr="005F66BB">
        <w:rPr>
          <w:rFonts w:ascii="FrankRuehl" w:hAnsi="FrankRuehl"/>
          <w:sz w:val="28"/>
          <w:rtl/>
        </w:rPr>
        <w:t xml:space="preserve"> שהעבירה לפקיד השומה, שבו </w:t>
      </w:r>
      <w:r w:rsidR="005F66BB">
        <w:rPr>
          <w:rFonts w:ascii="FrankRuehl" w:hAnsi="FrankRuehl" w:hint="cs"/>
          <w:sz w:val="28"/>
          <w:rtl/>
        </w:rPr>
        <w:t xml:space="preserve">בוצע ניכוי פחת </w:t>
      </w:r>
      <w:r w:rsidR="00BF5418">
        <w:rPr>
          <w:rFonts w:ascii="FrankRuehl" w:hAnsi="FrankRuehl" w:hint="cs"/>
          <w:sz w:val="28"/>
          <w:rtl/>
        </w:rPr>
        <w:t>מן</w:t>
      </w:r>
      <w:r w:rsidR="00810A28" w:rsidRPr="005F66BB">
        <w:rPr>
          <w:rFonts w:ascii="FrankRuehl" w:hAnsi="FrankRuehl" w:hint="cs"/>
          <w:sz w:val="28"/>
          <w:rtl/>
        </w:rPr>
        <w:t xml:space="preserve"> ההכנסה החייבת</w:t>
      </w:r>
      <w:r w:rsidR="00BF5418">
        <w:rPr>
          <w:rFonts w:ascii="FrankRuehl" w:hAnsi="FrankRuehl" w:hint="cs"/>
          <w:sz w:val="28"/>
          <w:rtl/>
        </w:rPr>
        <w:t xml:space="preserve"> כנגד הנכס הבלתי מוחשי</w:t>
      </w:r>
      <w:r>
        <w:rPr>
          <w:rFonts w:hint="cs"/>
          <w:rtl/>
        </w:rPr>
        <w:t>.</w:t>
      </w:r>
    </w:p>
    <w:p w:rsidR="00D05738" w:rsidRPr="00D05738" w:rsidRDefault="00D05738" w:rsidP="00D05738">
      <w:pPr>
        <w:pStyle w:val="Ruller41"/>
      </w:pPr>
    </w:p>
    <w:p w:rsidR="007D6167" w:rsidRDefault="007D6167" w:rsidP="00386A00">
      <w:pPr>
        <w:pStyle w:val="Ruller4"/>
        <w:numPr>
          <w:ilvl w:val="0"/>
          <w:numId w:val="0"/>
        </w:numPr>
        <w:rPr>
          <w:rtl/>
        </w:rPr>
      </w:pPr>
      <w:r>
        <w:rPr>
          <w:rtl/>
        </w:rPr>
        <w:tab/>
      </w:r>
      <w:r>
        <w:rPr>
          <w:rFonts w:hint="cs"/>
          <w:rtl/>
        </w:rPr>
        <w:t>הטענות במישור העובדתי נגעו לנסיבות שונות שהמערערת סברה כי יש בהן כדי ללמד על כך שרכשה נכס נוסף במסגרת העסקה</w:t>
      </w:r>
      <w:r w:rsidR="00430084">
        <w:rPr>
          <w:rFonts w:hint="cs"/>
          <w:rtl/>
        </w:rPr>
        <w:t>.</w:t>
      </w:r>
      <w:r>
        <w:rPr>
          <w:rFonts w:hint="cs"/>
          <w:rtl/>
        </w:rPr>
        <w:t xml:space="preserve"> נטען כי</w:t>
      </w:r>
      <w:r w:rsidRPr="00655688">
        <w:rPr>
          <w:rFonts w:hint="cs"/>
          <w:rtl/>
        </w:rPr>
        <w:t xml:space="preserve"> </w:t>
      </w:r>
      <w:r>
        <w:rPr>
          <w:rFonts w:hint="cs"/>
          <w:rtl/>
        </w:rPr>
        <w:t xml:space="preserve">ההתקשרות בעסקה בוצעה אך ורק מתוך ידיעה שמדובר בעסקה לרכישת שני נכסים </w:t>
      </w:r>
      <w:r>
        <w:rPr>
          <w:rtl/>
        </w:rPr>
        <w:t>–</w:t>
      </w:r>
      <w:r>
        <w:rPr>
          <w:rFonts w:hint="cs"/>
          <w:rtl/>
        </w:rPr>
        <w:t xml:space="preserve"> הן המניות של כמעט חינם, הן הזכות לקבלת מענק ספקים. המערערת </w:t>
      </w:r>
      <w:r w:rsidR="00430084">
        <w:rPr>
          <w:rFonts w:hint="cs"/>
          <w:rtl/>
        </w:rPr>
        <w:t xml:space="preserve">הוסיפה </w:t>
      </w:r>
      <w:r>
        <w:rPr>
          <w:rFonts w:hint="cs"/>
          <w:rtl/>
        </w:rPr>
        <w:t xml:space="preserve">כי עובר לביצוע העסקה ניהלה משא ומתן עם ספקים וחתמה עמם על הסכמים בדבר גובה המענקים שישולמו לה במקרה שבו תרכוש את כמעט חינם (להלן: </w:t>
      </w:r>
      <w:r w:rsidRPr="0063650E">
        <w:rPr>
          <w:rFonts w:ascii="Century" w:hAnsi="Century" w:cs="Miriam" w:hint="cs"/>
          <w:b/>
          <w:spacing w:val="0"/>
          <w:sz w:val="22"/>
          <w:szCs w:val="24"/>
          <w:rtl/>
        </w:rPr>
        <w:t>ההסכמים עם הספקים</w:t>
      </w:r>
      <w:r w:rsidR="00386A00">
        <w:rPr>
          <w:rFonts w:hint="cs"/>
          <w:rtl/>
        </w:rPr>
        <w:t>), כך שהזכות ל</w:t>
      </w:r>
      <w:r>
        <w:rPr>
          <w:rFonts w:hint="cs"/>
          <w:rtl/>
        </w:rPr>
        <w:t>מענק ספקים היוותה חלק מן העסקה והתמורה שולמה גם בעבורה. מימון העסקה, כך נטען, התבסס גם הוא על המענקים הצפויים להתקבל מן הספקים לאורך השנים</w:t>
      </w:r>
      <w:r w:rsidR="00430084">
        <w:rPr>
          <w:rFonts w:hint="cs"/>
          <w:rtl/>
        </w:rPr>
        <w:t>.</w:t>
      </w:r>
    </w:p>
    <w:p w:rsidR="00D05738" w:rsidRPr="00D05738" w:rsidRDefault="00D05738" w:rsidP="00D05738">
      <w:pPr>
        <w:pStyle w:val="Ruller41"/>
      </w:pPr>
    </w:p>
    <w:p w:rsidR="007D6167" w:rsidRDefault="007D6167" w:rsidP="00417A4D">
      <w:pPr>
        <w:pStyle w:val="Ruller4"/>
        <w:numPr>
          <w:ilvl w:val="0"/>
          <w:numId w:val="0"/>
        </w:numPr>
        <w:rPr>
          <w:rtl/>
        </w:rPr>
      </w:pPr>
      <w:r>
        <w:rPr>
          <w:rFonts w:hint="cs"/>
          <w:rtl/>
        </w:rPr>
        <w:tab/>
        <w:t xml:space="preserve">במישור המשפטי הועלו על ידי המערערת מספר הסברים לכך שהזכות למענק ספקים ניתנת לרישום כנכס עצמאי ובר-פחת. ההסבר המרכזי נגע ליחס בין </w:t>
      </w:r>
      <w:r w:rsidR="005A7B59">
        <w:rPr>
          <w:rFonts w:hint="cs"/>
          <w:rtl/>
        </w:rPr>
        <w:t>כללי הרישום החשבונאי</w:t>
      </w:r>
      <w:r>
        <w:rPr>
          <w:rFonts w:hint="cs"/>
          <w:rtl/>
        </w:rPr>
        <w:t xml:space="preserve"> </w:t>
      </w:r>
      <w:r w:rsidR="00417A4D">
        <w:rPr>
          <w:rFonts w:hint="cs"/>
          <w:rtl/>
        </w:rPr>
        <w:t>ו</w:t>
      </w:r>
      <w:r>
        <w:rPr>
          <w:rFonts w:hint="cs"/>
          <w:rtl/>
        </w:rPr>
        <w:t xml:space="preserve">בין דיני המס. המערערת טענה כי עקרונות התקינה החשבונאית קובעים כי נכס בלתי מוחשי ניתן לרישום נפרד, וכי הזכות למענק ספקים מהווה נכס כזה. </w:t>
      </w:r>
      <w:r w:rsidR="00DB1BDE">
        <w:rPr>
          <w:rFonts w:ascii="FrankRuehl" w:hAnsi="FrankRuehl" w:hint="cs"/>
          <w:sz w:val="28"/>
          <w:rtl/>
        </w:rPr>
        <w:t>כ</w:t>
      </w:r>
      <w:r w:rsidRPr="007F7091">
        <w:rPr>
          <w:rFonts w:ascii="FrankRuehl" w:hAnsi="FrankRuehl"/>
          <w:sz w:val="28"/>
          <w:rtl/>
        </w:rPr>
        <w:t xml:space="preserve">תמיכה </w:t>
      </w:r>
      <w:r>
        <w:rPr>
          <w:rFonts w:ascii="FrankRuehl" w:hAnsi="FrankRuehl" w:hint="cs"/>
          <w:sz w:val="28"/>
          <w:rtl/>
        </w:rPr>
        <w:t xml:space="preserve">בכך הוגשו </w:t>
      </w:r>
      <w:r w:rsidR="004672DF">
        <w:rPr>
          <w:rFonts w:ascii="FrankRuehl" w:hAnsi="FrankRuehl" w:hint="cs"/>
          <w:sz w:val="28"/>
          <w:rtl/>
        </w:rPr>
        <w:t>מטעם</w:t>
      </w:r>
      <w:r w:rsidRPr="007F7091">
        <w:rPr>
          <w:rFonts w:ascii="FrankRuehl" w:hAnsi="FrankRuehl"/>
          <w:sz w:val="28"/>
          <w:rtl/>
        </w:rPr>
        <w:t xml:space="preserve"> </w:t>
      </w:r>
      <w:r>
        <w:rPr>
          <w:rFonts w:ascii="FrankRuehl" w:hAnsi="FrankRuehl" w:hint="cs"/>
          <w:sz w:val="28"/>
          <w:rtl/>
        </w:rPr>
        <w:t>המערערת שתי</w:t>
      </w:r>
      <w:r w:rsidRPr="007F7091">
        <w:rPr>
          <w:rFonts w:ascii="FrankRuehl" w:hAnsi="FrankRuehl"/>
          <w:sz w:val="28"/>
          <w:rtl/>
        </w:rPr>
        <w:t xml:space="preserve"> חוות דעת </w:t>
      </w:r>
      <w:r w:rsidR="004672DF">
        <w:rPr>
          <w:rFonts w:ascii="FrankRuehl" w:hAnsi="FrankRuehl" w:hint="cs"/>
          <w:sz w:val="28"/>
          <w:rtl/>
        </w:rPr>
        <w:t xml:space="preserve">של </w:t>
      </w:r>
      <w:r w:rsidRPr="007F7091">
        <w:rPr>
          <w:rFonts w:ascii="FrankRuehl" w:hAnsi="FrankRuehl"/>
          <w:sz w:val="28"/>
          <w:rtl/>
        </w:rPr>
        <w:t>מומחים מתחום החשבונאות</w:t>
      </w:r>
      <w:r>
        <w:rPr>
          <w:rFonts w:ascii="FrankRuehl" w:hAnsi="FrankRuehl" w:hint="cs"/>
          <w:sz w:val="28"/>
          <w:rtl/>
        </w:rPr>
        <w:t>.</w:t>
      </w:r>
      <w:r>
        <w:rPr>
          <w:rFonts w:hint="cs"/>
          <w:rtl/>
        </w:rPr>
        <w:t xml:space="preserve"> </w:t>
      </w:r>
      <w:r w:rsidR="004672DF">
        <w:rPr>
          <w:rFonts w:hint="cs"/>
          <w:rtl/>
        </w:rPr>
        <w:t>בתוך כך נטען</w:t>
      </w:r>
      <w:r>
        <w:rPr>
          <w:rFonts w:hint="cs"/>
          <w:rtl/>
        </w:rPr>
        <w:t xml:space="preserve"> כי בהתאם לכלל המכונה "עקרון העקיבה", צריך החיוב במס להיגזר מאופן הרישום החשבונאי</w:t>
      </w:r>
      <w:r w:rsidR="004672DF">
        <w:rPr>
          <w:rFonts w:hint="cs"/>
          <w:rtl/>
        </w:rPr>
        <w:t xml:space="preserve">. </w:t>
      </w:r>
      <w:r>
        <w:rPr>
          <w:rFonts w:hint="cs"/>
          <w:rtl/>
        </w:rPr>
        <w:t xml:space="preserve">פרט לכך </w:t>
      </w:r>
      <w:r w:rsidR="00674A95">
        <w:rPr>
          <w:rFonts w:hint="cs"/>
          <w:rtl/>
        </w:rPr>
        <w:t>טענה</w:t>
      </w:r>
      <w:r>
        <w:rPr>
          <w:rFonts w:hint="cs"/>
          <w:rtl/>
        </w:rPr>
        <w:t xml:space="preserve"> המערערת </w:t>
      </w:r>
      <w:r w:rsidR="00674A95">
        <w:rPr>
          <w:rFonts w:hint="cs"/>
          <w:rtl/>
        </w:rPr>
        <w:t xml:space="preserve">כי </w:t>
      </w:r>
      <w:r w:rsidR="004672DF">
        <w:rPr>
          <w:rFonts w:hint="cs"/>
          <w:rtl/>
        </w:rPr>
        <w:t xml:space="preserve">גם </w:t>
      </w:r>
      <w:r w:rsidR="00674A95">
        <w:rPr>
          <w:rFonts w:hint="cs"/>
          <w:rtl/>
        </w:rPr>
        <w:t>לנוכח ה</w:t>
      </w:r>
      <w:r>
        <w:rPr>
          <w:rFonts w:hint="cs"/>
          <w:rtl/>
        </w:rPr>
        <w:t>מהות הכלכלית של העסקה</w:t>
      </w:r>
      <w:r w:rsidR="00674A95">
        <w:rPr>
          <w:rFonts w:hint="cs"/>
          <w:rtl/>
        </w:rPr>
        <w:t xml:space="preserve"> ניתן להכיר בזכות למענק ספקים כנכס בלתי מוחשי</w:t>
      </w:r>
      <w:r w:rsidR="004672DF">
        <w:rPr>
          <w:rFonts w:hint="cs"/>
          <w:rtl/>
        </w:rPr>
        <w:t xml:space="preserve"> ובר-פחת.</w:t>
      </w:r>
    </w:p>
    <w:p w:rsidR="00D05738" w:rsidRPr="00D05738" w:rsidRDefault="00D05738" w:rsidP="00D05738">
      <w:pPr>
        <w:pStyle w:val="Ruller41"/>
        <w:rPr>
          <w:rtl/>
        </w:rPr>
      </w:pPr>
    </w:p>
    <w:p w:rsidR="007D6167" w:rsidRPr="004C14CE" w:rsidRDefault="007D6167" w:rsidP="007A6083">
      <w:pPr>
        <w:pStyle w:val="Ruller4"/>
        <w:numPr>
          <w:ilvl w:val="0"/>
          <w:numId w:val="0"/>
        </w:numPr>
        <w:rPr>
          <w:rtl/>
        </w:rPr>
      </w:pPr>
      <w:r>
        <w:rPr>
          <w:rtl/>
        </w:rPr>
        <w:tab/>
      </w:r>
      <w:r>
        <w:rPr>
          <w:rFonts w:hint="cs"/>
          <w:rtl/>
        </w:rPr>
        <w:t>פקיד השומה מצ</w:t>
      </w:r>
      <w:r w:rsidR="00385A1D">
        <w:rPr>
          <w:rFonts w:hint="cs"/>
          <w:rtl/>
        </w:rPr>
        <w:t>י</w:t>
      </w:r>
      <w:r>
        <w:rPr>
          <w:rFonts w:hint="cs"/>
          <w:rtl/>
        </w:rPr>
        <w:t xml:space="preserve">דו התנגד לדברים, </w:t>
      </w:r>
      <w:r w:rsidR="00536183">
        <w:rPr>
          <w:rFonts w:hint="cs"/>
          <w:rtl/>
        </w:rPr>
        <w:t>ועמד על כך שע</w:t>
      </w:r>
      <w:r>
        <w:rPr>
          <w:rFonts w:hint="cs"/>
          <w:rtl/>
        </w:rPr>
        <w:t xml:space="preserve">רעור המס יידחה. אף שסבר כי כלל אין להידרש לעקרונות </w:t>
      </w:r>
      <w:r w:rsidR="00C55DFF">
        <w:rPr>
          <w:rFonts w:hint="cs"/>
          <w:rtl/>
        </w:rPr>
        <w:t>חשבונאיים</w:t>
      </w:r>
      <w:r>
        <w:rPr>
          <w:rFonts w:hint="cs"/>
          <w:rtl/>
        </w:rPr>
        <w:t xml:space="preserve"> במקרה הנדון, הוגשו גם מטעמו </w:t>
      </w:r>
      <w:r w:rsidR="00487306">
        <w:rPr>
          <w:rFonts w:hint="cs"/>
          <w:rtl/>
        </w:rPr>
        <w:t xml:space="preserve">שתי </w:t>
      </w:r>
      <w:r>
        <w:rPr>
          <w:rFonts w:hint="cs"/>
          <w:rtl/>
        </w:rPr>
        <w:t xml:space="preserve">חוות דעת מומחים מתחום החשבונאות לנוכח טענותיה של המערערת בנושא זה. כמו כן, בשל הטענות העובדתיות שהעלתה המערערת וגם בהן כפר פקיד השומה, התנהל </w:t>
      </w:r>
      <w:r w:rsidR="007A6083">
        <w:rPr>
          <w:rFonts w:hint="cs"/>
          <w:rtl/>
        </w:rPr>
        <w:t>ל</w:t>
      </w:r>
      <w:r>
        <w:rPr>
          <w:rFonts w:hint="cs"/>
          <w:rtl/>
        </w:rPr>
        <w:t xml:space="preserve">פני בית המשפט המחוזי הליך הוכחות. בהליך זה העידה, בין היתר, רו"ח ספיר זוהר, המפקחת מטעם פקיד השומה שטיפלה בהליך ההשגה של המערערת (להלן: </w:t>
      </w:r>
      <w:r w:rsidRPr="000B3807">
        <w:rPr>
          <w:rFonts w:ascii="Century" w:hAnsi="Century" w:cs="Miriam" w:hint="cs"/>
          <w:b/>
          <w:spacing w:val="0"/>
          <w:sz w:val="22"/>
          <w:szCs w:val="24"/>
          <w:rtl/>
        </w:rPr>
        <w:t>נציגת פקיד השומה</w:t>
      </w:r>
      <w:r>
        <w:rPr>
          <w:rFonts w:hint="cs"/>
          <w:rtl/>
        </w:rPr>
        <w:t>).</w:t>
      </w:r>
    </w:p>
    <w:p w:rsidR="007D6167" w:rsidRDefault="007D6167" w:rsidP="007D6167">
      <w:pPr>
        <w:pStyle w:val="Ruller41"/>
        <w:rPr>
          <w:rtl/>
        </w:rPr>
      </w:pPr>
    </w:p>
    <w:p w:rsidR="00D05738" w:rsidRDefault="00D05738" w:rsidP="007D6167">
      <w:pPr>
        <w:pStyle w:val="Ruller41"/>
        <w:rPr>
          <w:rtl/>
        </w:rPr>
      </w:pPr>
    </w:p>
    <w:p w:rsidR="00D05738" w:rsidRDefault="00D05738" w:rsidP="007D6167">
      <w:pPr>
        <w:pStyle w:val="Ruller41"/>
        <w:rPr>
          <w:rtl/>
        </w:rPr>
      </w:pPr>
    </w:p>
    <w:p w:rsidR="007D6167" w:rsidRPr="00153CD5" w:rsidRDefault="007D6167" w:rsidP="007D6167">
      <w:pPr>
        <w:pStyle w:val="Ruller41"/>
        <w:rPr>
          <w:rFonts w:ascii="Century" w:hAnsi="Century" w:cs="Miriam"/>
          <w:b/>
          <w:spacing w:val="0"/>
          <w:szCs w:val="24"/>
          <w:rtl/>
        </w:rPr>
      </w:pPr>
      <w:r w:rsidRPr="00153CD5">
        <w:rPr>
          <w:rFonts w:ascii="Century" w:hAnsi="Century" w:cs="Miriam" w:hint="cs"/>
          <w:b/>
          <w:spacing w:val="0"/>
          <w:szCs w:val="24"/>
          <w:rtl/>
        </w:rPr>
        <w:t>פסק דינו של בית המשפט המחוזי</w:t>
      </w:r>
    </w:p>
    <w:p w:rsidR="007D6167" w:rsidRPr="00153CD5" w:rsidRDefault="007D6167" w:rsidP="007D6167">
      <w:pPr>
        <w:pStyle w:val="Ruller41"/>
        <w:spacing w:line="240" w:lineRule="auto"/>
        <w:rPr>
          <w:rFonts w:ascii="Century" w:hAnsi="Century" w:cs="Miriam"/>
          <w:b/>
          <w:spacing w:val="0"/>
          <w:szCs w:val="24"/>
          <w:rtl/>
        </w:rPr>
      </w:pPr>
    </w:p>
    <w:p w:rsidR="007D6167" w:rsidRDefault="007D6167" w:rsidP="003C2887">
      <w:pPr>
        <w:pStyle w:val="Ruller4"/>
      </w:pPr>
      <w:r>
        <w:rPr>
          <w:rFonts w:hint="cs"/>
          <w:rtl/>
        </w:rPr>
        <w:t xml:space="preserve">בית המשפט המחוזי דחה את ערעור המס על כל חלקיו, ובתוך כך </w:t>
      </w:r>
      <w:r w:rsidR="00D466FC">
        <w:rPr>
          <w:rFonts w:hint="cs"/>
          <w:rtl/>
        </w:rPr>
        <w:t xml:space="preserve">הטיל על המערערת </w:t>
      </w:r>
      <w:r>
        <w:rPr>
          <w:rFonts w:hint="cs"/>
          <w:rtl/>
        </w:rPr>
        <w:t>קנס גירעון בשיעור של 15% ו</w:t>
      </w:r>
      <w:r w:rsidR="00D466FC">
        <w:rPr>
          <w:rFonts w:hint="cs"/>
          <w:rtl/>
        </w:rPr>
        <w:t xml:space="preserve">קבע כי </w:t>
      </w:r>
      <w:r>
        <w:rPr>
          <w:rFonts w:hint="cs"/>
          <w:rtl/>
        </w:rPr>
        <w:t>תישא בהוצאות פקיד השומה בסך 250,000 ש"ח. בפסק הדין המקיף</w:t>
      </w:r>
      <w:r w:rsidR="00F06344">
        <w:rPr>
          <w:rFonts w:hint="cs"/>
          <w:rtl/>
        </w:rPr>
        <w:t xml:space="preserve"> </w:t>
      </w:r>
      <w:r>
        <w:rPr>
          <w:rFonts w:hint="cs"/>
          <w:rtl/>
        </w:rPr>
        <w:t xml:space="preserve">נקבעו ממצאי עובדה ומהימנות רבים ונפרשה יריעה נורמטיבית רחבה </w:t>
      </w:r>
      <w:r w:rsidR="00F06344">
        <w:rPr>
          <w:rFonts w:hint="cs"/>
          <w:rtl/>
        </w:rPr>
        <w:t>בהתייחס</w:t>
      </w:r>
      <w:r>
        <w:rPr>
          <w:rFonts w:hint="cs"/>
          <w:rtl/>
        </w:rPr>
        <w:t xml:space="preserve"> לדיני</w:t>
      </w:r>
      <w:r w:rsidR="00D466FC">
        <w:rPr>
          <w:rFonts w:hint="cs"/>
          <w:rtl/>
        </w:rPr>
        <w:t xml:space="preserve"> המס</w:t>
      </w:r>
      <w:r>
        <w:rPr>
          <w:rFonts w:hint="cs"/>
          <w:rtl/>
        </w:rPr>
        <w:t xml:space="preserve"> הרלו</w:t>
      </w:r>
      <w:r w:rsidR="00AF4677">
        <w:rPr>
          <w:rFonts w:hint="cs"/>
          <w:rtl/>
        </w:rPr>
        <w:t>ונטיים. כל אלה הובילו למסקנה חד-</w:t>
      </w:r>
      <w:r>
        <w:rPr>
          <w:rFonts w:hint="cs"/>
          <w:rtl/>
        </w:rPr>
        <w:t>משמעית שלפיה המערערת לא רכשה בעסק</w:t>
      </w:r>
      <w:r w:rsidR="00AF4677">
        <w:rPr>
          <w:rFonts w:hint="cs"/>
          <w:rtl/>
        </w:rPr>
        <w:t xml:space="preserve">ה דבר מלבד מניותיה של כמעט </w:t>
      </w:r>
      <w:r w:rsidR="00AF4677" w:rsidRPr="00AF4677">
        <w:rPr>
          <w:rFonts w:ascii="FrankRuehl" w:hAnsi="FrankRuehl"/>
          <w:sz w:val="28"/>
          <w:rtl/>
        </w:rPr>
        <w:t>חינם</w:t>
      </w:r>
      <w:r w:rsidR="00AF4677" w:rsidRPr="00AF4677">
        <w:rPr>
          <w:rFonts w:ascii="FrankRuehl" w:hAnsi="FrankRuehl"/>
          <w:sz w:val="28"/>
        </w:rPr>
        <w:t>;</w:t>
      </w:r>
      <w:r w:rsidRPr="00AF4677">
        <w:rPr>
          <w:rFonts w:ascii="FrankRuehl" w:hAnsi="FrankRuehl"/>
          <w:sz w:val="28"/>
          <w:rtl/>
        </w:rPr>
        <w:t xml:space="preserve"> וכי</w:t>
      </w:r>
      <w:r>
        <w:rPr>
          <w:rFonts w:hint="cs"/>
          <w:rtl/>
        </w:rPr>
        <w:t xml:space="preserve"> גם אם הייתה רוכשת את הנכס הבלתי מוחשי הנטען על ידה, לא היה בכך כדי לאפשר לה </w:t>
      </w:r>
      <w:r w:rsidR="003C2887">
        <w:rPr>
          <w:rFonts w:hint="cs"/>
          <w:rtl/>
        </w:rPr>
        <w:t>לנכות פחת</w:t>
      </w:r>
      <w:r>
        <w:rPr>
          <w:rFonts w:hint="cs"/>
          <w:rtl/>
        </w:rPr>
        <w:t xml:space="preserve"> כנגד הנכס מהכנסתה החייבת.</w:t>
      </w:r>
    </w:p>
    <w:p w:rsidR="007D6167" w:rsidRDefault="007D6167" w:rsidP="00D05738">
      <w:pPr>
        <w:pStyle w:val="Ruller4"/>
        <w:numPr>
          <w:ilvl w:val="0"/>
          <w:numId w:val="0"/>
        </w:numPr>
        <w:spacing w:line="240" w:lineRule="auto"/>
        <w:rPr>
          <w:rtl/>
        </w:rPr>
      </w:pPr>
    </w:p>
    <w:p w:rsidR="007D6167" w:rsidRDefault="007D6167" w:rsidP="00882AF1">
      <w:pPr>
        <w:pStyle w:val="Ruller4"/>
        <w:numPr>
          <w:ilvl w:val="0"/>
          <w:numId w:val="0"/>
        </w:numPr>
        <w:rPr>
          <w:rtl/>
        </w:rPr>
      </w:pPr>
      <w:r>
        <w:rPr>
          <w:rtl/>
        </w:rPr>
        <w:tab/>
      </w:r>
      <w:r>
        <w:rPr>
          <w:rFonts w:hint="cs"/>
          <w:rtl/>
        </w:rPr>
        <w:t xml:space="preserve">בפתח הדברים יצוין כי </w:t>
      </w:r>
      <w:r w:rsidR="00387FC2">
        <w:rPr>
          <w:rFonts w:hint="cs"/>
          <w:rtl/>
        </w:rPr>
        <w:t>אמנם לכתחילה נסב הערעור</w:t>
      </w:r>
      <w:r w:rsidR="00564209">
        <w:rPr>
          <w:rFonts w:hint="cs"/>
          <w:rtl/>
        </w:rPr>
        <w:t xml:space="preserve"> שלפנינו</w:t>
      </w:r>
      <w:r w:rsidR="00387FC2">
        <w:rPr>
          <w:rFonts w:hint="cs"/>
          <w:rtl/>
        </w:rPr>
        <w:t xml:space="preserve"> על </w:t>
      </w:r>
      <w:r w:rsidR="003C2887">
        <w:rPr>
          <w:rFonts w:hint="cs"/>
          <w:rtl/>
        </w:rPr>
        <w:t>כלל</w:t>
      </w:r>
      <w:r w:rsidR="00387FC2">
        <w:rPr>
          <w:rFonts w:hint="cs"/>
          <w:rtl/>
        </w:rPr>
        <w:t xml:space="preserve"> הסוגיות שהוכרעו בפסק דינו של בית </w:t>
      </w:r>
      <w:r w:rsidR="00387FC2" w:rsidRPr="00B0155B">
        <w:rPr>
          <w:rFonts w:ascii="FrankRuehl" w:hAnsi="FrankRuehl"/>
          <w:sz w:val="28"/>
          <w:rtl/>
        </w:rPr>
        <w:t xml:space="preserve">המשפט המחוזי, </w:t>
      </w:r>
      <w:r w:rsidR="003C2887" w:rsidRPr="00B0155B">
        <w:rPr>
          <w:rFonts w:ascii="FrankRuehl" w:hAnsi="FrankRuehl"/>
          <w:sz w:val="28"/>
          <w:rtl/>
        </w:rPr>
        <w:t>תוך התמקדות</w:t>
      </w:r>
      <w:r w:rsidR="00387FC2" w:rsidRPr="00B0155B">
        <w:rPr>
          <w:rFonts w:ascii="FrankRuehl" w:hAnsi="FrankRuehl"/>
          <w:sz w:val="28"/>
          <w:rtl/>
        </w:rPr>
        <w:t xml:space="preserve"> </w:t>
      </w:r>
      <w:r w:rsidR="00B0155B" w:rsidRPr="00B0155B">
        <w:rPr>
          <w:rFonts w:ascii="FrankRuehl" w:hAnsi="FrankRuehl"/>
          <w:sz w:val="28"/>
          <w:rtl/>
        </w:rPr>
        <w:t>ב</w:t>
      </w:r>
      <w:r w:rsidR="003F0DD9">
        <w:rPr>
          <w:rFonts w:ascii="FrankRuehl" w:hAnsi="FrankRuehl" w:hint="cs"/>
          <w:sz w:val="28"/>
          <w:rtl/>
        </w:rPr>
        <w:t>הכנסה החייבת</w:t>
      </w:r>
      <w:r w:rsidR="00B0155B" w:rsidRPr="00B0155B">
        <w:rPr>
          <w:rFonts w:ascii="FrankRuehl" w:hAnsi="FrankRuehl"/>
          <w:sz w:val="28"/>
          <w:rtl/>
        </w:rPr>
        <w:t xml:space="preserve"> שנקבעה</w:t>
      </w:r>
      <w:r w:rsidR="003F0DD9">
        <w:rPr>
          <w:rFonts w:ascii="FrankRuehl" w:hAnsi="FrankRuehl" w:hint="cs"/>
          <w:sz w:val="28"/>
          <w:rtl/>
        </w:rPr>
        <w:t xml:space="preserve"> בשומה</w:t>
      </w:r>
      <w:r w:rsidR="003F0DD9">
        <w:rPr>
          <w:rFonts w:ascii="FrankRuehl" w:hAnsi="FrankRuehl"/>
          <w:sz w:val="28"/>
          <w:rtl/>
        </w:rPr>
        <w:t xml:space="preserve"> ל</w:t>
      </w:r>
      <w:r w:rsidR="003F0DD9">
        <w:rPr>
          <w:rFonts w:ascii="FrankRuehl" w:hAnsi="FrankRuehl" w:hint="cs"/>
          <w:sz w:val="28"/>
          <w:rtl/>
        </w:rPr>
        <w:t>נוכח</w:t>
      </w:r>
      <w:r w:rsidR="00D37008">
        <w:rPr>
          <w:rFonts w:ascii="FrankRuehl" w:hAnsi="FrankRuehl"/>
          <w:sz w:val="28"/>
          <w:rtl/>
        </w:rPr>
        <w:t xml:space="preserve"> אי</w:t>
      </w:r>
      <w:r w:rsidR="00D37008">
        <w:rPr>
          <w:rFonts w:ascii="FrankRuehl" w:hAnsi="FrankRuehl" w:hint="cs"/>
          <w:sz w:val="28"/>
          <w:rtl/>
        </w:rPr>
        <w:t>-</w:t>
      </w:r>
      <w:r w:rsidR="00B0155B" w:rsidRPr="00B0155B">
        <w:rPr>
          <w:rFonts w:ascii="FrankRuehl" w:hAnsi="FrankRuehl"/>
          <w:sz w:val="28"/>
          <w:rtl/>
        </w:rPr>
        <w:t>ההכרה בזכות למענק ספקים כנכס</w:t>
      </w:r>
      <w:r w:rsidR="00B0155B" w:rsidRPr="00B0155B">
        <w:rPr>
          <w:rFonts w:ascii="FrankRuehl" w:hAnsi="FrankRuehl"/>
          <w:sz w:val="28"/>
        </w:rPr>
        <w:t>;</w:t>
      </w:r>
      <w:r w:rsidR="00B0155B" w:rsidRPr="00B0155B">
        <w:rPr>
          <w:rFonts w:ascii="FrankRuehl" w:hAnsi="FrankRuehl"/>
          <w:sz w:val="28"/>
          <w:rtl/>
        </w:rPr>
        <w:t xml:space="preserve"> אך</w:t>
      </w:r>
      <w:r w:rsidR="00B0155B">
        <w:rPr>
          <w:rFonts w:hint="cs"/>
          <w:rtl/>
        </w:rPr>
        <w:t xml:space="preserve"> לאחר הדיון ובעקבות הערותינו הודיעה המערערת ביום 31.1.2023 כי היא עומדת על הערעור אך ביחס לשתי סוגיות ממוקדות: קנס הגירעון וההוצאות שנפסקו לחובתה</w:t>
      </w:r>
      <w:r w:rsidR="0033485A">
        <w:rPr>
          <w:rFonts w:hint="cs"/>
          <w:rtl/>
        </w:rPr>
        <w:t xml:space="preserve"> בבית המשפט המחוזי</w:t>
      </w:r>
      <w:r w:rsidR="00B0155B">
        <w:rPr>
          <w:rFonts w:hint="cs"/>
          <w:rtl/>
        </w:rPr>
        <w:t>.</w:t>
      </w:r>
      <w:r>
        <w:rPr>
          <w:rFonts w:hint="cs"/>
          <w:rtl/>
        </w:rPr>
        <w:t xml:space="preserve"> עם זאת, </w:t>
      </w:r>
      <w:r w:rsidR="0033485A">
        <w:rPr>
          <w:rFonts w:hint="cs"/>
          <w:rtl/>
        </w:rPr>
        <w:t>הכרעה</w:t>
      </w:r>
      <w:r>
        <w:rPr>
          <w:rFonts w:hint="cs"/>
          <w:rtl/>
        </w:rPr>
        <w:t xml:space="preserve"> </w:t>
      </w:r>
      <w:r w:rsidR="0033485A">
        <w:rPr>
          <w:rFonts w:hint="cs"/>
          <w:rtl/>
        </w:rPr>
        <w:t>ב</w:t>
      </w:r>
      <w:r>
        <w:rPr>
          <w:rFonts w:hint="cs"/>
          <w:rtl/>
        </w:rPr>
        <w:t>סוגיות אלה</w:t>
      </w:r>
      <w:r w:rsidR="005F45C3">
        <w:rPr>
          <w:rFonts w:hint="cs"/>
          <w:rtl/>
        </w:rPr>
        <w:t xml:space="preserve"> כרוכה</w:t>
      </w:r>
      <w:r>
        <w:rPr>
          <w:rFonts w:hint="cs"/>
          <w:rtl/>
        </w:rPr>
        <w:t xml:space="preserve"> </w:t>
      </w:r>
      <w:r w:rsidR="0033485A">
        <w:rPr>
          <w:rFonts w:hint="cs"/>
          <w:rtl/>
        </w:rPr>
        <w:t>בקביעות</w:t>
      </w:r>
      <w:r>
        <w:rPr>
          <w:rFonts w:hint="cs"/>
          <w:rtl/>
        </w:rPr>
        <w:t xml:space="preserve"> של בית </w:t>
      </w:r>
      <w:r w:rsidRPr="00DC3593">
        <w:rPr>
          <w:rFonts w:ascii="FrankRuehl" w:hAnsi="FrankRuehl"/>
          <w:sz w:val="28"/>
          <w:rtl/>
        </w:rPr>
        <w:t xml:space="preserve">המשפט המחוזי </w:t>
      </w:r>
      <w:r w:rsidR="005F45C3">
        <w:rPr>
          <w:rFonts w:ascii="FrankRuehl" w:hAnsi="FrankRuehl" w:hint="cs"/>
          <w:sz w:val="28"/>
          <w:rtl/>
        </w:rPr>
        <w:t>בנוגע</w:t>
      </w:r>
      <w:r w:rsidRPr="00DC3593">
        <w:rPr>
          <w:rFonts w:ascii="FrankRuehl" w:hAnsi="FrankRuehl"/>
          <w:sz w:val="28"/>
          <w:rtl/>
        </w:rPr>
        <w:t xml:space="preserve"> להכנסה החייבת</w:t>
      </w:r>
      <w:r w:rsidRPr="00DC3593">
        <w:rPr>
          <w:rFonts w:ascii="FrankRuehl" w:hAnsi="FrankRuehl"/>
          <w:sz w:val="28"/>
        </w:rPr>
        <w:t>;</w:t>
      </w:r>
      <w:r w:rsidRPr="00DC3593">
        <w:rPr>
          <w:rFonts w:ascii="FrankRuehl" w:hAnsi="FrankRuehl"/>
          <w:sz w:val="28"/>
          <w:rtl/>
        </w:rPr>
        <w:t xml:space="preserve"> </w:t>
      </w:r>
      <w:r>
        <w:rPr>
          <w:rFonts w:ascii="FrankRuehl" w:hAnsi="FrankRuehl" w:hint="cs"/>
          <w:sz w:val="28"/>
          <w:rtl/>
        </w:rPr>
        <w:t>שמהן ניתן ללמוד</w:t>
      </w:r>
      <w:r w:rsidRPr="00DC3593">
        <w:rPr>
          <w:rFonts w:ascii="FrankRuehl" w:hAnsi="FrankRuehl"/>
          <w:sz w:val="28"/>
          <w:rtl/>
        </w:rPr>
        <w:t xml:space="preserve"> על התנהלותה של המערערת </w:t>
      </w:r>
      <w:r w:rsidR="00882AF1">
        <w:rPr>
          <w:rFonts w:ascii="FrankRuehl" w:hAnsi="FrankRuehl" w:hint="cs"/>
          <w:sz w:val="28"/>
          <w:rtl/>
        </w:rPr>
        <w:t>שהיוותה בסיס להטלת קנס הגירעון</w:t>
      </w:r>
      <w:r>
        <w:rPr>
          <w:rFonts w:ascii="FrankRuehl" w:hAnsi="FrankRuehl" w:hint="cs"/>
          <w:sz w:val="28"/>
          <w:rtl/>
        </w:rPr>
        <w:t>. לפיכך, אתייחס לעיקרי הקביעות של בית המשפט המחוזי</w:t>
      </w:r>
      <w:r w:rsidRPr="00DC3593">
        <w:rPr>
          <w:rFonts w:ascii="FrankRuehl" w:hAnsi="FrankRuehl"/>
          <w:sz w:val="28"/>
          <w:rtl/>
        </w:rPr>
        <w:t xml:space="preserve"> </w:t>
      </w:r>
      <w:r>
        <w:rPr>
          <w:rFonts w:hint="cs"/>
          <w:rtl/>
        </w:rPr>
        <w:t>בכללותן.</w:t>
      </w:r>
    </w:p>
    <w:p w:rsidR="007D6167" w:rsidRDefault="007D6167" w:rsidP="007D6167">
      <w:pPr>
        <w:pStyle w:val="Ruller41"/>
        <w:rPr>
          <w:rtl/>
        </w:rPr>
      </w:pPr>
    </w:p>
    <w:p w:rsidR="007D6167" w:rsidRDefault="007D6167" w:rsidP="009B0E13">
      <w:pPr>
        <w:pStyle w:val="Ruller4"/>
      </w:pPr>
      <w:r>
        <w:rPr>
          <w:rFonts w:hint="cs"/>
          <w:rtl/>
        </w:rPr>
        <w:t xml:space="preserve">במישור העובדתי קבע בית המשפט המחוזי ממצאים ששוללים לחלוטין את גרסת המערערת, שלפיה התקשרה בעסקה רק מתוך ידיעה שהיא רוכשת במסגרתה את הזכות למענק ספקים ולא רק את מניות כמעט חינם. הממצא המרכזי במישור זה היה כי בניגוד לדברי המערערת, ההסכמים עם הספקים נחתמו רק </w:t>
      </w:r>
      <w:r w:rsidRPr="006624C3">
        <w:rPr>
          <w:rFonts w:ascii="Century" w:hAnsi="Century" w:cs="Miriam" w:hint="cs"/>
          <w:b/>
          <w:spacing w:val="0"/>
          <w:sz w:val="22"/>
          <w:szCs w:val="24"/>
          <w:rtl/>
        </w:rPr>
        <w:t>לאחר</w:t>
      </w:r>
      <w:r w:rsidRPr="006624C3">
        <w:rPr>
          <w:rFonts w:hint="cs"/>
          <w:rtl/>
        </w:rPr>
        <w:t xml:space="preserve"> </w:t>
      </w:r>
      <w:r>
        <w:rPr>
          <w:rFonts w:hint="cs"/>
          <w:rtl/>
        </w:rPr>
        <w:t xml:space="preserve">ביצוע </w:t>
      </w:r>
      <w:r w:rsidRPr="00DE1374">
        <w:rPr>
          <w:rFonts w:ascii="FrankRuehl" w:hAnsi="FrankRuehl"/>
          <w:sz w:val="28"/>
          <w:rtl/>
        </w:rPr>
        <w:t>העסקה</w:t>
      </w:r>
      <w:r>
        <w:rPr>
          <w:rFonts w:ascii="FrankRuehl" w:hAnsi="FrankRuehl" w:hint="cs"/>
          <w:sz w:val="28"/>
          <w:rtl/>
        </w:rPr>
        <w:t xml:space="preserve"> על ידה</w:t>
      </w:r>
      <w:r w:rsidRPr="00DE1374">
        <w:rPr>
          <w:rFonts w:ascii="FrankRuehl" w:hAnsi="FrankRuehl"/>
          <w:sz w:val="28"/>
        </w:rPr>
        <w:t>;</w:t>
      </w:r>
      <w:r w:rsidRPr="00DE1374">
        <w:rPr>
          <w:rFonts w:ascii="FrankRuehl" w:hAnsi="FrankRuehl"/>
          <w:sz w:val="28"/>
          <w:rtl/>
        </w:rPr>
        <w:t xml:space="preserve"> ומשמע</w:t>
      </w:r>
      <w:r>
        <w:rPr>
          <w:rFonts w:hint="cs"/>
          <w:rtl/>
        </w:rPr>
        <w:t xml:space="preserve"> שבעת ביצוע העסקה כלל לא הייתה למערערת זכות לקבלת מענקים מן הספקים כטענתה, כך שאין מדובר בנכס שרכשה.</w:t>
      </w:r>
    </w:p>
    <w:p w:rsidR="007D6167" w:rsidRDefault="007D6167" w:rsidP="00D05738">
      <w:pPr>
        <w:pStyle w:val="Ruller4"/>
        <w:numPr>
          <w:ilvl w:val="0"/>
          <w:numId w:val="0"/>
        </w:numPr>
        <w:spacing w:line="240" w:lineRule="auto"/>
        <w:rPr>
          <w:rtl/>
        </w:rPr>
      </w:pPr>
    </w:p>
    <w:p w:rsidR="007D6167" w:rsidRDefault="007D6167" w:rsidP="009708E9">
      <w:pPr>
        <w:pStyle w:val="Ruller4"/>
        <w:numPr>
          <w:ilvl w:val="0"/>
          <w:numId w:val="0"/>
        </w:numPr>
        <w:rPr>
          <w:rtl/>
        </w:rPr>
      </w:pPr>
      <w:r>
        <w:rPr>
          <w:rtl/>
        </w:rPr>
        <w:tab/>
      </w:r>
      <w:r>
        <w:rPr>
          <w:rFonts w:hint="cs"/>
          <w:rtl/>
        </w:rPr>
        <w:t xml:space="preserve">ממצא נוסף </w:t>
      </w:r>
      <w:r w:rsidR="005327F7">
        <w:rPr>
          <w:rFonts w:hint="cs"/>
          <w:rtl/>
        </w:rPr>
        <w:t>שקבע בית המשפט בנוגע</w:t>
      </w:r>
      <w:r>
        <w:rPr>
          <w:rFonts w:hint="cs"/>
          <w:rtl/>
        </w:rPr>
        <w:t xml:space="preserve"> לעסקה </w:t>
      </w:r>
      <w:r w:rsidR="005327F7">
        <w:rPr>
          <w:rFonts w:hint="cs"/>
          <w:rtl/>
        </w:rPr>
        <w:t>הוא</w:t>
      </w:r>
      <w:r>
        <w:rPr>
          <w:rFonts w:hint="cs"/>
          <w:rtl/>
        </w:rPr>
        <w:t xml:space="preserve"> כי גם לפניה קיב</w:t>
      </w:r>
      <w:r w:rsidR="00A3042E">
        <w:rPr>
          <w:rFonts w:hint="cs"/>
          <w:rtl/>
        </w:rPr>
        <w:t xml:space="preserve">לה המערערת מענקים מספקים, במסגרת </w:t>
      </w:r>
      <w:r>
        <w:rPr>
          <w:rFonts w:hint="cs"/>
          <w:rtl/>
        </w:rPr>
        <w:t xml:space="preserve">הנוהג המקובל, ולכן אין מדובר בנכס חדש. בהקשר זה אף העמיד בית המשפט המחוזי דברים על דיוקם, וביאר כי חרף השימוש של המערערת במונח "מענקים מספקים" </w:t>
      </w:r>
      <w:r>
        <w:rPr>
          <w:rtl/>
        </w:rPr>
        <w:t>–</w:t>
      </w:r>
      <w:r>
        <w:rPr>
          <w:rFonts w:hint="cs"/>
          <w:rtl/>
        </w:rPr>
        <w:t xml:space="preserve"> למעשה אין מדובר</w:t>
      </w:r>
      <w:r w:rsidR="009708E9">
        <w:rPr>
          <w:rFonts w:hint="cs"/>
          <w:rtl/>
        </w:rPr>
        <w:t xml:space="preserve"> כלל</w:t>
      </w:r>
      <w:r>
        <w:rPr>
          <w:rFonts w:hint="cs"/>
          <w:rtl/>
        </w:rPr>
        <w:t xml:space="preserve"> ב"מענקים", אלא בהנחות ובהקטנת חיובים שוטפים של המערערת</w:t>
      </w:r>
      <w:r w:rsidR="009B0E13">
        <w:rPr>
          <w:rFonts w:hint="cs"/>
          <w:rtl/>
        </w:rPr>
        <w:t xml:space="preserve"> לספקיה</w:t>
      </w:r>
      <w:r>
        <w:rPr>
          <w:rFonts w:hint="cs"/>
          <w:rtl/>
        </w:rPr>
        <w:t xml:space="preserve"> כחלק מן ההתחשבנות בין הספקים ובינה. בהקשר זה הדגיש בית המשפט כי ההנחות הללו הותנו בפעולות מסוימות מצד המערערת, כגון </w:t>
      </w:r>
      <w:r w:rsidRPr="008A5D78">
        <w:rPr>
          <w:rFonts w:ascii="FrankRuehl" w:hAnsi="FrankRuehl"/>
          <w:sz w:val="28"/>
          <w:rtl/>
        </w:rPr>
        <w:t xml:space="preserve">הגדלת מכירות והקצאת שטחי מדף, כך שגם בהיבט זה אין מדובר </w:t>
      </w:r>
      <w:r w:rsidRPr="008A5D78">
        <w:rPr>
          <w:rFonts w:ascii="FrankRuehl" w:hAnsi="FrankRuehl"/>
          <w:sz w:val="28"/>
          <w:rtl/>
        </w:rPr>
        <w:lastRenderedPageBreak/>
        <w:t>ב"מענקים"</w:t>
      </w:r>
      <w:r w:rsidRPr="008A5D78">
        <w:rPr>
          <w:rFonts w:ascii="FrankRuehl" w:hAnsi="FrankRuehl"/>
          <w:sz w:val="28"/>
        </w:rPr>
        <w:t>;</w:t>
      </w:r>
      <w:r w:rsidRPr="008A5D78">
        <w:rPr>
          <w:rFonts w:ascii="FrankRuehl" w:hAnsi="FrankRuehl"/>
          <w:sz w:val="28"/>
          <w:rtl/>
        </w:rPr>
        <w:t xml:space="preserve"> וגם אם ההנחות גדלו במידת מה כתוצאה</w:t>
      </w:r>
      <w:r>
        <w:rPr>
          <w:rFonts w:hint="cs"/>
          <w:rtl/>
        </w:rPr>
        <w:t xml:space="preserve"> מן המיזוג בין שתי הרשתות הקמעונאיות, מדובר לכל היותר בהגדלת כושר המיקוח של המערערת </w:t>
      </w:r>
      <w:r w:rsidR="00D61F3D">
        <w:rPr>
          <w:rFonts w:hint="cs"/>
          <w:rtl/>
        </w:rPr>
        <w:t xml:space="preserve">אל </w:t>
      </w:r>
      <w:r>
        <w:rPr>
          <w:rFonts w:hint="cs"/>
          <w:rtl/>
        </w:rPr>
        <w:t xml:space="preserve">מול </w:t>
      </w:r>
      <w:r w:rsidRPr="00F24C61">
        <w:rPr>
          <w:rFonts w:ascii="FrankRuehl" w:hAnsi="FrankRuehl"/>
          <w:sz w:val="28"/>
          <w:rtl/>
        </w:rPr>
        <w:t>ספקיה</w:t>
      </w:r>
      <w:r>
        <w:rPr>
          <w:rFonts w:ascii="FrankRuehl" w:hAnsi="FrankRuehl" w:hint="cs"/>
          <w:sz w:val="28"/>
          <w:rtl/>
        </w:rPr>
        <w:t>.</w:t>
      </w:r>
    </w:p>
    <w:p w:rsidR="007D6167" w:rsidRDefault="007D6167" w:rsidP="00D05738">
      <w:pPr>
        <w:pStyle w:val="Ruller41"/>
        <w:spacing w:line="240" w:lineRule="auto"/>
        <w:rPr>
          <w:rtl/>
        </w:rPr>
      </w:pPr>
    </w:p>
    <w:p w:rsidR="007D6167" w:rsidRDefault="007D6167" w:rsidP="00DB5941">
      <w:pPr>
        <w:pStyle w:val="Ruller41"/>
        <w:rPr>
          <w:rtl/>
        </w:rPr>
      </w:pPr>
      <w:r>
        <w:rPr>
          <w:rtl/>
        </w:rPr>
        <w:tab/>
      </w:r>
      <w:r>
        <w:rPr>
          <w:rFonts w:hint="cs"/>
          <w:rtl/>
        </w:rPr>
        <w:t>פרט לממצאי העובדה הנוגעים ל</w:t>
      </w:r>
      <w:r w:rsidR="005F2F3A">
        <w:rPr>
          <w:rFonts w:hint="cs"/>
          <w:rtl/>
        </w:rPr>
        <w:t>נסיבות ביצוע ה</w:t>
      </w:r>
      <w:r>
        <w:rPr>
          <w:rFonts w:hint="cs"/>
          <w:rtl/>
        </w:rPr>
        <w:t xml:space="preserve">עסקה, נקבעו גם ממצאים חיצוניים לה </w:t>
      </w:r>
      <w:r w:rsidR="00DA2D27">
        <w:rPr>
          <w:rFonts w:hint="cs"/>
          <w:rtl/>
        </w:rPr>
        <w:t>המוכיחים</w:t>
      </w:r>
      <w:r>
        <w:rPr>
          <w:rFonts w:hint="cs"/>
          <w:rtl/>
        </w:rPr>
        <w:t xml:space="preserve"> בבירור כי </w:t>
      </w:r>
      <w:r w:rsidR="00DA2D27">
        <w:rPr>
          <w:rFonts w:hint="cs"/>
          <w:rtl/>
        </w:rPr>
        <w:t xml:space="preserve">בגדרי העסקה </w:t>
      </w:r>
      <w:r>
        <w:rPr>
          <w:rFonts w:hint="cs"/>
          <w:rtl/>
        </w:rPr>
        <w:t xml:space="preserve">לא נרכש כל נכס מלבד המניות. עיקרם </w:t>
      </w:r>
      <w:r w:rsidR="00127C28">
        <w:rPr>
          <w:rFonts w:hint="cs"/>
          <w:rtl/>
        </w:rPr>
        <w:t>הוא</w:t>
      </w:r>
      <w:r>
        <w:rPr>
          <w:rFonts w:hint="cs"/>
          <w:rtl/>
        </w:rPr>
        <w:t xml:space="preserve"> בכך ש</w:t>
      </w:r>
      <w:r w:rsidR="00640528">
        <w:rPr>
          <w:rFonts w:hint="cs"/>
          <w:rtl/>
        </w:rPr>
        <w:t xml:space="preserve">התשלום </w:t>
      </w:r>
      <w:r>
        <w:rPr>
          <w:rFonts w:hint="cs"/>
          <w:rtl/>
        </w:rPr>
        <w:t xml:space="preserve">לבעלי מניות כמעט חינם </w:t>
      </w:r>
      <w:r w:rsidR="005F2F3A">
        <w:rPr>
          <w:rFonts w:hint="cs"/>
          <w:rtl/>
        </w:rPr>
        <w:t>היה זהה</w:t>
      </w:r>
      <w:r>
        <w:rPr>
          <w:rFonts w:hint="cs"/>
          <w:rtl/>
        </w:rPr>
        <w:t xml:space="preserve"> </w:t>
      </w:r>
      <w:r w:rsidR="005F2F3A">
        <w:rPr>
          <w:rFonts w:hint="cs"/>
          <w:rtl/>
        </w:rPr>
        <w:t>ל</w:t>
      </w:r>
      <w:r>
        <w:rPr>
          <w:rFonts w:hint="cs"/>
          <w:rtl/>
        </w:rPr>
        <w:t xml:space="preserve">שווי השוק של המניות, כך שלא יכול להיות ששולם גם </w:t>
      </w:r>
      <w:r w:rsidRPr="008122BE">
        <w:rPr>
          <w:rFonts w:ascii="FrankRuehl" w:hAnsi="FrankRuehl"/>
          <w:sz w:val="28"/>
          <w:rtl/>
        </w:rPr>
        <w:t xml:space="preserve">בעבור נכס נוסף. ממצא זה </w:t>
      </w:r>
      <w:r w:rsidR="00DB5941">
        <w:rPr>
          <w:rFonts w:ascii="FrankRuehl" w:hAnsi="FrankRuehl" w:hint="cs"/>
          <w:sz w:val="28"/>
          <w:rtl/>
        </w:rPr>
        <w:t>נסמך</w:t>
      </w:r>
      <w:r w:rsidRPr="008122BE">
        <w:rPr>
          <w:rFonts w:ascii="FrankRuehl" w:hAnsi="FrankRuehl"/>
          <w:sz w:val="28"/>
          <w:rtl/>
        </w:rPr>
        <w:t xml:space="preserve"> על השווי </w:t>
      </w:r>
      <w:r w:rsidR="005F2F3A">
        <w:rPr>
          <w:rFonts w:ascii="FrankRuehl" w:hAnsi="FrankRuehl" w:hint="cs"/>
          <w:sz w:val="28"/>
          <w:rtl/>
        </w:rPr>
        <w:t>שלפיו ה</w:t>
      </w:r>
      <w:r w:rsidR="005F2F3A" w:rsidRPr="008122BE">
        <w:rPr>
          <w:rFonts w:ascii="FrankRuehl" w:hAnsi="FrankRuehl"/>
          <w:sz w:val="28"/>
          <w:rtl/>
        </w:rPr>
        <w:t xml:space="preserve">מניות </w:t>
      </w:r>
      <w:r w:rsidR="005F2F3A">
        <w:rPr>
          <w:rFonts w:ascii="FrankRuehl" w:hAnsi="FrankRuehl" w:hint="cs"/>
          <w:sz w:val="28"/>
          <w:rtl/>
        </w:rPr>
        <w:t>נסחרו בבורסה</w:t>
      </w:r>
      <w:r w:rsidR="005F2F3A" w:rsidRPr="008122BE">
        <w:rPr>
          <w:rFonts w:ascii="FrankRuehl" w:hAnsi="FrankRuehl"/>
          <w:sz w:val="28"/>
          <w:rtl/>
        </w:rPr>
        <w:t xml:space="preserve"> ערב העסקה</w:t>
      </w:r>
      <w:r w:rsidR="005F2F3A">
        <w:rPr>
          <w:rFonts w:ascii="FrankRuehl" w:hAnsi="FrankRuehl" w:hint="cs"/>
          <w:sz w:val="28"/>
          <w:rtl/>
        </w:rPr>
        <w:t>,</w:t>
      </w:r>
      <w:r w:rsidRPr="008122BE">
        <w:rPr>
          <w:rFonts w:ascii="FrankRuehl" w:hAnsi="FrankRuehl"/>
          <w:sz w:val="28"/>
          <w:rtl/>
        </w:rPr>
        <w:t xml:space="preserve"> </w:t>
      </w:r>
      <w:r w:rsidR="005F2F3A">
        <w:rPr>
          <w:rFonts w:ascii="FrankRuehl" w:hAnsi="FrankRuehl" w:hint="cs"/>
          <w:sz w:val="28"/>
          <w:rtl/>
        </w:rPr>
        <w:t>ו</w:t>
      </w:r>
      <w:r w:rsidRPr="008122BE">
        <w:rPr>
          <w:rFonts w:ascii="FrankRuehl" w:hAnsi="FrankRuehl"/>
          <w:sz w:val="28"/>
          <w:rtl/>
        </w:rPr>
        <w:t>נתמך גם בהערכות שווי מקצועיות שנערכו בזמן אמת</w:t>
      </w:r>
      <w:r w:rsidR="005F2F3A">
        <w:rPr>
          <w:rFonts w:ascii="FrankRuehl" w:hAnsi="FrankRuehl" w:hint="cs"/>
          <w:sz w:val="28"/>
          <w:rtl/>
        </w:rPr>
        <w:t xml:space="preserve">. </w:t>
      </w:r>
      <w:r>
        <w:rPr>
          <w:rFonts w:hint="cs"/>
          <w:rtl/>
        </w:rPr>
        <w:t>כמו כן, בית המשפט התבסס על הדיווח שהעבירה המערערת עצמה לרשות התחרות, שבו ציינה כי מדובר</w:t>
      </w:r>
      <w:r w:rsidR="005F2F3A">
        <w:rPr>
          <w:rFonts w:hint="cs"/>
          <w:rtl/>
        </w:rPr>
        <w:t xml:space="preserve"> אך</w:t>
      </w:r>
      <w:r>
        <w:rPr>
          <w:rFonts w:hint="cs"/>
          <w:rtl/>
        </w:rPr>
        <w:t xml:space="preserve"> בעסקה לרכישת מלוא מניותיה של כמעט חינם</w:t>
      </w:r>
      <w:r w:rsidR="005F2F3A">
        <w:rPr>
          <w:rFonts w:hint="cs"/>
          <w:rtl/>
        </w:rPr>
        <w:t>.</w:t>
      </w:r>
    </w:p>
    <w:p w:rsidR="007D6167" w:rsidRDefault="007D6167" w:rsidP="007D6167">
      <w:pPr>
        <w:pStyle w:val="Ruller41"/>
        <w:rPr>
          <w:rtl/>
        </w:rPr>
      </w:pPr>
    </w:p>
    <w:p w:rsidR="007D6167" w:rsidRDefault="007D6167" w:rsidP="00775451">
      <w:pPr>
        <w:pStyle w:val="Ruller4"/>
        <w:rPr>
          <w:rtl/>
        </w:rPr>
      </w:pPr>
      <w:r>
        <w:rPr>
          <w:rFonts w:hint="cs"/>
          <w:rtl/>
        </w:rPr>
        <w:t xml:space="preserve">גם במישור המשפטי נדחו טענות המערערת, ובהקשר זה הובהר תחילה כי כלל לא היה מקום להידרש לכללי הרישום החשבונאי. כך מכיוון שסוגיית המיסוי של נכסים, ובהם גם נכסים בלתי מוחשיים, מוסדרת במלואה על ידי </w:t>
      </w:r>
      <w:r w:rsidRPr="00A05898">
        <w:rPr>
          <w:rFonts w:ascii="FrankRuehl" w:hAnsi="FrankRuehl"/>
          <w:sz w:val="28"/>
          <w:rtl/>
        </w:rPr>
        <w:t>הפקודה</w:t>
      </w:r>
      <w:r>
        <w:rPr>
          <w:rFonts w:ascii="FrankRuehl" w:hAnsi="FrankRuehl"/>
          <w:sz w:val="28"/>
        </w:rPr>
        <w:t>;</w:t>
      </w:r>
      <w:r>
        <w:rPr>
          <w:rFonts w:ascii="FrankRuehl" w:hAnsi="FrankRuehl" w:hint="cs"/>
          <w:sz w:val="28"/>
          <w:rtl/>
        </w:rPr>
        <w:t xml:space="preserve"> ו</w:t>
      </w:r>
      <w:r w:rsidRPr="00A05898">
        <w:rPr>
          <w:rFonts w:ascii="FrankRuehl" w:hAnsi="FrankRuehl"/>
          <w:sz w:val="28"/>
          <w:rtl/>
        </w:rPr>
        <w:t>מקום שבו קיים</w:t>
      </w:r>
      <w:r>
        <w:rPr>
          <w:rFonts w:hint="cs"/>
          <w:rtl/>
        </w:rPr>
        <w:t xml:space="preserve"> דין מס ספציפי נסוגים כללי החשבונאות מפניו. לפיכך אין תחולה גם לעיקרון העקיבה, שלפיו על המיסוי "לעקוב" אחר אופן הרישום החשבונאי. בית המשפט הוסיף </w:t>
      </w:r>
      <w:r w:rsidRPr="002600C0">
        <w:rPr>
          <w:rFonts w:hint="cs"/>
          <w:rtl/>
        </w:rPr>
        <w:t xml:space="preserve">כי במקרה הנדון </w:t>
      </w:r>
      <w:r>
        <w:rPr>
          <w:rFonts w:hint="cs"/>
          <w:rtl/>
        </w:rPr>
        <w:t>ממילא</w:t>
      </w:r>
      <w:r w:rsidRPr="002600C0">
        <w:rPr>
          <w:rFonts w:hint="cs"/>
          <w:rtl/>
        </w:rPr>
        <w:t xml:space="preserve"> לא הוכח </w:t>
      </w:r>
      <w:r>
        <w:rPr>
          <w:rFonts w:hint="cs"/>
          <w:rtl/>
        </w:rPr>
        <w:t>שהמערערת אכן פעלה בהתאם</w:t>
      </w:r>
      <w:r w:rsidRPr="002600C0">
        <w:rPr>
          <w:rFonts w:hint="cs"/>
          <w:rtl/>
        </w:rPr>
        <w:t xml:space="preserve"> </w:t>
      </w:r>
      <w:r>
        <w:rPr>
          <w:rFonts w:hint="cs"/>
          <w:rtl/>
        </w:rPr>
        <w:t>ל</w:t>
      </w:r>
      <w:r w:rsidRPr="002600C0">
        <w:rPr>
          <w:rFonts w:hint="cs"/>
          <w:rtl/>
        </w:rPr>
        <w:t xml:space="preserve">עקרונות </w:t>
      </w:r>
      <w:r w:rsidR="00E02419">
        <w:rPr>
          <w:rFonts w:hint="cs"/>
          <w:rtl/>
        </w:rPr>
        <w:t>החשבונאיים המקובלים</w:t>
      </w:r>
      <w:r>
        <w:rPr>
          <w:rFonts w:hint="cs"/>
          <w:rtl/>
        </w:rPr>
        <w:t xml:space="preserve">, ועמד על פגמים רבים בחוות הדעת החשבונאיות שהוגשו מטעמה, שעיקרם בכך שאינן מתיישבות כלל עם ממצאי העובדה הברורים </w:t>
      </w:r>
      <w:r w:rsidR="00775451">
        <w:rPr>
          <w:rFonts w:hint="cs"/>
          <w:rtl/>
        </w:rPr>
        <w:t>בכל הנוגע</w:t>
      </w:r>
      <w:r>
        <w:rPr>
          <w:rFonts w:hint="cs"/>
          <w:rtl/>
        </w:rPr>
        <w:t xml:space="preserve"> לעסקה ולשווי המניות של כמעט חינם.</w:t>
      </w:r>
    </w:p>
    <w:p w:rsidR="007D6167" w:rsidRDefault="007D6167" w:rsidP="00D05738">
      <w:pPr>
        <w:pStyle w:val="Ruller41"/>
        <w:spacing w:line="240" w:lineRule="auto"/>
        <w:rPr>
          <w:rtl/>
        </w:rPr>
      </w:pPr>
    </w:p>
    <w:p w:rsidR="007D6167" w:rsidRPr="006D3364" w:rsidRDefault="007D6167" w:rsidP="006D3364">
      <w:pPr>
        <w:pStyle w:val="Ruller41"/>
        <w:rPr>
          <w:rFonts w:ascii="FrankRuehl" w:hAnsi="FrankRuehl"/>
          <w:sz w:val="28"/>
          <w:rtl/>
        </w:rPr>
      </w:pPr>
      <w:r>
        <w:rPr>
          <w:rtl/>
        </w:rPr>
        <w:tab/>
      </w:r>
      <w:r>
        <w:rPr>
          <w:rFonts w:hint="cs"/>
          <w:rtl/>
        </w:rPr>
        <w:t xml:space="preserve">אשר לדיני המס שבהתאם להם יש לקבוע מהי ההכנסה החייבת, נקבע כי הדיווח של המערערת עומד בניגוד מוחלט להם. מפסק הדין עולה </w:t>
      </w:r>
      <w:r w:rsidR="008B4959">
        <w:rPr>
          <w:rFonts w:hint="cs"/>
          <w:rtl/>
        </w:rPr>
        <w:t xml:space="preserve">כי הדיווח </w:t>
      </w:r>
      <w:r w:rsidR="0099094E">
        <w:rPr>
          <w:rFonts w:hint="cs"/>
          <w:rtl/>
        </w:rPr>
        <w:t xml:space="preserve">התבסס על שלוש הנחות </w:t>
      </w:r>
      <w:r>
        <w:rPr>
          <w:rFonts w:hint="cs"/>
          <w:rtl/>
        </w:rPr>
        <w:t xml:space="preserve">מצטברות </w:t>
      </w:r>
      <w:r w:rsidR="00B411B8">
        <w:rPr>
          <w:rFonts w:hint="cs"/>
          <w:rtl/>
        </w:rPr>
        <w:t>שעמדו ביסודו, ש</w:t>
      </w:r>
      <w:r>
        <w:rPr>
          <w:rFonts w:hint="cs"/>
          <w:rtl/>
        </w:rPr>
        <w:t>הובילו להכנסה החייבת שעליה</w:t>
      </w:r>
      <w:r w:rsidR="00B411B8">
        <w:rPr>
          <w:rFonts w:hint="cs"/>
          <w:rtl/>
        </w:rPr>
        <w:t xml:space="preserve"> המערערת</w:t>
      </w:r>
      <w:r>
        <w:rPr>
          <w:rFonts w:hint="cs"/>
          <w:rtl/>
        </w:rPr>
        <w:t xml:space="preserve"> דיווחה: תחילה בע</w:t>
      </w:r>
      <w:r w:rsidR="001F29D6">
        <w:rPr>
          <w:rFonts w:hint="cs"/>
          <w:rtl/>
        </w:rPr>
        <w:t xml:space="preserve">צם הגדרת הזכות למענק ספקים </w:t>
      </w:r>
      <w:r w:rsidR="001F29D6" w:rsidRPr="001F29D6">
        <w:rPr>
          <w:rFonts w:ascii="FrankRuehl" w:hAnsi="FrankRuehl"/>
          <w:sz w:val="28"/>
          <w:rtl/>
        </w:rPr>
        <w:t>כנכס</w:t>
      </w:r>
      <w:r w:rsidR="001F29D6" w:rsidRPr="001F29D6">
        <w:rPr>
          <w:rFonts w:ascii="FrankRuehl" w:hAnsi="FrankRuehl"/>
          <w:sz w:val="28"/>
        </w:rPr>
        <w:t>;</w:t>
      </w:r>
      <w:r w:rsidRPr="001F29D6">
        <w:rPr>
          <w:rFonts w:ascii="FrankRuehl" w:hAnsi="FrankRuehl"/>
          <w:sz w:val="28"/>
          <w:rtl/>
        </w:rPr>
        <w:t xml:space="preserve"> לאחר מכן בייחוס </w:t>
      </w:r>
      <w:r w:rsidR="0099094E" w:rsidRPr="001F29D6">
        <w:rPr>
          <w:rFonts w:ascii="FrankRuehl" w:hAnsi="FrankRuehl"/>
          <w:sz w:val="28"/>
          <w:rtl/>
        </w:rPr>
        <w:t>"</w:t>
      </w:r>
      <w:r w:rsidRPr="001F29D6">
        <w:rPr>
          <w:rFonts w:ascii="FrankRuehl" w:hAnsi="FrankRuehl"/>
          <w:sz w:val="28"/>
          <w:rtl/>
        </w:rPr>
        <w:t>מחיר מקורי</w:t>
      </w:r>
      <w:r w:rsidR="0099094E" w:rsidRPr="001F29D6">
        <w:rPr>
          <w:rFonts w:ascii="FrankRuehl" w:hAnsi="FrankRuehl"/>
          <w:sz w:val="28"/>
          <w:rtl/>
        </w:rPr>
        <w:t>"</w:t>
      </w:r>
      <w:r w:rsidRPr="001F29D6">
        <w:rPr>
          <w:rFonts w:ascii="FrankRuehl" w:hAnsi="FrankRuehl"/>
          <w:sz w:val="28"/>
          <w:rtl/>
        </w:rPr>
        <w:t xml:space="preserve"> </w:t>
      </w:r>
      <w:r w:rsidR="00302113">
        <w:rPr>
          <w:rFonts w:ascii="FrankRuehl" w:hAnsi="FrankRuehl" w:hint="cs"/>
          <w:sz w:val="28"/>
          <w:rtl/>
        </w:rPr>
        <w:t>כלשהו</w:t>
      </w:r>
      <w:r w:rsidRPr="001F29D6">
        <w:rPr>
          <w:rFonts w:ascii="FrankRuehl" w:hAnsi="FrankRuehl"/>
          <w:sz w:val="28"/>
          <w:rtl/>
        </w:rPr>
        <w:t xml:space="preserve"> לנכס זה</w:t>
      </w:r>
      <w:r w:rsidR="001F29D6" w:rsidRPr="001F29D6">
        <w:rPr>
          <w:rFonts w:ascii="FrankRuehl" w:hAnsi="FrankRuehl"/>
          <w:sz w:val="28"/>
          <w:rtl/>
        </w:rPr>
        <w:t xml:space="preserve">, </w:t>
      </w:r>
      <w:r w:rsidR="00302113">
        <w:rPr>
          <w:rFonts w:ascii="FrankRuehl" w:hAnsi="FrankRuehl" w:hint="cs"/>
          <w:sz w:val="28"/>
          <w:rtl/>
        </w:rPr>
        <w:t>אף</w:t>
      </w:r>
      <w:r w:rsidR="0099094E" w:rsidRPr="001F29D6">
        <w:rPr>
          <w:rFonts w:ascii="FrankRuehl" w:hAnsi="FrankRuehl"/>
          <w:sz w:val="28"/>
          <w:rtl/>
        </w:rPr>
        <w:t xml:space="preserve"> ש</w:t>
      </w:r>
      <w:r w:rsidR="001F29D6" w:rsidRPr="001F29D6">
        <w:rPr>
          <w:rFonts w:ascii="FrankRuehl" w:hAnsi="FrankRuehl"/>
          <w:sz w:val="28"/>
          <w:rtl/>
        </w:rPr>
        <w:t xml:space="preserve">למעשה </w:t>
      </w:r>
      <w:r w:rsidR="00E95DD5">
        <w:rPr>
          <w:rFonts w:ascii="FrankRuehl" w:hAnsi="FrankRuehl" w:hint="cs"/>
          <w:sz w:val="28"/>
          <w:rtl/>
        </w:rPr>
        <w:t>מלוא התשלום לבעלי מניות כמעט חינם שולם בגין המניות</w:t>
      </w:r>
      <w:r w:rsidR="001F29D6" w:rsidRPr="001F29D6">
        <w:rPr>
          <w:rFonts w:ascii="FrankRuehl" w:hAnsi="FrankRuehl"/>
          <w:sz w:val="28"/>
        </w:rPr>
        <w:t>;</w:t>
      </w:r>
      <w:r w:rsidRPr="001F29D6">
        <w:rPr>
          <w:rFonts w:ascii="FrankRuehl" w:hAnsi="FrankRuehl"/>
          <w:sz w:val="28"/>
          <w:rtl/>
        </w:rPr>
        <w:t xml:space="preserve"> ולבסוף בהגדרת אותו הנכס כבר-פחת</w:t>
      </w:r>
      <w:r w:rsidR="006E7901">
        <w:rPr>
          <w:rFonts w:ascii="FrankRuehl" w:hAnsi="FrankRuehl" w:hint="cs"/>
          <w:sz w:val="28"/>
          <w:rtl/>
        </w:rPr>
        <w:t xml:space="preserve"> ובעל תקופת חיים קצובה,</w:t>
      </w:r>
      <w:r w:rsidRPr="001F29D6">
        <w:rPr>
          <w:rFonts w:ascii="FrankRuehl" w:hAnsi="FrankRuehl"/>
          <w:sz w:val="28"/>
          <w:rtl/>
        </w:rPr>
        <w:t xml:space="preserve"> כך שהוא ניתן לניכוי כנגד הכנסה. כלומר, מדובר במעין קונסטרוקציה תלת-שלבית, ואולם לגבי כל אחת מההנחות שביסודה נקבע כי אין לה במה </w:t>
      </w:r>
      <w:r>
        <w:rPr>
          <w:rFonts w:hint="cs"/>
          <w:rtl/>
        </w:rPr>
        <w:t>להיאחז.</w:t>
      </w:r>
    </w:p>
    <w:p w:rsidR="007D6167" w:rsidRDefault="007D6167" w:rsidP="00D05738">
      <w:pPr>
        <w:pStyle w:val="Ruller41"/>
        <w:spacing w:line="240" w:lineRule="auto"/>
        <w:rPr>
          <w:rtl/>
        </w:rPr>
      </w:pPr>
    </w:p>
    <w:p w:rsidR="007D6167" w:rsidRDefault="007D6167" w:rsidP="00417DC6">
      <w:pPr>
        <w:pStyle w:val="Ruller41"/>
        <w:rPr>
          <w:rtl/>
        </w:rPr>
      </w:pPr>
      <w:r>
        <w:rPr>
          <w:rtl/>
        </w:rPr>
        <w:tab/>
      </w:r>
      <w:r w:rsidRPr="00D447B3">
        <w:rPr>
          <w:rFonts w:ascii="Century" w:hAnsi="Century" w:hint="cs"/>
          <w:rtl/>
        </w:rPr>
        <w:t>(</w:t>
      </w:r>
      <w:r>
        <w:rPr>
          <w:rFonts w:ascii="Century" w:hAnsi="Century" w:hint="cs"/>
          <w:rtl/>
        </w:rPr>
        <w:t>א</w:t>
      </w:r>
      <w:r w:rsidRPr="00D447B3">
        <w:rPr>
          <w:rFonts w:ascii="Century" w:hAnsi="Century" w:hint="cs"/>
          <w:rtl/>
        </w:rPr>
        <w:t>)</w:t>
      </w:r>
      <w:r>
        <w:rPr>
          <w:rFonts w:hint="cs"/>
          <w:rtl/>
        </w:rPr>
        <w:t xml:space="preserve"> </w:t>
      </w:r>
      <w:r w:rsidRPr="00317FD8">
        <w:rPr>
          <w:rFonts w:ascii="Century" w:hAnsi="Century" w:cs="Miriam" w:hint="cs"/>
          <w:b/>
          <w:spacing w:val="0"/>
          <w:szCs w:val="24"/>
          <w:rtl/>
        </w:rPr>
        <w:t>עצם</w:t>
      </w:r>
      <w:r w:rsidRPr="00317FD8">
        <w:rPr>
          <w:rFonts w:hint="cs"/>
          <w:rtl/>
        </w:rPr>
        <w:t xml:space="preserve"> </w:t>
      </w:r>
      <w:r>
        <w:rPr>
          <w:rFonts w:ascii="Century" w:hAnsi="Century" w:cs="Miriam" w:hint="cs"/>
          <w:b/>
          <w:spacing w:val="0"/>
          <w:szCs w:val="24"/>
          <w:rtl/>
        </w:rPr>
        <w:t>הגדרת הזכות למענק ספקים כנכס:</w:t>
      </w:r>
      <w:r>
        <w:rPr>
          <w:rFonts w:hint="cs"/>
          <w:rtl/>
        </w:rPr>
        <w:t xml:space="preserve"> בית המשפט קבע כי הזכות למענק ספקים אינה עונה להגדרה של נכס בדיני המס, שעיקרה בכך שמדובר במקור עצמאי להפקת הכנסות ("עץ" שממנו מופקים "פירות"). המערערת אמנם ניסתה להציג את הזכות למענק ספקים </w:t>
      </w:r>
      <w:proofErr w:type="spellStart"/>
      <w:r>
        <w:rPr>
          <w:rFonts w:hint="cs"/>
          <w:rtl/>
        </w:rPr>
        <w:t>ככזו</w:t>
      </w:r>
      <w:proofErr w:type="spellEnd"/>
      <w:r>
        <w:rPr>
          <w:rFonts w:hint="cs"/>
          <w:rtl/>
        </w:rPr>
        <w:t xml:space="preserve">, ולטעון כי צומחות לה ממנה הכנסות בדמות המענקים מספקים, אך נקבע כי לא אלו הם פני הדברים. "העץ" הוא המניות של כמעט חינם, </w:t>
      </w:r>
      <w:r>
        <w:rPr>
          <w:rFonts w:hint="cs"/>
          <w:rtl/>
        </w:rPr>
        <w:lastRenderedPageBreak/>
        <w:t>שבעקבות רכישתן צמחו למערערת זכויות שונות ובהן גם כאלה הנוגעות ליחסים עם הספקים. לפיכך הניסיון להציג זכויות אלה כ"עצמאיות" הוא מלאכותי. את הדברים סיכם בית המשפט המחוזי במילים הבאות:</w:t>
      </w:r>
    </w:p>
    <w:p w:rsidR="007D6167" w:rsidRDefault="007D6167" w:rsidP="00D05738">
      <w:pPr>
        <w:pStyle w:val="Ruller41"/>
        <w:spacing w:line="240" w:lineRule="auto"/>
        <w:rPr>
          <w:rtl/>
        </w:rPr>
      </w:pPr>
    </w:p>
    <w:p w:rsidR="007D6167" w:rsidRDefault="00772979" w:rsidP="00772979">
      <w:pPr>
        <w:pStyle w:val="Ruller5"/>
        <w:rPr>
          <w:rtl/>
        </w:rPr>
      </w:pPr>
      <w:r>
        <w:rPr>
          <w:rFonts w:hint="cs"/>
          <w:rtl/>
        </w:rPr>
        <w:t>"</w:t>
      </w:r>
      <w:r w:rsidRPr="0078407B">
        <w:rPr>
          <w:rFonts w:hint="eastAsia"/>
          <w:rtl/>
        </w:rPr>
        <w:t>ניתוח</w:t>
      </w:r>
      <w:r w:rsidRPr="0078407B">
        <w:rPr>
          <w:rtl/>
        </w:rPr>
        <w:t xml:space="preserve"> </w:t>
      </w:r>
      <w:r w:rsidRPr="0078407B">
        <w:rPr>
          <w:rFonts w:hint="eastAsia"/>
          <w:rtl/>
        </w:rPr>
        <w:t>המהות</w:t>
      </w:r>
      <w:r w:rsidRPr="0078407B">
        <w:rPr>
          <w:rtl/>
        </w:rPr>
        <w:t xml:space="preserve"> </w:t>
      </w:r>
      <w:r w:rsidRPr="0078407B">
        <w:rPr>
          <w:rFonts w:hint="eastAsia"/>
          <w:rtl/>
        </w:rPr>
        <w:t>הכלכלית</w:t>
      </w:r>
      <w:r w:rsidRPr="0078407B">
        <w:rPr>
          <w:rtl/>
        </w:rPr>
        <w:t xml:space="preserve"> </w:t>
      </w:r>
      <w:r w:rsidRPr="0078407B">
        <w:rPr>
          <w:rFonts w:hint="eastAsia"/>
          <w:rtl/>
        </w:rPr>
        <w:t>של</w:t>
      </w:r>
      <w:r w:rsidRPr="0078407B">
        <w:rPr>
          <w:rtl/>
        </w:rPr>
        <w:t xml:space="preserve"> </w:t>
      </w:r>
      <w:r w:rsidRPr="0078407B">
        <w:rPr>
          <w:rFonts w:hint="eastAsia"/>
          <w:rtl/>
        </w:rPr>
        <w:t>העסקה</w:t>
      </w:r>
      <w:r w:rsidRPr="0078407B">
        <w:rPr>
          <w:rtl/>
        </w:rPr>
        <w:t xml:space="preserve"> </w:t>
      </w:r>
      <w:r w:rsidRPr="0078407B">
        <w:rPr>
          <w:rFonts w:hint="eastAsia"/>
          <w:rtl/>
        </w:rPr>
        <w:t>בענייננו</w:t>
      </w:r>
      <w:r w:rsidRPr="0078407B">
        <w:rPr>
          <w:rtl/>
        </w:rPr>
        <w:t xml:space="preserve">, </w:t>
      </w:r>
      <w:r w:rsidRPr="0078407B">
        <w:rPr>
          <w:rFonts w:hint="eastAsia"/>
          <w:rtl/>
        </w:rPr>
        <w:t>מלמד</w:t>
      </w:r>
      <w:r>
        <w:rPr>
          <w:rFonts w:hint="cs"/>
          <w:rtl/>
        </w:rPr>
        <w:t xml:space="preserve"> </w:t>
      </w:r>
      <w:r w:rsidRPr="0078407B">
        <w:rPr>
          <w:rFonts w:hint="eastAsia"/>
          <w:rtl/>
        </w:rPr>
        <w:t>אפוא</w:t>
      </w:r>
      <w:r w:rsidRPr="0078407B">
        <w:rPr>
          <w:rtl/>
        </w:rPr>
        <w:t xml:space="preserve"> </w:t>
      </w:r>
      <w:r w:rsidRPr="0078407B">
        <w:rPr>
          <w:rFonts w:hint="eastAsia"/>
          <w:rtl/>
        </w:rPr>
        <w:t>על</w:t>
      </w:r>
      <w:r w:rsidRPr="0078407B">
        <w:rPr>
          <w:rtl/>
        </w:rPr>
        <w:t xml:space="preserve"> </w:t>
      </w:r>
      <w:r w:rsidRPr="0078407B">
        <w:rPr>
          <w:rFonts w:hint="eastAsia"/>
          <w:rtl/>
        </w:rPr>
        <w:t>כך</w:t>
      </w:r>
      <w:r w:rsidRPr="0078407B">
        <w:rPr>
          <w:rtl/>
        </w:rPr>
        <w:t xml:space="preserve"> </w:t>
      </w:r>
      <w:r w:rsidRPr="0078407B">
        <w:rPr>
          <w:rFonts w:hint="eastAsia"/>
          <w:rtl/>
        </w:rPr>
        <w:t>שבעקבות</w:t>
      </w:r>
      <w:r w:rsidRPr="0078407B">
        <w:rPr>
          <w:rtl/>
        </w:rPr>
        <w:t xml:space="preserve"> </w:t>
      </w:r>
      <w:r w:rsidRPr="0078407B">
        <w:rPr>
          <w:rFonts w:hint="eastAsia"/>
          <w:rtl/>
        </w:rPr>
        <w:t>רכישת</w:t>
      </w:r>
      <w:r w:rsidRPr="0078407B">
        <w:rPr>
          <w:rtl/>
        </w:rPr>
        <w:t xml:space="preserve"> </w:t>
      </w:r>
      <w:r w:rsidRPr="0078407B">
        <w:rPr>
          <w:rFonts w:hint="eastAsia"/>
          <w:rtl/>
        </w:rPr>
        <w:t>מניות</w:t>
      </w:r>
      <w:r w:rsidRPr="0078407B">
        <w:rPr>
          <w:rtl/>
        </w:rPr>
        <w:t xml:space="preserve"> </w:t>
      </w:r>
      <w:r w:rsidRPr="0078407B">
        <w:rPr>
          <w:rFonts w:hint="eastAsia"/>
          <w:rtl/>
        </w:rPr>
        <w:t>כמעט</w:t>
      </w:r>
      <w:r w:rsidRPr="0078407B">
        <w:rPr>
          <w:rtl/>
        </w:rPr>
        <w:t xml:space="preserve"> </w:t>
      </w:r>
      <w:r w:rsidRPr="0078407B">
        <w:rPr>
          <w:rFonts w:hint="eastAsia"/>
          <w:rtl/>
        </w:rPr>
        <w:t>חינם</w:t>
      </w:r>
      <w:r w:rsidRPr="0078407B">
        <w:rPr>
          <w:rtl/>
        </w:rPr>
        <w:t xml:space="preserve"> </w:t>
      </w:r>
      <w:r w:rsidRPr="0078407B">
        <w:rPr>
          <w:rFonts w:hint="eastAsia"/>
          <w:rtl/>
        </w:rPr>
        <w:t>התחזקו</w:t>
      </w:r>
      <w:r w:rsidRPr="0078407B">
        <w:rPr>
          <w:rtl/>
        </w:rPr>
        <w:t xml:space="preserve"> </w:t>
      </w:r>
      <w:r w:rsidRPr="0078407B">
        <w:rPr>
          <w:rFonts w:hint="eastAsia"/>
          <w:rtl/>
        </w:rPr>
        <w:t>מעמדה</w:t>
      </w:r>
      <w:r w:rsidRPr="0078407B">
        <w:rPr>
          <w:rtl/>
        </w:rPr>
        <w:t xml:space="preserve"> </w:t>
      </w:r>
      <w:r w:rsidRPr="0078407B">
        <w:rPr>
          <w:rFonts w:hint="eastAsia"/>
          <w:rtl/>
        </w:rPr>
        <w:t>של</w:t>
      </w:r>
      <w:r w:rsidRPr="0078407B">
        <w:rPr>
          <w:rtl/>
        </w:rPr>
        <w:t xml:space="preserve"> </w:t>
      </w:r>
      <w:r w:rsidRPr="0078407B">
        <w:rPr>
          <w:rFonts w:hint="eastAsia"/>
          <w:rtl/>
        </w:rPr>
        <w:t>יינות</w:t>
      </w:r>
      <w:r w:rsidRPr="0078407B">
        <w:rPr>
          <w:rtl/>
        </w:rPr>
        <w:t xml:space="preserve"> </w:t>
      </w:r>
      <w:r w:rsidRPr="0078407B">
        <w:rPr>
          <w:rFonts w:hint="eastAsia"/>
          <w:rtl/>
        </w:rPr>
        <w:t>ביתן</w:t>
      </w:r>
      <w:r w:rsidRPr="0078407B">
        <w:rPr>
          <w:rtl/>
        </w:rPr>
        <w:t xml:space="preserve"> </w:t>
      </w:r>
      <w:r w:rsidRPr="0078407B">
        <w:rPr>
          <w:rFonts w:hint="eastAsia"/>
          <w:rtl/>
        </w:rPr>
        <w:t>כרשת</w:t>
      </w:r>
      <w:r w:rsidRPr="0078407B">
        <w:rPr>
          <w:rtl/>
        </w:rPr>
        <w:t xml:space="preserve"> </w:t>
      </w:r>
      <w:r w:rsidRPr="0078407B">
        <w:rPr>
          <w:rFonts w:hint="eastAsia"/>
          <w:rtl/>
        </w:rPr>
        <w:t>קמעונאית</w:t>
      </w:r>
      <w:r w:rsidRPr="0078407B">
        <w:rPr>
          <w:rtl/>
        </w:rPr>
        <w:t xml:space="preserve"> </w:t>
      </w:r>
      <w:r w:rsidRPr="0078407B">
        <w:rPr>
          <w:rFonts w:hint="eastAsia"/>
          <w:rtl/>
        </w:rPr>
        <w:t>המפיצה</w:t>
      </w:r>
      <w:r w:rsidRPr="0078407B">
        <w:rPr>
          <w:rtl/>
        </w:rPr>
        <w:t xml:space="preserve"> </w:t>
      </w:r>
      <w:r w:rsidRPr="0078407B">
        <w:rPr>
          <w:rFonts w:hint="eastAsia"/>
          <w:rtl/>
        </w:rPr>
        <w:t>את</w:t>
      </w:r>
      <w:r>
        <w:rPr>
          <w:rFonts w:hint="cs"/>
          <w:rtl/>
        </w:rPr>
        <w:t xml:space="preserve"> </w:t>
      </w:r>
      <w:r w:rsidRPr="0078407B">
        <w:rPr>
          <w:rFonts w:hint="eastAsia"/>
          <w:rtl/>
        </w:rPr>
        <w:t>תוצרתם</w:t>
      </w:r>
      <w:r w:rsidRPr="0078407B">
        <w:rPr>
          <w:rtl/>
        </w:rPr>
        <w:t xml:space="preserve"> </w:t>
      </w:r>
      <w:r w:rsidRPr="0078407B">
        <w:rPr>
          <w:rFonts w:hint="eastAsia"/>
          <w:rtl/>
        </w:rPr>
        <w:t>של</w:t>
      </w:r>
      <w:r w:rsidRPr="0078407B">
        <w:rPr>
          <w:rtl/>
        </w:rPr>
        <w:t xml:space="preserve"> </w:t>
      </w:r>
      <w:proofErr w:type="spellStart"/>
      <w:r w:rsidRPr="0078407B">
        <w:rPr>
          <w:rFonts w:hint="eastAsia"/>
          <w:rtl/>
        </w:rPr>
        <w:t>הייצרנים</w:t>
      </w:r>
      <w:proofErr w:type="spellEnd"/>
      <w:r w:rsidRPr="0078407B">
        <w:rPr>
          <w:rtl/>
        </w:rPr>
        <w:t xml:space="preserve">, </w:t>
      </w:r>
      <w:r w:rsidRPr="0078407B">
        <w:rPr>
          <w:rFonts w:hint="eastAsia"/>
          <w:rtl/>
        </w:rPr>
        <w:t>אף</w:t>
      </w:r>
      <w:r w:rsidRPr="0078407B">
        <w:rPr>
          <w:rtl/>
        </w:rPr>
        <w:t xml:space="preserve"> </w:t>
      </w:r>
      <w:r w:rsidRPr="0078407B">
        <w:rPr>
          <w:rFonts w:hint="eastAsia"/>
          <w:rtl/>
        </w:rPr>
        <w:t>כוח</w:t>
      </w:r>
      <w:r w:rsidRPr="0078407B">
        <w:rPr>
          <w:rtl/>
        </w:rPr>
        <w:t xml:space="preserve"> </w:t>
      </w:r>
      <w:r w:rsidRPr="0078407B">
        <w:rPr>
          <w:rFonts w:hint="eastAsia"/>
          <w:rtl/>
        </w:rPr>
        <w:t>המיקוח</w:t>
      </w:r>
      <w:r w:rsidRPr="0078407B">
        <w:rPr>
          <w:rtl/>
        </w:rPr>
        <w:t xml:space="preserve"> </w:t>
      </w:r>
      <w:r w:rsidRPr="0078407B">
        <w:rPr>
          <w:rFonts w:hint="eastAsia"/>
          <w:rtl/>
        </w:rPr>
        <w:t>שלה</w:t>
      </w:r>
      <w:r w:rsidRPr="0078407B">
        <w:rPr>
          <w:rtl/>
        </w:rPr>
        <w:t xml:space="preserve"> </w:t>
      </w:r>
      <w:r w:rsidRPr="0078407B">
        <w:rPr>
          <w:rFonts w:hint="eastAsia"/>
          <w:rtl/>
        </w:rPr>
        <w:t>במשא</w:t>
      </w:r>
      <w:r w:rsidRPr="0078407B">
        <w:rPr>
          <w:rtl/>
        </w:rPr>
        <w:t xml:space="preserve"> </w:t>
      </w:r>
      <w:r w:rsidRPr="0078407B">
        <w:rPr>
          <w:rFonts w:hint="eastAsia"/>
          <w:rtl/>
        </w:rPr>
        <w:t>ומתן</w:t>
      </w:r>
      <w:r>
        <w:rPr>
          <w:rFonts w:hint="cs"/>
          <w:rtl/>
        </w:rPr>
        <w:t xml:space="preserve"> </w:t>
      </w:r>
      <w:r w:rsidRPr="0078407B">
        <w:rPr>
          <w:rFonts w:hint="eastAsia"/>
          <w:rtl/>
        </w:rPr>
        <w:t>עם</w:t>
      </w:r>
      <w:r w:rsidRPr="0078407B">
        <w:rPr>
          <w:rtl/>
        </w:rPr>
        <w:t xml:space="preserve"> </w:t>
      </w:r>
      <w:r w:rsidRPr="0078407B">
        <w:rPr>
          <w:rFonts w:hint="eastAsia"/>
          <w:rtl/>
        </w:rPr>
        <w:t>ספקיה</w:t>
      </w:r>
      <w:r w:rsidRPr="0078407B">
        <w:rPr>
          <w:rtl/>
        </w:rPr>
        <w:t xml:space="preserve">. </w:t>
      </w:r>
      <w:r w:rsidRPr="0078407B">
        <w:rPr>
          <w:rFonts w:hint="eastAsia"/>
          <w:rtl/>
        </w:rPr>
        <w:t>כפועל</w:t>
      </w:r>
      <w:r w:rsidRPr="0078407B">
        <w:rPr>
          <w:rtl/>
        </w:rPr>
        <w:t xml:space="preserve"> </w:t>
      </w:r>
      <w:r w:rsidRPr="0078407B">
        <w:rPr>
          <w:rFonts w:hint="eastAsia"/>
          <w:rtl/>
        </w:rPr>
        <w:t>יוצא</w:t>
      </w:r>
      <w:r w:rsidRPr="0078407B">
        <w:rPr>
          <w:rtl/>
        </w:rPr>
        <w:t xml:space="preserve"> </w:t>
      </w:r>
      <w:r w:rsidRPr="0078407B">
        <w:rPr>
          <w:rFonts w:hint="eastAsia"/>
          <w:rtl/>
        </w:rPr>
        <w:t>שופרו</w:t>
      </w:r>
      <w:r w:rsidRPr="0078407B">
        <w:rPr>
          <w:rtl/>
        </w:rPr>
        <w:t xml:space="preserve"> </w:t>
      </w:r>
      <w:r w:rsidRPr="0078407B">
        <w:rPr>
          <w:rFonts w:hint="eastAsia"/>
          <w:rtl/>
        </w:rPr>
        <w:t>תנאי</w:t>
      </w:r>
      <w:r w:rsidRPr="0078407B">
        <w:rPr>
          <w:rtl/>
        </w:rPr>
        <w:t xml:space="preserve"> </w:t>
      </w:r>
      <w:r w:rsidRPr="0078407B">
        <w:rPr>
          <w:rFonts w:hint="eastAsia"/>
          <w:rtl/>
        </w:rPr>
        <w:t>הסחר</w:t>
      </w:r>
      <w:r w:rsidRPr="0078407B">
        <w:rPr>
          <w:rtl/>
        </w:rPr>
        <w:t xml:space="preserve"> </w:t>
      </w:r>
      <w:r w:rsidRPr="0078407B">
        <w:rPr>
          <w:rFonts w:hint="eastAsia"/>
          <w:rtl/>
        </w:rPr>
        <w:t>בהסכמי</w:t>
      </w:r>
      <w:r w:rsidRPr="0078407B">
        <w:rPr>
          <w:rtl/>
        </w:rPr>
        <w:t xml:space="preserve"> </w:t>
      </w:r>
      <w:r w:rsidRPr="0078407B">
        <w:rPr>
          <w:rFonts w:hint="eastAsia"/>
          <w:rtl/>
        </w:rPr>
        <w:t>הסחר</w:t>
      </w:r>
      <w:r>
        <w:rPr>
          <w:rFonts w:hint="cs"/>
          <w:rtl/>
        </w:rPr>
        <w:t xml:space="preserve"> </w:t>
      </w:r>
      <w:r w:rsidRPr="0078407B">
        <w:rPr>
          <w:rFonts w:hint="eastAsia"/>
          <w:rtl/>
        </w:rPr>
        <w:t>בינה</w:t>
      </w:r>
      <w:r w:rsidRPr="0078407B">
        <w:rPr>
          <w:rtl/>
        </w:rPr>
        <w:t xml:space="preserve"> </w:t>
      </w:r>
      <w:r w:rsidRPr="0078407B">
        <w:rPr>
          <w:rFonts w:hint="eastAsia"/>
          <w:rtl/>
        </w:rPr>
        <w:t>לבין</w:t>
      </w:r>
      <w:r w:rsidRPr="0078407B">
        <w:rPr>
          <w:rtl/>
        </w:rPr>
        <w:t xml:space="preserve"> </w:t>
      </w:r>
      <w:r w:rsidRPr="0078407B">
        <w:rPr>
          <w:rFonts w:hint="eastAsia"/>
          <w:rtl/>
        </w:rPr>
        <w:t>ספקיה</w:t>
      </w:r>
      <w:r w:rsidRPr="0078407B">
        <w:rPr>
          <w:rtl/>
        </w:rPr>
        <w:t xml:space="preserve">. </w:t>
      </w:r>
      <w:r w:rsidRPr="0078407B">
        <w:rPr>
          <w:rFonts w:hint="eastAsia"/>
          <w:rtl/>
        </w:rPr>
        <w:t>יתרונות</w:t>
      </w:r>
      <w:r w:rsidRPr="0078407B">
        <w:rPr>
          <w:rtl/>
        </w:rPr>
        <w:t xml:space="preserve"> </w:t>
      </w:r>
      <w:r w:rsidRPr="0078407B">
        <w:rPr>
          <w:rFonts w:hint="eastAsia"/>
          <w:rtl/>
        </w:rPr>
        <w:t>מסחריים</w:t>
      </w:r>
      <w:r w:rsidRPr="0078407B">
        <w:rPr>
          <w:rtl/>
        </w:rPr>
        <w:t xml:space="preserve"> </w:t>
      </w:r>
      <w:r w:rsidRPr="0078407B">
        <w:rPr>
          <w:rFonts w:hint="eastAsia"/>
          <w:rtl/>
        </w:rPr>
        <w:t>אלו</w:t>
      </w:r>
      <w:r w:rsidRPr="0078407B">
        <w:rPr>
          <w:rtl/>
        </w:rPr>
        <w:t xml:space="preserve"> </w:t>
      </w:r>
      <w:r w:rsidRPr="0078407B">
        <w:rPr>
          <w:rFonts w:hint="eastAsia"/>
          <w:rtl/>
        </w:rPr>
        <w:t>אכן</w:t>
      </w:r>
      <w:r w:rsidRPr="0078407B">
        <w:rPr>
          <w:rtl/>
        </w:rPr>
        <w:t xml:space="preserve"> </w:t>
      </w:r>
      <w:r w:rsidRPr="0078407B">
        <w:rPr>
          <w:rFonts w:hint="eastAsia"/>
          <w:rtl/>
        </w:rPr>
        <w:t>נוצרו</w:t>
      </w:r>
      <w:r w:rsidRPr="0078407B">
        <w:rPr>
          <w:rtl/>
        </w:rPr>
        <w:t xml:space="preserve"> </w:t>
      </w:r>
      <w:r w:rsidRPr="0078407B">
        <w:rPr>
          <w:rFonts w:hint="eastAsia"/>
          <w:rtl/>
        </w:rPr>
        <w:t>בשל</w:t>
      </w:r>
      <w:r w:rsidRPr="0078407B">
        <w:rPr>
          <w:rtl/>
        </w:rPr>
        <w:t xml:space="preserve"> </w:t>
      </w:r>
      <w:r w:rsidRPr="0078407B">
        <w:rPr>
          <w:rFonts w:hint="eastAsia"/>
          <w:rtl/>
        </w:rPr>
        <w:t>התרחבות</w:t>
      </w:r>
      <w:r w:rsidRPr="0078407B">
        <w:rPr>
          <w:rtl/>
        </w:rPr>
        <w:t xml:space="preserve"> </w:t>
      </w:r>
      <w:r w:rsidRPr="0078407B">
        <w:rPr>
          <w:rFonts w:hint="eastAsia"/>
          <w:rtl/>
        </w:rPr>
        <w:t>הרשת</w:t>
      </w:r>
      <w:r w:rsidRPr="0078407B">
        <w:rPr>
          <w:rtl/>
        </w:rPr>
        <w:t xml:space="preserve"> </w:t>
      </w:r>
      <w:r w:rsidRPr="0078407B">
        <w:rPr>
          <w:rFonts w:hint="eastAsia"/>
          <w:rtl/>
        </w:rPr>
        <w:t>בעקבות</w:t>
      </w:r>
      <w:r w:rsidRPr="0078407B">
        <w:rPr>
          <w:rtl/>
        </w:rPr>
        <w:t xml:space="preserve"> </w:t>
      </w:r>
      <w:r w:rsidRPr="0078407B">
        <w:rPr>
          <w:rFonts w:hint="eastAsia"/>
          <w:rtl/>
        </w:rPr>
        <w:t>עסקת</w:t>
      </w:r>
      <w:r w:rsidRPr="0078407B">
        <w:rPr>
          <w:rtl/>
        </w:rPr>
        <w:t xml:space="preserve"> </w:t>
      </w:r>
      <w:r w:rsidRPr="0078407B">
        <w:rPr>
          <w:rFonts w:hint="eastAsia"/>
          <w:rtl/>
        </w:rPr>
        <w:t>הרכישה</w:t>
      </w:r>
      <w:r w:rsidRPr="0078407B">
        <w:rPr>
          <w:rtl/>
        </w:rPr>
        <w:t xml:space="preserve">, </w:t>
      </w:r>
      <w:r w:rsidRPr="0078407B">
        <w:rPr>
          <w:rFonts w:hint="eastAsia"/>
          <w:rtl/>
        </w:rPr>
        <w:t>ואולם</w:t>
      </w:r>
      <w:r w:rsidRPr="0078407B">
        <w:rPr>
          <w:rtl/>
        </w:rPr>
        <w:t xml:space="preserve"> </w:t>
      </w:r>
      <w:r w:rsidRPr="0078407B">
        <w:rPr>
          <w:rFonts w:hint="eastAsia"/>
          <w:rtl/>
        </w:rPr>
        <w:t>יחד</w:t>
      </w:r>
      <w:r w:rsidRPr="0078407B">
        <w:rPr>
          <w:rtl/>
        </w:rPr>
        <w:t xml:space="preserve"> </w:t>
      </w:r>
      <w:r w:rsidRPr="0078407B">
        <w:rPr>
          <w:rFonts w:hint="eastAsia"/>
          <w:rtl/>
        </w:rPr>
        <w:t>עם</w:t>
      </w:r>
      <w:r w:rsidRPr="0078407B">
        <w:rPr>
          <w:rtl/>
        </w:rPr>
        <w:t xml:space="preserve"> </w:t>
      </w:r>
      <w:r w:rsidRPr="0078407B">
        <w:rPr>
          <w:rFonts w:hint="eastAsia"/>
          <w:rtl/>
        </w:rPr>
        <w:t>זאת</w:t>
      </w:r>
      <w:r w:rsidRPr="0078407B">
        <w:rPr>
          <w:rtl/>
        </w:rPr>
        <w:t xml:space="preserve">, </w:t>
      </w:r>
      <w:r w:rsidRPr="0078407B">
        <w:rPr>
          <w:rFonts w:hint="eastAsia"/>
          <w:rtl/>
        </w:rPr>
        <w:t>לא</w:t>
      </w:r>
      <w:r w:rsidRPr="0078407B">
        <w:rPr>
          <w:rtl/>
        </w:rPr>
        <w:t xml:space="preserve"> </w:t>
      </w:r>
      <w:r w:rsidRPr="0078407B">
        <w:rPr>
          <w:rFonts w:hint="eastAsia"/>
          <w:rtl/>
        </w:rPr>
        <w:t>מדובר</w:t>
      </w:r>
      <w:r w:rsidRPr="0078407B">
        <w:rPr>
          <w:rtl/>
        </w:rPr>
        <w:t xml:space="preserve"> </w:t>
      </w:r>
      <w:r w:rsidRPr="0078407B">
        <w:rPr>
          <w:rFonts w:hint="eastAsia"/>
          <w:rtl/>
        </w:rPr>
        <w:t>כאמור</w:t>
      </w:r>
      <w:r w:rsidRPr="0078407B">
        <w:rPr>
          <w:rtl/>
        </w:rPr>
        <w:t xml:space="preserve"> </w:t>
      </w:r>
      <w:r w:rsidRPr="0078407B">
        <w:rPr>
          <w:rFonts w:hint="eastAsia"/>
          <w:rtl/>
        </w:rPr>
        <w:t>ברכישת</w:t>
      </w:r>
      <w:r>
        <w:rPr>
          <w:rtl/>
        </w:rPr>
        <w:t xml:space="preserve"> </w:t>
      </w:r>
      <w:r>
        <w:rPr>
          <w:rFonts w:hint="cs"/>
          <w:rtl/>
        </w:rPr>
        <w:t>'</w:t>
      </w:r>
      <w:r w:rsidRPr="0078407B">
        <w:rPr>
          <w:rFonts w:hint="eastAsia"/>
          <w:rtl/>
        </w:rPr>
        <w:t>עץ</w:t>
      </w:r>
      <w:r>
        <w:rPr>
          <w:rFonts w:hint="cs"/>
          <w:rtl/>
        </w:rPr>
        <w:t>'</w:t>
      </w:r>
      <w:r w:rsidRPr="0078407B">
        <w:rPr>
          <w:rtl/>
        </w:rPr>
        <w:t xml:space="preserve"> </w:t>
      </w:r>
      <w:r w:rsidRPr="0078407B">
        <w:rPr>
          <w:rFonts w:hint="eastAsia"/>
          <w:rtl/>
        </w:rPr>
        <w:t>נוסף</w:t>
      </w:r>
      <w:r w:rsidRPr="0078407B">
        <w:rPr>
          <w:rtl/>
        </w:rPr>
        <w:t xml:space="preserve"> </w:t>
      </w:r>
      <w:r w:rsidRPr="0078407B">
        <w:rPr>
          <w:rFonts w:hint="eastAsia"/>
          <w:rtl/>
        </w:rPr>
        <w:t>שרכשה</w:t>
      </w:r>
      <w:r w:rsidRPr="0078407B">
        <w:rPr>
          <w:rtl/>
        </w:rPr>
        <w:t xml:space="preserve"> </w:t>
      </w:r>
      <w:r w:rsidRPr="0078407B">
        <w:rPr>
          <w:rFonts w:hint="eastAsia"/>
          <w:rtl/>
        </w:rPr>
        <w:t>יינות</w:t>
      </w:r>
      <w:r w:rsidRPr="0078407B">
        <w:rPr>
          <w:rtl/>
        </w:rPr>
        <w:t xml:space="preserve"> </w:t>
      </w:r>
      <w:r w:rsidRPr="0078407B">
        <w:rPr>
          <w:rFonts w:hint="eastAsia"/>
          <w:rtl/>
        </w:rPr>
        <w:t>ביתן</w:t>
      </w:r>
      <w:r w:rsidRPr="0078407B">
        <w:rPr>
          <w:rtl/>
        </w:rPr>
        <w:t xml:space="preserve">, </w:t>
      </w:r>
      <w:r w:rsidRPr="0078407B">
        <w:rPr>
          <w:rFonts w:hint="eastAsia"/>
          <w:rtl/>
        </w:rPr>
        <w:t>מבעלי</w:t>
      </w:r>
      <w:r w:rsidRPr="0078407B">
        <w:rPr>
          <w:rtl/>
        </w:rPr>
        <w:t xml:space="preserve"> </w:t>
      </w:r>
      <w:r w:rsidRPr="0078407B">
        <w:rPr>
          <w:rFonts w:hint="eastAsia"/>
          <w:rtl/>
        </w:rPr>
        <w:t>המניות</w:t>
      </w:r>
      <w:r w:rsidRPr="0078407B">
        <w:rPr>
          <w:rtl/>
        </w:rPr>
        <w:t xml:space="preserve"> (</w:t>
      </w:r>
      <w:r w:rsidRPr="0078407B">
        <w:rPr>
          <w:rFonts w:hint="eastAsia"/>
          <w:rtl/>
        </w:rPr>
        <w:t>כמוניטין</w:t>
      </w:r>
      <w:r w:rsidRPr="0078407B">
        <w:rPr>
          <w:rtl/>
        </w:rPr>
        <w:t xml:space="preserve">, </w:t>
      </w:r>
      <w:r w:rsidRPr="0078407B">
        <w:rPr>
          <w:rFonts w:hint="eastAsia"/>
          <w:rtl/>
        </w:rPr>
        <w:t>אי</w:t>
      </w:r>
      <w:r w:rsidRPr="0078407B">
        <w:rPr>
          <w:rtl/>
        </w:rPr>
        <w:t xml:space="preserve"> </w:t>
      </w:r>
      <w:r w:rsidRPr="0078407B">
        <w:rPr>
          <w:rFonts w:hint="eastAsia"/>
          <w:rtl/>
        </w:rPr>
        <w:t>תחרות</w:t>
      </w:r>
      <w:r w:rsidRPr="0078407B">
        <w:rPr>
          <w:rtl/>
        </w:rPr>
        <w:t xml:space="preserve">, </w:t>
      </w:r>
      <w:proofErr w:type="spellStart"/>
      <w:r w:rsidRPr="0078407B">
        <w:rPr>
          <w:rFonts w:hint="eastAsia"/>
          <w:rtl/>
        </w:rPr>
        <w:t>וכיוצ</w:t>
      </w:r>
      <w:r w:rsidRPr="0078407B">
        <w:rPr>
          <w:rtl/>
        </w:rPr>
        <w:t>"</w:t>
      </w:r>
      <w:r w:rsidRPr="0078407B">
        <w:rPr>
          <w:rFonts w:hint="eastAsia"/>
          <w:rtl/>
        </w:rPr>
        <w:t>ב</w:t>
      </w:r>
      <w:proofErr w:type="spellEnd"/>
      <w:r>
        <w:rPr>
          <w:rtl/>
        </w:rPr>
        <w:t>),</w:t>
      </w:r>
      <w:r>
        <w:rPr>
          <w:rFonts w:hint="cs"/>
          <w:rtl/>
        </w:rPr>
        <w:t xml:space="preserve"> </w:t>
      </w:r>
      <w:r w:rsidRPr="0078407B">
        <w:rPr>
          <w:rFonts w:hint="eastAsia"/>
          <w:rtl/>
        </w:rPr>
        <w:t>אף</w:t>
      </w:r>
      <w:r>
        <w:rPr>
          <w:rFonts w:hint="cs"/>
          <w:rtl/>
        </w:rPr>
        <w:t xml:space="preserve"> </w:t>
      </w:r>
      <w:r w:rsidRPr="0078407B">
        <w:rPr>
          <w:rFonts w:hint="eastAsia"/>
          <w:rtl/>
        </w:rPr>
        <w:t>לא</w:t>
      </w:r>
      <w:r w:rsidRPr="0078407B">
        <w:rPr>
          <w:rtl/>
        </w:rPr>
        <w:t xml:space="preserve"> </w:t>
      </w:r>
      <w:r w:rsidRPr="0078407B">
        <w:rPr>
          <w:rFonts w:hint="eastAsia"/>
          <w:rtl/>
        </w:rPr>
        <w:t>ב</w:t>
      </w:r>
      <w:r>
        <w:rPr>
          <w:rFonts w:hint="cs"/>
          <w:rtl/>
        </w:rPr>
        <w:t>'</w:t>
      </w:r>
      <w:r w:rsidRPr="0078407B">
        <w:rPr>
          <w:rFonts w:hint="eastAsia"/>
          <w:rtl/>
        </w:rPr>
        <w:t>עץ</w:t>
      </w:r>
      <w:r>
        <w:rPr>
          <w:rFonts w:hint="cs"/>
          <w:rtl/>
        </w:rPr>
        <w:t>'</w:t>
      </w:r>
      <w:r w:rsidRPr="0078407B">
        <w:rPr>
          <w:rtl/>
        </w:rPr>
        <w:t xml:space="preserve"> </w:t>
      </w:r>
      <w:r w:rsidRPr="0078407B">
        <w:rPr>
          <w:rFonts w:hint="eastAsia"/>
          <w:rtl/>
        </w:rPr>
        <w:t>שרכשה</w:t>
      </w:r>
      <w:r>
        <w:rPr>
          <w:rFonts w:hint="cs"/>
          <w:rtl/>
        </w:rPr>
        <w:t xml:space="preserve"> </w:t>
      </w:r>
      <w:r w:rsidRPr="0078407B">
        <w:rPr>
          <w:rFonts w:hint="eastAsia"/>
          <w:rtl/>
        </w:rPr>
        <w:t>מהספקים</w:t>
      </w:r>
      <w:r w:rsidRPr="0078407B">
        <w:rPr>
          <w:rtl/>
        </w:rPr>
        <w:t xml:space="preserve">. </w:t>
      </w:r>
      <w:r w:rsidRPr="0078407B">
        <w:rPr>
          <w:rFonts w:hint="eastAsia"/>
          <w:rtl/>
        </w:rPr>
        <w:t>הניסיון</w:t>
      </w:r>
      <w:r w:rsidRPr="0078407B">
        <w:rPr>
          <w:rtl/>
        </w:rPr>
        <w:t xml:space="preserve"> </w:t>
      </w:r>
      <w:r w:rsidRPr="0078407B">
        <w:rPr>
          <w:rFonts w:hint="eastAsia"/>
          <w:rtl/>
        </w:rPr>
        <w:t>לעצב</w:t>
      </w:r>
      <w:r w:rsidRPr="0078407B">
        <w:rPr>
          <w:rtl/>
        </w:rPr>
        <w:t xml:space="preserve"> </w:t>
      </w:r>
      <w:r w:rsidRPr="0078407B">
        <w:rPr>
          <w:rFonts w:hint="eastAsia"/>
          <w:rtl/>
        </w:rPr>
        <w:t>את</w:t>
      </w:r>
      <w:r>
        <w:rPr>
          <w:rFonts w:hint="cs"/>
          <w:rtl/>
        </w:rPr>
        <w:t xml:space="preserve"> </w:t>
      </w:r>
      <w:r w:rsidRPr="0078407B">
        <w:rPr>
          <w:rFonts w:hint="eastAsia"/>
          <w:rtl/>
        </w:rPr>
        <w:t>ההתקשרות</w:t>
      </w:r>
      <w:r w:rsidRPr="0078407B">
        <w:rPr>
          <w:rtl/>
        </w:rPr>
        <w:t xml:space="preserve"> </w:t>
      </w:r>
      <w:r w:rsidRPr="0078407B">
        <w:rPr>
          <w:rFonts w:hint="eastAsia"/>
          <w:rtl/>
        </w:rPr>
        <w:t>החוזית</w:t>
      </w:r>
      <w:r w:rsidRPr="0078407B">
        <w:rPr>
          <w:rtl/>
        </w:rPr>
        <w:t xml:space="preserve"> </w:t>
      </w:r>
      <w:r w:rsidRPr="0078407B">
        <w:rPr>
          <w:rFonts w:hint="eastAsia"/>
          <w:rtl/>
        </w:rPr>
        <w:t>עם</w:t>
      </w:r>
      <w:r w:rsidRPr="0078407B">
        <w:rPr>
          <w:rtl/>
        </w:rPr>
        <w:t xml:space="preserve"> </w:t>
      </w:r>
      <w:r w:rsidRPr="0078407B">
        <w:rPr>
          <w:rFonts w:hint="eastAsia"/>
          <w:rtl/>
        </w:rPr>
        <w:t>הספקים</w:t>
      </w:r>
      <w:r w:rsidRPr="0078407B">
        <w:rPr>
          <w:rtl/>
        </w:rPr>
        <w:t xml:space="preserve"> </w:t>
      </w:r>
      <w:r w:rsidRPr="0078407B">
        <w:rPr>
          <w:rFonts w:hint="eastAsia"/>
          <w:rtl/>
        </w:rPr>
        <w:t>ולהציגה</w:t>
      </w:r>
      <w:r w:rsidRPr="0078407B">
        <w:rPr>
          <w:rtl/>
        </w:rPr>
        <w:t xml:space="preserve"> </w:t>
      </w:r>
      <w:r w:rsidRPr="0078407B">
        <w:rPr>
          <w:rFonts w:hint="eastAsia"/>
          <w:rtl/>
        </w:rPr>
        <w:t>כרכישת</w:t>
      </w:r>
      <w:r w:rsidRPr="0078407B">
        <w:rPr>
          <w:rtl/>
        </w:rPr>
        <w:t xml:space="preserve"> </w:t>
      </w:r>
      <w:r w:rsidRPr="0078407B">
        <w:rPr>
          <w:rFonts w:hint="eastAsia"/>
          <w:rtl/>
        </w:rPr>
        <w:t>זכות</w:t>
      </w:r>
      <w:r w:rsidRPr="0078407B">
        <w:rPr>
          <w:rtl/>
        </w:rPr>
        <w:t xml:space="preserve"> </w:t>
      </w:r>
      <w:r w:rsidRPr="0078407B">
        <w:rPr>
          <w:rFonts w:hint="eastAsia"/>
          <w:rtl/>
        </w:rPr>
        <w:t>חוזית</w:t>
      </w:r>
      <w:r w:rsidRPr="0078407B">
        <w:rPr>
          <w:rtl/>
        </w:rPr>
        <w:t xml:space="preserve"> </w:t>
      </w:r>
      <w:r w:rsidRPr="0078407B">
        <w:rPr>
          <w:rFonts w:hint="eastAsia"/>
          <w:rtl/>
        </w:rPr>
        <w:t>היא</w:t>
      </w:r>
      <w:r w:rsidRPr="0078407B">
        <w:rPr>
          <w:rtl/>
        </w:rPr>
        <w:t xml:space="preserve"> </w:t>
      </w:r>
      <w:r w:rsidRPr="0078407B">
        <w:rPr>
          <w:rFonts w:hint="eastAsia"/>
          <w:rtl/>
        </w:rPr>
        <w:t>מלאכותית</w:t>
      </w:r>
      <w:r w:rsidRPr="0078407B">
        <w:rPr>
          <w:rtl/>
        </w:rPr>
        <w:t xml:space="preserve"> </w:t>
      </w:r>
      <w:r w:rsidRPr="0078407B">
        <w:rPr>
          <w:rFonts w:hint="eastAsia"/>
          <w:rtl/>
        </w:rPr>
        <w:t>ומאולצת</w:t>
      </w:r>
      <w:r w:rsidRPr="0078407B">
        <w:rPr>
          <w:rtl/>
        </w:rPr>
        <w:t xml:space="preserve">, </w:t>
      </w:r>
      <w:r w:rsidRPr="0078407B">
        <w:rPr>
          <w:rFonts w:hint="eastAsia"/>
          <w:rtl/>
        </w:rPr>
        <w:t>בדומה</w:t>
      </w:r>
      <w:r w:rsidRPr="0078407B">
        <w:rPr>
          <w:rtl/>
        </w:rPr>
        <w:t xml:space="preserve"> </w:t>
      </w:r>
      <w:r w:rsidRPr="0078407B">
        <w:rPr>
          <w:rFonts w:hint="eastAsia"/>
          <w:rtl/>
        </w:rPr>
        <w:t>לניסיונות</w:t>
      </w:r>
      <w:r w:rsidRPr="0078407B">
        <w:rPr>
          <w:rtl/>
        </w:rPr>
        <w:t xml:space="preserve"> </w:t>
      </w:r>
      <w:r w:rsidRPr="0078407B">
        <w:rPr>
          <w:rFonts w:hint="eastAsia"/>
          <w:rtl/>
        </w:rPr>
        <w:t>שנדונו</w:t>
      </w:r>
      <w:r w:rsidRPr="0078407B">
        <w:rPr>
          <w:rtl/>
        </w:rPr>
        <w:t xml:space="preserve"> </w:t>
      </w:r>
      <w:r w:rsidRPr="0078407B">
        <w:rPr>
          <w:rFonts w:hint="eastAsia"/>
          <w:rtl/>
        </w:rPr>
        <w:t>בפסיקה</w:t>
      </w:r>
      <w:r w:rsidRPr="0078407B">
        <w:rPr>
          <w:rtl/>
        </w:rPr>
        <w:t xml:space="preserve"> </w:t>
      </w:r>
      <w:r w:rsidRPr="0078407B">
        <w:rPr>
          <w:rFonts w:hint="eastAsia"/>
          <w:rtl/>
        </w:rPr>
        <w:t>לעצב</w:t>
      </w:r>
      <w:r w:rsidRPr="0078407B">
        <w:rPr>
          <w:rtl/>
        </w:rPr>
        <w:t xml:space="preserve"> </w:t>
      </w:r>
      <w:r w:rsidRPr="0078407B">
        <w:rPr>
          <w:rFonts w:hint="eastAsia"/>
          <w:rtl/>
        </w:rPr>
        <w:t>התקשרויות</w:t>
      </w:r>
      <w:r w:rsidRPr="0078407B">
        <w:rPr>
          <w:rtl/>
        </w:rPr>
        <w:t xml:space="preserve"> </w:t>
      </w:r>
      <w:r w:rsidRPr="0078407B">
        <w:rPr>
          <w:rFonts w:hint="eastAsia"/>
          <w:rtl/>
        </w:rPr>
        <w:t>חוזיות</w:t>
      </w:r>
      <w:r w:rsidRPr="0078407B">
        <w:rPr>
          <w:rtl/>
        </w:rPr>
        <w:t xml:space="preserve"> </w:t>
      </w:r>
      <w:r w:rsidRPr="0078407B">
        <w:rPr>
          <w:rFonts w:hint="eastAsia"/>
          <w:rtl/>
        </w:rPr>
        <w:t>כ</w:t>
      </w:r>
      <w:r>
        <w:rPr>
          <w:rFonts w:hint="cs"/>
          <w:rtl/>
        </w:rPr>
        <w:t>'</w:t>
      </w:r>
      <w:r w:rsidRPr="0078407B">
        <w:rPr>
          <w:rFonts w:hint="eastAsia"/>
          <w:rtl/>
        </w:rPr>
        <w:t>ויתור</w:t>
      </w:r>
      <w:r>
        <w:rPr>
          <w:rFonts w:hint="cs"/>
          <w:rtl/>
        </w:rPr>
        <w:t>'</w:t>
      </w:r>
      <w:r w:rsidRPr="0078407B">
        <w:rPr>
          <w:rtl/>
        </w:rPr>
        <w:t xml:space="preserve"> </w:t>
      </w:r>
      <w:r w:rsidRPr="0078407B">
        <w:rPr>
          <w:rFonts w:hint="eastAsia"/>
          <w:rtl/>
        </w:rPr>
        <w:t>על</w:t>
      </w:r>
      <w:r w:rsidRPr="0078407B">
        <w:rPr>
          <w:rtl/>
        </w:rPr>
        <w:t xml:space="preserve"> </w:t>
      </w:r>
      <w:r w:rsidRPr="0078407B">
        <w:rPr>
          <w:rFonts w:hint="eastAsia"/>
          <w:rtl/>
        </w:rPr>
        <w:t>זכות</w:t>
      </w:r>
      <w:r w:rsidRPr="0078407B">
        <w:rPr>
          <w:rtl/>
        </w:rPr>
        <w:t xml:space="preserve">, </w:t>
      </w:r>
      <w:r w:rsidRPr="0078407B">
        <w:rPr>
          <w:rFonts w:hint="eastAsia"/>
          <w:rtl/>
        </w:rPr>
        <w:t>ואין</w:t>
      </w:r>
      <w:r w:rsidRPr="0078407B">
        <w:rPr>
          <w:rtl/>
        </w:rPr>
        <w:t xml:space="preserve"> </w:t>
      </w:r>
      <w:r w:rsidRPr="0078407B">
        <w:rPr>
          <w:rFonts w:hint="eastAsia"/>
          <w:rtl/>
        </w:rPr>
        <w:t>בה</w:t>
      </w:r>
      <w:r w:rsidRPr="0078407B">
        <w:rPr>
          <w:rtl/>
        </w:rPr>
        <w:t xml:space="preserve"> </w:t>
      </w:r>
      <w:r w:rsidRPr="0078407B">
        <w:rPr>
          <w:rFonts w:hint="eastAsia"/>
          <w:rtl/>
        </w:rPr>
        <w:t>כדי</w:t>
      </w:r>
      <w:r w:rsidRPr="0078407B">
        <w:rPr>
          <w:rtl/>
        </w:rPr>
        <w:t xml:space="preserve"> </w:t>
      </w:r>
      <w:r w:rsidRPr="0078407B">
        <w:rPr>
          <w:rFonts w:hint="eastAsia"/>
          <w:rtl/>
        </w:rPr>
        <w:t>להעיד</w:t>
      </w:r>
      <w:r w:rsidRPr="0078407B">
        <w:rPr>
          <w:rtl/>
        </w:rPr>
        <w:t xml:space="preserve"> </w:t>
      </w:r>
      <w:r w:rsidRPr="0078407B">
        <w:rPr>
          <w:rFonts w:hint="eastAsia"/>
          <w:rtl/>
        </w:rPr>
        <w:t>על</w:t>
      </w:r>
      <w:r w:rsidRPr="0078407B">
        <w:rPr>
          <w:rtl/>
        </w:rPr>
        <w:t xml:space="preserve"> </w:t>
      </w:r>
      <w:r w:rsidRPr="0078407B">
        <w:rPr>
          <w:rFonts w:hint="eastAsia"/>
          <w:rtl/>
        </w:rPr>
        <w:t>רכישת</w:t>
      </w:r>
      <w:r w:rsidRPr="0078407B">
        <w:rPr>
          <w:rtl/>
        </w:rPr>
        <w:t xml:space="preserve"> </w:t>
      </w:r>
      <w:r w:rsidRPr="0078407B">
        <w:rPr>
          <w:rFonts w:hint="eastAsia"/>
          <w:rtl/>
        </w:rPr>
        <w:t>נכס</w:t>
      </w:r>
      <w:r w:rsidRPr="0078407B">
        <w:rPr>
          <w:rtl/>
        </w:rPr>
        <w:t>.</w:t>
      </w:r>
      <w:r>
        <w:rPr>
          <w:rFonts w:hint="cs"/>
          <w:rtl/>
        </w:rPr>
        <w:t>"</w:t>
      </w:r>
    </w:p>
    <w:p w:rsidR="00772979" w:rsidRDefault="00772979" w:rsidP="007D6167">
      <w:pPr>
        <w:pStyle w:val="Ruller41"/>
        <w:rPr>
          <w:rtl/>
        </w:rPr>
      </w:pPr>
    </w:p>
    <w:p w:rsidR="007D6167" w:rsidRDefault="007D6167" w:rsidP="00B65677">
      <w:pPr>
        <w:pStyle w:val="Ruller41"/>
        <w:rPr>
          <w:rtl/>
        </w:rPr>
      </w:pPr>
      <w:r>
        <w:rPr>
          <w:rtl/>
        </w:rPr>
        <w:tab/>
      </w:r>
      <w:r>
        <w:rPr>
          <w:rFonts w:hint="cs"/>
          <w:rtl/>
        </w:rPr>
        <w:t xml:space="preserve">(ב) </w:t>
      </w:r>
      <w:r>
        <w:rPr>
          <w:rFonts w:ascii="Century" w:hAnsi="Century" w:cs="Miriam" w:hint="cs"/>
          <w:b/>
          <w:spacing w:val="0"/>
          <w:szCs w:val="24"/>
          <w:rtl/>
        </w:rPr>
        <w:t>המחיר המקורי של הזכות למענק ספקים:</w:t>
      </w:r>
      <w:r>
        <w:rPr>
          <w:rFonts w:hint="cs"/>
          <w:rtl/>
        </w:rPr>
        <w:t xml:space="preserve"> </w:t>
      </w:r>
      <w:r w:rsidR="00335B6A">
        <w:rPr>
          <w:rFonts w:hint="cs"/>
          <w:rtl/>
        </w:rPr>
        <w:t>על פי</w:t>
      </w:r>
      <w:r>
        <w:rPr>
          <w:rFonts w:hint="cs"/>
          <w:rtl/>
        </w:rPr>
        <w:t xml:space="preserve"> ממצאי העובדה </w:t>
      </w:r>
      <w:r w:rsidR="00335B6A">
        <w:rPr>
          <w:rFonts w:hint="cs"/>
          <w:rtl/>
        </w:rPr>
        <w:t>שנקבעו על ידי בית המשפט המחוזי,</w:t>
      </w:r>
      <w:r>
        <w:rPr>
          <w:rFonts w:hint="cs"/>
          <w:rtl/>
        </w:rPr>
        <w:t xml:space="preserve"> </w:t>
      </w:r>
      <w:r w:rsidR="00335B6A">
        <w:rPr>
          <w:rFonts w:hint="cs"/>
          <w:rtl/>
        </w:rPr>
        <w:t>התשלום לבעלי מניות כמעט חינם היה אך בגין מניותיהם, ו</w:t>
      </w:r>
      <w:r w:rsidR="000461D6">
        <w:rPr>
          <w:rFonts w:hint="cs"/>
          <w:rtl/>
        </w:rPr>
        <w:t xml:space="preserve">המערערת לא שילמה להם </w:t>
      </w:r>
      <w:r w:rsidR="00335B6A">
        <w:rPr>
          <w:rFonts w:hint="cs"/>
          <w:rtl/>
        </w:rPr>
        <w:t xml:space="preserve">דבר </w:t>
      </w:r>
      <w:r w:rsidR="00677987">
        <w:rPr>
          <w:rFonts w:hint="cs"/>
          <w:rtl/>
        </w:rPr>
        <w:t>בעד</w:t>
      </w:r>
      <w:r>
        <w:rPr>
          <w:rFonts w:hint="cs"/>
          <w:rtl/>
        </w:rPr>
        <w:t xml:space="preserve"> הזכות למענק </w:t>
      </w:r>
      <w:r w:rsidR="00335B6A">
        <w:rPr>
          <w:rFonts w:hint="cs"/>
          <w:rtl/>
        </w:rPr>
        <w:t xml:space="preserve">ספקים. לפיכך </w:t>
      </w:r>
      <w:r>
        <w:rPr>
          <w:rFonts w:hint="cs"/>
          <w:rtl/>
        </w:rPr>
        <w:t>נקבע כי גם במקרה שבו דיני המס היו מאפשרים להכיר ב</w:t>
      </w:r>
      <w:r w:rsidR="00335B6A">
        <w:rPr>
          <w:rFonts w:hint="cs"/>
          <w:rtl/>
        </w:rPr>
        <w:t>זכות למענק ספקים</w:t>
      </w:r>
      <w:r w:rsidR="007E0520">
        <w:rPr>
          <w:rFonts w:hint="cs"/>
          <w:rtl/>
        </w:rPr>
        <w:t xml:space="preserve"> כנכס </w:t>
      </w:r>
      <w:r w:rsidR="007E0520">
        <w:rPr>
          <w:rtl/>
        </w:rPr>
        <w:t>–</w:t>
      </w:r>
      <w:r w:rsidR="007E0520">
        <w:rPr>
          <w:rFonts w:hint="cs"/>
          <w:rtl/>
        </w:rPr>
        <w:t xml:space="preserve"> </w:t>
      </w:r>
      <w:r>
        <w:rPr>
          <w:rFonts w:hint="cs"/>
          <w:rtl/>
        </w:rPr>
        <w:t>ממילא מדובר בנכס ש</w:t>
      </w:r>
      <w:r w:rsidR="007E0520">
        <w:rPr>
          <w:rFonts w:hint="cs"/>
          <w:rtl/>
        </w:rPr>
        <w:t>אין לו "מחיר מקורי", או ש</w:t>
      </w:r>
      <w:r>
        <w:rPr>
          <w:rFonts w:hint="cs"/>
          <w:rtl/>
        </w:rPr>
        <w:t>מחירו</w:t>
      </w:r>
      <w:r w:rsidR="00335B6A">
        <w:rPr>
          <w:rFonts w:hint="cs"/>
          <w:rtl/>
        </w:rPr>
        <w:t xml:space="preserve"> </w:t>
      </w:r>
      <w:r w:rsidR="00626D3A">
        <w:rPr>
          <w:rFonts w:hint="cs"/>
          <w:rtl/>
        </w:rPr>
        <w:t xml:space="preserve">המקורי הוא 0 ש"ח. כלומר, אין לנכס כל עלות שכנגדה ניתן להפחית את ההכנסות </w:t>
      </w:r>
      <w:r w:rsidR="00677987">
        <w:rPr>
          <w:rFonts w:hint="cs"/>
          <w:rtl/>
        </w:rPr>
        <w:t>שנטען כי מתקבלות מן הנכס</w:t>
      </w:r>
      <w:r w:rsidR="00626D3A">
        <w:rPr>
          <w:rFonts w:hint="cs"/>
          <w:rtl/>
        </w:rPr>
        <w:t>.</w:t>
      </w:r>
      <w:r>
        <w:rPr>
          <w:rFonts w:hint="cs"/>
          <w:rtl/>
        </w:rPr>
        <w:t xml:space="preserve"> זאת, בעוד המערערת ייחסה לזכות למענק ספקים מחיר</w:t>
      </w:r>
      <w:r w:rsidR="00EE0028">
        <w:rPr>
          <w:rFonts w:hint="cs"/>
          <w:rtl/>
        </w:rPr>
        <w:t xml:space="preserve"> מקורי</w:t>
      </w:r>
      <w:r>
        <w:rPr>
          <w:rFonts w:hint="cs"/>
          <w:rtl/>
        </w:rPr>
        <w:t xml:space="preserve"> ש</w:t>
      </w:r>
      <w:r w:rsidR="00B65677">
        <w:rPr>
          <w:rFonts w:hint="cs"/>
          <w:rtl/>
        </w:rPr>
        <w:t>ל למעלה מ-110 מיליון ש"ח</w:t>
      </w:r>
      <w:r>
        <w:rPr>
          <w:rFonts w:hint="cs"/>
          <w:rtl/>
        </w:rPr>
        <w:t>.</w:t>
      </w:r>
    </w:p>
    <w:p w:rsidR="007D6167" w:rsidRDefault="007D6167" w:rsidP="00D05738">
      <w:pPr>
        <w:pStyle w:val="Ruller41"/>
        <w:spacing w:line="240" w:lineRule="auto"/>
        <w:rPr>
          <w:rtl/>
        </w:rPr>
      </w:pPr>
    </w:p>
    <w:p w:rsidR="007D6167" w:rsidRDefault="007D6167" w:rsidP="00B31F2F">
      <w:pPr>
        <w:pStyle w:val="Ruller41"/>
        <w:rPr>
          <w:rtl/>
        </w:rPr>
      </w:pPr>
      <w:r>
        <w:rPr>
          <w:rtl/>
        </w:rPr>
        <w:tab/>
      </w:r>
      <w:r>
        <w:rPr>
          <w:rFonts w:hint="cs"/>
          <w:rtl/>
        </w:rPr>
        <w:t xml:space="preserve">(ג) </w:t>
      </w:r>
      <w:r w:rsidRPr="000B77E6">
        <w:rPr>
          <w:rFonts w:ascii="Century" w:hAnsi="Century" w:cs="Miriam" w:hint="cs"/>
          <w:b/>
          <w:spacing w:val="0"/>
          <w:szCs w:val="24"/>
          <w:rtl/>
        </w:rPr>
        <w:t>הגדרת</w:t>
      </w:r>
      <w:r>
        <w:rPr>
          <w:rFonts w:ascii="Century" w:hAnsi="Century" w:cs="Miriam" w:hint="cs"/>
          <w:b/>
          <w:spacing w:val="0"/>
          <w:szCs w:val="24"/>
          <w:rtl/>
        </w:rPr>
        <w:t>ה של</w:t>
      </w:r>
      <w:r w:rsidRPr="000B77E6">
        <w:rPr>
          <w:rFonts w:ascii="Century" w:hAnsi="Century" w:cs="Miriam" w:hint="cs"/>
          <w:b/>
          <w:spacing w:val="0"/>
          <w:szCs w:val="24"/>
          <w:rtl/>
        </w:rPr>
        <w:t xml:space="preserve"> הזכות למענק ספקים כנכס בר-פחת</w:t>
      </w:r>
      <w:r>
        <w:rPr>
          <w:rFonts w:ascii="Century" w:hAnsi="Century" w:cs="Miriam" w:hint="cs"/>
          <w:b/>
          <w:spacing w:val="0"/>
          <w:szCs w:val="24"/>
          <w:rtl/>
        </w:rPr>
        <w:t>:</w:t>
      </w:r>
      <w:r>
        <w:rPr>
          <w:rFonts w:hint="cs"/>
          <w:rtl/>
        </w:rPr>
        <w:t xml:space="preserve"> לא כל נכס הוא כזה שניתן לנכות פחת בגינו, אלא רק הנכסים שהוגדרו בפקודה וב</w:t>
      </w:r>
      <w:r w:rsidRPr="004919A1">
        <w:rPr>
          <w:rFonts w:hint="eastAsia"/>
          <w:rtl/>
        </w:rPr>
        <w:t>תקנות</w:t>
      </w:r>
      <w:r w:rsidRPr="004919A1">
        <w:rPr>
          <w:rtl/>
        </w:rPr>
        <w:t xml:space="preserve"> </w:t>
      </w:r>
      <w:r w:rsidRPr="004919A1">
        <w:rPr>
          <w:rFonts w:hint="eastAsia"/>
          <w:rtl/>
        </w:rPr>
        <w:t>מס</w:t>
      </w:r>
      <w:r w:rsidRPr="004919A1">
        <w:rPr>
          <w:rtl/>
        </w:rPr>
        <w:t xml:space="preserve"> </w:t>
      </w:r>
      <w:r w:rsidRPr="004919A1">
        <w:rPr>
          <w:rFonts w:hint="eastAsia"/>
          <w:rtl/>
        </w:rPr>
        <w:t>הכנסה</w:t>
      </w:r>
      <w:r w:rsidRPr="004919A1">
        <w:rPr>
          <w:rtl/>
        </w:rPr>
        <w:t xml:space="preserve"> (</w:t>
      </w:r>
      <w:r w:rsidRPr="004919A1">
        <w:rPr>
          <w:rFonts w:hint="eastAsia"/>
          <w:rtl/>
        </w:rPr>
        <w:t>פחת</w:t>
      </w:r>
      <w:r w:rsidRPr="004919A1">
        <w:rPr>
          <w:rtl/>
        </w:rPr>
        <w:t xml:space="preserve">), </w:t>
      </w:r>
      <w:r w:rsidRPr="00EE012A">
        <w:rPr>
          <w:rFonts w:ascii="FrankRuehl" w:hAnsi="FrankRuehl"/>
          <w:sz w:val="28"/>
          <w:rtl/>
        </w:rPr>
        <w:t>1941</w:t>
      </w:r>
      <w:r>
        <w:rPr>
          <w:rFonts w:ascii="FrankRuehl" w:hAnsi="FrankRuehl" w:hint="cs"/>
          <w:sz w:val="28"/>
          <w:rtl/>
        </w:rPr>
        <w:t xml:space="preserve"> ככאלה שניתן לעשות </w:t>
      </w:r>
      <w:r w:rsidR="005126E9">
        <w:rPr>
          <w:rFonts w:ascii="FrankRuehl" w:hAnsi="FrankRuehl" w:hint="cs"/>
          <w:sz w:val="28"/>
          <w:rtl/>
        </w:rPr>
        <w:t>כן</w:t>
      </w:r>
      <w:r>
        <w:rPr>
          <w:rFonts w:ascii="FrankRuehl" w:hAnsi="FrankRuehl" w:hint="cs"/>
          <w:sz w:val="28"/>
          <w:rtl/>
        </w:rPr>
        <w:t xml:space="preserve"> לגביהם. הזכות למענק ספקים לא הוגדרה כנכס בר-פחת, </w:t>
      </w:r>
      <w:r w:rsidR="00D87F41">
        <w:rPr>
          <w:rFonts w:ascii="FrankRuehl" w:hAnsi="FrankRuehl" w:hint="cs"/>
          <w:sz w:val="28"/>
          <w:rtl/>
        </w:rPr>
        <w:t xml:space="preserve">ופשיטא שלא נקבע לה שיעור לניכוי בעד פחת </w:t>
      </w:r>
      <w:r w:rsidR="00D87F41">
        <w:rPr>
          <w:rFonts w:ascii="FrankRuehl" w:hAnsi="FrankRuehl"/>
          <w:sz w:val="28"/>
          <w:rtl/>
        </w:rPr>
        <w:t>–</w:t>
      </w:r>
      <w:r w:rsidR="00D87F41">
        <w:rPr>
          <w:rFonts w:ascii="FrankRuehl" w:hAnsi="FrankRuehl" w:hint="cs"/>
          <w:sz w:val="28"/>
          <w:rtl/>
        </w:rPr>
        <w:t xml:space="preserve"> </w:t>
      </w:r>
      <w:r>
        <w:rPr>
          <w:rFonts w:ascii="FrankRuehl" w:hAnsi="FrankRuehl" w:hint="cs"/>
          <w:sz w:val="28"/>
          <w:rtl/>
        </w:rPr>
        <w:t>כך שלמעשה המערערת היא שקבעה על דעת עצמה כי מדובר בנכס בר-פחת ואף החליטה לבדה מהו שיעור הפחת של</w:t>
      </w:r>
      <w:r w:rsidR="004312F5">
        <w:rPr>
          <w:rFonts w:ascii="FrankRuehl" w:hAnsi="FrankRuehl" w:hint="cs"/>
          <w:sz w:val="28"/>
          <w:rtl/>
        </w:rPr>
        <w:t>ו</w:t>
      </w:r>
      <w:r>
        <w:rPr>
          <w:rFonts w:ascii="FrankRuehl" w:hAnsi="FrankRuehl" w:hint="cs"/>
          <w:sz w:val="28"/>
          <w:rtl/>
        </w:rPr>
        <w:t xml:space="preserve">. </w:t>
      </w:r>
      <w:r w:rsidR="004312F5">
        <w:rPr>
          <w:rFonts w:hint="cs"/>
          <w:rtl/>
        </w:rPr>
        <w:t>לפיכך קבע</w:t>
      </w:r>
      <w:r>
        <w:rPr>
          <w:rFonts w:hint="cs"/>
          <w:rtl/>
        </w:rPr>
        <w:t xml:space="preserve"> בית המשפט המחוזי כי גם </w:t>
      </w:r>
      <w:r w:rsidR="00D378D0">
        <w:rPr>
          <w:rFonts w:hint="cs"/>
          <w:rtl/>
        </w:rPr>
        <w:t>אילו היה מקום לקבל את הטענה</w:t>
      </w:r>
      <w:r>
        <w:rPr>
          <w:rFonts w:hint="cs"/>
          <w:rtl/>
        </w:rPr>
        <w:t xml:space="preserve"> </w:t>
      </w:r>
      <w:r w:rsidR="00D378D0">
        <w:rPr>
          <w:rFonts w:hint="cs"/>
          <w:rtl/>
        </w:rPr>
        <w:t>ש</w:t>
      </w:r>
      <w:r>
        <w:rPr>
          <w:rFonts w:hint="cs"/>
          <w:rtl/>
        </w:rPr>
        <w:t xml:space="preserve">הזכות למענק ספקים </w:t>
      </w:r>
      <w:r w:rsidR="00D378D0">
        <w:rPr>
          <w:rFonts w:hint="cs"/>
          <w:rtl/>
        </w:rPr>
        <w:t>היא בגדר</w:t>
      </w:r>
      <w:r>
        <w:rPr>
          <w:rFonts w:hint="cs"/>
          <w:rtl/>
        </w:rPr>
        <w:t xml:space="preserve"> נכס, וגם לו הייתה משולמת בעדה תמורה כלשהי לבעלי המניות של כמעט חינם כך שמחירה המקורי היה גבוה מ-0 ש"ח </w:t>
      </w:r>
      <w:r>
        <w:rPr>
          <w:rtl/>
        </w:rPr>
        <w:t>–</w:t>
      </w:r>
      <w:r>
        <w:rPr>
          <w:rFonts w:hint="cs"/>
          <w:rtl/>
        </w:rPr>
        <w:t xml:space="preserve"> ממילא לא הייתה כל אפשרות </w:t>
      </w:r>
      <w:r w:rsidR="00B31F2F">
        <w:rPr>
          <w:rFonts w:hint="cs"/>
          <w:rtl/>
        </w:rPr>
        <w:t>לנכות פחת בגינה,</w:t>
      </w:r>
      <w:r>
        <w:rPr>
          <w:rFonts w:hint="cs"/>
          <w:rtl/>
        </w:rPr>
        <w:t xml:space="preserve"> כפי שהמערערת עשתה.</w:t>
      </w:r>
    </w:p>
    <w:p w:rsidR="007D6167" w:rsidRDefault="007D6167" w:rsidP="007D6167">
      <w:pPr>
        <w:pStyle w:val="Ruller41"/>
        <w:rPr>
          <w:rtl/>
        </w:rPr>
      </w:pPr>
    </w:p>
    <w:p w:rsidR="007D6167" w:rsidRDefault="007D6167" w:rsidP="00E37C67">
      <w:pPr>
        <w:pStyle w:val="Ruller41"/>
        <w:rPr>
          <w:rtl/>
        </w:rPr>
      </w:pPr>
      <w:r>
        <w:rPr>
          <w:rtl/>
        </w:rPr>
        <w:lastRenderedPageBreak/>
        <w:tab/>
      </w:r>
      <w:r>
        <w:rPr>
          <w:rFonts w:hint="cs"/>
          <w:rtl/>
        </w:rPr>
        <w:t xml:space="preserve">על יסוד כל האמור נקבע כי בדין </w:t>
      </w:r>
      <w:r w:rsidR="00E37C67">
        <w:rPr>
          <w:rFonts w:hint="cs"/>
          <w:rtl/>
        </w:rPr>
        <w:t>לא קיבל</w:t>
      </w:r>
      <w:r>
        <w:rPr>
          <w:rFonts w:hint="cs"/>
          <w:rtl/>
        </w:rPr>
        <w:t xml:space="preserve"> פקיד השומה את הדיווח שהעבירה אליו המערערת, ובית המשפט המחוזי אישר במלואה את השומה שנקבעה </w:t>
      </w:r>
      <w:r w:rsidR="00E37C67">
        <w:rPr>
          <w:rFonts w:hint="cs"/>
          <w:rtl/>
        </w:rPr>
        <w:t>לה על פי מיטב השפיטה</w:t>
      </w:r>
      <w:r>
        <w:rPr>
          <w:rFonts w:hint="cs"/>
          <w:rtl/>
        </w:rPr>
        <w:t>.</w:t>
      </w:r>
    </w:p>
    <w:p w:rsidR="007D6167" w:rsidRDefault="007D6167" w:rsidP="007D6167">
      <w:pPr>
        <w:pStyle w:val="Ruller41"/>
        <w:rPr>
          <w:rtl/>
        </w:rPr>
      </w:pPr>
    </w:p>
    <w:p w:rsidR="008F6FC3" w:rsidRPr="008F6FC3" w:rsidRDefault="007D6167" w:rsidP="008F6FC3">
      <w:pPr>
        <w:pStyle w:val="Ruller4"/>
      </w:pPr>
      <w:r>
        <w:rPr>
          <w:rFonts w:hint="cs"/>
          <w:rtl/>
        </w:rPr>
        <w:t xml:space="preserve">לבסוף, בשולי פסק הדין, נדרש בית המשפט </w:t>
      </w:r>
      <w:r w:rsidR="001C6B3E">
        <w:rPr>
          <w:rFonts w:hint="cs"/>
          <w:rtl/>
        </w:rPr>
        <w:t xml:space="preserve">המחוזי </w:t>
      </w:r>
      <w:r>
        <w:rPr>
          <w:rFonts w:hint="cs"/>
          <w:rtl/>
        </w:rPr>
        <w:t xml:space="preserve">לסוגיית קנס הגירעון שכזכור לא צוין בצו שנשלח למערערת מהו שיעורו. </w:t>
      </w:r>
      <w:r w:rsidR="002713C2">
        <w:rPr>
          <w:rFonts w:hint="cs"/>
          <w:rtl/>
        </w:rPr>
        <w:t>במקור</w:t>
      </w:r>
      <w:r>
        <w:rPr>
          <w:rFonts w:hint="cs"/>
          <w:rtl/>
        </w:rPr>
        <w:t xml:space="preserve"> טענה </w:t>
      </w:r>
      <w:r>
        <w:rPr>
          <w:rFonts w:ascii="FrankRuehl" w:hAnsi="FrankRuehl" w:hint="cs"/>
          <w:sz w:val="28"/>
          <w:rtl/>
        </w:rPr>
        <w:t>המערערת שלא הופעל על ידי פקיד השומה</w:t>
      </w:r>
      <w:r w:rsidRPr="007A3E1F">
        <w:rPr>
          <w:rFonts w:ascii="FrankRuehl" w:hAnsi="FrankRuehl"/>
          <w:sz w:val="28"/>
          <w:rtl/>
        </w:rPr>
        <w:t xml:space="preserve"> שיקול דעת </w:t>
      </w:r>
      <w:r w:rsidR="00494C63">
        <w:rPr>
          <w:rFonts w:ascii="FrankRuehl" w:hAnsi="FrankRuehl" w:hint="cs"/>
          <w:sz w:val="28"/>
          <w:rtl/>
        </w:rPr>
        <w:t>בנוגע</w:t>
      </w:r>
      <w:r w:rsidRPr="007A3E1F">
        <w:rPr>
          <w:rFonts w:ascii="FrankRuehl" w:hAnsi="FrankRuehl"/>
          <w:sz w:val="28"/>
          <w:rtl/>
        </w:rPr>
        <w:t xml:space="preserve"> </w:t>
      </w:r>
      <w:r w:rsidR="004D2C87">
        <w:rPr>
          <w:rFonts w:ascii="FrankRuehl" w:hAnsi="FrankRuehl" w:hint="cs"/>
          <w:sz w:val="28"/>
          <w:rtl/>
        </w:rPr>
        <w:t>להטלת הקנס</w:t>
      </w:r>
      <w:r w:rsidR="004D2C87">
        <w:rPr>
          <w:rFonts w:ascii="FrankRuehl" w:hAnsi="FrankRuehl"/>
          <w:sz w:val="28"/>
        </w:rPr>
        <w:t>;</w:t>
      </w:r>
      <w:r>
        <w:rPr>
          <w:rFonts w:ascii="FrankRuehl" w:hAnsi="FrankRuehl" w:hint="cs"/>
          <w:sz w:val="28"/>
          <w:rtl/>
        </w:rPr>
        <w:t xml:space="preserve"> </w:t>
      </w:r>
      <w:r w:rsidR="008F6FC3">
        <w:rPr>
          <w:rFonts w:ascii="FrankRuehl" w:hAnsi="FrankRuehl" w:hint="cs"/>
          <w:sz w:val="28"/>
          <w:rtl/>
        </w:rPr>
        <w:t xml:space="preserve">ושלא נהגה ברשלנות שמצדיקה את הטלתו, שכן מדובר במחלוקת משפטית בעניין ההכנסה החייבת. </w:t>
      </w:r>
      <w:r>
        <w:rPr>
          <w:rFonts w:ascii="FrankRuehl" w:hAnsi="FrankRuehl" w:hint="cs"/>
          <w:sz w:val="28"/>
          <w:rtl/>
        </w:rPr>
        <w:t>נציגת פקיד השומה מצ</w:t>
      </w:r>
      <w:r w:rsidR="001531F8">
        <w:rPr>
          <w:rFonts w:ascii="FrankRuehl" w:hAnsi="FrankRuehl" w:hint="cs"/>
          <w:sz w:val="28"/>
          <w:rtl/>
        </w:rPr>
        <w:t>י</w:t>
      </w:r>
      <w:r>
        <w:rPr>
          <w:rFonts w:ascii="FrankRuehl" w:hAnsi="FrankRuehl" w:hint="cs"/>
          <w:sz w:val="28"/>
          <w:rtl/>
        </w:rPr>
        <w:t>דה הבהירה</w:t>
      </w:r>
      <w:r w:rsidR="004D2C87">
        <w:rPr>
          <w:rFonts w:ascii="FrankRuehl" w:hAnsi="FrankRuehl" w:hint="cs"/>
          <w:sz w:val="28"/>
          <w:rtl/>
        </w:rPr>
        <w:t>,</w:t>
      </w:r>
      <w:r>
        <w:rPr>
          <w:rFonts w:ascii="FrankRuehl" w:hAnsi="FrankRuehl" w:hint="cs"/>
          <w:sz w:val="28"/>
          <w:rtl/>
        </w:rPr>
        <w:t xml:space="preserve"> כשנשאלה על כך </w:t>
      </w:r>
      <w:r>
        <w:rPr>
          <w:rFonts w:hint="cs"/>
          <w:rtl/>
        </w:rPr>
        <w:t>במהלך חקירתה הנגדית</w:t>
      </w:r>
      <w:r w:rsidR="004D2C87">
        <w:rPr>
          <w:rFonts w:hint="cs"/>
          <w:rtl/>
        </w:rPr>
        <w:t>,</w:t>
      </w:r>
      <w:r>
        <w:rPr>
          <w:rFonts w:hint="cs"/>
          <w:rtl/>
        </w:rPr>
        <w:t xml:space="preserve"> כי במקרה שבו</w:t>
      </w:r>
      <w:r w:rsidR="004D2C87">
        <w:rPr>
          <w:rFonts w:hint="cs"/>
          <w:rtl/>
        </w:rPr>
        <w:t xml:space="preserve"> תאושר השומה שנקבעה למערערת בצו </w:t>
      </w:r>
      <w:r w:rsidR="004D2C87">
        <w:rPr>
          <w:rtl/>
        </w:rPr>
        <w:t>–</w:t>
      </w:r>
      <w:r w:rsidR="004D2C87">
        <w:rPr>
          <w:rFonts w:hint="cs"/>
          <w:rtl/>
        </w:rPr>
        <w:t xml:space="preserve"> אזי</w:t>
      </w:r>
      <w:r>
        <w:rPr>
          <w:rFonts w:hint="cs"/>
          <w:rtl/>
        </w:rPr>
        <w:t xml:space="preserve"> יוטל עליה קנס גירעון בשיעור </w:t>
      </w:r>
      <w:r w:rsidRPr="005D64A1">
        <w:rPr>
          <w:rFonts w:ascii="FrankRuehl" w:hAnsi="FrankRuehl"/>
          <w:sz w:val="28"/>
          <w:rtl/>
        </w:rPr>
        <w:t>של 15%</w:t>
      </w:r>
      <w:r w:rsidRPr="005D64A1">
        <w:rPr>
          <w:rFonts w:ascii="FrankRuehl" w:hAnsi="FrankRuehl"/>
          <w:sz w:val="28"/>
        </w:rPr>
        <w:t>;</w:t>
      </w:r>
      <w:r w:rsidRPr="005D64A1">
        <w:rPr>
          <w:rFonts w:ascii="FrankRuehl" w:hAnsi="FrankRuehl"/>
          <w:sz w:val="28"/>
          <w:rtl/>
        </w:rPr>
        <w:t xml:space="preserve"> </w:t>
      </w:r>
      <w:r>
        <w:rPr>
          <w:rFonts w:ascii="FrankRuehl" w:hAnsi="FrankRuehl" w:hint="cs"/>
          <w:sz w:val="28"/>
          <w:rtl/>
        </w:rPr>
        <w:t>אך</w:t>
      </w:r>
      <w:r>
        <w:rPr>
          <w:rFonts w:hint="cs"/>
          <w:rtl/>
        </w:rPr>
        <w:t xml:space="preserve"> במקרה שבו</w:t>
      </w:r>
      <w:r w:rsidR="0074656A">
        <w:rPr>
          <w:rFonts w:hint="cs"/>
          <w:rtl/>
        </w:rPr>
        <w:t xml:space="preserve"> ייקבע כי מדובר בעסקה</w:t>
      </w:r>
      <w:r>
        <w:rPr>
          <w:rFonts w:hint="cs"/>
          <w:rtl/>
        </w:rPr>
        <w:t xml:space="preserve"> מלאכותית</w:t>
      </w:r>
      <w:r w:rsidR="0074656A">
        <w:rPr>
          <w:rFonts w:hint="cs"/>
          <w:rtl/>
        </w:rPr>
        <w:t xml:space="preserve"> שיש להתעלם ממנה</w:t>
      </w:r>
      <w:r>
        <w:rPr>
          <w:rFonts w:hint="cs"/>
          <w:rtl/>
        </w:rPr>
        <w:t>,</w:t>
      </w:r>
      <w:r w:rsidR="0074656A">
        <w:rPr>
          <w:rFonts w:hint="cs"/>
          <w:rtl/>
        </w:rPr>
        <w:t xml:space="preserve"> </w:t>
      </w:r>
      <w:r>
        <w:rPr>
          <w:rFonts w:hint="cs"/>
          <w:rtl/>
        </w:rPr>
        <w:t>יוטל על המערערת קנס</w:t>
      </w:r>
      <w:r w:rsidRPr="007A3E1F">
        <w:rPr>
          <w:rFonts w:ascii="FrankRuehl" w:hAnsi="FrankRuehl"/>
          <w:sz w:val="28"/>
          <w:rtl/>
        </w:rPr>
        <w:t xml:space="preserve"> </w:t>
      </w:r>
      <w:r w:rsidR="000A414C">
        <w:rPr>
          <w:rFonts w:ascii="FrankRuehl" w:hAnsi="FrankRuehl" w:hint="cs"/>
          <w:sz w:val="28"/>
          <w:rtl/>
        </w:rPr>
        <w:t xml:space="preserve">גירעון </w:t>
      </w:r>
      <w:r w:rsidRPr="007A3E1F">
        <w:rPr>
          <w:rFonts w:ascii="FrankRuehl" w:hAnsi="FrankRuehl"/>
          <w:sz w:val="28"/>
          <w:rtl/>
        </w:rPr>
        <w:t>בשיעור של 30%.</w:t>
      </w:r>
    </w:p>
    <w:p w:rsidR="008F6FC3" w:rsidRDefault="008F6FC3" w:rsidP="00D05738">
      <w:pPr>
        <w:pStyle w:val="Ruller4"/>
        <w:numPr>
          <w:ilvl w:val="0"/>
          <w:numId w:val="0"/>
        </w:numPr>
        <w:spacing w:line="240" w:lineRule="auto"/>
        <w:rPr>
          <w:rFonts w:ascii="FrankRuehl" w:hAnsi="FrankRuehl"/>
          <w:sz w:val="28"/>
          <w:rtl/>
        </w:rPr>
      </w:pPr>
    </w:p>
    <w:p w:rsidR="00584BF4" w:rsidRDefault="008F6FC3" w:rsidP="00B74164">
      <w:pPr>
        <w:pStyle w:val="Ruller4"/>
        <w:numPr>
          <w:ilvl w:val="0"/>
          <w:numId w:val="0"/>
        </w:numPr>
        <w:rPr>
          <w:rtl/>
        </w:rPr>
      </w:pPr>
      <w:r>
        <w:rPr>
          <w:rFonts w:ascii="FrankRuehl" w:hAnsi="FrankRuehl"/>
          <w:sz w:val="28"/>
          <w:rtl/>
        </w:rPr>
        <w:tab/>
      </w:r>
      <w:r w:rsidR="00B74164">
        <w:rPr>
          <w:rFonts w:ascii="FrankRuehl" w:hAnsi="FrankRuehl" w:hint="cs"/>
          <w:sz w:val="28"/>
          <w:rtl/>
        </w:rPr>
        <w:t>בפסק הדין</w:t>
      </w:r>
      <w:r w:rsidR="00AF7D48">
        <w:rPr>
          <w:rFonts w:ascii="FrankRuehl" w:hAnsi="FrankRuehl" w:hint="cs"/>
          <w:sz w:val="28"/>
          <w:rtl/>
        </w:rPr>
        <w:t xml:space="preserve"> </w:t>
      </w:r>
      <w:r w:rsidR="00B74164">
        <w:rPr>
          <w:rFonts w:ascii="FrankRuehl" w:hAnsi="FrankRuehl" w:hint="cs"/>
          <w:sz w:val="28"/>
          <w:rtl/>
        </w:rPr>
        <w:t>נ</w:t>
      </w:r>
      <w:r w:rsidR="00AF7D48">
        <w:rPr>
          <w:rFonts w:ascii="FrankRuehl" w:hAnsi="FrankRuehl" w:hint="cs"/>
          <w:sz w:val="28"/>
          <w:rtl/>
        </w:rPr>
        <w:t>קבע</w:t>
      </w:r>
      <w:r w:rsidR="00017A55">
        <w:rPr>
          <w:rFonts w:hint="cs"/>
          <w:rtl/>
        </w:rPr>
        <w:t xml:space="preserve"> כי </w:t>
      </w:r>
      <w:r w:rsidR="002713C2">
        <w:rPr>
          <w:rFonts w:hint="cs"/>
          <w:rtl/>
        </w:rPr>
        <w:t xml:space="preserve">לא נפל פגם </w:t>
      </w:r>
      <w:r w:rsidR="00017A55">
        <w:rPr>
          <w:rFonts w:hint="cs"/>
          <w:rtl/>
        </w:rPr>
        <w:t xml:space="preserve">בקביעת פקיד השומה שלפיה יוטל קנס גירעון על המערערת. </w:t>
      </w:r>
      <w:r w:rsidR="001B5377">
        <w:rPr>
          <w:rFonts w:hint="cs"/>
          <w:rtl/>
        </w:rPr>
        <w:t xml:space="preserve">זאת </w:t>
      </w:r>
      <w:r w:rsidR="00052B6D">
        <w:rPr>
          <w:rFonts w:hint="cs"/>
          <w:rtl/>
        </w:rPr>
        <w:t>בהתבסס על התמונה</w:t>
      </w:r>
      <w:r w:rsidR="007D6167">
        <w:rPr>
          <w:rFonts w:hint="cs"/>
          <w:rtl/>
        </w:rPr>
        <w:t xml:space="preserve"> </w:t>
      </w:r>
      <w:proofErr w:type="spellStart"/>
      <w:r w:rsidR="00052B6D">
        <w:rPr>
          <w:rFonts w:hint="cs"/>
          <w:rtl/>
        </w:rPr>
        <w:t>שנצטיירה</w:t>
      </w:r>
      <w:proofErr w:type="spellEnd"/>
      <w:r w:rsidR="00052B6D">
        <w:rPr>
          <w:rFonts w:hint="cs"/>
          <w:rtl/>
        </w:rPr>
        <w:t xml:space="preserve"> </w:t>
      </w:r>
      <w:r w:rsidR="007D6167">
        <w:rPr>
          <w:rFonts w:hint="cs"/>
          <w:rtl/>
        </w:rPr>
        <w:t>מן הקביעות העובדתיות והמשפטיות</w:t>
      </w:r>
      <w:r w:rsidR="001B5377">
        <w:rPr>
          <w:rFonts w:hint="cs"/>
          <w:rtl/>
        </w:rPr>
        <w:t xml:space="preserve"> בפסק דין.</w:t>
      </w:r>
      <w:r w:rsidR="007D6167">
        <w:rPr>
          <w:rFonts w:hint="cs"/>
          <w:rtl/>
        </w:rPr>
        <w:t xml:space="preserve"> </w:t>
      </w:r>
      <w:r w:rsidR="001B5377">
        <w:rPr>
          <w:rFonts w:hint="cs"/>
          <w:rtl/>
        </w:rPr>
        <w:t xml:space="preserve">בית המשפט </w:t>
      </w:r>
      <w:r w:rsidR="007D6167">
        <w:rPr>
          <w:rFonts w:hint="cs"/>
          <w:rtl/>
        </w:rPr>
        <w:t>התייחס להתנהלותה של המערערת,</w:t>
      </w:r>
      <w:r w:rsidR="007D6167" w:rsidRPr="00790553">
        <w:rPr>
          <w:rFonts w:hint="cs"/>
          <w:rtl/>
        </w:rPr>
        <w:t xml:space="preserve"> </w:t>
      </w:r>
      <w:r w:rsidR="007D6167">
        <w:rPr>
          <w:rFonts w:hint="cs"/>
          <w:rtl/>
        </w:rPr>
        <w:t xml:space="preserve">שהתעלמה מדיני המס במגוון היבטים </w:t>
      </w:r>
      <w:r w:rsidR="00145591">
        <w:rPr>
          <w:rFonts w:hint="cs"/>
          <w:rtl/>
        </w:rPr>
        <w:t xml:space="preserve">ודיווחה כי </w:t>
      </w:r>
      <w:r w:rsidR="00145591" w:rsidRPr="002713C2">
        <w:rPr>
          <w:rFonts w:ascii="FrankRuehl" w:hAnsi="FrankRuehl"/>
          <w:sz w:val="28"/>
          <w:rtl/>
        </w:rPr>
        <w:t>עליה לשלם מס נמוך</w:t>
      </w:r>
      <w:r w:rsidR="006B76B1">
        <w:rPr>
          <w:rFonts w:ascii="FrankRuehl" w:hAnsi="FrankRuehl"/>
          <w:sz w:val="28"/>
          <w:rtl/>
        </w:rPr>
        <w:t xml:space="preserve"> בהרבה מזה שהיה עליה לשלם בפועל</w:t>
      </w:r>
      <w:r w:rsidR="006B76B1">
        <w:rPr>
          <w:rFonts w:ascii="FrankRuehl" w:hAnsi="FrankRuehl"/>
          <w:sz w:val="28"/>
        </w:rPr>
        <w:t>;</w:t>
      </w:r>
      <w:r w:rsidR="00145591" w:rsidRPr="002713C2">
        <w:rPr>
          <w:rFonts w:ascii="FrankRuehl" w:hAnsi="FrankRuehl"/>
          <w:sz w:val="28"/>
          <w:rtl/>
        </w:rPr>
        <w:t xml:space="preserve"> </w:t>
      </w:r>
      <w:r w:rsidR="006B76B1">
        <w:rPr>
          <w:rFonts w:ascii="FrankRuehl" w:hAnsi="FrankRuehl" w:hint="cs"/>
          <w:sz w:val="28"/>
          <w:rtl/>
        </w:rPr>
        <w:t>ו</w:t>
      </w:r>
      <w:r w:rsidR="007D6167" w:rsidRPr="002713C2">
        <w:rPr>
          <w:rFonts w:ascii="FrankRuehl" w:hAnsi="FrankRuehl"/>
          <w:sz w:val="28"/>
          <w:rtl/>
        </w:rPr>
        <w:t>עמד על כך שמדובר</w:t>
      </w:r>
      <w:r w:rsidR="006B76B1">
        <w:rPr>
          <w:rFonts w:ascii="FrankRuehl" w:hAnsi="FrankRuehl" w:hint="cs"/>
          <w:sz w:val="28"/>
          <w:rtl/>
        </w:rPr>
        <w:t>, לכל הפחות,</w:t>
      </w:r>
      <w:r w:rsidR="007D6167" w:rsidRPr="002713C2">
        <w:rPr>
          <w:rFonts w:ascii="FrankRuehl" w:hAnsi="FrankRuehl"/>
          <w:sz w:val="28"/>
          <w:rtl/>
        </w:rPr>
        <w:t xml:space="preserve"> בהתרשלות</w:t>
      </w:r>
      <w:r w:rsidR="006B76B1">
        <w:rPr>
          <w:rFonts w:ascii="FrankRuehl" w:hAnsi="FrankRuehl" w:hint="cs"/>
          <w:sz w:val="28"/>
          <w:rtl/>
        </w:rPr>
        <w:t xml:space="preserve"> מצידה. </w:t>
      </w:r>
      <w:r w:rsidR="001C3D5F">
        <w:rPr>
          <w:rFonts w:ascii="FrankRuehl" w:hAnsi="FrankRuehl" w:hint="cs"/>
          <w:sz w:val="28"/>
          <w:rtl/>
        </w:rPr>
        <w:t>כן עמד בית המשפט</w:t>
      </w:r>
      <w:r w:rsidR="007D6167" w:rsidRPr="002713C2">
        <w:rPr>
          <w:rFonts w:ascii="FrankRuehl" w:hAnsi="FrankRuehl"/>
          <w:sz w:val="28"/>
          <w:rtl/>
        </w:rPr>
        <w:t xml:space="preserve"> על תכליותיו של קנס</w:t>
      </w:r>
      <w:r w:rsidR="00145591">
        <w:rPr>
          <w:rFonts w:hint="cs"/>
          <w:rtl/>
        </w:rPr>
        <w:t xml:space="preserve"> הגירעון</w:t>
      </w:r>
      <w:r w:rsidR="001C3D5F">
        <w:rPr>
          <w:rFonts w:hint="cs"/>
          <w:rtl/>
        </w:rPr>
        <w:t>,</w:t>
      </w:r>
      <w:r w:rsidR="007D6167">
        <w:rPr>
          <w:rFonts w:hint="cs"/>
          <w:rtl/>
        </w:rPr>
        <w:t xml:space="preserve"> וציין כי גם הן מצדיקות את הטלתו</w:t>
      </w:r>
      <w:r w:rsidR="00145591">
        <w:rPr>
          <w:rFonts w:hint="cs"/>
          <w:rtl/>
        </w:rPr>
        <w:t xml:space="preserve"> בנסיבות </w:t>
      </w:r>
      <w:proofErr w:type="spellStart"/>
      <w:r w:rsidR="001C3D5F">
        <w:rPr>
          <w:rFonts w:hint="cs"/>
          <w:rtl/>
        </w:rPr>
        <w:t>שנתבררו</w:t>
      </w:r>
      <w:proofErr w:type="spellEnd"/>
      <w:r w:rsidR="00584BF4">
        <w:rPr>
          <w:rFonts w:hint="cs"/>
          <w:rtl/>
        </w:rPr>
        <w:t>.</w:t>
      </w:r>
    </w:p>
    <w:p w:rsidR="00584BF4" w:rsidRDefault="00584BF4" w:rsidP="00D05738">
      <w:pPr>
        <w:pStyle w:val="Ruller4"/>
        <w:numPr>
          <w:ilvl w:val="0"/>
          <w:numId w:val="0"/>
        </w:numPr>
        <w:spacing w:line="240" w:lineRule="auto"/>
        <w:rPr>
          <w:rtl/>
        </w:rPr>
      </w:pPr>
    </w:p>
    <w:p w:rsidR="00CE47EB" w:rsidRDefault="00584BF4" w:rsidP="000A5159">
      <w:pPr>
        <w:pStyle w:val="Ruller4"/>
        <w:numPr>
          <w:ilvl w:val="0"/>
          <w:numId w:val="0"/>
        </w:numPr>
        <w:rPr>
          <w:rtl/>
        </w:rPr>
      </w:pPr>
      <w:r>
        <w:rPr>
          <w:rtl/>
        </w:rPr>
        <w:tab/>
      </w:r>
      <w:r w:rsidR="00013251">
        <w:rPr>
          <w:rFonts w:hint="cs"/>
          <w:rtl/>
        </w:rPr>
        <w:t>בית המשפט קבע</w:t>
      </w:r>
      <w:r w:rsidR="007D6167">
        <w:rPr>
          <w:rFonts w:hint="cs"/>
          <w:rtl/>
        </w:rPr>
        <w:t xml:space="preserve"> כי </w:t>
      </w:r>
      <w:r>
        <w:rPr>
          <w:rFonts w:hint="cs"/>
          <w:rtl/>
        </w:rPr>
        <w:t>קנס הגירעון</w:t>
      </w:r>
      <w:r w:rsidR="00145591">
        <w:rPr>
          <w:rFonts w:hint="cs"/>
          <w:rtl/>
        </w:rPr>
        <w:t xml:space="preserve"> יהיה בשיעור</w:t>
      </w:r>
      <w:r w:rsidR="007D6167">
        <w:rPr>
          <w:rFonts w:hint="cs"/>
          <w:rtl/>
        </w:rPr>
        <w:t xml:space="preserve"> של 15%, בהתאם לדברי נציגת פקיד השומה שלפיהן זה יהיה שיעורו ככל שהשומה </w:t>
      </w:r>
      <w:r w:rsidR="00D25B92">
        <w:rPr>
          <w:rFonts w:hint="cs"/>
          <w:rtl/>
        </w:rPr>
        <w:t xml:space="preserve">נושא הערעור </w:t>
      </w:r>
      <w:r w:rsidR="007D6167">
        <w:rPr>
          <w:rFonts w:hint="cs"/>
          <w:rtl/>
        </w:rPr>
        <w:t xml:space="preserve">תאושר. עם זאת, בית המשפט הוסיף כי </w:t>
      </w:r>
      <w:r w:rsidR="000A5159">
        <w:rPr>
          <w:rFonts w:hint="cs"/>
          <w:rtl/>
        </w:rPr>
        <w:t>לנוכח</w:t>
      </w:r>
      <w:r w:rsidR="00CE47EB">
        <w:rPr>
          <w:rFonts w:hint="cs"/>
          <w:rtl/>
        </w:rPr>
        <w:t xml:space="preserve"> התנהלותה של המערערת ייתכן וניתן היה לשקול גם הטלת קנס גירעון בשיעור גבוה יותר, של 30%:</w:t>
      </w:r>
    </w:p>
    <w:p w:rsidR="00CE47EB" w:rsidRDefault="00CE47EB" w:rsidP="00D05738">
      <w:pPr>
        <w:pStyle w:val="Ruller4"/>
        <w:numPr>
          <w:ilvl w:val="0"/>
          <w:numId w:val="0"/>
        </w:numPr>
        <w:spacing w:line="240" w:lineRule="auto"/>
        <w:rPr>
          <w:rtl/>
        </w:rPr>
      </w:pPr>
    </w:p>
    <w:p w:rsidR="007D6167" w:rsidRDefault="00CE47EB" w:rsidP="00F04219">
      <w:pPr>
        <w:pStyle w:val="Ruller5"/>
        <w:rPr>
          <w:rtl/>
        </w:rPr>
      </w:pPr>
      <w:r>
        <w:rPr>
          <w:rFonts w:hint="cs"/>
          <w:rtl/>
        </w:rPr>
        <w:t>"נוכח ההתעלמות מדיני המס לא התרשמתי כי מדובר בתום לב. פקיד השומה היה רשאי לשקול בנסיבות כגון אלו הטלת קנס גירעון גבוה משיעור ברירת המחדל הקבועה בסעיף קטן (ב), במיוחד בשים לב לתיקונים שנעשו בפקודה לשם הרחבת ההרתעה והעמקת השימוש בקנס הגירעון, ואולם משהסתפק כאמור בקנס גירעון בשיעור 15%, וקבע שקנס גבוה יותר יוטל רק בנסיבות שבהן יקבע בית המשפט כי מדובר בעסקה מלאכותית שיש להתעלם ממנה, אין מקום לשנות מהשיעור שקבע פקיד השומה,  ולפיכך יוטל קנס גירעון בשיעור של 15% בלבד."</w:t>
      </w:r>
      <w:r w:rsidR="003D3030">
        <w:rPr>
          <w:rFonts w:hint="cs"/>
          <w:rtl/>
        </w:rPr>
        <w:t xml:space="preserve"> (</w:t>
      </w:r>
      <w:r w:rsidR="00F04219">
        <w:rPr>
          <w:rFonts w:hint="cs"/>
          <w:rtl/>
        </w:rPr>
        <w:t>פסקה</w:t>
      </w:r>
      <w:r w:rsidR="003D3030">
        <w:rPr>
          <w:rFonts w:hint="cs"/>
          <w:rtl/>
        </w:rPr>
        <w:t xml:space="preserve"> 142 לפסק הדין).</w:t>
      </w:r>
    </w:p>
    <w:p w:rsidR="007D6167" w:rsidRDefault="007D6167" w:rsidP="007D6167">
      <w:pPr>
        <w:pStyle w:val="Ruller41"/>
        <w:rPr>
          <w:rtl/>
        </w:rPr>
      </w:pPr>
    </w:p>
    <w:p w:rsidR="007D6167" w:rsidRPr="008D7FB8" w:rsidRDefault="007D6167" w:rsidP="00CE47EB">
      <w:pPr>
        <w:pStyle w:val="Ruller4"/>
      </w:pPr>
      <w:r>
        <w:rPr>
          <w:rFonts w:hint="cs"/>
          <w:rtl/>
        </w:rPr>
        <w:lastRenderedPageBreak/>
        <w:t xml:space="preserve">לבסוף נקבע כי המערערת תישא בהוצאות פקיד השומה </w:t>
      </w:r>
      <w:r w:rsidR="00CE47EB">
        <w:rPr>
          <w:rFonts w:hint="cs"/>
          <w:rtl/>
        </w:rPr>
        <w:t>בסכום</w:t>
      </w:r>
      <w:r>
        <w:rPr>
          <w:rFonts w:hint="cs"/>
          <w:rtl/>
        </w:rPr>
        <w:t xml:space="preserve"> כולל של 250,000 ש"ח. את שיעור ההוצאות הסביר בית המשפט בהיקפו של המס השנוי במחלוקת ובהיקף הדיונים שלהם נדרש פקיד השומה. </w:t>
      </w:r>
    </w:p>
    <w:p w:rsidR="007D6167" w:rsidRDefault="007D6167" w:rsidP="007D6167">
      <w:pPr>
        <w:pStyle w:val="Ruller4"/>
        <w:numPr>
          <w:ilvl w:val="0"/>
          <w:numId w:val="0"/>
        </w:numPr>
        <w:rPr>
          <w:rtl/>
        </w:rPr>
      </w:pPr>
    </w:p>
    <w:p w:rsidR="007D6167" w:rsidRPr="005943B6" w:rsidRDefault="007D6167" w:rsidP="007D6167">
      <w:pPr>
        <w:pStyle w:val="Ruller41"/>
        <w:rPr>
          <w:rFonts w:ascii="Century" w:hAnsi="Century" w:cs="Miriam"/>
          <w:b/>
          <w:spacing w:val="0"/>
          <w:szCs w:val="24"/>
          <w:rtl/>
        </w:rPr>
      </w:pPr>
      <w:r w:rsidRPr="005943B6">
        <w:rPr>
          <w:rFonts w:ascii="Century" w:hAnsi="Century" w:cs="Miriam" w:hint="cs"/>
          <w:b/>
          <w:spacing w:val="0"/>
          <w:szCs w:val="24"/>
          <w:rtl/>
        </w:rPr>
        <w:t>טענות הצדדים</w:t>
      </w:r>
    </w:p>
    <w:p w:rsidR="007D6167" w:rsidRPr="005943B6" w:rsidRDefault="007D6167" w:rsidP="007D6167">
      <w:pPr>
        <w:pStyle w:val="Ruller41"/>
        <w:spacing w:line="240" w:lineRule="auto"/>
        <w:rPr>
          <w:rFonts w:ascii="Century" w:hAnsi="Century" w:cs="Miriam"/>
          <w:b/>
          <w:spacing w:val="0"/>
          <w:szCs w:val="24"/>
          <w:rtl/>
        </w:rPr>
      </w:pPr>
    </w:p>
    <w:p w:rsidR="007D6167" w:rsidRDefault="00683B2A" w:rsidP="00E20E9C">
      <w:pPr>
        <w:pStyle w:val="Ruller4"/>
      </w:pPr>
      <w:r>
        <w:rPr>
          <w:rFonts w:hint="cs"/>
          <w:rtl/>
        </w:rPr>
        <w:t>כפי שכבר צ</w:t>
      </w:r>
      <w:r w:rsidR="00252D0F">
        <w:rPr>
          <w:rFonts w:hint="cs"/>
          <w:rtl/>
        </w:rPr>
        <w:t>וין, במקור</w:t>
      </w:r>
      <w:r w:rsidR="007D6167">
        <w:rPr>
          <w:rFonts w:hint="cs"/>
          <w:rtl/>
        </w:rPr>
        <w:t xml:space="preserve"> התמקד הערעור בטענות לעניין </w:t>
      </w:r>
      <w:r w:rsidR="00195BB6">
        <w:rPr>
          <w:rFonts w:hint="cs"/>
          <w:rtl/>
        </w:rPr>
        <w:t xml:space="preserve">ההכנסה החייבת </w:t>
      </w:r>
      <w:r w:rsidR="00FE5C8C">
        <w:rPr>
          <w:rFonts w:hint="cs"/>
          <w:rtl/>
        </w:rPr>
        <w:t>שנקבעה</w:t>
      </w:r>
      <w:r w:rsidR="00195BB6">
        <w:rPr>
          <w:rFonts w:hint="cs"/>
          <w:rtl/>
        </w:rPr>
        <w:t xml:space="preserve"> למערערת</w:t>
      </w:r>
      <w:r w:rsidR="00FE5C8C">
        <w:rPr>
          <w:rFonts w:hint="cs"/>
          <w:rtl/>
        </w:rPr>
        <w:t xml:space="preserve"> בצו השומה, </w:t>
      </w:r>
      <w:r w:rsidR="002879C2">
        <w:rPr>
          <w:rFonts w:hint="cs"/>
          <w:rtl/>
        </w:rPr>
        <w:t xml:space="preserve">שעיקרן </w:t>
      </w:r>
      <w:r w:rsidR="00685B2E">
        <w:rPr>
          <w:rFonts w:hint="cs"/>
          <w:rtl/>
        </w:rPr>
        <w:t>ב</w:t>
      </w:r>
      <w:r w:rsidR="002879C2">
        <w:rPr>
          <w:rFonts w:hint="cs"/>
          <w:rtl/>
        </w:rPr>
        <w:t>כך</w:t>
      </w:r>
      <w:r w:rsidR="00FE5C8C">
        <w:rPr>
          <w:rFonts w:hint="cs"/>
          <w:rtl/>
        </w:rPr>
        <w:t xml:space="preserve"> </w:t>
      </w:r>
      <w:r w:rsidR="002879C2">
        <w:rPr>
          <w:rFonts w:hint="cs"/>
          <w:rtl/>
        </w:rPr>
        <w:t>ש</w:t>
      </w:r>
      <w:r w:rsidR="00FE5C8C">
        <w:rPr>
          <w:rFonts w:hint="cs"/>
          <w:rtl/>
        </w:rPr>
        <w:t>הזכות למענק ספקים</w:t>
      </w:r>
      <w:r w:rsidR="002879C2">
        <w:rPr>
          <w:rFonts w:hint="cs"/>
          <w:rtl/>
        </w:rPr>
        <w:t xml:space="preserve"> מהווה </w:t>
      </w:r>
      <w:r w:rsidR="00FE5C8C">
        <w:rPr>
          <w:rFonts w:hint="cs"/>
          <w:rtl/>
        </w:rPr>
        <w:t>נכס</w:t>
      </w:r>
      <w:r w:rsidR="00195BB6">
        <w:rPr>
          <w:rFonts w:hint="cs"/>
          <w:rtl/>
        </w:rPr>
        <w:t xml:space="preserve"> </w:t>
      </w:r>
      <w:r w:rsidR="002879C2">
        <w:rPr>
          <w:rFonts w:hint="cs"/>
          <w:rtl/>
        </w:rPr>
        <w:t>שכנגדו ניתן לבצע הפחתות מן ההכנסה החייבת במס</w:t>
      </w:r>
      <w:r w:rsidR="007D6167">
        <w:rPr>
          <w:rFonts w:hint="cs"/>
          <w:rtl/>
        </w:rPr>
        <w:t xml:space="preserve">. בהקשרים אלה חזרה המערערת על הטענות שהעלתה בבית המשפט המחוזי, ותקפה הן את ממצאי העובדה שנקבעו על ידו ביחס לעסקה הן את קביעותיו המשפטיות ביחס לזכות למענק ספקים. </w:t>
      </w:r>
      <w:r w:rsidR="00E20E9C">
        <w:rPr>
          <w:rFonts w:hint="cs"/>
          <w:rtl/>
        </w:rPr>
        <w:t>ואולם</w:t>
      </w:r>
      <w:r w:rsidR="007D6167">
        <w:rPr>
          <w:rFonts w:hint="cs"/>
          <w:rtl/>
        </w:rPr>
        <w:t xml:space="preserve">, </w:t>
      </w:r>
      <w:r w:rsidR="00685B2E">
        <w:rPr>
          <w:rFonts w:hint="cs"/>
          <w:rtl/>
        </w:rPr>
        <w:t xml:space="preserve">לאחר שנשמע הערעור לפנינו ולנוכח הערותינו, מסרה המערערת הודעה בכתב שלפיה </w:t>
      </w:r>
      <w:r w:rsidR="007D6167">
        <w:rPr>
          <w:rFonts w:hint="cs"/>
          <w:rtl/>
        </w:rPr>
        <w:t>היא חוזרת בה מן הערעור לגבי סוגיית הכנסתה החייבת, ומשכך אינה עומדת עוד על טענותיה בעניין הזכות למענק ספקים.</w:t>
      </w:r>
    </w:p>
    <w:p w:rsidR="007D6167" w:rsidRDefault="007D6167" w:rsidP="00D05738">
      <w:pPr>
        <w:pStyle w:val="Ruller4"/>
        <w:numPr>
          <w:ilvl w:val="0"/>
          <w:numId w:val="0"/>
        </w:numPr>
        <w:spacing w:line="240" w:lineRule="auto"/>
        <w:rPr>
          <w:rtl/>
        </w:rPr>
      </w:pPr>
    </w:p>
    <w:p w:rsidR="007D6167" w:rsidRDefault="007D6167" w:rsidP="00F06F48">
      <w:pPr>
        <w:pStyle w:val="Ruller4"/>
        <w:numPr>
          <w:ilvl w:val="0"/>
          <w:numId w:val="0"/>
        </w:numPr>
      </w:pPr>
      <w:r>
        <w:rPr>
          <w:rtl/>
        </w:rPr>
        <w:tab/>
      </w:r>
      <w:r w:rsidR="00F06F48">
        <w:rPr>
          <w:rFonts w:hint="cs"/>
          <w:rtl/>
        </w:rPr>
        <w:t>עם זאת</w:t>
      </w:r>
      <w:r>
        <w:rPr>
          <w:rFonts w:hint="cs"/>
          <w:rtl/>
        </w:rPr>
        <w:t xml:space="preserve">, </w:t>
      </w:r>
      <w:r w:rsidR="00F06F48">
        <w:rPr>
          <w:rFonts w:hint="cs"/>
          <w:rtl/>
        </w:rPr>
        <w:t>כפי ש</w:t>
      </w:r>
      <w:r>
        <w:rPr>
          <w:rFonts w:hint="cs"/>
          <w:rtl/>
        </w:rPr>
        <w:t>ציינה המערערת בהודעתה</w:t>
      </w:r>
      <w:r w:rsidR="00F06F48">
        <w:rPr>
          <w:rFonts w:hint="cs"/>
          <w:rtl/>
        </w:rPr>
        <w:t>,</w:t>
      </w:r>
      <w:r>
        <w:rPr>
          <w:rFonts w:hint="cs"/>
          <w:rtl/>
        </w:rPr>
        <w:t xml:space="preserve"> היא עומדת על הערעור בכל הנוגע לשתי הקביעות האחרות שנפסקו לחובתה בבית המשפט המחוזי: קנס הגירעון בשיעור של 15% שנקבע כי </w:t>
      </w:r>
      <w:r w:rsidR="0098667E">
        <w:rPr>
          <w:rFonts w:hint="cs"/>
          <w:rtl/>
        </w:rPr>
        <w:t xml:space="preserve">שומה </w:t>
      </w:r>
      <w:r>
        <w:rPr>
          <w:rFonts w:hint="cs"/>
          <w:rtl/>
        </w:rPr>
        <w:t>עליה לשאת בו, והוצאות המשפט בסך של 250,000 ש"ח שבהן חויבה.</w:t>
      </w:r>
    </w:p>
    <w:p w:rsidR="007D6167" w:rsidRDefault="007D6167" w:rsidP="00D05738">
      <w:pPr>
        <w:pStyle w:val="Ruller4"/>
        <w:numPr>
          <w:ilvl w:val="0"/>
          <w:numId w:val="0"/>
        </w:numPr>
        <w:spacing w:line="240" w:lineRule="auto"/>
        <w:rPr>
          <w:rtl/>
        </w:rPr>
      </w:pPr>
    </w:p>
    <w:p w:rsidR="007D6167" w:rsidRPr="00C022F2" w:rsidRDefault="007D6167" w:rsidP="00113A4F">
      <w:pPr>
        <w:pStyle w:val="Ruller4"/>
        <w:numPr>
          <w:ilvl w:val="0"/>
          <w:numId w:val="0"/>
        </w:numPr>
        <w:rPr>
          <w:rtl/>
        </w:rPr>
      </w:pPr>
      <w:r>
        <w:rPr>
          <w:rtl/>
        </w:rPr>
        <w:tab/>
      </w:r>
      <w:r>
        <w:rPr>
          <w:rFonts w:hint="cs"/>
          <w:rtl/>
        </w:rPr>
        <w:t xml:space="preserve">בהקשר זה </w:t>
      </w:r>
      <w:r w:rsidR="00722E90">
        <w:rPr>
          <w:rFonts w:hint="cs"/>
          <w:rtl/>
        </w:rPr>
        <w:t>יוער</w:t>
      </w:r>
      <w:r>
        <w:rPr>
          <w:rFonts w:hint="cs"/>
          <w:rtl/>
        </w:rPr>
        <w:t xml:space="preserve"> כבר </w:t>
      </w:r>
      <w:r w:rsidR="00113A4F">
        <w:rPr>
          <w:rFonts w:hint="cs"/>
          <w:rtl/>
        </w:rPr>
        <w:t>כעת</w:t>
      </w:r>
      <w:r>
        <w:rPr>
          <w:rFonts w:hint="cs"/>
          <w:rtl/>
        </w:rPr>
        <w:t xml:space="preserve"> כי המערערת לא הקדישה לקנס הגירעון מקום מרכזי במסגרת </w:t>
      </w:r>
      <w:r w:rsidR="007F2F53">
        <w:rPr>
          <w:rFonts w:hint="cs"/>
          <w:rtl/>
        </w:rPr>
        <w:t>הודעת הערעור שהגישה</w:t>
      </w:r>
      <w:r>
        <w:rPr>
          <w:rFonts w:hint="cs"/>
          <w:rtl/>
        </w:rPr>
        <w:t xml:space="preserve">, כאשר סכום הקנס נמוך משמעותית ביחס </w:t>
      </w:r>
      <w:r w:rsidR="00137351">
        <w:rPr>
          <w:rFonts w:hint="cs"/>
          <w:rtl/>
        </w:rPr>
        <w:t>ל</w:t>
      </w:r>
      <w:r>
        <w:rPr>
          <w:rFonts w:hint="cs"/>
          <w:rtl/>
        </w:rPr>
        <w:t xml:space="preserve">סכום </w:t>
      </w:r>
      <w:r w:rsidR="00137351">
        <w:rPr>
          <w:rFonts w:hint="cs"/>
          <w:rtl/>
        </w:rPr>
        <w:t xml:space="preserve">המס </w:t>
      </w:r>
      <w:r>
        <w:rPr>
          <w:rFonts w:hint="cs"/>
          <w:rtl/>
        </w:rPr>
        <w:t>שנקבע כי עליה לשלם על פי השומה שנערכה לה. אף פקיד השומה מצ</w:t>
      </w:r>
      <w:r w:rsidR="00ED0B0F">
        <w:rPr>
          <w:rFonts w:hint="cs"/>
          <w:rtl/>
        </w:rPr>
        <w:t>י</w:t>
      </w:r>
      <w:r>
        <w:rPr>
          <w:rFonts w:hint="cs"/>
          <w:rtl/>
        </w:rPr>
        <w:t xml:space="preserve">דו הקדיש לא יותר מאשר פסקה לעניין קנס הגירעון במסגרת תשובתו </w:t>
      </w:r>
      <w:r w:rsidR="00ED0B0F">
        <w:rPr>
          <w:rFonts w:hint="cs"/>
          <w:rtl/>
        </w:rPr>
        <w:t xml:space="preserve">בכתב </w:t>
      </w:r>
      <w:r>
        <w:rPr>
          <w:rFonts w:hint="cs"/>
          <w:rtl/>
        </w:rPr>
        <w:t xml:space="preserve">לערעור. </w:t>
      </w:r>
      <w:r w:rsidR="001A4F9A">
        <w:rPr>
          <w:rFonts w:hint="cs"/>
          <w:rtl/>
        </w:rPr>
        <w:t>כך גם בנוגע</w:t>
      </w:r>
      <w:r w:rsidR="001740FD">
        <w:rPr>
          <w:rFonts w:hint="cs"/>
          <w:rtl/>
        </w:rPr>
        <w:t xml:space="preserve"> לעניין ההוצאות.</w:t>
      </w:r>
      <w:r>
        <w:rPr>
          <w:rFonts w:hint="cs"/>
          <w:rtl/>
        </w:rPr>
        <w:t xml:space="preserve"> </w:t>
      </w:r>
      <w:r w:rsidR="00D64951">
        <w:rPr>
          <w:rFonts w:hint="cs"/>
          <w:rtl/>
        </w:rPr>
        <w:t>אלא</w:t>
      </w:r>
      <w:r w:rsidR="00733BE2">
        <w:rPr>
          <w:rFonts w:hint="cs"/>
          <w:rtl/>
        </w:rPr>
        <w:t xml:space="preserve"> </w:t>
      </w:r>
      <w:r w:rsidR="00D64951">
        <w:rPr>
          <w:rFonts w:hint="cs"/>
          <w:rtl/>
        </w:rPr>
        <w:t>ש</w:t>
      </w:r>
      <w:r>
        <w:rPr>
          <w:rFonts w:hint="cs"/>
          <w:rtl/>
        </w:rPr>
        <w:t xml:space="preserve">בעת הדיון באולם הפכה סוגיית קנס הגירעון לסוגיה מרכזית, שהצדדים הקדישו לה </w:t>
      </w:r>
      <w:r w:rsidR="00B6025D">
        <w:rPr>
          <w:rFonts w:hint="cs"/>
          <w:rtl/>
        </w:rPr>
        <w:t>מקום נכבד</w:t>
      </w:r>
      <w:r>
        <w:rPr>
          <w:rFonts w:hint="cs"/>
          <w:rtl/>
        </w:rPr>
        <w:t>, וגם בעניין ההוצאות העלו טענות שונות.</w:t>
      </w:r>
    </w:p>
    <w:p w:rsidR="007D6167" w:rsidRDefault="007D6167" w:rsidP="007D6167">
      <w:pPr>
        <w:pStyle w:val="Ruller41"/>
        <w:rPr>
          <w:rtl/>
        </w:rPr>
      </w:pPr>
    </w:p>
    <w:p w:rsidR="007D6167" w:rsidRDefault="007D6167" w:rsidP="007B308A">
      <w:pPr>
        <w:pStyle w:val="Ruller4"/>
      </w:pPr>
      <w:r>
        <w:rPr>
          <w:rFonts w:hint="cs"/>
          <w:rtl/>
        </w:rPr>
        <w:t>אשר לקנס הגירעון, בפיה של המערערת שתי טענות עיקריות: טענה לעניין עצם עמידתה בתנאים להטלת קנס גירעון</w:t>
      </w:r>
      <w:r>
        <w:rPr>
          <w:rFonts w:ascii="FrankRuehl" w:hAnsi="FrankRuehl" w:hint="cs"/>
          <w:sz w:val="28"/>
          <w:rtl/>
        </w:rPr>
        <w:t>,</w:t>
      </w:r>
      <w:r>
        <w:rPr>
          <w:rFonts w:hint="cs"/>
          <w:rtl/>
        </w:rPr>
        <w:t xml:space="preserve"> וטענה שלפיה ההליך שבמסגרתו הוטל </w:t>
      </w:r>
      <w:r w:rsidR="00130C95">
        <w:rPr>
          <w:rFonts w:hint="cs"/>
          <w:rtl/>
        </w:rPr>
        <w:t xml:space="preserve">עליה </w:t>
      </w:r>
      <w:r>
        <w:rPr>
          <w:rFonts w:hint="cs"/>
          <w:rtl/>
        </w:rPr>
        <w:t>קנס הגירעון היה הליך בלתי תקין שדינו בטלות.</w:t>
      </w:r>
    </w:p>
    <w:p w:rsidR="007D6167" w:rsidRPr="00146F42" w:rsidRDefault="007D6167" w:rsidP="00D05738">
      <w:pPr>
        <w:pStyle w:val="Ruller4"/>
        <w:numPr>
          <w:ilvl w:val="0"/>
          <w:numId w:val="0"/>
        </w:numPr>
        <w:spacing w:line="240" w:lineRule="auto"/>
        <w:rPr>
          <w:rtl/>
        </w:rPr>
      </w:pPr>
    </w:p>
    <w:p w:rsidR="007D6167" w:rsidRDefault="007D6167" w:rsidP="001F6C32">
      <w:pPr>
        <w:pStyle w:val="Ruller4"/>
        <w:numPr>
          <w:ilvl w:val="0"/>
          <w:numId w:val="0"/>
        </w:numPr>
        <w:rPr>
          <w:rtl/>
        </w:rPr>
      </w:pPr>
      <w:r>
        <w:rPr>
          <w:rtl/>
        </w:rPr>
        <w:tab/>
      </w:r>
      <w:r w:rsidR="001F6C32">
        <w:rPr>
          <w:rFonts w:hint="cs"/>
          <w:rtl/>
        </w:rPr>
        <w:t>בנוגע</w:t>
      </w:r>
      <w:r>
        <w:rPr>
          <w:rFonts w:hint="cs"/>
          <w:rtl/>
        </w:rPr>
        <w:t xml:space="preserve"> לעצם עמידתה בתנאים הקבועים בפקודה להטלת קנס גירעון, טוענת המערערת כי פעלה בתום לב, תוך היוועצות ביועצים מקצועיים ובהתבסס על חוות דעת משפטית בעניין הזכות למענק ספקים. כל אלה הובילו אותה למסקנה שהעסקה לרכישת כמעט חינם ניתנת לרישום באופן שבו נרשמה. משכך אין מדובר אלא במחלוקת משפטית </w:t>
      </w:r>
      <w:r>
        <w:rPr>
          <w:rFonts w:hint="cs"/>
          <w:rtl/>
        </w:rPr>
        <w:lastRenderedPageBreak/>
        <w:t>לגיטימית בין המערערת ובין פקיד השומה, ולא בדיווח שנעשה מתוך התרשלות שבעטיו ניתן להטיל קנס גירעון. בדיון שהתקיים לפנינו שבה המערערת וטענה כי נקטה בתכנון מס לגיטימי שקיימת לגביו מחלוקת משפטית, ומשכך לא התרשלה ולא היה מקום להטיל עליה את קנס הגירעון.</w:t>
      </w:r>
    </w:p>
    <w:p w:rsidR="007D6167" w:rsidRDefault="007D6167" w:rsidP="00D05738">
      <w:pPr>
        <w:pStyle w:val="Ruller4"/>
        <w:numPr>
          <w:ilvl w:val="0"/>
          <w:numId w:val="0"/>
        </w:numPr>
        <w:spacing w:line="240" w:lineRule="auto"/>
        <w:rPr>
          <w:rtl/>
        </w:rPr>
      </w:pPr>
    </w:p>
    <w:p w:rsidR="007D6167" w:rsidRDefault="007D6167" w:rsidP="00AF174C">
      <w:pPr>
        <w:pStyle w:val="Ruller4"/>
        <w:numPr>
          <w:ilvl w:val="0"/>
          <w:numId w:val="0"/>
        </w:numPr>
        <w:rPr>
          <w:rtl/>
        </w:rPr>
      </w:pPr>
      <w:r>
        <w:rPr>
          <w:rtl/>
        </w:rPr>
        <w:tab/>
      </w:r>
      <w:r w:rsidR="00835F80">
        <w:rPr>
          <w:rFonts w:hint="cs"/>
          <w:rtl/>
        </w:rPr>
        <w:t xml:space="preserve">לגבי </w:t>
      </w:r>
      <w:r w:rsidR="004B1A6C">
        <w:rPr>
          <w:rFonts w:hint="cs"/>
          <w:rtl/>
        </w:rPr>
        <w:t>הליך הטלת קנס הגירעון</w:t>
      </w:r>
      <w:r>
        <w:rPr>
          <w:rFonts w:hint="cs"/>
          <w:rtl/>
        </w:rPr>
        <w:t xml:space="preserve"> נטען כי פקיד השומה כלל לא הפעיל שיקול דעת </w:t>
      </w:r>
      <w:r w:rsidR="004B1A6C">
        <w:rPr>
          <w:rFonts w:hint="cs"/>
          <w:rtl/>
        </w:rPr>
        <w:t xml:space="preserve">במסגרתו, </w:t>
      </w:r>
      <w:r>
        <w:rPr>
          <w:rFonts w:hint="cs"/>
          <w:rtl/>
        </w:rPr>
        <w:t>כפי שהיה עליו</w:t>
      </w:r>
      <w:r w:rsidR="0018180C">
        <w:rPr>
          <w:rFonts w:hint="cs"/>
          <w:rtl/>
        </w:rPr>
        <w:t xml:space="preserve"> לעשות</w:t>
      </w:r>
      <w:r>
        <w:rPr>
          <w:rFonts w:hint="cs"/>
          <w:rtl/>
        </w:rPr>
        <w:t xml:space="preserve">. בהודעת השומה ובצו שנשלחו למערערת אך צוין באופן </w:t>
      </w:r>
      <w:r w:rsidRPr="004F73FB">
        <w:rPr>
          <w:rFonts w:ascii="FrankRuehl" w:hAnsi="FrankRuehl"/>
          <w:sz w:val="28"/>
          <w:rtl/>
        </w:rPr>
        <w:t xml:space="preserve">לאקוני כי "קנס גירעון יוטל </w:t>
      </w:r>
      <w:r>
        <w:rPr>
          <w:rFonts w:ascii="FrankRuehl" w:hAnsi="FrankRuehl" w:hint="cs"/>
          <w:sz w:val="28"/>
          <w:rtl/>
        </w:rPr>
        <w:t>כ</w:t>
      </w:r>
      <w:r w:rsidRPr="004F73FB">
        <w:rPr>
          <w:rFonts w:ascii="FrankRuehl" w:hAnsi="FrankRuehl"/>
          <w:sz w:val="28"/>
          <w:rtl/>
        </w:rPr>
        <w:t xml:space="preserve">חוק", </w:t>
      </w:r>
      <w:r>
        <w:rPr>
          <w:rFonts w:ascii="FrankRuehl" w:hAnsi="FrankRuehl"/>
          <w:sz w:val="28"/>
          <w:rtl/>
        </w:rPr>
        <w:t>מבלי שצוי</w:t>
      </w:r>
      <w:r>
        <w:rPr>
          <w:rFonts w:ascii="FrankRuehl" w:hAnsi="FrankRuehl" w:hint="cs"/>
          <w:sz w:val="28"/>
          <w:rtl/>
        </w:rPr>
        <w:t>נו</w:t>
      </w:r>
      <w:r w:rsidR="006429BC">
        <w:rPr>
          <w:rFonts w:ascii="FrankRuehl" w:hAnsi="FrankRuehl" w:hint="cs"/>
          <w:sz w:val="28"/>
          <w:rtl/>
        </w:rPr>
        <w:t xml:space="preserve"> שיעורו והנימוקים להטלתו, בעוד </w:t>
      </w:r>
      <w:r>
        <w:rPr>
          <w:rFonts w:ascii="FrankRuehl" w:hAnsi="FrankRuehl"/>
          <w:sz w:val="28"/>
          <w:rtl/>
        </w:rPr>
        <w:t xml:space="preserve">הפקודה קובעת </w:t>
      </w:r>
      <w:r>
        <w:rPr>
          <w:rFonts w:ascii="FrankRuehl" w:hAnsi="FrankRuehl" w:hint="cs"/>
          <w:sz w:val="28"/>
          <w:rtl/>
        </w:rPr>
        <w:t xml:space="preserve">כי </w:t>
      </w:r>
      <w:r w:rsidRPr="004F73FB">
        <w:rPr>
          <w:rFonts w:ascii="FrankRuehl" w:hAnsi="FrankRuehl"/>
          <w:sz w:val="28"/>
          <w:rtl/>
        </w:rPr>
        <w:t>ד</w:t>
      </w:r>
      <w:r>
        <w:rPr>
          <w:rFonts w:ascii="FrankRuehl" w:hAnsi="FrankRuehl"/>
          <w:sz w:val="28"/>
          <w:rtl/>
        </w:rPr>
        <w:t>ינו של קנס גירעון הוא כדין שומה</w:t>
      </w:r>
      <w:r w:rsidRPr="004F73FB">
        <w:rPr>
          <w:rFonts w:ascii="FrankRuehl" w:hAnsi="FrankRuehl"/>
          <w:sz w:val="28"/>
          <w:rtl/>
        </w:rPr>
        <w:t xml:space="preserve"> ומשמע שקיימת חובה </w:t>
      </w:r>
      <w:r>
        <w:rPr>
          <w:rFonts w:ascii="FrankRuehl" w:hAnsi="FrankRuehl"/>
          <w:sz w:val="28"/>
          <w:rtl/>
        </w:rPr>
        <w:t>לציין את סכו</w:t>
      </w:r>
      <w:r>
        <w:rPr>
          <w:rFonts w:ascii="FrankRuehl" w:hAnsi="FrankRuehl" w:hint="cs"/>
          <w:sz w:val="28"/>
          <w:rtl/>
        </w:rPr>
        <w:t xml:space="preserve">מו </w:t>
      </w:r>
      <w:r w:rsidRPr="004F73FB">
        <w:rPr>
          <w:rFonts w:ascii="FrankRuehl" w:hAnsi="FrankRuehl"/>
          <w:sz w:val="28"/>
          <w:rtl/>
        </w:rPr>
        <w:t xml:space="preserve">ולאפשר לנישום לנהל הליך השגה בגין הטלתו. </w:t>
      </w:r>
      <w:r>
        <w:rPr>
          <w:rFonts w:ascii="FrankRuehl" w:hAnsi="FrankRuehl" w:hint="cs"/>
          <w:sz w:val="28"/>
          <w:rtl/>
        </w:rPr>
        <w:t xml:space="preserve">המערערת מדגישה כי </w:t>
      </w:r>
      <w:r w:rsidRPr="004F73FB">
        <w:rPr>
          <w:rFonts w:ascii="FrankRuehl" w:hAnsi="FrankRuehl"/>
          <w:sz w:val="28"/>
          <w:rtl/>
        </w:rPr>
        <w:t xml:space="preserve">במקרה הנדון שיעור קנס הגירעון נדון לראשונה </w:t>
      </w:r>
      <w:r>
        <w:rPr>
          <w:rFonts w:ascii="FrankRuehl" w:hAnsi="FrankRuehl" w:hint="cs"/>
          <w:sz w:val="28"/>
          <w:rtl/>
        </w:rPr>
        <w:t xml:space="preserve">רק בערעור המס, במסגרת </w:t>
      </w:r>
      <w:r w:rsidRPr="004F73FB">
        <w:rPr>
          <w:rFonts w:ascii="FrankRuehl" w:hAnsi="FrankRuehl"/>
          <w:sz w:val="28"/>
          <w:rtl/>
        </w:rPr>
        <w:t>חקירתה הנגדית של נציגת פקיד השומה, שציינה כי שיעור קנס הגירעון יהיה 15% או 30%, בהתאם לקביעות בפסק הדין</w:t>
      </w:r>
      <w:r w:rsidRPr="004F73FB">
        <w:rPr>
          <w:rFonts w:ascii="FrankRuehl" w:hAnsi="FrankRuehl"/>
          <w:sz w:val="28"/>
        </w:rPr>
        <w:t>;</w:t>
      </w:r>
      <w:r w:rsidRPr="004F73FB">
        <w:rPr>
          <w:rFonts w:ascii="FrankRuehl" w:hAnsi="FrankRuehl"/>
          <w:sz w:val="28"/>
          <w:rtl/>
        </w:rPr>
        <w:t xml:space="preserve"> ומשכך לא הייתה כל אפשרות להשיג על הקנס</w:t>
      </w:r>
      <w:r w:rsidR="00D91594">
        <w:rPr>
          <w:rFonts w:ascii="FrankRuehl" w:hAnsi="FrankRuehl" w:hint="cs"/>
          <w:sz w:val="28"/>
          <w:rtl/>
        </w:rPr>
        <w:t xml:space="preserve"> </w:t>
      </w:r>
      <w:r>
        <w:rPr>
          <w:rFonts w:ascii="FrankRuehl" w:hAnsi="FrankRuehl" w:hint="cs"/>
          <w:sz w:val="28"/>
          <w:rtl/>
        </w:rPr>
        <w:t xml:space="preserve">טרם </w:t>
      </w:r>
      <w:r w:rsidR="00D91594">
        <w:rPr>
          <w:rFonts w:ascii="FrankRuehl" w:hAnsi="FrankRuehl" w:hint="cs"/>
          <w:sz w:val="28"/>
          <w:rtl/>
        </w:rPr>
        <w:t>הגשת הערעור לבית המשפט המחוזי</w:t>
      </w:r>
      <w:r w:rsidRPr="004F73FB">
        <w:rPr>
          <w:rFonts w:ascii="FrankRuehl" w:hAnsi="FrankRuehl"/>
          <w:sz w:val="28"/>
          <w:rtl/>
        </w:rPr>
        <w:t xml:space="preserve">, </w:t>
      </w:r>
      <w:r>
        <w:rPr>
          <w:rFonts w:ascii="FrankRuehl" w:hAnsi="FrankRuehl" w:hint="cs"/>
          <w:sz w:val="28"/>
          <w:rtl/>
        </w:rPr>
        <w:t>שכן שיעורו לא נקבע</w:t>
      </w:r>
      <w:r w:rsidRPr="004F73FB">
        <w:rPr>
          <w:rFonts w:ascii="FrankRuehl" w:hAnsi="FrankRuehl"/>
          <w:sz w:val="28"/>
          <w:rtl/>
        </w:rPr>
        <w:t xml:space="preserve">. </w:t>
      </w:r>
      <w:r>
        <w:rPr>
          <w:rFonts w:ascii="FrankRuehl" w:hAnsi="FrankRuehl" w:hint="cs"/>
          <w:sz w:val="28"/>
          <w:rtl/>
        </w:rPr>
        <w:t xml:space="preserve">לטעמה של המערערת, בנסיבות אלה יש להורות על בטלותו של קנס הגירעון, וכיום לא ניתן להטילו עליה מחדש </w:t>
      </w:r>
      <w:r w:rsidR="00AF174C">
        <w:rPr>
          <w:rFonts w:ascii="FrankRuehl" w:hAnsi="FrankRuehl" w:hint="cs"/>
          <w:sz w:val="28"/>
          <w:rtl/>
        </w:rPr>
        <w:t>מאחר</w:t>
      </w:r>
      <w:r>
        <w:rPr>
          <w:rFonts w:ascii="FrankRuehl" w:hAnsi="FrankRuehl" w:hint="cs"/>
          <w:sz w:val="28"/>
          <w:rtl/>
        </w:rPr>
        <w:t xml:space="preserve"> שעסקינן בשומה לשנת 2014, שהתיישנה זה מכבר.</w:t>
      </w:r>
      <w:r>
        <w:rPr>
          <w:rFonts w:hint="cs"/>
          <w:rtl/>
        </w:rPr>
        <w:t xml:space="preserve"> בדיון לפנינו הוסיפה המערערת כי לבית המשפט המחוזי כלל לא הייתה סמכות להכריע בסוגיית קנס הגירעון, היות</w:t>
      </w:r>
      <w:r w:rsidR="009C59D2">
        <w:rPr>
          <w:rFonts w:hint="cs"/>
          <w:rtl/>
        </w:rPr>
        <w:t xml:space="preserve"> שכלל לא נכלל בשומה נושא ערעור המס שנדון לפניו.</w:t>
      </w:r>
    </w:p>
    <w:p w:rsidR="007D6167" w:rsidRDefault="007D6167" w:rsidP="00D05738">
      <w:pPr>
        <w:pStyle w:val="Ruller41"/>
        <w:spacing w:line="240" w:lineRule="auto"/>
        <w:rPr>
          <w:rtl/>
        </w:rPr>
      </w:pPr>
    </w:p>
    <w:p w:rsidR="007D6167" w:rsidRDefault="00BC3F4B" w:rsidP="00052910">
      <w:pPr>
        <w:pStyle w:val="Ruller4"/>
        <w:numPr>
          <w:ilvl w:val="0"/>
          <w:numId w:val="0"/>
        </w:numPr>
        <w:rPr>
          <w:rFonts w:ascii="FrankRuehl" w:hAnsi="FrankRuehl"/>
          <w:sz w:val="28"/>
          <w:rtl/>
        </w:rPr>
      </w:pPr>
      <w:r>
        <w:rPr>
          <w:rtl/>
        </w:rPr>
        <w:tab/>
      </w:r>
      <w:r w:rsidR="00543AFA">
        <w:rPr>
          <w:rFonts w:hint="cs"/>
          <w:rtl/>
        </w:rPr>
        <w:t>בנושא</w:t>
      </w:r>
      <w:r w:rsidR="007D6167">
        <w:rPr>
          <w:rFonts w:hint="cs"/>
          <w:rtl/>
        </w:rPr>
        <w:t xml:space="preserve"> ההוצאות שהוטלו עליה טוענת המערערת כי לא היה </w:t>
      </w:r>
      <w:r w:rsidR="007D6167" w:rsidRPr="005304D9">
        <w:rPr>
          <w:rFonts w:ascii="FrankRuehl" w:hAnsi="FrankRuehl"/>
          <w:sz w:val="28"/>
          <w:rtl/>
        </w:rPr>
        <w:t xml:space="preserve">מקום לפסיקת הוצאות בשיעור </w:t>
      </w:r>
      <w:r w:rsidR="00F061BB">
        <w:rPr>
          <w:rFonts w:ascii="FrankRuehl" w:hAnsi="FrankRuehl" w:hint="cs"/>
          <w:sz w:val="28"/>
          <w:rtl/>
        </w:rPr>
        <w:t>כה גבוה</w:t>
      </w:r>
      <w:r w:rsidR="007D6167" w:rsidRPr="005304D9">
        <w:rPr>
          <w:rFonts w:ascii="FrankRuehl" w:hAnsi="FrankRuehl"/>
          <w:sz w:val="28"/>
          <w:rtl/>
        </w:rPr>
        <w:t>. היא מציינת כי בבית המשפט המחוזי התנהלו שני ימי הוכחות בלבד</w:t>
      </w:r>
      <w:r w:rsidR="007D6167" w:rsidRPr="005304D9">
        <w:rPr>
          <w:rFonts w:ascii="FrankRuehl" w:hAnsi="FrankRuehl"/>
          <w:sz w:val="28"/>
        </w:rPr>
        <w:t>;</w:t>
      </w:r>
      <w:r w:rsidR="007D6167" w:rsidRPr="005304D9">
        <w:rPr>
          <w:rFonts w:ascii="FrankRuehl" w:hAnsi="FrankRuehl"/>
          <w:sz w:val="28"/>
          <w:rtl/>
        </w:rPr>
        <w:t xml:space="preserve"> נחקר מספר קטן של עדים</w:t>
      </w:r>
      <w:r w:rsidR="007D6167" w:rsidRPr="005304D9">
        <w:rPr>
          <w:rFonts w:ascii="FrankRuehl" w:hAnsi="FrankRuehl"/>
          <w:sz w:val="28"/>
        </w:rPr>
        <w:t>;</w:t>
      </w:r>
      <w:r w:rsidR="007D6167" w:rsidRPr="005304D9">
        <w:rPr>
          <w:rFonts w:ascii="FrankRuehl" w:hAnsi="FrankRuehl"/>
          <w:sz w:val="28"/>
          <w:rtl/>
        </w:rPr>
        <w:t xml:space="preserve"> ועניינו של ההליך היה בסוגיות משפטיות מורכבות שדרשו ליבון </w:t>
      </w:r>
      <w:proofErr w:type="spellStart"/>
      <w:r w:rsidR="007D6167" w:rsidRPr="005304D9">
        <w:rPr>
          <w:rFonts w:ascii="FrankRuehl" w:hAnsi="FrankRuehl"/>
          <w:sz w:val="28"/>
          <w:rtl/>
        </w:rPr>
        <w:t>אמיתי</w:t>
      </w:r>
      <w:proofErr w:type="spellEnd"/>
      <w:r w:rsidR="007D6167" w:rsidRPr="005304D9">
        <w:rPr>
          <w:rFonts w:ascii="FrankRuehl" w:hAnsi="FrankRuehl"/>
          <w:sz w:val="28"/>
          <w:rtl/>
        </w:rPr>
        <w:t>.</w:t>
      </w:r>
      <w:r w:rsidR="007D6167">
        <w:rPr>
          <w:rFonts w:ascii="FrankRuehl" w:hAnsi="FrankRuehl" w:hint="cs"/>
          <w:sz w:val="28"/>
          <w:rtl/>
        </w:rPr>
        <w:t xml:space="preserve"> בדיון טענה כי ההוצאות מגלמות בתוכן רכיב ענישתי, שכן אינן משקפות את ההוצאות הריאליות שפקיד השומה נשא בהן.</w:t>
      </w:r>
      <w:r w:rsidR="007D6167" w:rsidRPr="005304D9">
        <w:rPr>
          <w:rFonts w:ascii="FrankRuehl" w:hAnsi="FrankRuehl"/>
          <w:sz w:val="28"/>
          <w:rtl/>
        </w:rPr>
        <w:t xml:space="preserve"> בנסיבות אלה סבורה </w:t>
      </w:r>
      <w:r w:rsidR="007D6167">
        <w:rPr>
          <w:rFonts w:ascii="FrankRuehl" w:hAnsi="FrankRuehl" w:hint="cs"/>
          <w:sz w:val="28"/>
          <w:rtl/>
        </w:rPr>
        <w:t>המערערת כי יש להפחית את סכום ההוצאות</w:t>
      </w:r>
      <w:r w:rsidR="007D6167" w:rsidRPr="005304D9">
        <w:rPr>
          <w:rFonts w:ascii="FrankRuehl" w:hAnsi="FrankRuehl"/>
          <w:sz w:val="28"/>
          <w:rtl/>
        </w:rPr>
        <w:t>.</w:t>
      </w:r>
    </w:p>
    <w:p w:rsidR="007D6167" w:rsidRDefault="007D6167" w:rsidP="007D6167">
      <w:pPr>
        <w:pStyle w:val="Ruller41"/>
        <w:rPr>
          <w:rtl/>
        </w:rPr>
      </w:pPr>
    </w:p>
    <w:p w:rsidR="007D6167" w:rsidRDefault="007D6167" w:rsidP="00004685">
      <w:pPr>
        <w:pStyle w:val="Ruller4"/>
        <w:rPr>
          <w:rFonts w:ascii="FrankRuehl" w:hAnsi="FrankRuehl"/>
          <w:sz w:val="28"/>
          <w:rtl/>
        </w:rPr>
      </w:pPr>
      <w:r>
        <w:rPr>
          <w:rFonts w:hint="cs"/>
          <w:rtl/>
        </w:rPr>
        <w:t>פקיד השומה מצ</w:t>
      </w:r>
      <w:r w:rsidR="00E0280C">
        <w:rPr>
          <w:rFonts w:hint="cs"/>
          <w:rtl/>
        </w:rPr>
        <w:t>י</w:t>
      </w:r>
      <w:r>
        <w:rPr>
          <w:rFonts w:hint="cs"/>
          <w:rtl/>
        </w:rPr>
        <w:t xml:space="preserve">דו סומך את ידו על פסק דינו של בית המשפט המחוזי. בהקשר לקנס הגירעון הבהיר בתשובתו כי </w:t>
      </w:r>
      <w:r w:rsidR="00DA23AA">
        <w:rPr>
          <w:rFonts w:hint="cs"/>
          <w:rtl/>
        </w:rPr>
        <w:t xml:space="preserve">המערערת </w:t>
      </w:r>
      <w:r w:rsidR="00DE3C41">
        <w:rPr>
          <w:rFonts w:ascii="FrankRuehl" w:hAnsi="FrankRuehl"/>
          <w:sz w:val="28"/>
          <w:rtl/>
        </w:rPr>
        <w:t xml:space="preserve">נקטה בתכנון מס </w:t>
      </w:r>
      <w:r w:rsidR="00DE3C41">
        <w:rPr>
          <w:rFonts w:ascii="FrankRuehl" w:hAnsi="FrankRuehl" w:hint="cs"/>
          <w:sz w:val="28"/>
          <w:rtl/>
        </w:rPr>
        <w:t>"</w:t>
      </w:r>
      <w:r w:rsidR="00DE3C41">
        <w:rPr>
          <w:rFonts w:ascii="FrankRuehl" w:hAnsi="FrankRuehl"/>
          <w:sz w:val="28"/>
          <w:rtl/>
        </w:rPr>
        <w:t>בלתי</w:t>
      </w:r>
      <w:r w:rsidR="00DE3C41">
        <w:rPr>
          <w:rFonts w:ascii="FrankRuehl" w:hAnsi="FrankRuehl" w:hint="cs"/>
          <w:sz w:val="28"/>
          <w:rtl/>
        </w:rPr>
        <w:t>-</w:t>
      </w:r>
      <w:r w:rsidR="00DE3C41">
        <w:rPr>
          <w:rFonts w:ascii="FrankRuehl" w:hAnsi="FrankRuehl"/>
          <w:sz w:val="28"/>
          <w:rtl/>
        </w:rPr>
        <w:t xml:space="preserve">חוקי </w:t>
      </w:r>
      <w:r w:rsidRPr="004F73FB">
        <w:rPr>
          <w:rFonts w:ascii="FrankRuehl" w:hAnsi="FrankRuehl"/>
          <w:sz w:val="28"/>
          <w:rtl/>
        </w:rPr>
        <w:t>עמוק במיוחד</w:t>
      </w:r>
      <w:r w:rsidR="00DE3C41">
        <w:rPr>
          <w:rFonts w:ascii="FrankRuehl" w:hAnsi="FrankRuehl" w:hint="cs"/>
          <w:sz w:val="28"/>
          <w:rtl/>
        </w:rPr>
        <w:t>"</w:t>
      </w:r>
      <w:r w:rsidRPr="004F73FB">
        <w:rPr>
          <w:rFonts w:ascii="FrankRuehl" w:hAnsi="FrankRuehl"/>
          <w:sz w:val="28"/>
          <w:rtl/>
        </w:rPr>
        <w:t xml:space="preserve"> שהוביל לגירעון משמעותי. </w:t>
      </w:r>
      <w:r>
        <w:rPr>
          <w:rFonts w:ascii="FrankRuehl" w:hAnsi="FrankRuehl" w:hint="cs"/>
          <w:sz w:val="28"/>
          <w:rtl/>
        </w:rPr>
        <w:t>לעמדתו</w:t>
      </w:r>
      <w:r w:rsidRPr="004F73FB">
        <w:rPr>
          <w:rFonts w:ascii="FrankRuehl" w:hAnsi="FrankRuehl"/>
          <w:sz w:val="28"/>
          <w:rtl/>
        </w:rPr>
        <w:t xml:space="preserve"> אין ממש בטענה שלפיה הגירעון </w:t>
      </w:r>
      <w:r w:rsidR="00DE3C41">
        <w:rPr>
          <w:rFonts w:ascii="FrankRuehl" w:hAnsi="FrankRuehl" w:hint="cs"/>
          <w:sz w:val="28"/>
          <w:rtl/>
        </w:rPr>
        <w:t>מקורו ב</w:t>
      </w:r>
      <w:r w:rsidRPr="004F73FB">
        <w:rPr>
          <w:rFonts w:ascii="FrankRuehl" w:hAnsi="FrankRuehl"/>
          <w:sz w:val="28"/>
          <w:rtl/>
        </w:rPr>
        <w:t>מחלוקת משפטית לגיטימית</w:t>
      </w:r>
      <w:r w:rsidR="00004685">
        <w:rPr>
          <w:rFonts w:hint="cs"/>
          <w:rtl/>
        </w:rPr>
        <w:t xml:space="preserve"> בין </w:t>
      </w:r>
      <w:r w:rsidR="00004685" w:rsidRPr="00004685">
        <w:rPr>
          <w:rFonts w:ascii="FrankRuehl" w:hAnsi="FrankRuehl"/>
          <w:sz w:val="28"/>
          <w:rtl/>
        </w:rPr>
        <w:t>הצדדים</w:t>
      </w:r>
      <w:r w:rsidR="00004685" w:rsidRPr="00004685">
        <w:rPr>
          <w:rFonts w:ascii="FrankRuehl" w:hAnsi="FrankRuehl"/>
          <w:sz w:val="28"/>
        </w:rPr>
        <w:t>;</w:t>
      </w:r>
      <w:r w:rsidRPr="00004685">
        <w:rPr>
          <w:rFonts w:ascii="FrankRuehl" w:hAnsi="FrankRuehl"/>
          <w:sz w:val="28"/>
          <w:rtl/>
        </w:rPr>
        <w:t xml:space="preserve"> שכן הוראות הדין הן ברורות והמערערת כלל לא נשענה על חוות דעת של מומחים מתחום</w:t>
      </w:r>
      <w:r>
        <w:rPr>
          <w:rFonts w:hint="cs"/>
          <w:rtl/>
        </w:rPr>
        <w:t xml:space="preserve"> דיני המס אלא על מומחים מתחומי הכלכלה והחשבונאות בלבד, ולא בכדי. משכך, ובשים לב להתנהלותה, הייתה הצדקה מלאה </w:t>
      </w:r>
      <w:r w:rsidRPr="004F73FB">
        <w:rPr>
          <w:rFonts w:ascii="FrankRuehl" w:hAnsi="FrankRuehl"/>
          <w:sz w:val="28"/>
          <w:rtl/>
        </w:rPr>
        <w:t>להטלת הקנס</w:t>
      </w:r>
      <w:r w:rsidRPr="004F73FB">
        <w:rPr>
          <w:rFonts w:ascii="FrankRuehl" w:hAnsi="FrankRuehl"/>
          <w:sz w:val="28"/>
        </w:rPr>
        <w:t>;</w:t>
      </w:r>
      <w:r w:rsidRPr="004F73FB">
        <w:rPr>
          <w:rFonts w:ascii="FrankRuehl" w:hAnsi="FrankRuehl"/>
          <w:sz w:val="28"/>
          <w:rtl/>
        </w:rPr>
        <w:t xml:space="preserve"> ולא מן הנמנע שניתן היה להטיל </w:t>
      </w:r>
      <w:r w:rsidR="00004685">
        <w:rPr>
          <w:rFonts w:ascii="FrankRuehl" w:hAnsi="FrankRuehl" w:hint="cs"/>
          <w:sz w:val="28"/>
          <w:rtl/>
        </w:rPr>
        <w:t>על המערערת</w:t>
      </w:r>
      <w:r w:rsidRPr="004F73FB">
        <w:rPr>
          <w:rFonts w:ascii="FrankRuehl" w:hAnsi="FrankRuehl"/>
          <w:sz w:val="28"/>
          <w:rtl/>
        </w:rPr>
        <w:t xml:space="preserve"> גם קנס בשיעור גבוה יותר מ-15%.</w:t>
      </w:r>
      <w:r>
        <w:rPr>
          <w:rFonts w:hint="cs"/>
          <w:rtl/>
        </w:rPr>
        <w:t xml:space="preserve"> בדיון חזר </w:t>
      </w:r>
      <w:r w:rsidR="00DA23AA">
        <w:rPr>
          <w:rFonts w:hint="cs"/>
          <w:rtl/>
        </w:rPr>
        <w:t>על הדברים, ו</w:t>
      </w:r>
      <w:r>
        <w:rPr>
          <w:rFonts w:hint="cs"/>
          <w:rtl/>
        </w:rPr>
        <w:t>הודה כי</w:t>
      </w:r>
      <w:r w:rsidR="00DA23AA">
        <w:rPr>
          <w:rFonts w:hint="cs"/>
          <w:rtl/>
        </w:rPr>
        <w:t xml:space="preserve"> אמנם</w:t>
      </w:r>
      <w:r>
        <w:rPr>
          <w:rFonts w:hint="cs"/>
          <w:rtl/>
        </w:rPr>
        <w:t xml:space="preserve"> שיעור קנס הגירעון לא צוין בשומה </w:t>
      </w:r>
      <w:r>
        <w:rPr>
          <w:rFonts w:hint="cs"/>
          <w:rtl/>
        </w:rPr>
        <w:lastRenderedPageBreak/>
        <w:t>ובצו</w:t>
      </w:r>
      <w:r w:rsidRPr="004F73FB">
        <w:rPr>
          <w:rFonts w:ascii="FrankRuehl" w:hAnsi="FrankRuehl"/>
          <w:sz w:val="28"/>
        </w:rPr>
        <w:t>;</w:t>
      </w:r>
      <w:r w:rsidRPr="004F73FB">
        <w:rPr>
          <w:rFonts w:ascii="FrankRuehl" w:hAnsi="FrankRuehl"/>
          <w:sz w:val="28"/>
          <w:rtl/>
        </w:rPr>
        <w:t xml:space="preserve"> אך הוסיף כי בנסיבות שבהן בית המשפט המחוזי כבר הכריע בסוגיית קנס הגירעון לגופו של עניין, ממילא אין לכך משמעות</w:t>
      </w:r>
      <w:r w:rsidRPr="004F73FB">
        <w:rPr>
          <w:rFonts w:ascii="FrankRuehl" w:hAnsi="FrankRuehl" w:hint="cs"/>
          <w:sz w:val="28"/>
          <w:rtl/>
        </w:rPr>
        <w:t xml:space="preserve">, </w:t>
      </w:r>
      <w:r w:rsidRPr="004F73FB">
        <w:rPr>
          <w:rFonts w:ascii="FrankRuehl" w:hAnsi="FrankRuehl"/>
          <w:sz w:val="28"/>
          <w:rtl/>
        </w:rPr>
        <w:t>כך שלכל היותר יש לנקוט ב"בטלות יחסית" בעניין זה, באופן שקביעתו של בית המשפט תיוותר בעינה.</w:t>
      </w:r>
    </w:p>
    <w:p w:rsidR="007D6167" w:rsidRDefault="007D6167" w:rsidP="007D6167">
      <w:pPr>
        <w:pStyle w:val="Ruller41"/>
        <w:rPr>
          <w:rtl/>
        </w:rPr>
      </w:pPr>
    </w:p>
    <w:p w:rsidR="007D6167" w:rsidRPr="0053484D" w:rsidRDefault="007D6167" w:rsidP="00E412A1">
      <w:pPr>
        <w:pStyle w:val="Ruller4"/>
        <w:numPr>
          <w:ilvl w:val="0"/>
          <w:numId w:val="0"/>
        </w:numPr>
        <w:rPr>
          <w:rFonts w:ascii="FrankRuehl" w:hAnsi="FrankRuehl"/>
          <w:sz w:val="28"/>
          <w:rtl/>
        </w:rPr>
      </w:pPr>
      <w:r>
        <w:rPr>
          <w:rtl/>
        </w:rPr>
        <w:tab/>
      </w:r>
      <w:r>
        <w:rPr>
          <w:rFonts w:hint="cs"/>
          <w:rtl/>
        </w:rPr>
        <w:t xml:space="preserve">גם לגבי ההוצאות טוען פקיד השומה כי אין מקום להתערבות בפסק דינו של בית המשפט המחוזי. לטעמו הסכום נקבע בהלימה לסכום המס השנוי במחלוקת, בסך של עשרות מיליוני ש"ח, ובהתאם להיקף הדיונים והמשאבים שנדרש להשקיע. בהקשר זה הוא מזכיר כי הגיש לבית המשפט המחוזי </w:t>
      </w:r>
      <w:r w:rsidR="00487306">
        <w:rPr>
          <w:rFonts w:hint="cs"/>
          <w:rtl/>
        </w:rPr>
        <w:t xml:space="preserve">שתי </w:t>
      </w:r>
      <w:r>
        <w:rPr>
          <w:rFonts w:hint="cs"/>
          <w:rtl/>
        </w:rPr>
        <w:t>חוות</w:t>
      </w:r>
      <w:r w:rsidR="00487306">
        <w:rPr>
          <w:rFonts w:hint="cs"/>
          <w:rtl/>
        </w:rPr>
        <w:t xml:space="preserve"> דעת</w:t>
      </w:r>
      <w:r>
        <w:rPr>
          <w:rFonts w:hint="cs"/>
          <w:rtl/>
        </w:rPr>
        <w:t xml:space="preserve">, ומשכך אך ראוי היה לפסוק לזכותו הוצאות הולמות. </w:t>
      </w:r>
      <w:r>
        <w:rPr>
          <w:rFonts w:ascii="FrankRuehl" w:hAnsi="FrankRuehl" w:hint="cs"/>
          <w:sz w:val="28"/>
          <w:rtl/>
        </w:rPr>
        <w:t>בדיון</w:t>
      </w:r>
      <w:r>
        <w:rPr>
          <w:rFonts w:hint="cs"/>
          <w:rtl/>
        </w:rPr>
        <w:t xml:space="preserve"> </w:t>
      </w:r>
      <w:r>
        <w:rPr>
          <w:rFonts w:ascii="FrankRuehl" w:hAnsi="FrankRuehl" w:hint="cs"/>
          <w:sz w:val="28"/>
          <w:rtl/>
        </w:rPr>
        <w:t>התייחס</w:t>
      </w:r>
      <w:r w:rsidRPr="004F73FB">
        <w:rPr>
          <w:rFonts w:ascii="FrankRuehl" w:hAnsi="FrankRuehl" w:hint="cs"/>
          <w:sz w:val="28"/>
          <w:rtl/>
        </w:rPr>
        <w:t xml:space="preserve"> לכך שרשות המסים היא רשות ציבורית, שהגורמים הלוקחים חלק בהליכים המשפטיים שהיא מנהלת הם עובדי</w:t>
      </w:r>
      <w:r w:rsidR="00A64302">
        <w:rPr>
          <w:rFonts w:ascii="FrankRuehl" w:hAnsi="FrankRuehl" w:hint="cs"/>
          <w:sz w:val="28"/>
          <w:rtl/>
        </w:rPr>
        <w:t>ם</w:t>
      </w:r>
      <w:r w:rsidRPr="004F73FB">
        <w:rPr>
          <w:rFonts w:ascii="FrankRuehl" w:hAnsi="FrankRuehl" w:hint="cs"/>
          <w:sz w:val="28"/>
          <w:rtl/>
        </w:rPr>
        <w:t xml:space="preserve"> שלה. </w:t>
      </w:r>
      <w:r>
        <w:rPr>
          <w:rFonts w:ascii="FrankRuehl" w:hAnsi="FrankRuehl" w:hint="cs"/>
          <w:sz w:val="28"/>
          <w:rtl/>
        </w:rPr>
        <w:t xml:space="preserve">לכן, </w:t>
      </w:r>
      <w:r w:rsidRPr="004F73FB">
        <w:rPr>
          <w:rFonts w:ascii="FrankRuehl" w:hAnsi="FrankRuehl" w:hint="cs"/>
          <w:sz w:val="28"/>
          <w:rtl/>
        </w:rPr>
        <w:t>אף שעל פניו נדמה כי ההוצאות "הריאליות"</w:t>
      </w:r>
      <w:r>
        <w:rPr>
          <w:rFonts w:hint="cs"/>
          <w:rtl/>
        </w:rPr>
        <w:t xml:space="preserve"> במצב זה הן אפסיות</w:t>
      </w:r>
      <w:r>
        <w:rPr>
          <w:rFonts w:ascii="FrankRuehl" w:hAnsi="FrankRuehl" w:hint="cs"/>
          <w:sz w:val="28"/>
          <w:rtl/>
        </w:rPr>
        <w:t xml:space="preserve"> </w:t>
      </w:r>
      <w:r>
        <w:rPr>
          <w:rFonts w:ascii="FrankRuehl" w:hAnsi="FrankRuehl"/>
          <w:sz w:val="28"/>
          <w:rtl/>
        </w:rPr>
        <w:t>–</w:t>
      </w:r>
      <w:r>
        <w:rPr>
          <w:rFonts w:ascii="FrankRuehl" w:hAnsi="FrankRuehl" w:hint="cs"/>
          <w:sz w:val="28"/>
          <w:rtl/>
        </w:rPr>
        <w:t xml:space="preserve"> </w:t>
      </w:r>
      <w:r w:rsidRPr="004F73FB">
        <w:rPr>
          <w:rFonts w:ascii="FrankRuehl" w:hAnsi="FrankRuehl" w:hint="cs"/>
          <w:sz w:val="28"/>
          <w:rtl/>
        </w:rPr>
        <w:t xml:space="preserve">שכן העובדים לא </w:t>
      </w:r>
      <w:r>
        <w:rPr>
          <w:rFonts w:ascii="FrankRuehl" w:hAnsi="FrankRuehl" w:hint="cs"/>
          <w:sz w:val="28"/>
          <w:rtl/>
        </w:rPr>
        <w:t xml:space="preserve">מקבלים תשלום נוסף בעבור עבודתם </w:t>
      </w:r>
      <w:r>
        <w:rPr>
          <w:rFonts w:ascii="FrankRuehl" w:hAnsi="FrankRuehl"/>
          <w:sz w:val="28"/>
          <w:rtl/>
        </w:rPr>
        <w:t>–</w:t>
      </w:r>
      <w:r>
        <w:rPr>
          <w:rFonts w:ascii="FrankRuehl" w:hAnsi="FrankRuehl" w:hint="cs"/>
          <w:sz w:val="28"/>
          <w:rtl/>
        </w:rPr>
        <w:t xml:space="preserve"> </w:t>
      </w:r>
      <w:r w:rsidR="008B37E9">
        <w:rPr>
          <w:rFonts w:ascii="FrankRuehl" w:hAnsi="FrankRuehl" w:hint="cs"/>
          <w:sz w:val="28"/>
          <w:rtl/>
        </w:rPr>
        <w:t xml:space="preserve">הלכה </w:t>
      </w:r>
      <w:r w:rsidRPr="004F73FB">
        <w:rPr>
          <w:rFonts w:ascii="FrankRuehl" w:hAnsi="FrankRuehl" w:hint="cs"/>
          <w:sz w:val="28"/>
          <w:rtl/>
        </w:rPr>
        <w:t xml:space="preserve">למעשה הם משקיעים זמן רב בהכנה להליך ובהתמודדות עם חוות הדעת של הגורמים בשוק הפרטי שמוגשות מטעם הנישומים. </w:t>
      </w:r>
      <w:r w:rsidR="00E412A1">
        <w:rPr>
          <w:rFonts w:ascii="FrankRuehl" w:hAnsi="FrankRuehl" w:hint="cs"/>
          <w:sz w:val="28"/>
          <w:rtl/>
        </w:rPr>
        <w:t xml:space="preserve">עוד לגישתו יש לקחת בחשבון גם </w:t>
      </w:r>
      <w:r w:rsidRPr="004F73FB">
        <w:rPr>
          <w:rFonts w:ascii="FrankRuehl" w:hAnsi="FrankRuehl" w:hint="cs"/>
          <w:sz w:val="28"/>
          <w:rtl/>
        </w:rPr>
        <w:t>את זהות הנישום</w:t>
      </w:r>
      <w:r w:rsidR="0053484D">
        <w:rPr>
          <w:rFonts w:ascii="FrankRuehl" w:hAnsi="FrankRuehl" w:hint="cs"/>
          <w:sz w:val="28"/>
          <w:rtl/>
        </w:rPr>
        <w:t>, ו"מקום שבו מדובר בנישומים מקצועיים ובמיוחד בתאגידים גדולים המשתמשים במומחים כדי ליצור תכנוני-מס יצירתיים (לשון המעטה), המנוגדים להוראות הדין ואשר מצריכים מן המשיב השקעה של משאבים ניכרים כדי להתמודד עמם [...] מן</w:t>
      </w:r>
      <w:r w:rsidR="00C50C38">
        <w:rPr>
          <w:rFonts w:ascii="FrankRuehl" w:hAnsi="FrankRuehl" w:hint="cs"/>
          <w:sz w:val="28"/>
          <w:rtl/>
        </w:rPr>
        <w:t xml:space="preserve"> </w:t>
      </w:r>
      <w:r w:rsidR="0053484D">
        <w:rPr>
          <w:rFonts w:ascii="FrankRuehl" w:hAnsi="FrankRuehl" w:hint="cs"/>
          <w:sz w:val="28"/>
          <w:rtl/>
        </w:rPr>
        <w:t xml:space="preserve"> הראוי לפסוק הוצאות הולמות".</w:t>
      </w:r>
    </w:p>
    <w:p w:rsidR="007D6167" w:rsidRDefault="007D6167" w:rsidP="007D6167">
      <w:pPr>
        <w:pStyle w:val="Ruller4"/>
        <w:numPr>
          <w:ilvl w:val="0"/>
          <w:numId w:val="0"/>
        </w:numPr>
        <w:rPr>
          <w:rtl/>
        </w:rPr>
      </w:pPr>
    </w:p>
    <w:p w:rsidR="007D6167" w:rsidRPr="005943B6" w:rsidRDefault="007D6167" w:rsidP="007D6167">
      <w:pPr>
        <w:pStyle w:val="Ruller41"/>
        <w:rPr>
          <w:rFonts w:ascii="Century" w:hAnsi="Century" w:cs="Miriam"/>
          <w:b/>
          <w:spacing w:val="0"/>
          <w:szCs w:val="24"/>
          <w:rtl/>
        </w:rPr>
      </w:pPr>
      <w:r w:rsidRPr="005943B6">
        <w:rPr>
          <w:rFonts w:ascii="Century" w:hAnsi="Century" w:cs="Miriam" w:hint="cs"/>
          <w:b/>
          <w:spacing w:val="0"/>
          <w:szCs w:val="24"/>
          <w:rtl/>
        </w:rPr>
        <w:t>דיון והכרעה</w:t>
      </w:r>
    </w:p>
    <w:p w:rsidR="007D6167" w:rsidRPr="005943B6" w:rsidRDefault="007D6167" w:rsidP="007D6167">
      <w:pPr>
        <w:pStyle w:val="Ruller41"/>
        <w:spacing w:line="240" w:lineRule="auto"/>
        <w:rPr>
          <w:rFonts w:ascii="Century" w:hAnsi="Century" w:cs="Miriam"/>
          <w:b/>
          <w:spacing w:val="0"/>
          <w:szCs w:val="24"/>
          <w:rtl/>
        </w:rPr>
      </w:pPr>
    </w:p>
    <w:p w:rsidR="007D6167" w:rsidRDefault="007D6167" w:rsidP="009B3D25">
      <w:pPr>
        <w:pStyle w:val="Ruller4"/>
        <w:rPr>
          <w:rtl/>
        </w:rPr>
      </w:pPr>
      <w:r>
        <w:rPr>
          <w:rFonts w:hint="cs"/>
          <w:rtl/>
        </w:rPr>
        <w:t>משהודיעה המערערת כי היא חוזרת בה מעיקרי ערעורה, נותרו</w:t>
      </w:r>
      <w:r w:rsidRPr="005D5305">
        <w:rPr>
          <w:rFonts w:hint="cs"/>
          <w:rtl/>
        </w:rPr>
        <w:t xml:space="preserve"> </w:t>
      </w:r>
      <w:r>
        <w:rPr>
          <w:rFonts w:hint="cs"/>
          <w:rtl/>
        </w:rPr>
        <w:t>לפתחנו שתי סוגיות ממוקדות</w:t>
      </w:r>
      <w:r w:rsidRPr="00886BB5">
        <w:rPr>
          <w:rFonts w:hint="cs"/>
          <w:rtl/>
        </w:rPr>
        <w:t xml:space="preserve"> </w:t>
      </w:r>
      <w:r>
        <w:rPr>
          <w:rFonts w:hint="cs"/>
          <w:rtl/>
        </w:rPr>
        <w:t xml:space="preserve">שעלינו להכריע בהן: סוגיית קנס הגירעון, וסוגיית ההוצאות שנפסקו לחובתה בבית המשפט המחוזי. אדרש לסוגיות אלה, כל אחת בתורה. תחילה לסוגיית קנס </w:t>
      </w:r>
      <w:r w:rsidRPr="00AC6B3D">
        <w:rPr>
          <w:rFonts w:ascii="FrankRuehl" w:hAnsi="FrankRuehl"/>
          <w:sz w:val="28"/>
          <w:rtl/>
        </w:rPr>
        <w:t>הגירעון</w:t>
      </w:r>
      <w:r w:rsidR="0061620E">
        <w:rPr>
          <w:rFonts w:ascii="FrankRuehl" w:hAnsi="FrankRuehl" w:hint="cs"/>
          <w:sz w:val="28"/>
          <w:rtl/>
        </w:rPr>
        <w:t xml:space="preserve"> על שני היבטיה </w:t>
      </w:r>
      <w:r w:rsidR="0061620E">
        <w:rPr>
          <w:rFonts w:ascii="FrankRuehl" w:hAnsi="FrankRuehl"/>
          <w:sz w:val="28"/>
          <w:rtl/>
        </w:rPr>
        <w:t>–</w:t>
      </w:r>
      <w:r w:rsidR="0061620E">
        <w:rPr>
          <w:rFonts w:ascii="FrankRuehl" w:hAnsi="FrankRuehl" w:hint="cs"/>
          <w:sz w:val="28"/>
          <w:rtl/>
        </w:rPr>
        <w:t xml:space="preserve"> טענתה של המערערת כי לא התקיימו התנאים לעצם הטלת קנס הגירעון</w:t>
      </w:r>
      <w:r w:rsidR="0061620E">
        <w:rPr>
          <w:rFonts w:ascii="FrankRuehl" w:hAnsi="FrankRuehl"/>
          <w:sz w:val="28"/>
        </w:rPr>
        <w:t>;</w:t>
      </w:r>
      <w:r w:rsidR="0061620E">
        <w:rPr>
          <w:rFonts w:ascii="FrankRuehl" w:hAnsi="FrankRuehl" w:hint="cs"/>
          <w:sz w:val="28"/>
          <w:rtl/>
        </w:rPr>
        <w:t xml:space="preserve"> וטענתה בדבר חוסר תקינות ההליך שבו הוטל עליה קנס הגירעון, שבעטיו יש לבטל א</w:t>
      </w:r>
      <w:r w:rsidR="009B3D25">
        <w:rPr>
          <w:rFonts w:ascii="FrankRuehl" w:hAnsi="FrankRuehl" w:hint="cs"/>
          <w:sz w:val="28"/>
          <w:rtl/>
        </w:rPr>
        <w:t>ת הקנס.</w:t>
      </w:r>
      <w:r>
        <w:rPr>
          <w:rFonts w:ascii="FrankRuehl" w:hAnsi="FrankRuehl" w:hint="cs"/>
          <w:sz w:val="28"/>
          <w:rtl/>
        </w:rPr>
        <w:t xml:space="preserve"> לאחר מכן אתייחס</w:t>
      </w:r>
      <w:r w:rsidRPr="00AC6B3D">
        <w:rPr>
          <w:rFonts w:ascii="FrankRuehl" w:hAnsi="FrankRuehl"/>
          <w:sz w:val="28"/>
          <w:rtl/>
        </w:rPr>
        <w:t xml:space="preserve"> </w:t>
      </w:r>
      <w:r w:rsidR="009B3D25">
        <w:rPr>
          <w:rFonts w:ascii="FrankRuehl" w:hAnsi="FrankRuehl" w:hint="cs"/>
          <w:sz w:val="28"/>
          <w:rtl/>
        </w:rPr>
        <w:t>לעניין</w:t>
      </w:r>
      <w:r w:rsidRPr="00AC6B3D">
        <w:rPr>
          <w:rFonts w:ascii="FrankRuehl" w:hAnsi="FrankRuehl"/>
          <w:sz w:val="28"/>
          <w:rtl/>
        </w:rPr>
        <w:t xml:space="preserve"> הוצאות המשפט.</w:t>
      </w:r>
    </w:p>
    <w:p w:rsidR="007D6167" w:rsidRDefault="007D6167" w:rsidP="007D6167">
      <w:pPr>
        <w:pStyle w:val="Ruller41"/>
        <w:rPr>
          <w:rtl/>
        </w:rPr>
      </w:pPr>
    </w:p>
    <w:p w:rsidR="007D6167" w:rsidRPr="008B3637" w:rsidRDefault="00366A97" w:rsidP="007D6167">
      <w:pPr>
        <w:pStyle w:val="Ruller41"/>
        <w:rPr>
          <w:rFonts w:ascii="Century" w:hAnsi="Century" w:cs="Miriam"/>
          <w:b/>
          <w:spacing w:val="0"/>
          <w:szCs w:val="24"/>
          <w:rtl/>
        </w:rPr>
      </w:pPr>
      <w:r>
        <w:rPr>
          <w:rFonts w:ascii="Century" w:hAnsi="Century" w:cs="Miriam" w:hint="cs"/>
          <w:b/>
          <w:spacing w:val="0"/>
          <w:szCs w:val="24"/>
          <w:rtl/>
        </w:rPr>
        <w:t>הטלת קנס הגירעון על המערערת בהתאם לסעיף 191(ב) לפקודה</w:t>
      </w:r>
    </w:p>
    <w:p w:rsidR="007D6167" w:rsidRPr="008B3637" w:rsidRDefault="007D6167" w:rsidP="007D6167">
      <w:pPr>
        <w:pStyle w:val="Ruller41"/>
        <w:spacing w:line="240" w:lineRule="auto"/>
        <w:rPr>
          <w:rFonts w:ascii="Century" w:hAnsi="Century" w:cs="Miriam"/>
          <w:b/>
          <w:spacing w:val="0"/>
          <w:szCs w:val="24"/>
          <w:rtl/>
        </w:rPr>
      </w:pPr>
    </w:p>
    <w:p w:rsidR="00561327" w:rsidRDefault="00561327" w:rsidP="00D62BFF">
      <w:pPr>
        <w:pStyle w:val="Ruller4"/>
        <w:rPr>
          <w:rtl/>
        </w:rPr>
      </w:pPr>
      <w:r>
        <w:rPr>
          <w:rFonts w:hint="cs"/>
          <w:rtl/>
        </w:rPr>
        <w:t xml:space="preserve">יוזכר תחילה כי קנס גירעון הוא קנס שניתן להטיל על נישום שקיים גירעון (פער) של למעלה מ-50% </w:t>
      </w:r>
      <w:r w:rsidR="000B47BF">
        <w:rPr>
          <w:rFonts w:hint="cs"/>
          <w:rtl/>
        </w:rPr>
        <w:t xml:space="preserve">בין סכום המס </w:t>
      </w:r>
      <w:r w:rsidR="00A01CC9">
        <w:rPr>
          <w:rFonts w:hint="cs"/>
          <w:rtl/>
        </w:rPr>
        <w:t xml:space="preserve">שבו הוא חייב </w:t>
      </w:r>
      <w:r w:rsidR="000B47BF">
        <w:rPr>
          <w:rFonts w:hint="cs"/>
          <w:rtl/>
        </w:rPr>
        <w:t>ל</w:t>
      </w:r>
      <w:r w:rsidR="005900CE">
        <w:rPr>
          <w:rFonts w:hint="cs"/>
          <w:rtl/>
        </w:rPr>
        <w:t xml:space="preserve">פי </w:t>
      </w:r>
      <w:r w:rsidR="000B47BF">
        <w:rPr>
          <w:rFonts w:hint="cs"/>
          <w:rtl/>
        </w:rPr>
        <w:t>הדו"ח</w:t>
      </w:r>
      <w:r w:rsidR="005900CE">
        <w:rPr>
          <w:rFonts w:hint="cs"/>
          <w:rtl/>
        </w:rPr>
        <w:t xml:space="preserve"> </w:t>
      </w:r>
      <w:r w:rsidR="000B47BF">
        <w:rPr>
          <w:rFonts w:hint="cs"/>
          <w:rtl/>
        </w:rPr>
        <w:t xml:space="preserve">העצמי </w:t>
      </w:r>
      <w:r w:rsidR="005900CE">
        <w:rPr>
          <w:rFonts w:hint="cs"/>
          <w:rtl/>
        </w:rPr>
        <w:t>שהגיש</w:t>
      </w:r>
      <w:r w:rsidR="00753031">
        <w:rPr>
          <w:rFonts w:hint="cs"/>
          <w:rtl/>
        </w:rPr>
        <w:t xml:space="preserve"> לפקיד השומה </w:t>
      </w:r>
      <w:r w:rsidR="005900CE">
        <w:rPr>
          <w:rFonts w:hint="cs"/>
          <w:rtl/>
        </w:rPr>
        <w:t xml:space="preserve">(שומה עצמית) ובין המס שפקיד שומה קבע שעל הנישום לשלם </w:t>
      </w:r>
      <w:r w:rsidR="00167F18">
        <w:rPr>
          <w:rFonts w:hint="cs"/>
          <w:rtl/>
        </w:rPr>
        <w:t xml:space="preserve">(ראו הגדרת "גירעון" בסעיף 191(א) לפקודה). </w:t>
      </w:r>
      <w:r w:rsidR="0000597C">
        <w:rPr>
          <w:rFonts w:hint="cs"/>
          <w:rtl/>
        </w:rPr>
        <w:t xml:space="preserve">פרט </w:t>
      </w:r>
      <w:r w:rsidR="00D62BFF">
        <w:rPr>
          <w:rFonts w:hint="cs"/>
          <w:rtl/>
        </w:rPr>
        <w:t>לפקודת</w:t>
      </w:r>
      <w:r w:rsidR="0000597C">
        <w:rPr>
          <w:rFonts w:hint="cs"/>
          <w:rtl/>
        </w:rPr>
        <w:t xml:space="preserve"> מס הכנסה, גם בחוקי מיסוי אחרים קיימות הוראות דומות המאפשרות לגבות קנס גירעון </w:t>
      </w:r>
      <w:r w:rsidR="00D62BFF">
        <w:rPr>
          <w:rFonts w:hint="cs"/>
          <w:rtl/>
        </w:rPr>
        <w:t xml:space="preserve">מנישום בנסיבות שבהן קיים פער בין הדיווח למס שנקבע </w:t>
      </w:r>
      <w:r w:rsidR="0000597C">
        <w:rPr>
          <w:rFonts w:hint="cs"/>
          <w:rtl/>
        </w:rPr>
        <w:t>(</w:t>
      </w:r>
      <w:r w:rsidR="00D62BFF">
        <w:rPr>
          <w:rFonts w:hint="cs"/>
          <w:rtl/>
        </w:rPr>
        <w:t>ראו: סעיף 95 ל</w:t>
      </w:r>
      <w:r w:rsidR="00D62BFF" w:rsidRPr="00D62BFF">
        <w:rPr>
          <w:rtl/>
        </w:rPr>
        <w:t xml:space="preserve">חוק מיסוי מקרקעין (שבח ורכישה), </w:t>
      </w:r>
      <w:r w:rsidR="00D62BFF" w:rsidRPr="00D62BFF">
        <w:rPr>
          <w:rFonts w:ascii="FrankRuehl" w:hAnsi="FrankRuehl"/>
          <w:sz w:val="28"/>
          <w:rtl/>
        </w:rPr>
        <w:t>התשכ"ג-</w:t>
      </w:r>
      <w:r w:rsidR="00D62BFF" w:rsidRPr="00D62BFF">
        <w:rPr>
          <w:rFonts w:ascii="FrankRuehl" w:hAnsi="FrankRuehl"/>
          <w:sz w:val="28"/>
          <w:rtl/>
        </w:rPr>
        <w:lastRenderedPageBreak/>
        <w:t>1963</w:t>
      </w:r>
      <w:r w:rsidR="00D62BFF" w:rsidRPr="00D62BFF">
        <w:rPr>
          <w:rFonts w:ascii="FrankRuehl" w:hAnsi="FrankRuehl"/>
          <w:sz w:val="28"/>
        </w:rPr>
        <w:t>;</w:t>
      </w:r>
      <w:r w:rsidR="00D62BFF" w:rsidRPr="00D62BFF">
        <w:rPr>
          <w:rFonts w:ascii="FrankRuehl" w:hAnsi="FrankRuehl"/>
          <w:sz w:val="28"/>
          <w:rtl/>
        </w:rPr>
        <w:t xml:space="preserve"> סעיף</w:t>
      </w:r>
      <w:r w:rsidR="00D62BFF">
        <w:rPr>
          <w:rFonts w:hint="cs"/>
          <w:rtl/>
        </w:rPr>
        <w:t xml:space="preserve"> 96ב ל</w:t>
      </w:r>
      <w:r w:rsidR="00D62BFF" w:rsidRPr="00D62BFF">
        <w:rPr>
          <w:rtl/>
        </w:rPr>
        <w:t xml:space="preserve">חוק מס ערך מוסף, </w:t>
      </w:r>
      <w:r w:rsidR="00D62BFF">
        <w:rPr>
          <w:rFonts w:hint="cs"/>
          <w:rtl/>
        </w:rPr>
        <w:t>ה</w:t>
      </w:r>
      <w:r w:rsidR="00D62BFF" w:rsidRPr="00D62BFF">
        <w:rPr>
          <w:rtl/>
        </w:rPr>
        <w:t>תשל"ו-1975</w:t>
      </w:r>
      <w:r w:rsidR="00D62BFF">
        <w:rPr>
          <w:rFonts w:hint="cs"/>
          <w:rtl/>
        </w:rPr>
        <w:t>).</w:t>
      </w:r>
      <w:r w:rsidR="0000597C">
        <w:rPr>
          <w:rFonts w:hint="cs"/>
          <w:rtl/>
        </w:rPr>
        <w:t xml:space="preserve"> </w:t>
      </w:r>
      <w:r w:rsidR="005900CE">
        <w:rPr>
          <w:rFonts w:hint="cs"/>
          <w:rtl/>
        </w:rPr>
        <w:t xml:space="preserve">במאמר מוסגר יוער כי </w:t>
      </w:r>
      <w:r w:rsidR="00D62BFF">
        <w:rPr>
          <w:rFonts w:hint="cs"/>
          <w:rtl/>
        </w:rPr>
        <w:t xml:space="preserve">בכל הנוגע למס הכנסה, </w:t>
      </w:r>
      <w:r w:rsidR="005900CE">
        <w:rPr>
          <w:rFonts w:hint="cs"/>
          <w:rtl/>
        </w:rPr>
        <w:t>ניתן להטיל את הקנס גם במצב שבו הנישום לא הגיש את דו</w:t>
      </w:r>
      <w:r w:rsidR="00A44C96">
        <w:rPr>
          <w:rFonts w:hint="cs"/>
          <w:rtl/>
        </w:rPr>
        <w:t>"</w:t>
      </w:r>
      <w:r w:rsidR="005900CE">
        <w:rPr>
          <w:rFonts w:hint="cs"/>
          <w:rtl/>
        </w:rPr>
        <w:t>ח ההכנסות כלל, אך זה לא מענייננו</w:t>
      </w:r>
      <w:r w:rsidR="00DB6296">
        <w:rPr>
          <w:rFonts w:hint="cs"/>
          <w:rtl/>
        </w:rPr>
        <w:t>.</w:t>
      </w:r>
    </w:p>
    <w:p w:rsidR="00561327" w:rsidRDefault="00561327" w:rsidP="00D05738">
      <w:pPr>
        <w:pStyle w:val="Ruller41"/>
        <w:spacing w:line="240" w:lineRule="auto"/>
        <w:rPr>
          <w:rtl/>
        </w:rPr>
      </w:pPr>
    </w:p>
    <w:p w:rsidR="00DB6296" w:rsidRDefault="00DB6296" w:rsidP="00F62D1F">
      <w:pPr>
        <w:pStyle w:val="Ruller41"/>
        <w:rPr>
          <w:rtl/>
        </w:rPr>
      </w:pPr>
      <w:r>
        <w:rPr>
          <w:rtl/>
        </w:rPr>
        <w:tab/>
      </w:r>
      <w:r>
        <w:rPr>
          <w:rFonts w:hint="cs"/>
          <w:rtl/>
        </w:rPr>
        <w:t>המערערת חויבה על ידי בית משפט בקנס גירעון בשיעור של 15%</w:t>
      </w:r>
      <w:r w:rsidR="001136AC">
        <w:rPr>
          <w:rFonts w:hint="cs"/>
          <w:rtl/>
        </w:rPr>
        <w:t xml:space="preserve"> מסכום הגירעון,</w:t>
      </w:r>
      <w:r>
        <w:rPr>
          <w:rFonts w:hint="cs"/>
          <w:rtl/>
        </w:rPr>
        <w:t xml:space="preserve"> זאת מתוקף הוראת סעיף 191(ב) לפקודה, שבו מעוגנת האפשרות להטלת קנס כזה</w:t>
      </w:r>
      <w:r w:rsidR="000315A4">
        <w:rPr>
          <w:rFonts w:hint="cs"/>
          <w:rtl/>
        </w:rPr>
        <w:t xml:space="preserve"> במקרה של </w:t>
      </w:r>
      <w:r w:rsidR="00F62D1F">
        <w:rPr>
          <w:rFonts w:hint="cs"/>
          <w:rtl/>
        </w:rPr>
        <w:t>התרשלות</w:t>
      </w:r>
      <w:r w:rsidR="000315A4">
        <w:rPr>
          <w:rFonts w:hint="cs"/>
          <w:rtl/>
        </w:rPr>
        <w:t xml:space="preserve"> מצד הנישום</w:t>
      </w:r>
      <w:r>
        <w:rPr>
          <w:rFonts w:hint="cs"/>
          <w:rtl/>
        </w:rPr>
        <w:t>, שזו לשונו:</w:t>
      </w:r>
    </w:p>
    <w:p w:rsidR="00DB6296" w:rsidRDefault="00DB6296" w:rsidP="00D05738">
      <w:pPr>
        <w:pStyle w:val="Ruller41"/>
        <w:spacing w:line="240" w:lineRule="auto"/>
        <w:rPr>
          <w:rtl/>
        </w:rPr>
      </w:pPr>
    </w:p>
    <w:p w:rsidR="00DB6296" w:rsidRDefault="00DB6296" w:rsidP="00DB6296">
      <w:pPr>
        <w:pStyle w:val="Ruller5"/>
        <w:rPr>
          <w:rtl/>
        </w:rPr>
      </w:pPr>
      <w:r w:rsidRPr="0015073A">
        <w:rPr>
          <w:rFonts w:hint="eastAsia"/>
          <w:sz w:val="28"/>
          <w:rtl/>
        </w:rPr>
        <w:t>נישום</w:t>
      </w:r>
      <w:r w:rsidRPr="0015073A">
        <w:rPr>
          <w:sz w:val="28"/>
          <w:rtl/>
        </w:rPr>
        <w:t xml:space="preserve"> </w:t>
      </w:r>
      <w:r w:rsidRPr="0015073A">
        <w:rPr>
          <w:rFonts w:hint="eastAsia"/>
          <w:sz w:val="28"/>
          <w:rtl/>
        </w:rPr>
        <w:t>שלגביו</w:t>
      </w:r>
      <w:r w:rsidRPr="0015073A">
        <w:rPr>
          <w:sz w:val="28"/>
          <w:rtl/>
        </w:rPr>
        <w:t xml:space="preserve"> </w:t>
      </w:r>
      <w:r w:rsidRPr="0015073A">
        <w:rPr>
          <w:rFonts w:hint="eastAsia"/>
          <w:sz w:val="28"/>
          <w:rtl/>
        </w:rPr>
        <w:t>נקבע</w:t>
      </w:r>
      <w:r w:rsidRPr="0015073A">
        <w:rPr>
          <w:sz w:val="28"/>
          <w:rtl/>
        </w:rPr>
        <w:t xml:space="preserve"> </w:t>
      </w:r>
      <w:r w:rsidRPr="0015073A">
        <w:rPr>
          <w:rFonts w:hint="eastAsia"/>
          <w:sz w:val="28"/>
          <w:rtl/>
        </w:rPr>
        <w:t>גרעון</w:t>
      </w:r>
      <w:r w:rsidRPr="0015073A">
        <w:rPr>
          <w:sz w:val="28"/>
          <w:rtl/>
        </w:rPr>
        <w:t xml:space="preserve"> </w:t>
      </w:r>
      <w:r w:rsidRPr="0015073A">
        <w:rPr>
          <w:rFonts w:hint="eastAsia"/>
          <w:sz w:val="28"/>
          <w:rtl/>
        </w:rPr>
        <w:t>העולה</w:t>
      </w:r>
      <w:r w:rsidRPr="0015073A">
        <w:rPr>
          <w:sz w:val="28"/>
          <w:rtl/>
        </w:rPr>
        <w:t xml:space="preserve"> </w:t>
      </w:r>
      <w:r w:rsidRPr="0015073A">
        <w:rPr>
          <w:rFonts w:hint="eastAsia"/>
          <w:sz w:val="28"/>
          <w:rtl/>
        </w:rPr>
        <w:t>על</w:t>
      </w:r>
      <w:r w:rsidRPr="0015073A">
        <w:rPr>
          <w:sz w:val="28"/>
          <w:rtl/>
        </w:rPr>
        <w:t xml:space="preserve"> 50% </w:t>
      </w:r>
      <w:r w:rsidRPr="0015073A">
        <w:rPr>
          <w:rFonts w:hint="eastAsia"/>
          <w:sz w:val="28"/>
          <w:rtl/>
        </w:rPr>
        <w:t>מהמס</w:t>
      </w:r>
      <w:r w:rsidRPr="0015073A">
        <w:rPr>
          <w:sz w:val="28"/>
          <w:rtl/>
        </w:rPr>
        <w:t xml:space="preserve"> </w:t>
      </w:r>
      <w:r w:rsidRPr="0015073A">
        <w:rPr>
          <w:rFonts w:hint="eastAsia"/>
          <w:sz w:val="28"/>
          <w:rtl/>
        </w:rPr>
        <w:t>שהוא</w:t>
      </w:r>
      <w:r w:rsidRPr="0015073A">
        <w:rPr>
          <w:sz w:val="28"/>
          <w:rtl/>
        </w:rPr>
        <w:t xml:space="preserve"> </w:t>
      </w:r>
      <w:r w:rsidRPr="0015073A">
        <w:rPr>
          <w:rFonts w:hint="eastAsia"/>
          <w:sz w:val="28"/>
          <w:rtl/>
        </w:rPr>
        <w:t>חייב</w:t>
      </w:r>
      <w:r w:rsidRPr="0015073A">
        <w:rPr>
          <w:sz w:val="28"/>
          <w:rtl/>
        </w:rPr>
        <w:t xml:space="preserve"> </w:t>
      </w:r>
      <w:r w:rsidRPr="0015073A">
        <w:rPr>
          <w:rFonts w:hint="eastAsia"/>
          <w:sz w:val="28"/>
          <w:rtl/>
        </w:rPr>
        <w:t>בו</w:t>
      </w:r>
      <w:r w:rsidRPr="0015073A">
        <w:rPr>
          <w:sz w:val="28"/>
          <w:rtl/>
        </w:rPr>
        <w:t xml:space="preserve"> </w:t>
      </w:r>
      <w:r w:rsidRPr="0015073A">
        <w:rPr>
          <w:rFonts w:hint="eastAsia"/>
          <w:sz w:val="28"/>
          <w:rtl/>
        </w:rPr>
        <w:t>ולא</w:t>
      </w:r>
      <w:r w:rsidRPr="0015073A">
        <w:rPr>
          <w:sz w:val="28"/>
          <w:rtl/>
        </w:rPr>
        <w:t xml:space="preserve"> </w:t>
      </w:r>
      <w:r w:rsidRPr="0015073A">
        <w:rPr>
          <w:rFonts w:hint="eastAsia"/>
          <w:sz w:val="28"/>
          <w:rtl/>
        </w:rPr>
        <w:t>הוכיח</w:t>
      </w:r>
      <w:r w:rsidRPr="0015073A">
        <w:rPr>
          <w:sz w:val="28"/>
          <w:rtl/>
        </w:rPr>
        <w:t xml:space="preserve"> </w:t>
      </w:r>
      <w:r w:rsidRPr="0015073A">
        <w:rPr>
          <w:rFonts w:hint="eastAsia"/>
          <w:sz w:val="28"/>
          <w:rtl/>
        </w:rPr>
        <w:t>להנחת</w:t>
      </w:r>
      <w:r w:rsidRPr="0015073A">
        <w:rPr>
          <w:sz w:val="28"/>
          <w:rtl/>
        </w:rPr>
        <w:t xml:space="preserve"> </w:t>
      </w:r>
      <w:r w:rsidRPr="0015073A">
        <w:rPr>
          <w:rFonts w:hint="eastAsia"/>
          <w:sz w:val="28"/>
          <w:rtl/>
        </w:rPr>
        <w:t>דעתו</w:t>
      </w:r>
      <w:r w:rsidRPr="0015073A">
        <w:rPr>
          <w:sz w:val="28"/>
          <w:rtl/>
        </w:rPr>
        <w:t xml:space="preserve"> </w:t>
      </w:r>
      <w:r w:rsidRPr="0015073A">
        <w:rPr>
          <w:rFonts w:hint="eastAsia"/>
          <w:sz w:val="28"/>
          <w:rtl/>
        </w:rPr>
        <w:t>של</w:t>
      </w:r>
      <w:r w:rsidRPr="0015073A">
        <w:rPr>
          <w:sz w:val="28"/>
          <w:rtl/>
        </w:rPr>
        <w:t xml:space="preserve"> </w:t>
      </w:r>
      <w:r w:rsidRPr="0015073A">
        <w:rPr>
          <w:rFonts w:hint="eastAsia"/>
          <w:sz w:val="28"/>
          <w:rtl/>
        </w:rPr>
        <w:t>פקיד</w:t>
      </w:r>
      <w:r w:rsidRPr="0015073A">
        <w:rPr>
          <w:sz w:val="28"/>
          <w:rtl/>
        </w:rPr>
        <w:t xml:space="preserve"> </w:t>
      </w:r>
      <w:r w:rsidRPr="0015073A">
        <w:rPr>
          <w:rFonts w:hint="eastAsia"/>
          <w:sz w:val="28"/>
          <w:rtl/>
        </w:rPr>
        <w:t>השומה</w:t>
      </w:r>
      <w:r w:rsidRPr="0015073A">
        <w:rPr>
          <w:sz w:val="28"/>
          <w:rtl/>
        </w:rPr>
        <w:t xml:space="preserve"> </w:t>
      </w:r>
      <w:r w:rsidRPr="0015073A">
        <w:rPr>
          <w:rFonts w:hint="eastAsia"/>
          <w:sz w:val="28"/>
          <w:rtl/>
        </w:rPr>
        <w:t>שלא</w:t>
      </w:r>
      <w:r w:rsidRPr="0015073A">
        <w:rPr>
          <w:sz w:val="28"/>
          <w:rtl/>
        </w:rPr>
        <w:t xml:space="preserve"> </w:t>
      </w:r>
      <w:r w:rsidRPr="0015073A">
        <w:rPr>
          <w:rFonts w:hint="eastAsia"/>
          <w:sz w:val="28"/>
          <w:rtl/>
        </w:rPr>
        <w:t>התרשל</w:t>
      </w:r>
      <w:r w:rsidRPr="0015073A">
        <w:rPr>
          <w:sz w:val="28"/>
          <w:rtl/>
        </w:rPr>
        <w:t xml:space="preserve"> </w:t>
      </w:r>
      <w:r w:rsidRPr="0015073A">
        <w:rPr>
          <w:rFonts w:hint="eastAsia"/>
          <w:sz w:val="28"/>
          <w:rtl/>
        </w:rPr>
        <w:t>בעריכת</w:t>
      </w:r>
      <w:r w:rsidRPr="0015073A">
        <w:rPr>
          <w:sz w:val="28"/>
          <w:rtl/>
        </w:rPr>
        <w:t xml:space="preserve"> </w:t>
      </w:r>
      <w:r w:rsidRPr="0015073A">
        <w:rPr>
          <w:rFonts w:hint="eastAsia"/>
          <w:sz w:val="28"/>
          <w:rtl/>
        </w:rPr>
        <w:t>הדו</w:t>
      </w:r>
      <w:r w:rsidRPr="0015073A">
        <w:rPr>
          <w:sz w:val="28"/>
          <w:rtl/>
        </w:rPr>
        <w:t>"</w:t>
      </w:r>
      <w:r w:rsidRPr="0015073A">
        <w:rPr>
          <w:rFonts w:hint="eastAsia"/>
          <w:sz w:val="28"/>
          <w:rtl/>
        </w:rPr>
        <w:t>ח</w:t>
      </w:r>
      <w:r w:rsidRPr="0015073A">
        <w:rPr>
          <w:sz w:val="28"/>
          <w:rtl/>
        </w:rPr>
        <w:t xml:space="preserve"> </w:t>
      </w:r>
      <w:r w:rsidRPr="0015073A">
        <w:rPr>
          <w:rFonts w:hint="eastAsia"/>
          <w:sz w:val="28"/>
          <w:rtl/>
        </w:rPr>
        <w:t>שמסר</w:t>
      </w:r>
      <w:r w:rsidRPr="0015073A">
        <w:rPr>
          <w:sz w:val="28"/>
          <w:rtl/>
        </w:rPr>
        <w:t xml:space="preserve"> </w:t>
      </w:r>
      <w:r w:rsidRPr="0015073A">
        <w:rPr>
          <w:rFonts w:hint="eastAsia"/>
          <w:sz w:val="28"/>
          <w:rtl/>
        </w:rPr>
        <w:t>או</w:t>
      </w:r>
      <w:r w:rsidRPr="0015073A">
        <w:rPr>
          <w:sz w:val="28"/>
          <w:rtl/>
        </w:rPr>
        <w:t xml:space="preserve"> </w:t>
      </w:r>
      <w:r w:rsidRPr="0015073A">
        <w:rPr>
          <w:rFonts w:hint="eastAsia"/>
          <w:sz w:val="28"/>
          <w:rtl/>
        </w:rPr>
        <w:t>באי</w:t>
      </w:r>
      <w:r w:rsidRPr="0015073A">
        <w:rPr>
          <w:sz w:val="28"/>
          <w:rtl/>
        </w:rPr>
        <w:t xml:space="preserve"> </w:t>
      </w:r>
      <w:r w:rsidRPr="0015073A">
        <w:rPr>
          <w:rFonts w:hint="eastAsia"/>
          <w:sz w:val="28"/>
          <w:rtl/>
        </w:rPr>
        <w:t>מסירת</w:t>
      </w:r>
      <w:r w:rsidRPr="0015073A">
        <w:rPr>
          <w:sz w:val="28"/>
          <w:rtl/>
        </w:rPr>
        <w:t xml:space="preserve"> </w:t>
      </w:r>
      <w:r w:rsidRPr="0015073A">
        <w:rPr>
          <w:rFonts w:hint="eastAsia"/>
          <w:sz w:val="28"/>
          <w:rtl/>
        </w:rPr>
        <w:t>דו</w:t>
      </w:r>
      <w:r w:rsidRPr="0015073A">
        <w:rPr>
          <w:sz w:val="28"/>
          <w:rtl/>
        </w:rPr>
        <w:t>"</w:t>
      </w:r>
      <w:r w:rsidRPr="0015073A">
        <w:rPr>
          <w:rFonts w:hint="eastAsia"/>
          <w:sz w:val="28"/>
          <w:rtl/>
        </w:rPr>
        <w:t>ח</w:t>
      </w:r>
      <w:r w:rsidRPr="0015073A">
        <w:rPr>
          <w:sz w:val="28"/>
          <w:rtl/>
        </w:rPr>
        <w:t xml:space="preserve">, </w:t>
      </w:r>
      <w:r w:rsidRPr="0015073A">
        <w:rPr>
          <w:rFonts w:hint="eastAsia"/>
          <w:sz w:val="28"/>
          <w:rtl/>
        </w:rPr>
        <w:t>יהא</w:t>
      </w:r>
      <w:r w:rsidRPr="0015073A">
        <w:rPr>
          <w:sz w:val="28"/>
          <w:rtl/>
        </w:rPr>
        <w:t xml:space="preserve"> </w:t>
      </w:r>
      <w:r w:rsidRPr="0015073A">
        <w:rPr>
          <w:rFonts w:hint="eastAsia"/>
          <w:sz w:val="28"/>
          <w:rtl/>
        </w:rPr>
        <w:t>חייב</w:t>
      </w:r>
      <w:r w:rsidRPr="0015073A">
        <w:rPr>
          <w:sz w:val="28"/>
          <w:rtl/>
        </w:rPr>
        <w:t xml:space="preserve"> </w:t>
      </w:r>
      <w:r w:rsidRPr="0015073A">
        <w:rPr>
          <w:rFonts w:hint="eastAsia"/>
          <w:sz w:val="28"/>
          <w:rtl/>
        </w:rPr>
        <w:t>בקנס</w:t>
      </w:r>
      <w:r w:rsidRPr="0015073A">
        <w:rPr>
          <w:sz w:val="28"/>
          <w:rtl/>
        </w:rPr>
        <w:t xml:space="preserve"> </w:t>
      </w:r>
      <w:r w:rsidRPr="0015073A">
        <w:rPr>
          <w:rFonts w:hint="eastAsia"/>
          <w:sz w:val="28"/>
          <w:rtl/>
        </w:rPr>
        <w:t>בשיעור</w:t>
      </w:r>
      <w:r w:rsidRPr="0015073A">
        <w:rPr>
          <w:sz w:val="28"/>
          <w:rtl/>
        </w:rPr>
        <w:t xml:space="preserve"> </w:t>
      </w:r>
      <w:r w:rsidRPr="0015073A">
        <w:rPr>
          <w:rFonts w:hint="eastAsia"/>
          <w:sz w:val="28"/>
          <w:rtl/>
        </w:rPr>
        <w:t>של</w:t>
      </w:r>
      <w:r w:rsidRPr="0015073A">
        <w:rPr>
          <w:sz w:val="28"/>
          <w:rtl/>
        </w:rPr>
        <w:t xml:space="preserve"> 15% </w:t>
      </w:r>
      <w:r w:rsidRPr="0015073A">
        <w:rPr>
          <w:rFonts w:hint="eastAsia"/>
          <w:sz w:val="28"/>
          <w:rtl/>
        </w:rPr>
        <w:t>מסכום</w:t>
      </w:r>
      <w:r w:rsidRPr="0015073A">
        <w:rPr>
          <w:sz w:val="28"/>
          <w:rtl/>
        </w:rPr>
        <w:t xml:space="preserve"> </w:t>
      </w:r>
      <w:r w:rsidRPr="0015073A">
        <w:rPr>
          <w:rFonts w:hint="eastAsia"/>
          <w:sz w:val="28"/>
          <w:rtl/>
        </w:rPr>
        <w:t>הגרעון</w:t>
      </w:r>
      <w:r w:rsidRPr="0015073A">
        <w:rPr>
          <w:sz w:val="28"/>
          <w:rtl/>
        </w:rPr>
        <w:t>.</w:t>
      </w:r>
    </w:p>
    <w:p w:rsidR="00DB6296" w:rsidRDefault="00DB6296" w:rsidP="00DB6296">
      <w:pPr>
        <w:pStyle w:val="Ruller41"/>
        <w:rPr>
          <w:rtl/>
        </w:rPr>
      </w:pPr>
    </w:p>
    <w:p w:rsidR="00DB6296" w:rsidRDefault="00DB6296" w:rsidP="001B4CC2">
      <w:pPr>
        <w:pStyle w:val="Ruller41"/>
        <w:rPr>
          <w:rtl/>
        </w:rPr>
      </w:pPr>
      <w:r>
        <w:rPr>
          <w:rtl/>
        </w:rPr>
        <w:tab/>
      </w:r>
      <w:r>
        <w:rPr>
          <w:rFonts w:hint="cs"/>
          <w:rtl/>
        </w:rPr>
        <w:t>וסעיף 191(ג), שאף לו אדרש בהמשך, מאפשר השתת כפל הקנס הקבוע בסעיף 191(ב)</w:t>
      </w:r>
      <w:r w:rsidR="001B4CC2">
        <w:rPr>
          <w:rFonts w:hint="cs"/>
          <w:rtl/>
        </w:rPr>
        <w:t xml:space="preserve"> במקרה של פעולה במזיד מצד הנישום, </w:t>
      </w:r>
      <w:r>
        <w:rPr>
          <w:rFonts w:hint="cs"/>
          <w:rtl/>
        </w:rPr>
        <w:t>וקובע כדלקמן:</w:t>
      </w:r>
    </w:p>
    <w:p w:rsidR="00D12D18" w:rsidRDefault="00D12D18" w:rsidP="00D05738">
      <w:pPr>
        <w:pStyle w:val="Ruller41"/>
        <w:spacing w:line="240" w:lineRule="auto"/>
        <w:rPr>
          <w:rtl/>
        </w:rPr>
      </w:pPr>
    </w:p>
    <w:p w:rsidR="00D12D18" w:rsidRPr="0015073A" w:rsidRDefault="00D12D18" w:rsidP="00D12D18">
      <w:pPr>
        <w:pStyle w:val="Ruller5"/>
        <w:rPr>
          <w:sz w:val="28"/>
          <w:rtl/>
        </w:rPr>
      </w:pPr>
      <w:r w:rsidRPr="0015073A">
        <w:rPr>
          <w:sz w:val="28"/>
          <w:rtl/>
        </w:rPr>
        <w:t xml:space="preserve">היו למנהל או למי שהוסמך לכך על-ידיו טעמים סבירים להאמין, כי הגרעון נוצר במזיד ומתוך כוונת הנישום להתחמק מתשלום מס, </w:t>
      </w:r>
      <w:proofErr w:type="spellStart"/>
      <w:r w:rsidRPr="0015073A">
        <w:rPr>
          <w:sz w:val="28"/>
          <w:rtl/>
        </w:rPr>
        <w:t>יווסף</w:t>
      </w:r>
      <w:proofErr w:type="spellEnd"/>
      <w:r w:rsidRPr="0015073A">
        <w:rPr>
          <w:sz w:val="28"/>
          <w:rtl/>
        </w:rPr>
        <w:t xml:space="preserve"> לסכום המס שאותו נישום חייב בו, כפל הקנסות הנקובים בסעיף קטן (ב).</w:t>
      </w:r>
    </w:p>
    <w:p w:rsidR="000315A4" w:rsidRDefault="000315A4" w:rsidP="000315A4">
      <w:pPr>
        <w:pStyle w:val="Ruller41"/>
        <w:rPr>
          <w:rtl/>
        </w:rPr>
      </w:pPr>
    </w:p>
    <w:p w:rsidR="00C77A44" w:rsidRDefault="000315A4" w:rsidP="00116821">
      <w:pPr>
        <w:pStyle w:val="Ruller41"/>
        <w:rPr>
          <w:rtl/>
        </w:rPr>
      </w:pPr>
      <w:r>
        <w:rPr>
          <w:rtl/>
        </w:rPr>
        <w:tab/>
      </w:r>
      <w:r>
        <w:rPr>
          <w:rFonts w:hint="cs"/>
          <w:rtl/>
        </w:rPr>
        <w:t xml:space="preserve">כמו כן, </w:t>
      </w:r>
      <w:r w:rsidR="00F62D1F">
        <w:rPr>
          <w:rFonts w:hint="cs"/>
          <w:rtl/>
        </w:rPr>
        <w:t xml:space="preserve">סעיף 191(ג1) </w:t>
      </w:r>
      <w:r w:rsidR="00C77A44">
        <w:rPr>
          <w:rFonts w:hint="cs"/>
          <w:rtl/>
        </w:rPr>
        <w:t>לפקודה מתייחס לרשימת מצבים מוגדרים</w:t>
      </w:r>
      <w:r w:rsidR="0015073A">
        <w:rPr>
          <w:rFonts w:hint="cs"/>
          <w:rtl/>
        </w:rPr>
        <w:t xml:space="preserve">, המנויה </w:t>
      </w:r>
      <w:proofErr w:type="spellStart"/>
      <w:r w:rsidR="0015073A">
        <w:rPr>
          <w:rFonts w:hint="cs"/>
          <w:rtl/>
        </w:rPr>
        <w:t>בס"ק</w:t>
      </w:r>
      <w:proofErr w:type="spellEnd"/>
      <w:r w:rsidR="0015073A">
        <w:rPr>
          <w:rFonts w:hint="cs"/>
          <w:rtl/>
        </w:rPr>
        <w:t xml:space="preserve"> (1)-(3), </w:t>
      </w:r>
      <w:r w:rsidR="00C77A44">
        <w:rPr>
          <w:rFonts w:hint="cs"/>
          <w:rtl/>
        </w:rPr>
        <w:t xml:space="preserve">ומורה כי </w:t>
      </w:r>
      <w:r w:rsidR="0015073A">
        <w:rPr>
          <w:rFonts w:hint="cs"/>
          <w:rtl/>
        </w:rPr>
        <w:t>במצבים אלה</w:t>
      </w:r>
      <w:r w:rsidR="00C77A44">
        <w:rPr>
          <w:rFonts w:hint="cs"/>
          <w:rtl/>
        </w:rPr>
        <w:t xml:space="preserve"> ניתן להטיל על </w:t>
      </w:r>
      <w:r w:rsidR="00F62D1F">
        <w:rPr>
          <w:rFonts w:hint="cs"/>
          <w:rtl/>
        </w:rPr>
        <w:t xml:space="preserve">נישום קנס גירעון בשיעור של 30%, </w:t>
      </w:r>
      <w:r w:rsidR="00116821">
        <w:rPr>
          <w:rFonts w:hint="cs"/>
          <w:rtl/>
        </w:rPr>
        <w:t>בלא</w:t>
      </w:r>
      <w:r w:rsidR="00F62D1F">
        <w:rPr>
          <w:rFonts w:hint="cs"/>
          <w:rtl/>
        </w:rPr>
        <w:t xml:space="preserve"> קשר לשאלה אם</w:t>
      </w:r>
      <w:r w:rsidR="00C77A44">
        <w:rPr>
          <w:rFonts w:hint="cs"/>
          <w:rtl/>
        </w:rPr>
        <w:t xml:space="preserve"> הנישום</w:t>
      </w:r>
      <w:r w:rsidR="00F62D1F">
        <w:rPr>
          <w:rFonts w:hint="cs"/>
          <w:rtl/>
        </w:rPr>
        <w:t xml:space="preserve"> התרשל או פעל בזדון.</w:t>
      </w:r>
      <w:r w:rsidR="00C77A44">
        <w:rPr>
          <w:rFonts w:hint="cs"/>
          <w:rtl/>
        </w:rPr>
        <w:t xml:space="preserve"> וכך קובע הסעיף:</w:t>
      </w:r>
    </w:p>
    <w:p w:rsidR="00C77A44" w:rsidRDefault="00C77A44" w:rsidP="00D05738">
      <w:pPr>
        <w:pStyle w:val="Ruller41"/>
        <w:spacing w:line="240" w:lineRule="auto"/>
        <w:rPr>
          <w:rtl/>
        </w:rPr>
      </w:pPr>
    </w:p>
    <w:p w:rsidR="00C77A44" w:rsidRPr="0015073A" w:rsidRDefault="00C77A44" w:rsidP="005C0092">
      <w:pPr>
        <w:pStyle w:val="Ruller5"/>
        <w:spacing w:after="40"/>
        <w:rPr>
          <w:rFonts w:cs="Times New Roman"/>
          <w:sz w:val="28"/>
        </w:rPr>
      </w:pPr>
      <w:r w:rsidRPr="0015073A">
        <w:rPr>
          <w:rStyle w:val="default"/>
          <w:rFonts w:ascii="FrankRuehl" w:hAnsi="FrankRuehl"/>
          <w:color w:val="000000"/>
          <w:sz w:val="28"/>
          <w:rtl/>
        </w:rPr>
        <w:t>נישום שלגביו נקבע גירעון בסכום העולה על 500 אלף שקלים חדשים לשנה, והגירעון האמור עולה על 50% מהמס שהנישום חייב בו, רשאי פקיד השומה להטיל עליו קנס בשיעור של 30% מסכום הגירעון אם הגירעון נובע בשל אחד או יותר מאלה:</w:t>
      </w:r>
    </w:p>
    <w:p w:rsidR="00C77A44" w:rsidRPr="0015073A" w:rsidRDefault="006F4612" w:rsidP="005C0092">
      <w:pPr>
        <w:pStyle w:val="Ruller5"/>
        <w:spacing w:before="160" w:after="40"/>
        <w:ind w:left="1928"/>
        <w:rPr>
          <w:sz w:val="28"/>
          <w:rtl/>
        </w:rPr>
      </w:pPr>
      <w:r>
        <w:rPr>
          <w:rStyle w:val="default"/>
          <w:rFonts w:ascii="FrankRuehl" w:hAnsi="FrankRuehl"/>
          <w:color w:val="000000"/>
          <w:sz w:val="28"/>
          <w:rtl/>
        </w:rPr>
        <w:t>(1)  </w:t>
      </w:r>
      <w:r w:rsidR="00C77A44" w:rsidRPr="0015073A">
        <w:rPr>
          <w:rStyle w:val="default"/>
          <w:rFonts w:ascii="FrankRuehl" w:hAnsi="FrankRuehl"/>
          <w:color w:val="000000"/>
          <w:sz w:val="28"/>
          <w:rtl/>
        </w:rPr>
        <w:t>הנישום ל</w:t>
      </w:r>
      <w:r w:rsidR="000F254A" w:rsidRPr="0015073A">
        <w:rPr>
          <w:rStyle w:val="default"/>
          <w:rFonts w:ascii="FrankRuehl" w:hAnsi="FrankRuehl"/>
          <w:color w:val="000000"/>
          <w:sz w:val="28"/>
          <w:rtl/>
        </w:rPr>
        <w:t>א דיווח על פעולה שנקבעה לפי סעי</w:t>
      </w:r>
      <w:r w:rsidR="00C77A44" w:rsidRPr="0015073A">
        <w:rPr>
          <w:rStyle w:val="default"/>
          <w:rFonts w:ascii="FrankRuehl" w:hAnsi="FrankRuehl"/>
          <w:color w:val="000000"/>
          <w:sz w:val="28"/>
          <w:rtl/>
        </w:rPr>
        <w:t>ף131(ז) כפעולה החייבת בדיווח;</w:t>
      </w:r>
    </w:p>
    <w:p w:rsidR="00C77A44" w:rsidRPr="0015073A" w:rsidRDefault="006F4612" w:rsidP="005C0092">
      <w:pPr>
        <w:pStyle w:val="Ruller5"/>
        <w:spacing w:before="160" w:after="40"/>
        <w:ind w:left="1928"/>
        <w:rPr>
          <w:sz w:val="28"/>
          <w:rtl/>
        </w:rPr>
      </w:pPr>
      <w:r>
        <w:rPr>
          <w:rStyle w:val="default"/>
          <w:rFonts w:ascii="FrankRuehl" w:hAnsi="FrankRuehl"/>
          <w:color w:val="000000"/>
          <w:sz w:val="28"/>
          <w:rtl/>
        </w:rPr>
        <w:t>(2)  </w:t>
      </w:r>
      <w:r w:rsidR="00C77A44" w:rsidRPr="0015073A">
        <w:rPr>
          <w:rStyle w:val="default"/>
          <w:rFonts w:ascii="FrankRuehl" w:hAnsi="FrankRuehl"/>
          <w:color w:val="000000"/>
          <w:sz w:val="28"/>
          <w:rtl/>
        </w:rPr>
        <w:t>הנישום פעל בעניין מסוים בניגוד להחלטת מיסוי כהגדרתה בסעיף 158ב, מפורשת ומנומקת שניתנה לו באותו עניין בשלוש השנים שקדמו להגשת הדוח לפי סעיף 131, ולא דיווח, בטופס שקבע המנהל, על כך שפעל בניגוד להחלטת המיסוי באותו עניין;</w:t>
      </w:r>
    </w:p>
    <w:p w:rsidR="00C77A44" w:rsidRPr="0015073A" w:rsidRDefault="006F4612" w:rsidP="005C0092">
      <w:pPr>
        <w:pStyle w:val="Ruller5"/>
        <w:spacing w:before="160"/>
        <w:ind w:left="1928"/>
        <w:rPr>
          <w:sz w:val="28"/>
          <w:rtl/>
        </w:rPr>
      </w:pPr>
      <w:r>
        <w:rPr>
          <w:rStyle w:val="default"/>
          <w:rFonts w:ascii="FrankRuehl" w:hAnsi="FrankRuehl"/>
          <w:color w:val="000000"/>
          <w:sz w:val="28"/>
          <w:rtl/>
        </w:rPr>
        <w:t>(3)  </w:t>
      </w:r>
      <w:r w:rsidR="00C77A44" w:rsidRPr="0015073A">
        <w:rPr>
          <w:rStyle w:val="default"/>
          <w:rFonts w:ascii="FrankRuehl" w:hAnsi="FrankRuehl"/>
          <w:color w:val="000000"/>
          <w:sz w:val="28"/>
          <w:rtl/>
        </w:rPr>
        <w:t>תכנון מס שנקבע לגביו בשומה סופית כי הוא מהווה עסקה מלאכותית, ובלבד שהנישום לא דיווח עליה, או עסקה בדויה לפי סעיף 86;</w:t>
      </w:r>
    </w:p>
    <w:p w:rsidR="00C77A44" w:rsidRDefault="00C77A44" w:rsidP="00C77A44">
      <w:pPr>
        <w:pStyle w:val="Ruller41"/>
        <w:rPr>
          <w:rtl/>
        </w:rPr>
      </w:pPr>
    </w:p>
    <w:p w:rsidR="000315A4" w:rsidRDefault="00BE14CB" w:rsidP="00A53A9E">
      <w:pPr>
        <w:pStyle w:val="Ruller41"/>
        <w:rPr>
          <w:rtl/>
        </w:rPr>
      </w:pPr>
      <w:r>
        <w:rPr>
          <w:rtl/>
        </w:rPr>
        <w:lastRenderedPageBreak/>
        <w:tab/>
      </w:r>
      <w:r w:rsidR="00FB1C7C">
        <w:rPr>
          <w:rFonts w:hint="cs"/>
          <w:rtl/>
        </w:rPr>
        <w:t>יבואר</w:t>
      </w:r>
      <w:r>
        <w:rPr>
          <w:rFonts w:hint="cs"/>
          <w:rtl/>
        </w:rPr>
        <w:t xml:space="preserve"> כי הרשימה המנויה בסעיף 191(ג1) </w:t>
      </w:r>
      <w:r w:rsidR="00F62D1F">
        <w:rPr>
          <w:rFonts w:hint="cs"/>
          <w:rtl/>
        </w:rPr>
        <w:t>נוספה לפקודה במסגרת</w:t>
      </w:r>
      <w:r w:rsidR="00490396">
        <w:rPr>
          <w:rFonts w:hint="cs"/>
          <w:rtl/>
        </w:rPr>
        <w:t xml:space="preserve"> </w:t>
      </w:r>
      <w:r>
        <w:rPr>
          <w:rFonts w:hint="cs"/>
          <w:rtl/>
        </w:rPr>
        <w:t xml:space="preserve">תיקון </w:t>
      </w:r>
      <w:r w:rsidR="00490396">
        <w:rPr>
          <w:rFonts w:hint="cs"/>
          <w:rtl/>
        </w:rPr>
        <w:t>משנת 2013 (פקודת מס הכנסה (תיקון מס' 197), התשע"ג-2013</w:t>
      </w:r>
      <w:r w:rsidR="00156A98">
        <w:rPr>
          <w:rFonts w:hint="cs"/>
          <w:rtl/>
        </w:rPr>
        <w:t>)</w:t>
      </w:r>
      <w:r w:rsidR="0015073A">
        <w:rPr>
          <w:rFonts w:hint="cs"/>
          <w:rtl/>
        </w:rPr>
        <w:t>, במטרה</w:t>
      </w:r>
      <w:r w:rsidR="00F62D1F">
        <w:rPr>
          <w:rFonts w:hint="cs"/>
          <w:rtl/>
        </w:rPr>
        <w:t xml:space="preserve"> </w:t>
      </w:r>
      <w:r w:rsidR="0015073A">
        <w:rPr>
          <w:rFonts w:hint="cs"/>
          <w:rtl/>
        </w:rPr>
        <w:t>להגביר את השימוש ב</w:t>
      </w:r>
      <w:r w:rsidR="002D09A8">
        <w:rPr>
          <w:rFonts w:hint="cs"/>
          <w:rtl/>
        </w:rPr>
        <w:t>קנס הגירעון כלפי נישומים שהגישו דיווח שגוי ו</w:t>
      </w:r>
      <w:r w:rsidR="0015073A">
        <w:rPr>
          <w:rFonts w:hint="cs"/>
          <w:rtl/>
        </w:rPr>
        <w:t xml:space="preserve">לתמרץ </w:t>
      </w:r>
      <w:r w:rsidR="002D09A8">
        <w:rPr>
          <w:rFonts w:hint="cs"/>
          <w:rtl/>
        </w:rPr>
        <w:t>אותם</w:t>
      </w:r>
      <w:r w:rsidR="0015073A">
        <w:rPr>
          <w:rFonts w:hint="cs"/>
          <w:rtl/>
        </w:rPr>
        <w:t xml:space="preserve"> לה</w:t>
      </w:r>
      <w:r w:rsidR="00FF0CEB">
        <w:rPr>
          <w:rFonts w:hint="cs"/>
          <w:rtl/>
        </w:rPr>
        <w:t>קפיד על הג</w:t>
      </w:r>
      <w:r w:rsidR="0015073A">
        <w:rPr>
          <w:rFonts w:hint="cs"/>
          <w:rtl/>
        </w:rPr>
        <w:t>ש</w:t>
      </w:r>
      <w:r w:rsidR="00FF0CEB">
        <w:rPr>
          <w:rFonts w:hint="cs"/>
          <w:rtl/>
        </w:rPr>
        <w:t>ת</w:t>
      </w:r>
      <w:r w:rsidR="0015073A">
        <w:rPr>
          <w:rFonts w:hint="cs"/>
          <w:rtl/>
        </w:rPr>
        <w:t xml:space="preserve"> דיווח מדויק </w:t>
      </w:r>
      <w:r w:rsidR="00F62D1F">
        <w:rPr>
          <w:rFonts w:hint="cs"/>
          <w:rtl/>
        </w:rPr>
        <w:t xml:space="preserve">(להלן: </w:t>
      </w:r>
      <w:r w:rsidR="00F62D1F" w:rsidRPr="0015073A">
        <w:rPr>
          <w:rFonts w:ascii="Century" w:hAnsi="Century" w:cs="Miriam" w:hint="cs"/>
          <w:b/>
          <w:spacing w:val="0"/>
          <w:szCs w:val="24"/>
          <w:rtl/>
        </w:rPr>
        <w:t>תיקון מס' 197</w:t>
      </w:r>
      <w:r w:rsidR="00F62D1F">
        <w:rPr>
          <w:rFonts w:hint="cs"/>
          <w:rtl/>
        </w:rPr>
        <w:t>)</w:t>
      </w:r>
      <w:r>
        <w:rPr>
          <w:rFonts w:hint="cs"/>
          <w:rtl/>
        </w:rPr>
        <w:t xml:space="preserve">. </w:t>
      </w:r>
      <w:r w:rsidR="006F4612">
        <w:rPr>
          <w:rFonts w:hint="cs"/>
          <w:rtl/>
        </w:rPr>
        <w:t>וכך נאמר ב</w:t>
      </w:r>
      <w:r w:rsidR="0015073A">
        <w:rPr>
          <w:rFonts w:hint="cs"/>
          <w:rtl/>
        </w:rPr>
        <w:t>דברי ההסבר לתיקון</w:t>
      </w:r>
      <w:r w:rsidR="00436FE1">
        <w:rPr>
          <w:rFonts w:hint="cs"/>
          <w:rtl/>
        </w:rPr>
        <w:t xml:space="preserve"> מס' 197</w:t>
      </w:r>
      <w:r w:rsidR="0015073A">
        <w:rPr>
          <w:rFonts w:hint="cs"/>
          <w:rtl/>
        </w:rPr>
        <w:t xml:space="preserve"> (דברי הסבר לתיקון מס' 197 לפקוד</w:t>
      </w:r>
      <w:r w:rsidR="00436FE1">
        <w:rPr>
          <w:rFonts w:hint="cs"/>
          <w:rtl/>
        </w:rPr>
        <w:t>ת מס הכנסה</w:t>
      </w:r>
      <w:r w:rsidR="0015073A">
        <w:rPr>
          <w:rFonts w:hint="cs"/>
          <w:rtl/>
        </w:rPr>
        <w:t>,</w:t>
      </w:r>
      <w:r w:rsidR="00436FE1">
        <w:rPr>
          <w:rFonts w:hint="cs"/>
          <w:rtl/>
        </w:rPr>
        <w:t xml:space="preserve"> התשע"ג-2013,</w:t>
      </w:r>
      <w:r w:rsidR="0015073A">
        <w:rPr>
          <w:rFonts w:hint="cs"/>
          <w:rtl/>
        </w:rPr>
        <w:t xml:space="preserve"> </w:t>
      </w:r>
      <w:r w:rsidR="00436FE1">
        <w:rPr>
          <w:rFonts w:hint="cs"/>
          <w:rtl/>
        </w:rPr>
        <w:t>ס"ח 651, 690)</w:t>
      </w:r>
      <w:r w:rsidR="0000597C">
        <w:rPr>
          <w:rFonts w:hint="cs"/>
          <w:rtl/>
        </w:rPr>
        <w:t xml:space="preserve">, </w:t>
      </w:r>
      <w:r w:rsidR="0015750C">
        <w:rPr>
          <w:rFonts w:hint="cs"/>
          <w:rtl/>
        </w:rPr>
        <w:t>שמהם ניתן ללמוד</w:t>
      </w:r>
      <w:r w:rsidR="0000597C">
        <w:rPr>
          <w:rFonts w:hint="cs"/>
          <w:rtl/>
        </w:rPr>
        <w:t xml:space="preserve"> </w:t>
      </w:r>
      <w:r w:rsidR="0015750C">
        <w:rPr>
          <w:rFonts w:hint="cs"/>
          <w:rtl/>
        </w:rPr>
        <w:t>על</w:t>
      </w:r>
      <w:r w:rsidR="0000597C">
        <w:rPr>
          <w:rFonts w:hint="cs"/>
          <w:rtl/>
        </w:rPr>
        <w:t xml:space="preserve"> התכליות העומדות מאחורי גביית קנס גירעון ככלל:</w:t>
      </w:r>
    </w:p>
    <w:p w:rsidR="002D09A8" w:rsidRDefault="002D09A8" w:rsidP="00D05738">
      <w:pPr>
        <w:pStyle w:val="Ruller41"/>
        <w:spacing w:line="240" w:lineRule="auto"/>
        <w:rPr>
          <w:rtl/>
        </w:rPr>
      </w:pPr>
    </w:p>
    <w:p w:rsidR="002D09A8" w:rsidRDefault="002D09A8" w:rsidP="002D09A8">
      <w:pPr>
        <w:pStyle w:val="Ruller5"/>
        <w:rPr>
          <w:rtl/>
        </w:rPr>
      </w:pPr>
      <w:r>
        <w:rPr>
          <w:rFonts w:hint="cs"/>
          <w:rtl/>
        </w:rPr>
        <w:t>"הוראות פקודת מס הכנסה וחוק מס ערך מוסף מבוססות על עקרון השומה העצמית, כאשר הנישום מדווח בעצמו על היקף פעילותו החייבת במס. סעיף 191 לפקודה נועד להקטין את התמריץ להימנע מדיווח מלא ומדויק, ובהמשך לכך, להימנע מתשלום מלוא המס על בסיס אותו דיווח, וזאת בשל התחושה שהסיכוי להיתפס נמוך."</w:t>
      </w:r>
    </w:p>
    <w:p w:rsidR="0000597C" w:rsidRDefault="0000597C" w:rsidP="0000597C">
      <w:pPr>
        <w:pStyle w:val="Ruller41"/>
        <w:rPr>
          <w:rtl/>
        </w:rPr>
      </w:pPr>
    </w:p>
    <w:p w:rsidR="007D6167" w:rsidRDefault="0000597C" w:rsidP="001C7A84">
      <w:pPr>
        <w:pStyle w:val="Ruller41"/>
      </w:pPr>
      <w:r>
        <w:rPr>
          <w:rtl/>
        </w:rPr>
        <w:tab/>
      </w:r>
      <w:r w:rsidR="001C7A84">
        <w:rPr>
          <w:rFonts w:hint="cs"/>
          <w:rtl/>
        </w:rPr>
        <w:t>נמצאנו</w:t>
      </w:r>
      <w:r w:rsidR="00907545">
        <w:rPr>
          <w:rFonts w:hint="cs"/>
          <w:rtl/>
        </w:rPr>
        <w:t xml:space="preserve"> למדים כי</w:t>
      </w:r>
      <w:r w:rsidR="002D09A8">
        <w:rPr>
          <w:rFonts w:hint="cs"/>
          <w:rtl/>
        </w:rPr>
        <w:t xml:space="preserve"> </w:t>
      </w:r>
      <w:r w:rsidR="00D31F29">
        <w:rPr>
          <w:rFonts w:hint="cs"/>
          <w:rtl/>
        </w:rPr>
        <w:t>התכלית</w:t>
      </w:r>
      <w:r w:rsidR="002D09A8" w:rsidRPr="002D09A8">
        <w:rPr>
          <w:rFonts w:hint="cs"/>
          <w:rtl/>
        </w:rPr>
        <w:t xml:space="preserve"> העומדת ביסוד האפשרות להטיל קנס גירעון היא הרתעת נישומים מפני הגשת דיווחים שאינם נכונים, זאת לנוכח החשיבות שבגביית מס אמת ועל מנת שפקיד השומה יוכל להסתמך על מנגנון הדיווח העצמי.</w:t>
      </w:r>
    </w:p>
    <w:p w:rsidR="00A47F3D" w:rsidRDefault="007D6167" w:rsidP="00D41CA9">
      <w:pPr>
        <w:pStyle w:val="Ruller4"/>
        <w:numPr>
          <w:ilvl w:val="0"/>
          <w:numId w:val="0"/>
        </w:numPr>
        <w:rPr>
          <w:rtl/>
        </w:rPr>
      </w:pPr>
      <w:r>
        <w:rPr>
          <w:rFonts w:hint="cs"/>
          <w:rtl/>
        </w:rPr>
        <w:t xml:space="preserve"> </w:t>
      </w:r>
    </w:p>
    <w:p w:rsidR="001E1F5A" w:rsidRDefault="007D6167" w:rsidP="006050C4">
      <w:pPr>
        <w:pStyle w:val="Ruller4"/>
      </w:pPr>
      <w:r>
        <w:rPr>
          <w:rFonts w:hint="cs"/>
          <w:rtl/>
        </w:rPr>
        <w:t xml:space="preserve">ענייננו שלנו הוא בקנס גירעון "רגיל" בשיעור של 15%, שהוטל על המערערת לאחר </w:t>
      </w:r>
      <w:r w:rsidR="006C7080">
        <w:rPr>
          <w:rFonts w:hint="cs"/>
          <w:rtl/>
        </w:rPr>
        <w:t>שנ</w:t>
      </w:r>
      <w:r>
        <w:rPr>
          <w:rFonts w:hint="cs"/>
          <w:rtl/>
        </w:rPr>
        <w:t xml:space="preserve">קבע כי </w:t>
      </w:r>
      <w:r w:rsidR="006C7080">
        <w:rPr>
          <w:rFonts w:hint="cs"/>
          <w:rtl/>
        </w:rPr>
        <w:t>לכל הפחות התרשלה</w:t>
      </w:r>
      <w:r w:rsidR="00A47F3D">
        <w:rPr>
          <w:rFonts w:hint="cs"/>
          <w:rtl/>
        </w:rPr>
        <w:t xml:space="preserve">. </w:t>
      </w:r>
      <w:r w:rsidR="00BD08FF">
        <w:rPr>
          <w:rFonts w:hint="cs"/>
          <w:rtl/>
        </w:rPr>
        <w:t xml:space="preserve">כעולה מלשון </w:t>
      </w:r>
      <w:r w:rsidR="004A5454">
        <w:rPr>
          <w:rFonts w:hint="cs"/>
          <w:rtl/>
        </w:rPr>
        <w:t>הפקודה</w:t>
      </w:r>
      <w:r w:rsidR="00BD08FF">
        <w:rPr>
          <w:rFonts w:hint="cs"/>
          <w:rtl/>
        </w:rPr>
        <w:t>,</w:t>
      </w:r>
      <w:r>
        <w:rPr>
          <w:rFonts w:hint="cs"/>
          <w:rtl/>
        </w:rPr>
        <w:t xml:space="preserve"> נטל ההוכחה לעניין ההתרשלות לצורך הטלת קנס גירעון "רגיל", רובץ </w:t>
      </w:r>
      <w:r w:rsidR="006050C4">
        <w:rPr>
          <w:rFonts w:hint="cs"/>
          <w:rtl/>
        </w:rPr>
        <w:t>על כתפי</w:t>
      </w:r>
      <w:r>
        <w:rPr>
          <w:rFonts w:hint="cs"/>
          <w:rtl/>
        </w:rPr>
        <w:t xml:space="preserve"> הנישום עצמו. הוא שצריך להוכיח ל</w:t>
      </w:r>
      <w:r w:rsidR="00BD08FF">
        <w:rPr>
          <w:rFonts w:hint="cs"/>
          <w:rtl/>
        </w:rPr>
        <w:t>פקיד השומה</w:t>
      </w:r>
      <w:r>
        <w:rPr>
          <w:rFonts w:hint="cs"/>
          <w:rtl/>
        </w:rPr>
        <w:t xml:space="preserve"> כי לא </w:t>
      </w:r>
      <w:r w:rsidRPr="00D226C6">
        <w:rPr>
          <w:rFonts w:ascii="FrankRuehl" w:hAnsi="FrankRuehl"/>
          <w:sz w:val="28"/>
          <w:rtl/>
        </w:rPr>
        <w:t>התרשל</w:t>
      </w:r>
      <w:r>
        <w:rPr>
          <w:rFonts w:ascii="FrankRuehl" w:hAnsi="FrankRuehl" w:hint="cs"/>
          <w:sz w:val="28"/>
          <w:rtl/>
        </w:rPr>
        <w:t xml:space="preserve"> בעריכת הדיווח שהעביר אליו</w:t>
      </w:r>
      <w:r>
        <w:rPr>
          <w:rFonts w:ascii="FrankRuehl" w:hAnsi="FrankRuehl"/>
          <w:sz w:val="28"/>
        </w:rPr>
        <w:t>;</w:t>
      </w:r>
      <w:r w:rsidRPr="00D226C6">
        <w:rPr>
          <w:rFonts w:ascii="FrankRuehl" w:hAnsi="FrankRuehl"/>
          <w:sz w:val="28"/>
          <w:rtl/>
        </w:rPr>
        <w:t xml:space="preserve"> ולא פקיד השומה הוא</w:t>
      </w:r>
      <w:r>
        <w:rPr>
          <w:rFonts w:hint="cs"/>
          <w:rtl/>
        </w:rPr>
        <w:t xml:space="preserve"> </w:t>
      </w:r>
      <w:r w:rsidR="008F038C">
        <w:rPr>
          <w:rFonts w:hint="cs"/>
          <w:rtl/>
        </w:rPr>
        <w:t>שנדרש</w:t>
      </w:r>
      <w:r>
        <w:rPr>
          <w:rFonts w:hint="cs"/>
          <w:rtl/>
        </w:rPr>
        <w:t xml:space="preserve"> להוכיח כי הנישום אכן נהג בהתרשלות בעניין זה. אף על פי כן, הפקודה לא מבארת מהי אותה התרשלות, מהם האמצעים שעל הנישום לנקוט על מנת שיוגדר כמי שלא התרשל וכי</w:t>
      </w:r>
      <w:r w:rsidR="001E1F5A">
        <w:rPr>
          <w:rFonts w:hint="cs"/>
          <w:rtl/>
        </w:rPr>
        <w:t>צד עליו להוכיח זאת לפקיד השומה.</w:t>
      </w:r>
    </w:p>
    <w:p w:rsidR="001E1F5A" w:rsidRDefault="001E1F5A" w:rsidP="00D05738">
      <w:pPr>
        <w:pStyle w:val="Ruller4"/>
        <w:numPr>
          <w:ilvl w:val="0"/>
          <w:numId w:val="0"/>
        </w:numPr>
        <w:spacing w:line="240" w:lineRule="auto"/>
        <w:rPr>
          <w:rtl/>
        </w:rPr>
      </w:pPr>
    </w:p>
    <w:p w:rsidR="007D6167" w:rsidRDefault="001E1F5A" w:rsidP="0099698C">
      <w:pPr>
        <w:pStyle w:val="Ruller4"/>
        <w:numPr>
          <w:ilvl w:val="0"/>
          <w:numId w:val="0"/>
        </w:numPr>
      </w:pPr>
      <w:r>
        <w:rPr>
          <w:rtl/>
        </w:rPr>
        <w:tab/>
      </w:r>
      <w:r w:rsidR="00FE60ED">
        <w:rPr>
          <w:rFonts w:hint="cs"/>
          <w:rtl/>
        </w:rPr>
        <w:t xml:space="preserve">עם זאת, </w:t>
      </w:r>
      <w:r w:rsidR="007D6167">
        <w:rPr>
          <w:rFonts w:hint="cs"/>
          <w:rtl/>
        </w:rPr>
        <w:t xml:space="preserve">על מהותה וגבולותיה של </w:t>
      </w:r>
      <w:r w:rsidR="007D6167" w:rsidRPr="00C75109">
        <w:rPr>
          <w:rFonts w:hint="cs"/>
          <w:rtl/>
        </w:rPr>
        <w:t>ההתרשלות הדרושה לצורך הטלת קנס גירעון בשיעור של 15%</w:t>
      </w:r>
      <w:r w:rsidR="007D6167">
        <w:rPr>
          <w:rFonts w:hint="cs"/>
          <w:rtl/>
        </w:rPr>
        <w:t xml:space="preserve"> ניתן בכל זאת ללמוד מ</w:t>
      </w:r>
      <w:r w:rsidR="007D6167" w:rsidRPr="00C75109">
        <w:rPr>
          <w:rFonts w:hint="cs"/>
          <w:rtl/>
        </w:rPr>
        <w:t xml:space="preserve">שתי </w:t>
      </w:r>
      <w:r w:rsidR="0030553F">
        <w:rPr>
          <w:rFonts w:hint="cs"/>
          <w:rtl/>
        </w:rPr>
        <w:t>פרשות</w:t>
      </w:r>
      <w:r w:rsidR="007D6167" w:rsidRPr="00C75109">
        <w:rPr>
          <w:rFonts w:hint="cs"/>
          <w:rtl/>
        </w:rPr>
        <w:t xml:space="preserve"> עיקריות שנדונו </w:t>
      </w:r>
      <w:r w:rsidR="0030553F">
        <w:rPr>
          <w:rFonts w:hint="cs"/>
          <w:rtl/>
        </w:rPr>
        <w:t>לפני בית</w:t>
      </w:r>
      <w:r w:rsidR="007D6167" w:rsidRPr="00C75109">
        <w:rPr>
          <w:rFonts w:hint="cs"/>
          <w:rtl/>
        </w:rPr>
        <w:t xml:space="preserve"> משפט זה</w:t>
      </w:r>
      <w:r w:rsidR="007D6167">
        <w:rPr>
          <w:rFonts w:hint="cs"/>
          <w:rtl/>
        </w:rPr>
        <w:t>, שבהן הייתה התייחסות לכך.</w:t>
      </w:r>
    </w:p>
    <w:p w:rsidR="007D6167" w:rsidRDefault="007D6167" w:rsidP="00D05738">
      <w:pPr>
        <w:pStyle w:val="Ruller4"/>
        <w:numPr>
          <w:ilvl w:val="0"/>
          <w:numId w:val="0"/>
        </w:numPr>
        <w:spacing w:line="240" w:lineRule="auto"/>
        <w:rPr>
          <w:rtl/>
        </w:rPr>
      </w:pPr>
    </w:p>
    <w:p w:rsidR="007D6167" w:rsidRDefault="007D6167" w:rsidP="005343FF">
      <w:pPr>
        <w:pStyle w:val="Ruller4"/>
        <w:numPr>
          <w:ilvl w:val="0"/>
          <w:numId w:val="0"/>
        </w:numPr>
        <w:rPr>
          <w:rtl/>
        </w:rPr>
      </w:pPr>
      <w:r>
        <w:rPr>
          <w:rtl/>
        </w:rPr>
        <w:tab/>
      </w:r>
      <w:r w:rsidRPr="00C75109">
        <w:rPr>
          <w:rFonts w:hint="cs"/>
          <w:rtl/>
        </w:rPr>
        <w:t xml:space="preserve">בעניין </w:t>
      </w:r>
      <w:r w:rsidRPr="00C75109">
        <w:rPr>
          <w:rFonts w:hint="eastAsia"/>
          <w:rtl/>
        </w:rPr>
        <w:t>ע</w:t>
      </w:r>
      <w:r w:rsidRPr="00C75109">
        <w:rPr>
          <w:rtl/>
        </w:rPr>
        <w:t>"</w:t>
      </w:r>
      <w:r w:rsidRPr="00C75109">
        <w:rPr>
          <w:rFonts w:hint="eastAsia"/>
          <w:rtl/>
        </w:rPr>
        <w:t>א</w:t>
      </w:r>
      <w:r w:rsidRPr="00C75109">
        <w:rPr>
          <w:rtl/>
        </w:rPr>
        <w:t xml:space="preserve"> 285/70 </w:t>
      </w:r>
      <w:r w:rsidRPr="00C75109">
        <w:rPr>
          <w:rFonts w:ascii="Century" w:hAnsi="Century" w:cs="Miriam" w:hint="eastAsia"/>
          <w:b/>
          <w:spacing w:val="0"/>
          <w:szCs w:val="24"/>
          <w:rtl/>
        </w:rPr>
        <w:t>פקיד</w:t>
      </w:r>
      <w:r w:rsidRPr="00C75109">
        <w:rPr>
          <w:rFonts w:ascii="Century" w:hAnsi="Century" w:cs="Miriam"/>
          <w:b/>
          <w:spacing w:val="0"/>
          <w:szCs w:val="24"/>
          <w:rtl/>
        </w:rPr>
        <w:t xml:space="preserve"> </w:t>
      </w:r>
      <w:r w:rsidRPr="00C75109">
        <w:rPr>
          <w:rFonts w:ascii="Century" w:hAnsi="Century" w:cs="Miriam" w:hint="eastAsia"/>
          <w:b/>
          <w:spacing w:val="0"/>
          <w:szCs w:val="24"/>
          <w:rtl/>
        </w:rPr>
        <w:t>שומה</w:t>
      </w:r>
      <w:r w:rsidRPr="00C75109">
        <w:rPr>
          <w:rFonts w:ascii="Century" w:hAnsi="Century" w:cs="Miriam"/>
          <w:b/>
          <w:spacing w:val="0"/>
          <w:szCs w:val="24"/>
          <w:rtl/>
        </w:rPr>
        <w:t xml:space="preserve">, </w:t>
      </w:r>
      <w:r w:rsidRPr="00C75109">
        <w:rPr>
          <w:rFonts w:ascii="Century" w:hAnsi="Century" w:cs="Miriam" w:hint="eastAsia"/>
          <w:b/>
          <w:spacing w:val="0"/>
          <w:szCs w:val="24"/>
          <w:rtl/>
        </w:rPr>
        <w:t>תל</w:t>
      </w:r>
      <w:r w:rsidRPr="00C75109">
        <w:rPr>
          <w:rFonts w:ascii="Century" w:hAnsi="Century" w:cs="Miriam"/>
          <w:b/>
          <w:spacing w:val="0"/>
          <w:szCs w:val="24"/>
          <w:rtl/>
        </w:rPr>
        <w:t>-</w:t>
      </w:r>
      <w:r w:rsidRPr="00C75109">
        <w:rPr>
          <w:rFonts w:ascii="Century" w:hAnsi="Century" w:cs="Miriam" w:hint="eastAsia"/>
          <w:b/>
          <w:spacing w:val="0"/>
          <w:szCs w:val="24"/>
          <w:rtl/>
        </w:rPr>
        <w:t>אביב</w:t>
      </w:r>
      <w:r w:rsidRPr="00C75109">
        <w:rPr>
          <w:rFonts w:ascii="Century" w:hAnsi="Century" w:cs="Miriam"/>
          <w:b/>
          <w:spacing w:val="0"/>
          <w:szCs w:val="24"/>
          <w:rtl/>
        </w:rPr>
        <w:t xml:space="preserve"> 4 </w:t>
      </w:r>
      <w:r w:rsidRPr="00C75109">
        <w:rPr>
          <w:rFonts w:ascii="Century" w:hAnsi="Century" w:cs="Miriam" w:hint="eastAsia"/>
          <w:b/>
          <w:spacing w:val="0"/>
          <w:szCs w:val="24"/>
          <w:rtl/>
        </w:rPr>
        <w:t>נ</w:t>
      </w:r>
      <w:r w:rsidRPr="00C75109">
        <w:rPr>
          <w:rFonts w:ascii="Century" w:hAnsi="Century" w:cs="Miriam"/>
          <w:b/>
          <w:spacing w:val="0"/>
          <w:szCs w:val="24"/>
          <w:rtl/>
        </w:rPr>
        <w:t xml:space="preserve">' </w:t>
      </w:r>
      <w:r w:rsidRPr="00C75109">
        <w:rPr>
          <w:rFonts w:ascii="Century" w:hAnsi="Century" w:cs="Miriam" w:hint="eastAsia"/>
          <w:b/>
          <w:spacing w:val="0"/>
          <w:szCs w:val="24"/>
          <w:rtl/>
        </w:rPr>
        <w:t>ליכטנשטיין</w:t>
      </w:r>
      <w:r w:rsidRPr="00C75109">
        <w:rPr>
          <w:rtl/>
        </w:rPr>
        <w:t>,</w:t>
      </w:r>
      <w:r w:rsidRPr="00C75109">
        <w:rPr>
          <w:rFonts w:hint="cs"/>
          <w:rtl/>
        </w:rPr>
        <w:t xml:space="preserve"> פ"ד</w:t>
      </w:r>
      <w:r w:rsidRPr="00C75109">
        <w:rPr>
          <w:rtl/>
        </w:rPr>
        <w:t xml:space="preserve"> </w:t>
      </w:r>
      <w:r w:rsidRPr="00C75109">
        <w:rPr>
          <w:rFonts w:hint="eastAsia"/>
          <w:rtl/>
        </w:rPr>
        <w:t>כה</w:t>
      </w:r>
      <w:r w:rsidRPr="00C75109">
        <w:rPr>
          <w:rtl/>
        </w:rPr>
        <w:t>(1) 155 (1971)</w:t>
      </w:r>
      <w:r w:rsidRPr="00C75109">
        <w:rPr>
          <w:rFonts w:hint="cs"/>
          <w:rtl/>
        </w:rPr>
        <w:t xml:space="preserve"> (להלן: </w:t>
      </w:r>
      <w:r w:rsidRPr="00C75109">
        <w:rPr>
          <w:rFonts w:ascii="Century" w:hAnsi="Century" w:cs="Miriam" w:hint="cs"/>
          <w:b/>
          <w:spacing w:val="0"/>
          <w:szCs w:val="24"/>
          <w:rtl/>
        </w:rPr>
        <w:t>עניין ליכטנשטיין</w:t>
      </w:r>
      <w:r w:rsidRPr="00C75109">
        <w:rPr>
          <w:rFonts w:hint="cs"/>
          <w:rtl/>
        </w:rPr>
        <w:t xml:space="preserve">) נקבע כי </w:t>
      </w:r>
      <w:r>
        <w:rPr>
          <w:rFonts w:hint="cs"/>
          <w:rtl/>
        </w:rPr>
        <w:t>אין בעצם הגשת</w:t>
      </w:r>
      <w:r w:rsidRPr="00C75109">
        <w:rPr>
          <w:rFonts w:hint="cs"/>
          <w:rtl/>
        </w:rPr>
        <w:t xml:space="preserve"> דיווח</w:t>
      </w:r>
      <w:r>
        <w:rPr>
          <w:rFonts w:hint="cs"/>
          <w:rtl/>
        </w:rPr>
        <w:t xml:space="preserve"> ג</w:t>
      </w:r>
      <w:r w:rsidR="005343FF">
        <w:rPr>
          <w:rFonts w:hint="cs"/>
          <w:rtl/>
        </w:rPr>
        <w:t>י</w:t>
      </w:r>
      <w:r>
        <w:rPr>
          <w:rFonts w:hint="cs"/>
          <w:rtl/>
        </w:rPr>
        <w:t xml:space="preserve">רעוני על ידי נישום כדי ללמד על כך שהתרשל בהכנתו. בית המשפט </w:t>
      </w:r>
      <w:r w:rsidRPr="004A7A51">
        <w:rPr>
          <w:rFonts w:ascii="FrankRuehl" w:hAnsi="FrankRuehl"/>
          <w:sz w:val="28"/>
          <w:rtl/>
        </w:rPr>
        <w:t>ציין כי ככל שהנישום הוכיח כי פעל בתום לב יכול שיהיה בכך כדי לשלול את התרשלותו</w:t>
      </w:r>
      <w:r w:rsidRPr="004A7A51">
        <w:rPr>
          <w:rFonts w:ascii="FrankRuehl" w:hAnsi="FrankRuehl"/>
          <w:sz w:val="28"/>
        </w:rPr>
        <w:t>;</w:t>
      </w:r>
      <w:r w:rsidRPr="004A7A51">
        <w:rPr>
          <w:rFonts w:ascii="FrankRuehl" w:hAnsi="FrankRuehl"/>
          <w:sz w:val="28"/>
          <w:rtl/>
        </w:rPr>
        <w:t xml:space="preserve"> וקבע כי כאשר מקורו של הדיווח הג</w:t>
      </w:r>
      <w:r w:rsidR="005343FF">
        <w:rPr>
          <w:rFonts w:ascii="FrankRuehl" w:hAnsi="FrankRuehl" w:hint="cs"/>
          <w:sz w:val="28"/>
          <w:rtl/>
        </w:rPr>
        <w:t>י</w:t>
      </w:r>
      <w:r w:rsidRPr="004A7A51">
        <w:rPr>
          <w:rFonts w:ascii="FrankRuehl" w:hAnsi="FrankRuehl"/>
          <w:sz w:val="28"/>
          <w:rtl/>
        </w:rPr>
        <w:t>רעוני הוא במחלוקת משפטית לגיטימית בין הנישום</w:t>
      </w:r>
      <w:r>
        <w:rPr>
          <w:rFonts w:hint="cs"/>
          <w:rtl/>
        </w:rPr>
        <w:t xml:space="preserve"> לבין פקיד השומה </w:t>
      </w:r>
      <w:r w:rsidR="005343FF">
        <w:rPr>
          <w:rFonts w:hint="cs"/>
          <w:rtl/>
        </w:rPr>
        <w:t xml:space="preserve">בדבר </w:t>
      </w:r>
      <w:r>
        <w:rPr>
          <w:rFonts w:hint="cs"/>
          <w:rtl/>
        </w:rPr>
        <w:t xml:space="preserve">שיעור המס שעל הנישום לשלם, מדובר בעמדה </w:t>
      </w:r>
      <w:r w:rsidR="00EC7E11">
        <w:rPr>
          <w:rFonts w:hint="cs"/>
          <w:rtl/>
        </w:rPr>
        <w:t xml:space="preserve">משפטית </w:t>
      </w:r>
      <w:r>
        <w:rPr>
          <w:rFonts w:hint="cs"/>
          <w:rtl/>
        </w:rPr>
        <w:t xml:space="preserve">לגיטימית שהנישום </w:t>
      </w:r>
      <w:r w:rsidR="005343FF">
        <w:rPr>
          <w:rFonts w:hint="cs"/>
          <w:rtl/>
        </w:rPr>
        <w:t xml:space="preserve">רשאי לנקוט בה </w:t>
      </w:r>
      <w:r>
        <w:rPr>
          <w:rFonts w:hint="cs"/>
          <w:rtl/>
        </w:rPr>
        <w:t>ולא בהתרשלות</w:t>
      </w:r>
      <w:r w:rsidR="005343FF">
        <w:rPr>
          <w:rFonts w:hint="cs"/>
          <w:rtl/>
        </w:rPr>
        <w:t xml:space="preserve"> מצידו</w:t>
      </w:r>
      <w:r>
        <w:rPr>
          <w:rFonts w:hint="cs"/>
          <w:rtl/>
        </w:rPr>
        <w:t>.</w:t>
      </w:r>
    </w:p>
    <w:p w:rsidR="007D6167" w:rsidRDefault="007D6167" w:rsidP="00AB5A1E">
      <w:pPr>
        <w:pStyle w:val="Ruller4"/>
        <w:numPr>
          <w:ilvl w:val="0"/>
          <w:numId w:val="0"/>
        </w:numPr>
        <w:rPr>
          <w:rtl/>
        </w:rPr>
      </w:pPr>
      <w:r>
        <w:rPr>
          <w:rtl/>
        </w:rPr>
        <w:lastRenderedPageBreak/>
        <w:tab/>
      </w:r>
      <w:r>
        <w:rPr>
          <w:rFonts w:hint="cs"/>
          <w:rtl/>
        </w:rPr>
        <w:t xml:space="preserve">בעניין </w:t>
      </w:r>
      <w:r w:rsidRPr="00E45666">
        <w:rPr>
          <w:rFonts w:hint="eastAsia"/>
          <w:rtl/>
        </w:rPr>
        <w:t>ע</w:t>
      </w:r>
      <w:r>
        <w:rPr>
          <w:rFonts w:hint="cs"/>
          <w:rtl/>
        </w:rPr>
        <w:t>"</w:t>
      </w:r>
      <w:r w:rsidRPr="00E45666">
        <w:rPr>
          <w:rFonts w:hint="eastAsia"/>
          <w:rtl/>
        </w:rPr>
        <w:t>א</w:t>
      </w:r>
      <w:r>
        <w:rPr>
          <w:rtl/>
        </w:rPr>
        <w:t xml:space="preserve"> 1134/11</w:t>
      </w:r>
      <w:r>
        <w:rPr>
          <w:rFonts w:hint="cs"/>
          <w:rtl/>
        </w:rPr>
        <w:t xml:space="preserve"> </w:t>
      </w:r>
      <w:proofErr w:type="spellStart"/>
      <w:r w:rsidRPr="00E45666">
        <w:rPr>
          <w:rFonts w:ascii="Century" w:hAnsi="Century" w:cs="Miriam" w:hint="eastAsia"/>
          <w:b/>
          <w:spacing w:val="0"/>
          <w:szCs w:val="24"/>
          <w:rtl/>
        </w:rPr>
        <w:t>ר</w:t>
      </w:r>
      <w:r w:rsidRPr="00E45666">
        <w:rPr>
          <w:rFonts w:ascii="Century" w:hAnsi="Century" w:cs="Miriam"/>
          <w:b/>
          <w:spacing w:val="0"/>
          <w:szCs w:val="24"/>
          <w:rtl/>
        </w:rPr>
        <w:t>.</w:t>
      </w:r>
      <w:r w:rsidRPr="00E45666">
        <w:rPr>
          <w:rFonts w:ascii="Century" w:hAnsi="Century" w:cs="Miriam" w:hint="eastAsia"/>
          <w:b/>
          <w:spacing w:val="0"/>
          <w:szCs w:val="24"/>
          <w:rtl/>
        </w:rPr>
        <w:t>מ</w:t>
      </w:r>
      <w:proofErr w:type="spellEnd"/>
      <w:r w:rsidRPr="00E45666">
        <w:rPr>
          <w:rFonts w:ascii="Century" w:hAnsi="Century" w:cs="Miriam"/>
          <w:b/>
          <w:spacing w:val="0"/>
          <w:szCs w:val="24"/>
          <w:rtl/>
        </w:rPr>
        <w:t xml:space="preserve"> </w:t>
      </w:r>
      <w:r w:rsidRPr="00E45666">
        <w:rPr>
          <w:rFonts w:ascii="Century" w:hAnsi="Century" w:cs="Miriam" w:hint="eastAsia"/>
          <w:b/>
          <w:spacing w:val="0"/>
          <w:szCs w:val="24"/>
          <w:rtl/>
        </w:rPr>
        <w:t>שביט</w:t>
      </w:r>
      <w:r w:rsidRPr="00E45666">
        <w:rPr>
          <w:rFonts w:ascii="Century" w:hAnsi="Century" w:cs="Miriam"/>
          <w:b/>
          <w:spacing w:val="0"/>
          <w:szCs w:val="24"/>
          <w:rtl/>
        </w:rPr>
        <w:t xml:space="preserve"> </w:t>
      </w:r>
      <w:r w:rsidRPr="00E45666">
        <w:rPr>
          <w:rFonts w:ascii="Century" w:hAnsi="Century" w:cs="Miriam" w:hint="eastAsia"/>
          <w:b/>
          <w:spacing w:val="0"/>
          <w:szCs w:val="24"/>
          <w:rtl/>
        </w:rPr>
        <w:t>מבנים</w:t>
      </w:r>
      <w:r w:rsidRPr="00E45666">
        <w:rPr>
          <w:rFonts w:ascii="Century" w:hAnsi="Century" w:cs="Miriam"/>
          <w:b/>
          <w:spacing w:val="0"/>
          <w:szCs w:val="24"/>
          <w:rtl/>
        </w:rPr>
        <w:t xml:space="preserve"> </w:t>
      </w:r>
      <w:r w:rsidRPr="00E45666">
        <w:rPr>
          <w:rFonts w:ascii="Century" w:hAnsi="Century" w:cs="Miriam" w:hint="eastAsia"/>
          <w:b/>
          <w:spacing w:val="0"/>
          <w:szCs w:val="24"/>
          <w:rtl/>
        </w:rPr>
        <w:t>חברה</w:t>
      </w:r>
      <w:r w:rsidRPr="00E45666">
        <w:rPr>
          <w:rFonts w:ascii="Century" w:hAnsi="Century" w:cs="Miriam"/>
          <w:b/>
          <w:spacing w:val="0"/>
          <w:szCs w:val="24"/>
          <w:rtl/>
        </w:rPr>
        <w:t xml:space="preserve"> </w:t>
      </w:r>
      <w:proofErr w:type="spellStart"/>
      <w:r w:rsidRPr="00E45666">
        <w:rPr>
          <w:rFonts w:ascii="Century" w:hAnsi="Century" w:cs="Miriam" w:hint="eastAsia"/>
          <w:b/>
          <w:spacing w:val="0"/>
          <w:szCs w:val="24"/>
          <w:rtl/>
        </w:rPr>
        <w:t>לבנין</w:t>
      </w:r>
      <w:proofErr w:type="spellEnd"/>
      <w:r w:rsidRPr="00E45666">
        <w:rPr>
          <w:rFonts w:ascii="Century" w:hAnsi="Century" w:cs="Miriam"/>
          <w:b/>
          <w:spacing w:val="0"/>
          <w:szCs w:val="24"/>
          <w:rtl/>
        </w:rPr>
        <w:t xml:space="preserve"> </w:t>
      </w:r>
      <w:r w:rsidRPr="00E45666">
        <w:rPr>
          <w:rFonts w:ascii="Century" w:hAnsi="Century" w:cs="Miriam" w:hint="eastAsia"/>
          <w:b/>
          <w:spacing w:val="0"/>
          <w:szCs w:val="24"/>
          <w:rtl/>
        </w:rPr>
        <w:t>השקעות</w:t>
      </w:r>
      <w:r w:rsidRPr="00E45666">
        <w:rPr>
          <w:rFonts w:ascii="Century" w:hAnsi="Century" w:cs="Miriam"/>
          <w:b/>
          <w:spacing w:val="0"/>
          <w:szCs w:val="24"/>
          <w:rtl/>
        </w:rPr>
        <w:t xml:space="preserve"> </w:t>
      </w:r>
      <w:r w:rsidRPr="00E45666">
        <w:rPr>
          <w:rFonts w:ascii="Century" w:hAnsi="Century" w:cs="Miriam" w:hint="eastAsia"/>
          <w:b/>
          <w:spacing w:val="0"/>
          <w:szCs w:val="24"/>
          <w:rtl/>
        </w:rPr>
        <w:t>ופיתוח</w:t>
      </w:r>
      <w:r w:rsidRPr="00E45666">
        <w:rPr>
          <w:rFonts w:ascii="Century" w:hAnsi="Century" w:cs="Miriam"/>
          <w:b/>
          <w:spacing w:val="0"/>
          <w:szCs w:val="24"/>
          <w:rtl/>
        </w:rPr>
        <w:t xml:space="preserve"> </w:t>
      </w:r>
      <w:r w:rsidRPr="00E45666">
        <w:rPr>
          <w:rFonts w:ascii="Century" w:hAnsi="Century" w:cs="Miriam" w:hint="eastAsia"/>
          <w:b/>
          <w:spacing w:val="0"/>
          <w:szCs w:val="24"/>
          <w:rtl/>
        </w:rPr>
        <w:t>בע</w:t>
      </w:r>
      <w:r w:rsidRPr="00E45666">
        <w:rPr>
          <w:rFonts w:ascii="Century" w:hAnsi="Century" w:cs="Miriam"/>
          <w:b/>
          <w:spacing w:val="0"/>
          <w:szCs w:val="24"/>
          <w:rtl/>
        </w:rPr>
        <w:t>"</w:t>
      </w:r>
      <w:r w:rsidRPr="00E45666">
        <w:rPr>
          <w:rFonts w:ascii="Century" w:hAnsi="Century" w:cs="Miriam" w:hint="eastAsia"/>
          <w:b/>
          <w:spacing w:val="0"/>
          <w:szCs w:val="24"/>
          <w:rtl/>
        </w:rPr>
        <w:t>מ</w:t>
      </w:r>
      <w:r w:rsidRPr="00E45666">
        <w:rPr>
          <w:rFonts w:ascii="Century" w:hAnsi="Century" w:cs="Miriam"/>
          <w:b/>
          <w:spacing w:val="0"/>
          <w:szCs w:val="24"/>
          <w:rtl/>
        </w:rPr>
        <w:t xml:space="preserve"> </w:t>
      </w:r>
      <w:r w:rsidRPr="00E45666">
        <w:rPr>
          <w:rFonts w:ascii="Century" w:hAnsi="Century" w:cs="Miriam" w:hint="eastAsia"/>
          <w:b/>
          <w:spacing w:val="0"/>
          <w:szCs w:val="24"/>
          <w:rtl/>
        </w:rPr>
        <w:t>נ</w:t>
      </w:r>
      <w:r w:rsidRPr="00E45666">
        <w:rPr>
          <w:rFonts w:ascii="Century" w:hAnsi="Century" w:cs="Miriam"/>
          <w:b/>
          <w:spacing w:val="0"/>
          <w:szCs w:val="24"/>
          <w:rtl/>
        </w:rPr>
        <w:t xml:space="preserve">' </w:t>
      </w:r>
      <w:r w:rsidRPr="00E45666">
        <w:rPr>
          <w:rFonts w:ascii="Century" w:hAnsi="Century" w:cs="Miriam" w:hint="eastAsia"/>
          <w:b/>
          <w:spacing w:val="0"/>
          <w:szCs w:val="24"/>
          <w:rtl/>
        </w:rPr>
        <w:t>פקיד</w:t>
      </w:r>
      <w:r w:rsidRPr="00E45666">
        <w:rPr>
          <w:rFonts w:ascii="Century" w:hAnsi="Century" w:cs="Miriam"/>
          <w:b/>
          <w:spacing w:val="0"/>
          <w:szCs w:val="24"/>
          <w:rtl/>
        </w:rPr>
        <w:t xml:space="preserve"> </w:t>
      </w:r>
      <w:r w:rsidRPr="00E45666">
        <w:rPr>
          <w:rFonts w:ascii="Century" w:hAnsi="Century" w:cs="Miriam" w:hint="eastAsia"/>
          <w:b/>
          <w:spacing w:val="0"/>
          <w:szCs w:val="24"/>
          <w:rtl/>
        </w:rPr>
        <w:t>שומה</w:t>
      </w:r>
      <w:r w:rsidRPr="00E45666">
        <w:rPr>
          <w:rFonts w:ascii="Century" w:hAnsi="Century" w:cs="Miriam"/>
          <w:b/>
          <w:spacing w:val="0"/>
          <w:szCs w:val="24"/>
          <w:rtl/>
        </w:rPr>
        <w:t xml:space="preserve"> </w:t>
      </w:r>
      <w:r w:rsidRPr="00E45666">
        <w:rPr>
          <w:rFonts w:ascii="Century" w:hAnsi="Century" w:cs="Miriam" w:hint="eastAsia"/>
          <w:b/>
          <w:spacing w:val="0"/>
          <w:szCs w:val="24"/>
          <w:rtl/>
        </w:rPr>
        <w:t>באר</w:t>
      </w:r>
      <w:r w:rsidRPr="00E45666">
        <w:rPr>
          <w:rFonts w:ascii="Century" w:hAnsi="Century" w:cs="Miriam"/>
          <w:b/>
          <w:spacing w:val="0"/>
          <w:szCs w:val="24"/>
          <w:rtl/>
        </w:rPr>
        <w:t xml:space="preserve"> </w:t>
      </w:r>
      <w:r w:rsidRPr="00E45666">
        <w:rPr>
          <w:rFonts w:ascii="Century" w:hAnsi="Century" w:cs="Miriam" w:hint="eastAsia"/>
          <w:b/>
          <w:spacing w:val="0"/>
          <w:szCs w:val="24"/>
          <w:rtl/>
        </w:rPr>
        <w:t>שבע</w:t>
      </w:r>
      <w:r>
        <w:rPr>
          <w:rFonts w:hint="cs"/>
          <w:rtl/>
        </w:rPr>
        <w:t xml:space="preserve"> (12.5.2013) (להלן: </w:t>
      </w:r>
      <w:r w:rsidRPr="00E45666">
        <w:rPr>
          <w:rFonts w:ascii="Century" w:hAnsi="Century" w:cs="Miriam" w:hint="cs"/>
          <w:b/>
          <w:spacing w:val="0"/>
          <w:szCs w:val="24"/>
          <w:rtl/>
        </w:rPr>
        <w:t>עניין שביט</w:t>
      </w:r>
      <w:r>
        <w:rPr>
          <w:rFonts w:hint="cs"/>
          <w:rtl/>
        </w:rPr>
        <w:t xml:space="preserve">) נקבע כי יש לבחון את משקלם </w:t>
      </w:r>
      <w:r w:rsidRPr="00387C1A">
        <w:rPr>
          <w:rFonts w:ascii="Century" w:hAnsi="Century" w:cs="Miriam" w:hint="cs"/>
          <w:b/>
          <w:spacing w:val="0"/>
          <w:sz w:val="22"/>
          <w:szCs w:val="24"/>
          <w:rtl/>
        </w:rPr>
        <w:t>המצטבר</w:t>
      </w:r>
      <w:r w:rsidRPr="00387C1A">
        <w:rPr>
          <w:rFonts w:hint="cs"/>
          <w:rtl/>
        </w:rPr>
        <w:t xml:space="preserve"> </w:t>
      </w:r>
      <w:r>
        <w:rPr>
          <w:rFonts w:hint="cs"/>
          <w:rtl/>
        </w:rPr>
        <w:t xml:space="preserve">של הפגמים שנפלו בדיווחו של הנישום, ובהתאם לכך להכריע בשאלת התרשלותו. הוטעם כי על הנישום עצמו מוטל להציג הסברים </w:t>
      </w:r>
      <w:r w:rsidR="003C1220">
        <w:rPr>
          <w:rFonts w:hint="cs"/>
          <w:rtl/>
        </w:rPr>
        <w:t>בהתייחס</w:t>
      </w:r>
      <w:r>
        <w:rPr>
          <w:rFonts w:hint="cs"/>
          <w:rtl/>
        </w:rPr>
        <w:t xml:space="preserve"> לאותם פגמים, </w:t>
      </w:r>
      <w:r w:rsidR="00AB5A1E">
        <w:rPr>
          <w:rFonts w:hint="cs"/>
          <w:rtl/>
        </w:rPr>
        <w:t>ועל מנת</w:t>
      </w:r>
      <w:r>
        <w:rPr>
          <w:rFonts w:hint="cs"/>
          <w:rtl/>
        </w:rPr>
        <w:t xml:space="preserve"> שייקבע כי לא התרשל צריך שיהיה בהסברים אלה כדי להניח את הדעת. </w:t>
      </w:r>
    </w:p>
    <w:p w:rsidR="007D6167" w:rsidRDefault="007D6167" w:rsidP="00D05738">
      <w:pPr>
        <w:pStyle w:val="Ruller41"/>
        <w:spacing w:line="240" w:lineRule="auto"/>
        <w:rPr>
          <w:rtl/>
        </w:rPr>
      </w:pPr>
    </w:p>
    <w:p w:rsidR="007D6167" w:rsidRDefault="007D6167" w:rsidP="003B7791">
      <w:pPr>
        <w:pStyle w:val="Ruller4"/>
        <w:numPr>
          <w:ilvl w:val="0"/>
          <w:numId w:val="0"/>
        </w:numPr>
        <w:rPr>
          <w:rtl/>
        </w:rPr>
      </w:pPr>
      <w:r>
        <w:rPr>
          <w:rtl/>
        </w:rPr>
        <w:tab/>
      </w:r>
      <w:r w:rsidR="00C5387B">
        <w:rPr>
          <w:rFonts w:hint="cs"/>
          <w:rtl/>
        </w:rPr>
        <w:t>נראה אם כן,</w:t>
      </w:r>
      <w:r>
        <w:rPr>
          <w:rFonts w:hint="cs"/>
          <w:rtl/>
        </w:rPr>
        <w:t xml:space="preserve"> כי </w:t>
      </w:r>
      <w:r w:rsidR="005E4A71">
        <w:rPr>
          <w:rFonts w:hint="cs"/>
          <w:rtl/>
        </w:rPr>
        <w:t>ב</w:t>
      </w:r>
      <w:r>
        <w:rPr>
          <w:rFonts w:hint="cs"/>
          <w:rtl/>
        </w:rPr>
        <w:t xml:space="preserve">בחינת ההתרשלות של נישום לצורך הטלת קנס גירעון "רגיל", בשיעור של 15%, יש </w:t>
      </w:r>
      <w:r w:rsidR="005E4A71">
        <w:rPr>
          <w:rFonts w:hint="cs"/>
          <w:rtl/>
        </w:rPr>
        <w:t>להשקיף על התמונה הכוללת המצטיירת</w:t>
      </w:r>
      <w:r>
        <w:rPr>
          <w:rFonts w:hint="cs"/>
          <w:rtl/>
        </w:rPr>
        <w:t xml:space="preserve"> מן הדיווח שלו, </w:t>
      </w:r>
      <w:r w:rsidR="00AB5A1E">
        <w:rPr>
          <w:rFonts w:hint="cs"/>
          <w:rtl/>
        </w:rPr>
        <w:t>בהינתן ה</w:t>
      </w:r>
      <w:r>
        <w:rPr>
          <w:rFonts w:hint="cs"/>
          <w:rtl/>
        </w:rPr>
        <w:t>פגמים המצ</w:t>
      </w:r>
      <w:r w:rsidR="00556120">
        <w:rPr>
          <w:rFonts w:hint="cs"/>
          <w:rtl/>
        </w:rPr>
        <w:t>טברים שנפלו בו. הנטל להוכחת אי-</w:t>
      </w:r>
      <w:r>
        <w:rPr>
          <w:rFonts w:hint="cs"/>
          <w:rtl/>
        </w:rPr>
        <w:t xml:space="preserve">התרשלות רובץ על כתפי הנישום עצמו, </w:t>
      </w:r>
      <w:r w:rsidR="0092019E">
        <w:rPr>
          <w:rFonts w:hint="cs"/>
          <w:rtl/>
        </w:rPr>
        <w:t>ו</w:t>
      </w:r>
      <w:r>
        <w:rPr>
          <w:rFonts w:hint="cs"/>
          <w:rtl/>
        </w:rPr>
        <w:t>ככל ש</w:t>
      </w:r>
      <w:r w:rsidR="0092019E">
        <w:rPr>
          <w:rFonts w:hint="cs"/>
          <w:rtl/>
        </w:rPr>
        <w:t>ה</w:t>
      </w:r>
      <w:r>
        <w:rPr>
          <w:rFonts w:hint="cs"/>
          <w:rtl/>
        </w:rPr>
        <w:t xml:space="preserve">תמונה </w:t>
      </w:r>
      <w:r w:rsidR="0092019E">
        <w:rPr>
          <w:rFonts w:hint="cs"/>
          <w:rtl/>
        </w:rPr>
        <w:t>הכוללת</w:t>
      </w:r>
      <w:r>
        <w:rPr>
          <w:rFonts w:hint="cs"/>
          <w:rtl/>
        </w:rPr>
        <w:t xml:space="preserve"> חמורה יותר </w:t>
      </w:r>
      <w:r w:rsidR="0092019E">
        <w:rPr>
          <w:rFonts w:hint="cs"/>
          <w:rtl/>
        </w:rPr>
        <w:t>עליו להציג הסברים משכנעים יותר ביחס להתנהלותו</w:t>
      </w:r>
      <w:r>
        <w:rPr>
          <w:rFonts w:hint="cs"/>
          <w:rtl/>
        </w:rPr>
        <w:t xml:space="preserve">. בסופו של דבר צריכים אותם הסברים להניח את הדעת בעניין היסוד הנפשי שעמד </w:t>
      </w:r>
      <w:r w:rsidRPr="004617B1">
        <w:rPr>
          <w:rFonts w:ascii="FrankRuehl" w:hAnsi="FrankRuehl"/>
          <w:sz w:val="28"/>
          <w:rtl/>
        </w:rPr>
        <w:t xml:space="preserve">בבסיס הפגמים בדיווח, כך שיהיה ברור כי מקורם בפעולות שנעשו שלא מתוך התרשלות. בתוך כך יש להבחין בין פגמים הנובעים מעמדה לגיטימית של הנישום, שבה האמין בתום לב, </w:t>
      </w:r>
      <w:r w:rsidR="003B7791">
        <w:rPr>
          <w:rFonts w:ascii="FrankRuehl" w:hAnsi="FrankRuehl" w:hint="cs"/>
          <w:sz w:val="28"/>
          <w:rtl/>
        </w:rPr>
        <w:t xml:space="preserve">גם אם היא </w:t>
      </w:r>
      <w:r w:rsidR="00E1411F">
        <w:rPr>
          <w:rFonts w:ascii="FrankRuehl" w:hAnsi="FrankRuehl" w:hint="cs"/>
          <w:sz w:val="28"/>
          <w:rtl/>
        </w:rPr>
        <w:t>מנוגדת לעמדת פקיד השומה</w:t>
      </w:r>
      <w:r w:rsidRPr="004617B1">
        <w:rPr>
          <w:rFonts w:ascii="FrankRuehl" w:hAnsi="FrankRuehl"/>
          <w:sz w:val="28"/>
        </w:rPr>
        <w:t>;</w:t>
      </w:r>
      <w:r w:rsidRPr="004617B1">
        <w:rPr>
          <w:rFonts w:ascii="FrankRuehl" w:hAnsi="FrankRuehl"/>
          <w:sz w:val="28"/>
          <w:rtl/>
        </w:rPr>
        <w:t xml:space="preserve"> לבין </w:t>
      </w:r>
      <w:r w:rsidR="00660F9F">
        <w:rPr>
          <w:rFonts w:ascii="FrankRuehl" w:hAnsi="FrankRuehl"/>
          <w:sz w:val="28"/>
          <w:rtl/>
        </w:rPr>
        <w:t>פגמים שמקורם בחוסר תשומת לב, אי</w:t>
      </w:r>
      <w:r w:rsidR="00660F9F">
        <w:rPr>
          <w:rFonts w:ascii="FrankRuehl" w:hAnsi="FrankRuehl" w:hint="cs"/>
          <w:sz w:val="28"/>
          <w:rtl/>
        </w:rPr>
        <w:t>-</w:t>
      </w:r>
      <w:r w:rsidR="00660F9F">
        <w:rPr>
          <w:rFonts w:ascii="FrankRuehl" w:hAnsi="FrankRuehl"/>
          <w:sz w:val="28"/>
          <w:rtl/>
        </w:rPr>
        <w:t>שקידה ראויה על הדיווח או אי</w:t>
      </w:r>
      <w:r w:rsidR="00660F9F">
        <w:rPr>
          <w:rFonts w:ascii="FrankRuehl" w:hAnsi="FrankRuehl" w:hint="cs"/>
          <w:sz w:val="28"/>
          <w:rtl/>
        </w:rPr>
        <w:t>-</w:t>
      </w:r>
      <w:r w:rsidRPr="004617B1">
        <w:rPr>
          <w:rFonts w:ascii="FrankRuehl" w:hAnsi="FrankRuehl"/>
          <w:sz w:val="28"/>
          <w:rtl/>
        </w:rPr>
        <w:t>עריכת בירורים נדרשים בנוגע אליו.</w:t>
      </w:r>
    </w:p>
    <w:p w:rsidR="007D6167" w:rsidRDefault="007D6167" w:rsidP="007D6167">
      <w:pPr>
        <w:pStyle w:val="Ruller4"/>
        <w:numPr>
          <w:ilvl w:val="0"/>
          <w:numId w:val="0"/>
        </w:numPr>
        <w:rPr>
          <w:rtl/>
        </w:rPr>
      </w:pPr>
    </w:p>
    <w:p w:rsidR="00D41CA9" w:rsidRDefault="00D41CA9" w:rsidP="00D41CA9">
      <w:pPr>
        <w:pStyle w:val="Ruller4"/>
      </w:pPr>
      <w:r>
        <w:rPr>
          <w:rFonts w:hint="cs"/>
          <w:rtl/>
        </w:rPr>
        <w:t>ומן הכלל אל הפרט. טענתה הראשונה של המערערת היא כי הטלת הקנס עליה נעשתה בניגוד לתנאי הקבוע בסעיף 191(ב) לפקודה, שלפיו הטלת קנס גירעון מותנית בכך שהנישום התרשל. בהקשר זה היא מציינת כי הדיווח על הכנסתה החייבת, גם אם לא התקבל על ידי פקיד השומה, התבסס על חוות דעת מקצועיות של אנשי מקצוע רלוונטיים שאישרו כי ניתן להכיר בזכות למענק ספקים כנכס בר-פחת. לפיכך אין מדובר בהתרשלות, אלא לכל היותר במחלוקת משפטית מקצועית ועניינית בין הצדדים.</w:t>
      </w:r>
    </w:p>
    <w:p w:rsidR="00D41CA9" w:rsidRDefault="00D41CA9" w:rsidP="00D05738">
      <w:pPr>
        <w:pStyle w:val="Ruller4"/>
        <w:numPr>
          <w:ilvl w:val="0"/>
          <w:numId w:val="0"/>
        </w:numPr>
        <w:spacing w:line="240" w:lineRule="auto"/>
        <w:rPr>
          <w:rtl/>
        </w:rPr>
      </w:pPr>
    </w:p>
    <w:p w:rsidR="007D6167" w:rsidRDefault="00D41CA9" w:rsidP="00732446">
      <w:pPr>
        <w:pStyle w:val="Ruller4"/>
        <w:numPr>
          <w:ilvl w:val="0"/>
          <w:numId w:val="0"/>
        </w:numPr>
        <w:rPr>
          <w:rtl/>
        </w:rPr>
      </w:pPr>
      <w:r>
        <w:rPr>
          <w:rtl/>
        </w:rPr>
        <w:tab/>
      </w:r>
      <w:r>
        <w:rPr>
          <w:rFonts w:hint="cs"/>
          <w:rtl/>
        </w:rPr>
        <w:t>טענה זו אין בידי לקבל. לטעמי, יישום אמות המ</w:t>
      </w:r>
      <w:r w:rsidR="00F33E0E">
        <w:rPr>
          <w:rFonts w:hint="cs"/>
          <w:rtl/>
        </w:rPr>
        <w:t>ידה והמבחנים שהוצגו לעיל מוביל</w:t>
      </w:r>
      <w:r>
        <w:rPr>
          <w:rFonts w:hint="cs"/>
          <w:rtl/>
        </w:rPr>
        <w:t xml:space="preserve"> למסקנה </w:t>
      </w:r>
      <w:r w:rsidR="00EB48A3">
        <w:rPr>
          <w:rFonts w:hint="cs"/>
          <w:rtl/>
        </w:rPr>
        <w:t xml:space="preserve">ברורה </w:t>
      </w:r>
      <w:r>
        <w:rPr>
          <w:rFonts w:hint="cs"/>
          <w:rtl/>
        </w:rPr>
        <w:t>ש</w:t>
      </w:r>
      <w:r w:rsidR="006170AE">
        <w:rPr>
          <w:rFonts w:hint="cs"/>
          <w:rtl/>
        </w:rPr>
        <w:t xml:space="preserve">לפיה </w:t>
      </w:r>
      <w:r>
        <w:rPr>
          <w:rFonts w:hint="cs"/>
          <w:rtl/>
        </w:rPr>
        <w:t xml:space="preserve">התנהלותה של המערערת היא </w:t>
      </w:r>
      <w:r w:rsidR="00732446">
        <w:rPr>
          <w:rFonts w:hint="cs"/>
          <w:rtl/>
        </w:rPr>
        <w:t>כזו המצדיקה באופ</w:t>
      </w:r>
      <w:r w:rsidR="00E94D02">
        <w:rPr>
          <w:rFonts w:hint="cs"/>
          <w:rtl/>
        </w:rPr>
        <w:t>ן</w:t>
      </w:r>
      <w:r w:rsidR="00732446">
        <w:rPr>
          <w:rFonts w:hint="cs"/>
          <w:rtl/>
        </w:rPr>
        <w:t xml:space="preserve"> מובהק הטלת קנס גירעון.</w:t>
      </w:r>
      <w:r>
        <w:rPr>
          <w:rFonts w:hint="cs"/>
          <w:rtl/>
        </w:rPr>
        <w:t xml:space="preserve"> ואבאר.</w:t>
      </w:r>
    </w:p>
    <w:p w:rsidR="007D6167" w:rsidRDefault="007D6167" w:rsidP="007D6167">
      <w:pPr>
        <w:pStyle w:val="Ruller41"/>
        <w:rPr>
          <w:rtl/>
        </w:rPr>
      </w:pPr>
    </w:p>
    <w:p w:rsidR="008F1A96" w:rsidRDefault="007D6167" w:rsidP="00AE5E71">
      <w:pPr>
        <w:pStyle w:val="Ruller4"/>
        <w:rPr>
          <w:rFonts w:ascii="FrankRuehl" w:hAnsi="FrankRuehl"/>
          <w:sz w:val="28"/>
        </w:rPr>
      </w:pPr>
      <w:r>
        <w:rPr>
          <w:rFonts w:hint="cs"/>
          <w:rtl/>
        </w:rPr>
        <w:t xml:space="preserve">ראשית, בשונה מעניין </w:t>
      </w:r>
      <w:r w:rsidRPr="004A6892">
        <w:rPr>
          <w:rFonts w:ascii="Century" w:hAnsi="Century" w:cs="Miriam" w:hint="cs"/>
          <w:b/>
          <w:spacing w:val="0"/>
          <w:sz w:val="22"/>
          <w:szCs w:val="24"/>
          <w:rtl/>
        </w:rPr>
        <w:t>ליכטנשטיין</w:t>
      </w:r>
      <w:r>
        <w:rPr>
          <w:rFonts w:hint="cs"/>
          <w:rtl/>
        </w:rPr>
        <w:t xml:space="preserve">, בענייננו המחלוקת בין המערערת לפקיד השומה איננה משפטית בלבד. כפי שקבע בית המשפט המחוזי, גם במישור העובדתי הוכח כי המערערת לא </w:t>
      </w:r>
      <w:r w:rsidR="00DD2618">
        <w:rPr>
          <w:rFonts w:hint="cs"/>
          <w:rtl/>
        </w:rPr>
        <w:t>רכשה</w:t>
      </w:r>
      <w:r>
        <w:rPr>
          <w:rFonts w:hint="cs"/>
          <w:rtl/>
        </w:rPr>
        <w:t xml:space="preserve"> בעסקה כל נכס מלבד מניותיה של כמעט חינם</w:t>
      </w:r>
      <w:r w:rsidR="00CA2144">
        <w:rPr>
          <w:rFonts w:hint="cs"/>
          <w:rtl/>
        </w:rPr>
        <w:t xml:space="preserve"> וכי במועד העסקה כלל לא הייתה</w:t>
      </w:r>
      <w:r w:rsidR="00AE5E71">
        <w:rPr>
          <w:rFonts w:hint="cs"/>
          <w:rtl/>
        </w:rPr>
        <w:t xml:space="preserve"> לה</w:t>
      </w:r>
      <w:r w:rsidR="00CA2144">
        <w:rPr>
          <w:rFonts w:hint="cs"/>
          <w:rtl/>
        </w:rPr>
        <w:t xml:space="preserve"> זכות לקבלת מענקים מספקים</w:t>
      </w:r>
      <w:r>
        <w:rPr>
          <w:rFonts w:hint="cs"/>
          <w:rtl/>
        </w:rPr>
        <w:t xml:space="preserve">. טענותיה בהקשר זה נדחו, ונקבע כי ההסכמים שלה עם הספקים נחתמו רק לאחר </w:t>
      </w:r>
      <w:r w:rsidRPr="009E1F58">
        <w:rPr>
          <w:rFonts w:ascii="FrankRuehl" w:hAnsi="FrankRuehl"/>
          <w:sz w:val="28"/>
          <w:rtl/>
        </w:rPr>
        <w:t>העסקה</w:t>
      </w:r>
      <w:r w:rsidRPr="009E1F58">
        <w:rPr>
          <w:rFonts w:ascii="FrankRuehl" w:hAnsi="FrankRuehl"/>
          <w:sz w:val="28"/>
        </w:rPr>
        <w:t>;</w:t>
      </w:r>
      <w:r w:rsidRPr="009E1F58">
        <w:rPr>
          <w:rFonts w:ascii="FrankRuehl" w:hAnsi="FrankRuehl"/>
          <w:sz w:val="28"/>
          <w:rtl/>
        </w:rPr>
        <w:t xml:space="preserve"> כי </w:t>
      </w:r>
      <w:r>
        <w:rPr>
          <w:rFonts w:ascii="FrankRuehl" w:hAnsi="FrankRuehl" w:hint="cs"/>
          <w:sz w:val="28"/>
          <w:rtl/>
        </w:rPr>
        <w:t>הסכמים אלה כלל לא עוסקים</w:t>
      </w:r>
      <w:r w:rsidRPr="009E1F58">
        <w:rPr>
          <w:rFonts w:ascii="FrankRuehl" w:hAnsi="FrankRuehl"/>
          <w:sz w:val="28"/>
          <w:rtl/>
        </w:rPr>
        <w:t xml:space="preserve"> במענקים, אלא בהנחות </w:t>
      </w:r>
      <w:r>
        <w:rPr>
          <w:rFonts w:ascii="FrankRuehl" w:hAnsi="FrankRuehl" w:hint="cs"/>
          <w:sz w:val="28"/>
          <w:rtl/>
        </w:rPr>
        <w:t>שיינתנו לה</w:t>
      </w:r>
      <w:r w:rsidRPr="009E1F58">
        <w:rPr>
          <w:rFonts w:ascii="FrankRuehl" w:hAnsi="FrankRuehl"/>
          <w:sz w:val="28"/>
          <w:rtl/>
        </w:rPr>
        <w:t xml:space="preserve"> במסגרת ההתחשבנות </w:t>
      </w:r>
      <w:r w:rsidR="00E15E6D">
        <w:rPr>
          <w:rFonts w:ascii="FrankRuehl" w:hAnsi="FrankRuehl" w:hint="cs"/>
          <w:sz w:val="28"/>
          <w:rtl/>
        </w:rPr>
        <w:t>אל מול הספקים</w:t>
      </w:r>
      <w:r w:rsidRPr="009E1F58">
        <w:rPr>
          <w:rFonts w:ascii="FrankRuehl" w:hAnsi="FrankRuehl"/>
          <w:sz w:val="28"/>
        </w:rPr>
        <w:t>;</w:t>
      </w:r>
      <w:r w:rsidRPr="009E1F58">
        <w:rPr>
          <w:rFonts w:ascii="FrankRuehl" w:hAnsi="FrankRuehl"/>
          <w:sz w:val="28"/>
          <w:rtl/>
        </w:rPr>
        <w:t xml:space="preserve"> וכי </w:t>
      </w:r>
      <w:r w:rsidR="0089116D">
        <w:rPr>
          <w:rFonts w:ascii="FrankRuehl" w:hAnsi="FrankRuehl" w:hint="cs"/>
          <w:sz w:val="28"/>
          <w:rtl/>
        </w:rPr>
        <w:t>התשלום לבעלי מניות</w:t>
      </w:r>
      <w:r w:rsidRPr="009E1F58">
        <w:rPr>
          <w:rFonts w:ascii="FrankRuehl" w:hAnsi="FrankRuehl" w:hint="cs"/>
          <w:sz w:val="28"/>
          <w:rtl/>
        </w:rPr>
        <w:t xml:space="preserve"> כמעט חינם משקף את שווי המניות בלבד, ולא</w:t>
      </w:r>
      <w:r>
        <w:rPr>
          <w:rFonts w:ascii="FrankRuehl" w:hAnsi="FrankRuehl" w:hint="cs"/>
          <w:sz w:val="28"/>
          <w:rtl/>
        </w:rPr>
        <w:t xml:space="preserve"> של</w:t>
      </w:r>
      <w:r w:rsidRPr="009E1F58">
        <w:rPr>
          <w:rFonts w:ascii="FrankRuehl" w:hAnsi="FrankRuehl" w:hint="cs"/>
          <w:sz w:val="28"/>
          <w:rtl/>
        </w:rPr>
        <w:t xml:space="preserve"> כל נכס נוסף.</w:t>
      </w:r>
    </w:p>
    <w:p w:rsidR="00E62651" w:rsidRDefault="008F1A96" w:rsidP="005F797D">
      <w:pPr>
        <w:pStyle w:val="Ruller4"/>
        <w:numPr>
          <w:ilvl w:val="0"/>
          <w:numId w:val="0"/>
        </w:numPr>
        <w:rPr>
          <w:rFonts w:ascii="FrankRuehl" w:hAnsi="FrankRuehl"/>
          <w:sz w:val="28"/>
          <w:rtl/>
        </w:rPr>
      </w:pPr>
      <w:r>
        <w:rPr>
          <w:rFonts w:ascii="FrankRuehl" w:hAnsi="FrankRuehl"/>
          <w:sz w:val="28"/>
          <w:rtl/>
        </w:rPr>
        <w:lastRenderedPageBreak/>
        <w:tab/>
      </w:r>
      <w:r w:rsidR="00FB0318">
        <w:rPr>
          <w:rFonts w:ascii="FrankRuehl" w:hAnsi="FrankRuehl" w:hint="cs"/>
          <w:sz w:val="28"/>
          <w:rtl/>
        </w:rPr>
        <w:t>שלא כ</w:t>
      </w:r>
      <w:r w:rsidR="007D6167" w:rsidRPr="008F1A96">
        <w:rPr>
          <w:rFonts w:ascii="FrankRuehl" w:hAnsi="FrankRuehl" w:hint="cs"/>
          <w:sz w:val="28"/>
          <w:rtl/>
        </w:rPr>
        <w:t>עמדה משפטית, ש</w:t>
      </w:r>
      <w:r w:rsidR="00D977E2">
        <w:rPr>
          <w:rFonts w:ascii="FrankRuehl" w:hAnsi="FrankRuehl" w:hint="cs"/>
          <w:sz w:val="28"/>
          <w:rtl/>
        </w:rPr>
        <w:t xml:space="preserve">נישום תם לב יכול להאמין </w:t>
      </w:r>
      <w:r w:rsidR="007D6167" w:rsidRPr="008F1A96">
        <w:rPr>
          <w:rFonts w:ascii="FrankRuehl" w:hAnsi="FrankRuehl" w:hint="cs"/>
          <w:sz w:val="28"/>
          <w:rtl/>
        </w:rPr>
        <w:t>ב</w:t>
      </w:r>
      <w:r w:rsidR="00D977E2">
        <w:rPr>
          <w:rFonts w:ascii="FrankRuehl" w:hAnsi="FrankRuehl" w:hint="cs"/>
          <w:sz w:val="28"/>
          <w:rtl/>
        </w:rPr>
        <w:t xml:space="preserve">לגיטימיות שלה גם אם פקיד השומה סובר אחרת ממנו </w:t>
      </w:r>
      <w:r w:rsidR="00D977E2">
        <w:rPr>
          <w:rFonts w:ascii="FrankRuehl" w:hAnsi="FrankRuehl"/>
          <w:sz w:val="28"/>
          <w:rtl/>
        </w:rPr>
        <w:t>–</w:t>
      </w:r>
      <w:r w:rsidR="00D977E2">
        <w:rPr>
          <w:rFonts w:ascii="FrankRuehl" w:hAnsi="FrankRuehl" w:hint="cs"/>
          <w:sz w:val="28"/>
          <w:rtl/>
        </w:rPr>
        <w:t xml:space="preserve"> </w:t>
      </w:r>
      <w:r w:rsidR="007D6167" w:rsidRPr="008F1A96">
        <w:rPr>
          <w:rFonts w:ascii="FrankRuehl" w:hAnsi="FrankRuehl" w:hint="cs"/>
          <w:sz w:val="28"/>
          <w:rtl/>
        </w:rPr>
        <w:t xml:space="preserve">אין זה המצב באשר </w:t>
      </w:r>
      <w:r w:rsidR="002908BB">
        <w:rPr>
          <w:rFonts w:ascii="FrankRuehl" w:hAnsi="FrankRuehl" w:hint="cs"/>
          <w:sz w:val="28"/>
          <w:rtl/>
        </w:rPr>
        <w:t>לעובדות</w:t>
      </w:r>
      <w:r w:rsidR="007D6167" w:rsidRPr="008F1A96">
        <w:rPr>
          <w:rFonts w:ascii="FrankRuehl" w:hAnsi="FrankRuehl" w:hint="cs"/>
          <w:sz w:val="28"/>
          <w:rtl/>
        </w:rPr>
        <w:t>, שבנוגע אלי</w:t>
      </w:r>
      <w:r w:rsidR="002908BB">
        <w:rPr>
          <w:rFonts w:ascii="FrankRuehl" w:hAnsi="FrankRuehl" w:hint="cs"/>
          <w:sz w:val="28"/>
          <w:rtl/>
        </w:rPr>
        <w:t>הן</w:t>
      </w:r>
      <w:r w:rsidR="007D6167" w:rsidRPr="008F1A96">
        <w:rPr>
          <w:rFonts w:ascii="FrankRuehl" w:hAnsi="FrankRuehl" w:hint="cs"/>
          <w:sz w:val="28"/>
          <w:rtl/>
        </w:rPr>
        <w:t xml:space="preserve"> </w:t>
      </w:r>
      <w:r w:rsidR="00773E6A">
        <w:rPr>
          <w:rFonts w:ascii="FrankRuehl" w:hAnsi="FrankRuehl" w:hint="cs"/>
          <w:sz w:val="28"/>
          <w:rtl/>
        </w:rPr>
        <w:t>לא ניתן לקבל</w:t>
      </w:r>
      <w:r w:rsidR="007D6167" w:rsidRPr="008F1A96">
        <w:rPr>
          <w:rFonts w:ascii="FrankRuehl" w:hAnsi="FrankRuehl" w:hint="cs"/>
          <w:sz w:val="28"/>
          <w:rtl/>
        </w:rPr>
        <w:t xml:space="preserve"> </w:t>
      </w:r>
      <w:r w:rsidR="00773E6A">
        <w:rPr>
          <w:rFonts w:ascii="FrankRuehl" w:hAnsi="FrankRuehl" w:hint="cs"/>
          <w:sz w:val="28"/>
          <w:rtl/>
        </w:rPr>
        <w:t>"</w:t>
      </w:r>
      <w:r w:rsidR="007D6167" w:rsidRPr="008F1A96">
        <w:rPr>
          <w:rFonts w:ascii="FrankRuehl" w:hAnsi="FrankRuehl" w:hint="cs"/>
          <w:sz w:val="28"/>
          <w:rtl/>
        </w:rPr>
        <w:t>עמדות</w:t>
      </w:r>
      <w:r w:rsidR="00773E6A">
        <w:rPr>
          <w:rFonts w:ascii="FrankRuehl" w:hAnsi="FrankRuehl" w:hint="cs"/>
          <w:sz w:val="28"/>
          <w:rtl/>
        </w:rPr>
        <w:t>"</w:t>
      </w:r>
      <w:r w:rsidR="007D6167" w:rsidRPr="008F1A96">
        <w:rPr>
          <w:rFonts w:ascii="FrankRuehl" w:hAnsi="FrankRuehl" w:hint="cs"/>
          <w:sz w:val="28"/>
          <w:rtl/>
        </w:rPr>
        <w:t xml:space="preserve"> שונות. </w:t>
      </w:r>
      <w:r w:rsidR="004F1EF3">
        <w:rPr>
          <w:rFonts w:ascii="FrankRuehl" w:hAnsi="FrankRuehl" w:hint="cs"/>
          <w:sz w:val="28"/>
          <w:rtl/>
        </w:rPr>
        <w:t>על כן,</w:t>
      </w:r>
      <w:r w:rsidR="007D6167" w:rsidRPr="008F1A96">
        <w:rPr>
          <w:rFonts w:ascii="FrankRuehl" w:hAnsi="FrankRuehl" w:hint="cs"/>
          <w:sz w:val="28"/>
          <w:rtl/>
        </w:rPr>
        <w:t xml:space="preserve"> ככל שדיווח </w:t>
      </w:r>
      <w:r w:rsidR="00F20469">
        <w:rPr>
          <w:rFonts w:ascii="FrankRuehl" w:hAnsi="FrankRuehl" w:hint="cs"/>
          <w:sz w:val="28"/>
          <w:rtl/>
        </w:rPr>
        <w:t xml:space="preserve">עצמי </w:t>
      </w:r>
      <w:r w:rsidR="007D6167" w:rsidRPr="008F1A96">
        <w:rPr>
          <w:rFonts w:ascii="FrankRuehl" w:hAnsi="FrankRuehl" w:hint="cs"/>
          <w:sz w:val="28"/>
          <w:rtl/>
        </w:rPr>
        <w:t xml:space="preserve">לפקיד השומה יסודו בעובדות </w:t>
      </w:r>
      <w:r w:rsidR="00E16809">
        <w:rPr>
          <w:rFonts w:ascii="FrankRuehl" w:hAnsi="FrankRuehl" w:hint="cs"/>
          <w:sz w:val="28"/>
          <w:rtl/>
        </w:rPr>
        <w:t>שהתבררו ככאלה שאינן נכונות</w:t>
      </w:r>
      <w:r w:rsidR="007D6167" w:rsidRPr="008F1A96">
        <w:rPr>
          <w:rFonts w:ascii="FrankRuehl" w:hAnsi="FrankRuehl" w:hint="cs"/>
          <w:sz w:val="28"/>
          <w:rtl/>
        </w:rPr>
        <w:t xml:space="preserve">, יש בכך </w:t>
      </w:r>
      <w:r w:rsidR="009A3CA5">
        <w:rPr>
          <w:rFonts w:ascii="FrankRuehl" w:hAnsi="FrankRuehl" w:hint="cs"/>
          <w:sz w:val="28"/>
          <w:rtl/>
        </w:rPr>
        <w:t>משום עדות</w:t>
      </w:r>
      <w:r w:rsidR="007D6167" w:rsidRPr="008F1A96">
        <w:rPr>
          <w:rFonts w:ascii="FrankRuehl" w:hAnsi="FrankRuehl" w:hint="cs"/>
          <w:sz w:val="28"/>
          <w:rtl/>
        </w:rPr>
        <w:t xml:space="preserve"> </w:t>
      </w:r>
      <w:r w:rsidR="009A3CA5">
        <w:rPr>
          <w:rFonts w:ascii="FrankRuehl" w:hAnsi="FrankRuehl" w:hint="cs"/>
          <w:sz w:val="28"/>
          <w:rtl/>
        </w:rPr>
        <w:t>ל</w:t>
      </w:r>
      <w:r w:rsidR="007D6167" w:rsidRPr="008F1A96">
        <w:rPr>
          <w:rFonts w:ascii="FrankRuehl" w:hAnsi="FrankRuehl" w:hint="cs"/>
          <w:sz w:val="28"/>
          <w:rtl/>
        </w:rPr>
        <w:t>התרשלותו</w:t>
      </w:r>
      <w:r w:rsidR="00F20469">
        <w:rPr>
          <w:rFonts w:ascii="FrankRuehl" w:hAnsi="FrankRuehl" w:hint="cs"/>
          <w:sz w:val="28"/>
          <w:rtl/>
        </w:rPr>
        <w:t xml:space="preserve"> של הנישום</w:t>
      </w:r>
      <w:r w:rsidR="007D6167" w:rsidRPr="008F1A96">
        <w:rPr>
          <w:rFonts w:ascii="FrankRuehl" w:hAnsi="FrankRuehl" w:hint="cs"/>
          <w:sz w:val="28"/>
          <w:rtl/>
        </w:rPr>
        <w:t xml:space="preserve">. </w:t>
      </w:r>
      <w:r w:rsidR="009A3CA5">
        <w:rPr>
          <w:rFonts w:ascii="FrankRuehl" w:hAnsi="FrankRuehl" w:hint="cs"/>
          <w:sz w:val="28"/>
          <w:rtl/>
        </w:rPr>
        <w:t>זאת משום</w:t>
      </w:r>
      <w:r w:rsidR="007D6167" w:rsidRPr="008F1A96">
        <w:rPr>
          <w:rFonts w:ascii="FrankRuehl" w:hAnsi="FrankRuehl" w:hint="cs"/>
          <w:sz w:val="28"/>
          <w:rtl/>
        </w:rPr>
        <w:t xml:space="preserve"> </w:t>
      </w:r>
      <w:r w:rsidR="00D21106">
        <w:rPr>
          <w:rFonts w:ascii="FrankRuehl" w:hAnsi="FrankRuehl" w:hint="cs"/>
          <w:sz w:val="28"/>
          <w:rtl/>
        </w:rPr>
        <w:t>ש</w:t>
      </w:r>
      <w:r w:rsidR="007D6167" w:rsidRPr="008F1A96">
        <w:rPr>
          <w:rFonts w:ascii="FrankRuehl" w:hAnsi="FrankRuehl" w:hint="cs"/>
          <w:sz w:val="28"/>
          <w:rtl/>
        </w:rPr>
        <w:t>העובדות הצריכות לעניין ההכנסה החייבת מצוי</w:t>
      </w:r>
      <w:r w:rsidR="00BF0188">
        <w:rPr>
          <w:rFonts w:ascii="FrankRuehl" w:hAnsi="FrankRuehl" w:hint="cs"/>
          <w:sz w:val="28"/>
          <w:rtl/>
        </w:rPr>
        <w:t>ות</w:t>
      </w:r>
      <w:r w:rsidR="007D6167" w:rsidRPr="008F1A96">
        <w:rPr>
          <w:rFonts w:ascii="FrankRuehl" w:hAnsi="FrankRuehl" w:hint="cs"/>
          <w:sz w:val="28"/>
          <w:rtl/>
        </w:rPr>
        <w:t xml:space="preserve"> </w:t>
      </w:r>
      <w:r w:rsidR="005F797D">
        <w:rPr>
          <w:rFonts w:ascii="FrankRuehl" w:hAnsi="FrankRuehl" w:hint="cs"/>
          <w:sz w:val="28"/>
          <w:rtl/>
        </w:rPr>
        <w:t>ראשית</w:t>
      </w:r>
      <w:r w:rsidR="007D6167" w:rsidRPr="008F1A96">
        <w:rPr>
          <w:rFonts w:ascii="FrankRuehl" w:hAnsi="FrankRuehl" w:hint="cs"/>
          <w:sz w:val="28"/>
          <w:rtl/>
        </w:rPr>
        <w:t xml:space="preserve"> </w:t>
      </w:r>
      <w:r w:rsidR="005F797D">
        <w:rPr>
          <w:rFonts w:ascii="FrankRuehl" w:hAnsi="FrankRuehl" w:hint="cs"/>
          <w:sz w:val="28"/>
          <w:rtl/>
        </w:rPr>
        <w:t>ל</w:t>
      </w:r>
      <w:r w:rsidR="007D6167" w:rsidRPr="008F1A96">
        <w:rPr>
          <w:rFonts w:ascii="FrankRuehl" w:hAnsi="FrankRuehl" w:hint="cs"/>
          <w:sz w:val="28"/>
          <w:rtl/>
        </w:rPr>
        <w:t>כל בידי הנישום עצמו</w:t>
      </w:r>
      <w:r w:rsidR="00E62651">
        <w:rPr>
          <w:rFonts w:ascii="FrankRuehl" w:hAnsi="FrankRuehl" w:hint="cs"/>
          <w:sz w:val="28"/>
          <w:rtl/>
        </w:rPr>
        <w:t xml:space="preserve">, </w:t>
      </w:r>
      <w:r w:rsidR="000F015F">
        <w:rPr>
          <w:rFonts w:ascii="FrankRuehl" w:hAnsi="FrankRuehl" w:hint="cs"/>
          <w:sz w:val="28"/>
          <w:rtl/>
        </w:rPr>
        <w:t>ונדרש שהדיווח שלו יתבסס על אלה</w:t>
      </w:r>
      <w:r w:rsidR="000F015F">
        <w:rPr>
          <w:rFonts w:ascii="FrankRuehl" w:hAnsi="FrankRuehl"/>
          <w:sz w:val="28"/>
        </w:rPr>
        <w:t>;</w:t>
      </w:r>
      <w:r w:rsidR="00E62651">
        <w:rPr>
          <w:rFonts w:ascii="FrankRuehl" w:hAnsi="FrankRuehl" w:hint="cs"/>
          <w:sz w:val="28"/>
          <w:rtl/>
        </w:rPr>
        <w:t xml:space="preserve"> אולם </w:t>
      </w:r>
      <w:r w:rsidR="007D6167">
        <w:rPr>
          <w:rFonts w:ascii="FrankRuehl" w:hAnsi="FrankRuehl" w:hint="cs"/>
          <w:sz w:val="28"/>
          <w:rtl/>
        </w:rPr>
        <w:t xml:space="preserve">גם במצב שבו המידע המלא אינו ידוע לנישום מוטל עליו </w:t>
      </w:r>
      <w:r w:rsidR="000F015F">
        <w:rPr>
          <w:rFonts w:ascii="FrankRuehl" w:hAnsi="FrankRuehl" w:hint="cs"/>
          <w:sz w:val="28"/>
          <w:rtl/>
        </w:rPr>
        <w:t xml:space="preserve">לבררו </w:t>
      </w:r>
      <w:r w:rsidR="007D6167">
        <w:rPr>
          <w:rFonts w:ascii="FrankRuehl" w:hAnsi="FrankRuehl" w:hint="cs"/>
          <w:sz w:val="28"/>
          <w:rtl/>
        </w:rPr>
        <w:t xml:space="preserve">טרם </w:t>
      </w:r>
      <w:r w:rsidR="000F015F">
        <w:rPr>
          <w:rFonts w:ascii="FrankRuehl" w:hAnsi="FrankRuehl" w:hint="cs"/>
          <w:sz w:val="28"/>
          <w:rtl/>
        </w:rPr>
        <w:t xml:space="preserve">שיגיש את הדיווח. </w:t>
      </w:r>
    </w:p>
    <w:p w:rsidR="00E62651" w:rsidRDefault="00E62651" w:rsidP="00D05738">
      <w:pPr>
        <w:pStyle w:val="Ruller4"/>
        <w:numPr>
          <w:ilvl w:val="0"/>
          <w:numId w:val="0"/>
        </w:numPr>
        <w:spacing w:line="240" w:lineRule="auto"/>
        <w:rPr>
          <w:rFonts w:ascii="FrankRuehl" w:hAnsi="FrankRuehl"/>
          <w:sz w:val="28"/>
          <w:rtl/>
        </w:rPr>
      </w:pPr>
    </w:p>
    <w:p w:rsidR="007D6167" w:rsidRDefault="00E62651" w:rsidP="00B96E5A">
      <w:pPr>
        <w:pStyle w:val="Ruller4"/>
        <w:numPr>
          <w:ilvl w:val="0"/>
          <w:numId w:val="0"/>
        </w:numPr>
        <w:rPr>
          <w:rFonts w:ascii="FrankRuehl" w:hAnsi="FrankRuehl"/>
          <w:sz w:val="28"/>
          <w:rtl/>
        </w:rPr>
      </w:pPr>
      <w:r>
        <w:rPr>
          <w:rFonts w:ascii="FrankRuehl" w:hAnsi="FrankRuehl"/>
          <w:sz w:val="28"/>
          <w:rtl/>
        </w:rPr>
        <w:tab/>
      </w:r>
      <w:r w:rsidR="007D6167">
        <w:rPr>
          <w:rFonts w:ascii="FrankRuehl" w:hAnsi="FrankRuehl" w:hint="cs"/>
          <w:sz w:val="28"/>
          <w:rtl/>
        </w:rPr>
        <w:t>מכל מקום אין זה המצב בענייננו, שכן המערערת</w:t>
      </w:r>
      <w:r w:rsidR="00A66BE9">
        <w:rPr>
          <w:rFonts w:ascii="FrankRuehl" w:hAnsi="FrankRuehl" w:hint="cs"/>
          <w:sz w:val="28"/>
          <w:rtl/>
        </w:rPr>
        <w:t xml:space="preserve"> לא נדרשה לערוך כל "בירור" עובדתי. </w:t>
      </w:r>
      <w:r w:rsidR="00ED217C">
        <w:rPr>
          <w:rFonts w:ascii="FrankRuehl" w:hAnsi="FrankRuehl" w:hint="cs"/>
          <w:sz w:val="28"/>
          <w:rtl/>
        </w:rPr>
        <w:t>היא</w:t>
      </w:r>
      <w:r w:rsidR="007D6167">
        <w:rPr>
          <w:rFonts w:ascii="FrankRuehl" w:hAnsi="FrankRuehl" w:hint="cs"/>
          <w:sz w:val="28"/>
          <w:rtl/>
        </w:rPr>
        <w:t xml:space="preserve"> ידעה גם ידעה מתי נחתמו </w:t>
      </w:r>
      <w:r w:rsidR="00A66BE9">
        <w:rPr>
          <w:rFonts w:ascii="FrankRuehl" w:hAnsi="FrankRuehl" w:hint="cs"/>
          <w:sz w:val="28"/>
          <w:rtl/>
        </w:rPr>
        <w:t>ההסכמים עם הספקים</w:t>
      </w:r>
      <w:r w:rsidR="007D6167">
        <w:rPr>
          <w:rFonts w:ascii="FrankRuehl" w:hAnsi="FrankRuehl" w:hint="cs"/>
          <w:sz w:val="28"/>
          <w:rtl/>
        </w:rPr>
        <w:t xml:space="preserve"> ומה היה שוויון של מניות כמעט חינם בעת </w:t>
      </w:r>
      <w:r w:rsidR="00B96E5A">
        <w:rPr>
          <w:rFonts w:ascii="FrankRuehl" w:hAnsi="FrankRuehl" w:hint="cs"/>
          <w:sz w:val="28"/>
          <w:rtl/>
        </w:rPr>
        <w:t>ש</w:t>
      </w:r>
      <w:r w:rsidR="007D6167">
        <w:rPr>
          <w:rFonts w:ascii="FrankRuehl" w:hAnsi="FrankRuehl" w:hint="cs"/>
          <w:sz w:val="28"/>
          <w:rtl/>
        </w:rPr>
        <w:t>רכשה אותן. בהתאם לכך דיווחה ל</w:t>
      </w:r>
      <w:r w:rsidR="004E4B0D">
        <w:rPr>
          <w:rFonts w:ascii="FrankRuehl" w:hAnsi="FrankRuehl" w:hint="cs"/>
          <w:sz w:val="28"/>
          <w:rtl/>
        </w:rPr>
        <w:t>רשות</w:t>
      </w:r>
      <w:r w:rsidR="007D6167">
        <w:rPr>
          <w:rFonts w:ascii="FrankRuehl" w:hAnsi="FrankRuehl" w:hint="cs"/>
          <w:sz w:val="28"/>
          <w:rtl/>
        </w:rPr>
        <w:t xml:space="preserve"> התחרות על העסקה, והציגה בפני</w:t>
      </w:r>
      <w:r w:rsidR="004E4B0D">
        <w:rPr>
          <w:rFonts w:ascii="FrankRuehl" w:hAnsi="FrankRuehl" w:hint="cs"/>
          <w:sz w:val="28"/>
          <w:rtl/>
        </w:rPr>
        <w:t>ה</w:t>
      </w:r>
      <w:r w:rsidR="007D6167">
        <w:rPr>
          <w:rFonts w:ascii="FrankRuehl" w:hAnsi="FrankRuehl" w:hint="cs"/>
          <w:sz w:val="28"/>
          <w:rtl/>
        </w:rPr>
        <w:t xml:space="preserve"> את פרטיה </w:t>
      </w:r>
      <w:proofErr w:type="spellStart"/>
      <w:r w:rsidR="007D6167">
        <w:rPr>
          <w:rFonts w:ascii="FrankRuehl" w:hAnsi="FrankRuehl" w:hint="cs"/>
          <w:sz w:val="28"/>
          <w:rtl/>
        </w:rPr>
        <w:t>לאשורם</w:t>
      </w:r>
      <w:proofErr w:type="spellEnd"/>
      <w:r w:rsidR="007D6167">
        <w:rPr>
          <w:rFonts w:ascii="FrankRuehl" w:hAnsi="FrankRuehl" w:hint="cs"/>
          <w:sz w:val="28"/>
          <w:rtl/>
        </w:rPr>
        <w:t>. אלא שהדיווח שהוגש לפקיד השומה התבסס על עובדות אחרות, וזאת לא ניתן לקבל.</w:t>
      </w:r>
    </w:p>
    <w:p w:rsidR="007D6167" w:rsidRDefault="007D6167" w:rsidP="007D6167">
      <w:pPr>
        <w:pStyle w:val="Ruller41"/>
        <w:rPr>
          <w:rFonts w:ascii="FrankRuehl" w:hAnsi="FrankRuehl"/>
          <w:sz w:val="28"/>
          <w:rtl/>
        </w:rPr>
      </w:pPr>
    </w:p>
    <w:p w:rsidR="007D6167" w:rsidRDefault="007D6167" w:rsidP="00D37008">
      <w:pPr>
        <w:pStyle w:val="Ruller4"/>
      </w:pPr>
      <w:r>
        <w:rPr>
          <w:rFonts w:hint="cs"/>
          <w:rtl/>
        </w:rPr>
        <w:t xml:space="preserve">שנית, גם במישור המשפטי </w:t>
      </w:r>
      <w:r w:rsidR="002A32F7">
        <w:rPr>
          <w:rFonts w:hint="cs"/>
          <w:rtl/>
        </w:rPr>
        <w:t xml:space="preserve">ספק אם ניתן לקבל את טענת המערערת שלפיה </w:t>
      </w:r>
      <w:r w:rsidR="005C5CB9">
        <w:rPr>
          <w:rFonts w:hint="cs"/>
          <w:rtl/>
        </w:rPr>
        <w:t>הדיווח העצמי הג</w:t>
      </w:r>
      <w:r w:rsidR="00422C67">
        <w:rPr>
          <w:rFonts w:hint="cs"/>
          <w:rtl/>
        </w:rPr>
        <w:t>י</w:t>
      </w:r>
      <w:r w:rsidR="005C5CB9">
        <w:rPr>
          <w:rFonts w:hint="cs"/>
          <w:rtl/>
        </w:rPr>
        <w:t>רעוני שהגישה נבע אך מעמדה משפטית</w:t>
      </w:r>
      <w:r w:rsidR="00AC5321">
        <w:rPr>
          <w:rFonts w:hint="cs"/>
          <w:rtl/>
        </w:rPr>
        <w:t xml:space="preserve"> לגיטימית ו</w:t>
      </w:r>
      <w:r w:rsidR="005C5CB9">
        <w:rPr>
          <w:rFonts w:hint="cs"/>
          <w:rtl/>
        </w:rPr>
        <w:t>לא</w:t>
      </w:r>
      <w:r w:rsidR="002A32F7">
        <w:rPr>
          <w:rFonts w:hint="cs"/>
          <w:rtl/>
        </w:rPr>
        <w:t xml:space="preserve"> </w:t>
      </w:r>
      <w:r w:rsidR="005C5CB9">
        <w:rPr>
          <w:rFonts w:hint="cs"/>
          <w:rtl/>
        </w:rPr>
        <w:t>מ</w:t>
      </w:r>
      <w:r w:rsidR="002A32F7">
        <w:rPr>
          <w:rFonts w:hint="cs"/>
          <w:rtl/>
        </w:rPr>
        <w:t>התרשלות</w:t>
      </w:r>
      <w:r>
        <w:rPr>
          <w:rFonts w:hint="cs"/>
          <w:rtl/>
        </w:rPr>
        <w:t xml:space="preserve">. טענתה המשפטית העיקרית </w:t>
      </w:r>
      <w:r w:rsidR="00157B7F">
        <w:rPr>
          <w:rFonts w:hint="cs"/>
          <w:rtl/>
        </w:rPr>
        <w:t>היא</w:t>
      </w:r>
      <w:r>
        <w:rPr>
          <w:rFonts w:hint="cs"/>
          <w:rtl/>
        </w:rPr>
        <w:t xml:space="preserve"> </w:t>
      </w:r>
      <w:r w:rsidR="00157B7F">
        <w:rPr>
          <w:rFonts w:hint="cs"/>
          <w:rtl/>
        </w:rPr>
        <w:t>ש</w:t>
      </w:r>
      <w:r w:rsidR="00EF4DD2">
        <w:rPr>
          <w:rFonts w:hint="cs"/>
          <w:rtl/>
        </w:rPr>
        <w:t xml:space="preserve">נשענה על כללי </w:t>
      </w:r>
      <w:r>
        <w:rPr>
          <w:rFonts w:hint="cs"/>
          <w:rtl/>
        </w:rPr>
        <w:t>חשבונאות</w:t>
      </w:r>
      <w:r w:rsidR="00EF4DD2">
        <w:rPr>
          <w:rFonts w:hint="cs"/>
          <w:rtl/>
        </w:rPr>
        <w:t xml:space="preserve"> </w:t>
      </w:r>
      <w:r w:rsidR="00157B7F">
        <w:rPr>
          <w:rFonts w:hint="cs"/>
          <w:rtl/>
        </w:rPr>
        <w:t>מקובלים</w:t>
      </w:r>
      <w:r>
        <w:rPr>
          <w:rFonts w:hint="cs"/>
          <w:rtl/>
        </w:rPr>
        <w:t>, אף שכללי המיסוי החלים על עסקה מהסוג שערכה מ</w:t>
      </w:r>
      <w:r w:rsidR="006D23E2">
        <w:rPr>
          <w:rFonts w:hint="cs"/>
          <w:rtl/>
        </w:rPr>
        <w:t xml:space="preserve">וסדרים לחלוטין בפקודה. כמו כן, </w:t>
      </w:r>
      <w:r>
        <w:rPr>
          <w:rFonts w:hint="cs"/>
          <w:rtl/>
        </w:rPr>
        <w:t xml:space="preserve">כדי לדווח על הכנסתה באופן </w:t>
      </w:r>
      <w:r w:rsidRPr="0077511A">
        <w:rPr>
          <w:rFonts w:ascii="FrankRuehl" w:hAnsi="FrankRuehl"/>
          <w:sz w:val="28"/>
          <w:rtl/>
        </w:rPr>
        <w:t xml:space="preserve">שבו </w:t>
      </w:r>
      <w:r w:rsidR="006D23E2" w:rsidRPr="0077511A">
        <w:rPr>
          <w:rFonts w:ascii="FrankRuehl" w:hAnsi="FrankRuehl"/>
          <w:sz w:val="28"/>
          <w:rtl/>
        </w:rPr>
        <w:t>דיווחה</w:t>
      </w:r>
      <w:r w:rsidRPr="0077511A">
        <w:rPr>
          <w:rFonts w:ascii="FrankRuehl" w:hAnsi="FrankRuehl"/>
          <w:sz w:val="28"/>
          <w:rtl/>
        </w:rPr>
        <w:t xml:space="preserve">, </w:t>
      </w:r>
      <w:r w:rsidR="0077511A" w:rsidRPr="0077511A">
        <w:rPr>
          <w:rFonts w:ascii="FrankRuehl" w:hAnsi="FrankRuehl"/>
          <w:sz w:val="28"/>
          <w:rtl/>
        </w:rPr>
        <w:t>קבע בית המשפט המחוזי ש</w:t>
      </w:r>
      <w:r w:rsidRPr="0077511A">
        <w:rPr>
          <w:rFonts w:ascii="FrankRuehl" w:hAnsi="FrankRuehl"/>
          <w:sz w:val="28"/>
          <w:rtl/>
        </w:rPr>
        <w:t xml:space="preserve">היה על המערערת להניח שלוש הנחות יסוד </w:t>
      </w:r>
      <w:r w:rsidR="002F2C80">
        <w:rPr>
          <w:rFonts w:ascii="FrankRuehl" w:hAnsi="FrankRuehl" w:hint="cs"/>
          <w:sz w:val="28"/>
          <w:rtl/>
        </w:rPr>
        <w:t xml:space="preserve">שונות </w:t>
      </w:r>
      <w:r w:rsidR="00E740C2">
        <w:rPr>
          <w:rFonts w:ascii="FrankRuehl" w:hAnsi="FrankRuehl" w:hint="cs"/>
          <w:sz w:val="28"/>
          <w:rtl/>
        </w:rPr>
        <w:t>שאינן עולות בקנה אחד עם דיני המס</w:t>
      </w:r>
      <w:r w:rsidRPr="0077511A">
        <w:rPr>
          <w:rFonts w:ascii="FrankRuehl" w:hAnsi="FrankRuehl"/>
          <w:sz w:val="28"/>
          <w:rtl/>
        </w:rPr>
        <w:t xml:space="preserve">. </w:t>
      </w:r>
      <w:r w:rsidR="0077511A" w:rsidRPr="0077511A">
        <w:rPr>
          <w:rFonts w:ascii="FrankRuehl" w:hAnsi="FrankRuehl"/>
          <w:sz w:val="28"/>
          <w:rtl/>
        </w:rPr>
        <w:t>תחילה בעצם הגדרת הזכות למענק ספקים כנכס</w:t>
      </w:r>
      <w:r w:rsidR="0077511A" w:rsidRPr="0077511A">
        <w:rPr>
          <w:rFonts w:ascii="FrankRuehl" w:hAnsi="FrankRuehl"/>
          <w:sz w:val="28"/>
        </w:rPr>
        <w:t>;</w:t>
      </w:r>
      <w:r w:rsidR="0077511A" w:rsidRPr="0077511A">
        <w:rPr>
          <w:rFonts w:ascii="FrankRuehl" w:hAnsi="FrankRuehl"/>
          <w:sz w:val="28"/>
          <w:rtl/>
        </w:rPr>
        <w:t xml:space="preserve"> לאחר מכן בייחוס מחיר מקורי של למעלה </w:t>
      </w:r>
      <w:r w:rsidR="00D37008">
        <w:rPr>
          <w:rFonts w:ascii="FrankRuehl" w:hAnsi="FrankRuehl"/>
          <w:sz w:val="28"/>
          <w:rtl/>
        </w:rPr>
        <w:t xml:space="preserve">מ-100 מיליון ש"ח לנכס זה, בעוד </w:t>
      </w:r>
      <w:r w:rsidR="0077511A" w:rsidRPr="0077511A">
        <w:rPr>
          <w:rFonts w:ascii="FrankRuehl" w:hAnsi="FrankRuehl"/>
          <w:sz w:val="28"/>
          <w:rtl/>
        </w:rPr>
        <w:t>בפועל לא שולם עבורו דבר</w:t>
      </w:r>
      <w:r w:rsidR="0077511A" w:rsidRPr="0077511A">
        <w:rPr>
          <w:rFonts w:ascii="FrankRuehl" w:hAnsi="FrankRuehl"/>
          <w:sz w:val="28"/>
        </w:rPr>
        <w:t>;</w:t>
      </w:r>
      <w:r w:rsidR="0077511A" w:rsidRPr="0077511A">
        <w:rPr>
          <w:rFonts w:ascii="FrankRuehl" w:hAnsi="FrankRuehl"/>
          <w:sz w:val="28"/>
          <w:rtl/>
        </w:rPr>
        <w:t xml:space="preserve"> ולבסוף ב</w:t>
      </w:r>
      <w:r w:rsidR="00DF1429" w:rsidRPr="0077511A">
        <w:rPr>
          <w:rFonts w:ascii="FrankRuehl" w:hAnsi="FrankRuehl"/>
          <w:sz w:val="28"/>
          <w:rtl/>
        </w:rPr>
        <w:t xml:space="preserve">ניכוי הפחת בגין </w:t>
      </w:r>
      <w:r w:rsidRPr="0077511A">
        <w:rPr>
          <w:rFonts w:ascii="FrankRuehl" w:hAnsi="FrankRuehl"/>
          <w:sz w:val="28"/>
          <w:rtl/>
        </w:rPr>
        <w:t xml:space="preserve">הזכות למענק ספקים מהכנסתה החייבת </w:t>
      </w:r>
      <w:r w:rsidR="0077511A" w:rsidRPr="0077511A">
        <w:rPr>
          <w:rFonts w:ascii="FrankRuehl" w:hAnsi="FrankRuehl"/>
          <w:sz w:val="28"/>
          <w:rtl/>
        </w:rPr>
        <w:t>של המערערת, אף שהדין בעניין זה ברור</w:t>
      </w:r>
      <w:r w:rsidRPr="0077511A">
        <w:rPr>
          <w:rFonts w:ascii="FrankRuehl" w:hAnsi="FrankRuehl"/>
          <w:sz w:val="28"/>
          <w:rtl/>
        </w:rPr>
        <w:t xml:space="preserve"> וקובע כי רק</w:t>
      </w:r>
      <w:r w:rsidR="00C97AC3" w:rsidRPr="0077511A">
        <w:rPr>
          <w:rFonts w:ascii="FrankRuehl" w:hAnsi="FrankRuehl"/>
          <w:sz w:val="28"/>
          <w:rtl/>
        </w:rPr>
        <w:t xml:space="preserve"> בגין נכסים שהוגדרו במפורש כב</w:t>
      </w:r>
      <w:r w:rsidR="00D37008">
        <w:rPr>
          <w:rFonts w:ascii="FrankRuehl" w:hAnsi="FrankRuehl" w:hint="cs"/>
          <w:sz w:val="28"/>
          <w:rtl/>
        </w:rPr>
        <w:t>נ</w:t>
      </w:r>
      <w:r w:rsidR="00C97AC3" w:rsidRPr="0077511A">
        <w:rPr>
          <w:rFonts w:ascii="FrankRuehl" w:hAnsi="FrankRuehl"/>
          <w:sz w:val="28"/>
          <w:rtl/>
        </w:rPr>
        <w:t xml:space="preserve">י </w:t>
      </w:r>
      <w:r w:rsidRPr="0077511A">
        <w:rPr>
          <w:rFonts w:ascii="FrankRuehl" w:hAnsi="FrankRuehl"/>
          <w:sz w:val="28"/>
          <w:rtl/>
        </w:rPr>
        <w:t>פחת ניתן לבצע הפחתה כזו</w:t>
      </w:r>
      <w:r>
        <w:rPr>
          <w:rFonts w:hint="cs"/>
          <w:rtl/>
        </w:rPr>
        <w:t>.</w:t>
      </w:r>
    </w:p>
    <w:p w:rsidR="007D6167" w:rsidRDefault="007D6167" w:rsidP="00D05738">
      <w:pPr>
        <w:pStyle w:val="Ruller4"/>
        <w:numPr>
          <w:ilvl w:val="0"/>
          <w:numId w:val="0"/>
        </w:numPr>
        <w:spacing w:line="240" w:lineRule="auto"/>
      </w:pPr>
    </w:p>
    <w:p w:rsidR="00DF25C0" w:rsidRDefault="007D6167" w:rsidP="00624CAE">
      <w:pPr>
        <w:pStyle w:val="Ruller4"/>
        <w:numPr>
          <w:ilvl w:val="0"/>
          <w:numId w:val="0"/>
        </w:numPr>
        <w:rPr>
          <w:rtl/>
        </w:rPr>
      </w:pPr>
      <w:r>
        <w:rPr>
          <w:rtl/>
        </w:rPr>
        <w:tab/>
      </w:r>
      <w:r w:rsidR="00490337">
        <w:rPr>
          <w:rFonts w:hint="cs"/>
          <w:rtl/>
        </w:rPr>
        <w:t xml:space="preserve">לטעמי, </w:t>
      </w:r>
      <w:r w:rsidR="00490337" w:rsidRPr="00DB3E17">
        <w:rPr>
          <w:rFonts w:hint="cs"/>
          <w:rtl/>
        </w:rPr>
        <w:t>ככל שמדובר בעניין שטרם הוכרע ב</w:t>
      </w:r>
      <w:r w:rsidR="00021C78">
        <w:rPr>
          <w:rFonts w:hint="cs"/>
          <w:rtl/>
        </w:rPr>
        <w:t xml:space="preserve">בירור </w:t>
      </w:r>
      <w:r w:rsidR="00E859F7">
        <w:rPr>
          <w:rFonts w:hint="cs"/>
          <w:rtl/>
        </w:rPr>
        <w:t>ב</w:t>
      </w:r>
      <w:r w:rsidR="00490337" w:rsidRPr="00DB3E17">
        <w:rPr>
          <w:rFonts w:hint="cs"/>
          <w:rtl/>
        </w:rPr>
        <w:t>פסיקה או על ידי המחוקק,</w:t>
      </w:r>
      <w:r w:rsidR="00F56C55">
        <w:rPr>
          <w:rFonts w:hint="cs"/>
          <w:rtl/>
        </w:rPr>
        <w:t xml:space="preserve"> או שקיים ספק אחר לגבי אופן יישום הדין </w:t>
      </w:r>
      <w:r w:rsidR="00F56C55">
        <w:rPr>
          <w:rtl/>
        </w:rPr>
        <w:t>–</w:t>
      </w:r>
      <w:r w:rsidR="00490337" w:rsidRPr="00DB3E17">
        <w:rPr>
          <w:rFonts w:hint="cs"/>
          <w:rtl/>
        </w:rPr>
        <w:t xml:space="preserve"> אכן לגיטימי שהנישום יחזיק בעמדה שונה מזו של פקיד השומה, </w:t>
      </w:r>
      <w:r w:rsidR="00ED6EF3">
        <w:rPr>
          <w:rFonts w:hint="cs"/>
          <w:rtl/>
        </w:rPr>
        <w:t>ואין סיבה</w:t>
      </w:r>
      <w:r w:rsidR="00490337" w:rsidRPr="00DB3E17">
        <w:rPr>
          <w:rFonts w:hint="cs"/>
          <w:rtl/>
        </w:rPr>
        <w:t xml:space="preserve"> לקבוע כי התרשל </w:t>
      </w:r>
      <w:r w:rsidR="00E859F7">
        <w:rPr>
          <w:rFonts w:hint="cs"/>
          <w:rtl/>
        </w:rPr>
        <w:t>אך</w:t>
      </w:r>
      <w:r w:rsidR="00490337" w:rsidRPr="00DB3E17">
        <w:rPr>
          <w:rFonts w:hint="cs"/>
          <w:rtl/>
        </w:rPr>
        <w:t xml:space="preserve"> בשל כך שעמדתו לא </w:t>
      </w:r>
      <w:r w:rsidR="00490337" w:rsidRPr="00ED6EF3">
        <w:rPr>
          <w:rFonts w:ascii="FrankRuehl" w:hAnsi="FrankRuehl"/>
          <w:sz w:val="28"/>
          <w:rtl/>
        </w:rPr>
        <w:t>התקבלה</w:t>
      </w:r>
      <w:r w:rsidR="00F56C55" w:rsidRPr="00ED6EF3">
        <w:rPr>
          <w:rFonts w:ascii="FrankRuehl" w:hAnsi="FrankRuehl"/>
          <w:sz w:val="28"/>
        </w:rPr>
        <w:t>;</w:t>
      </w:r>
      <w:r w:rsidR="00F56C55">
        <w:rPr>
          <w:rFonts w:hint="cs"/>
          <w:rtl/>
        </w:rPr>
        <w:t xml:space="preserve"> זאת בכפוף לכך </w:t>
      </w:r>
      <w:r w:rsidR="00A02CDD">
        <w:rPr>
          <w:rFonts w:hint="cs"/>
          <w:rtl/>
        </w:rPr>
        <w:t>ש</w:t>
      </w:r>
      <w:r w:rsidR="00ED6EF3">
        <w:rPr>
          <w:rFonts w:hint="cs"/>
          <w:rtl/>
        </w:rPr>
        <w:t>מדובר בעמדה שה</w:t>
      </w:r>
      <w:r w:rsidR="00BF0188">
        <w:rPr>
          <w:rFonts w:hint="cs"/>
          <w:rtl/>
        </w:rPr>
        <w:t>נישום ה</w:t>
      </w:r>
      <w:r w:rsidR="00ED6EF3">
        <w:rPr>
          <w:rFonts w:hint="cs"/>
          <w:rtl/>
        </w:rPr>
        <w:t>חזיק בה בתום לב</w:t>
      </w:r>
      <w:r w:rsidR="00F53A40">
        <w:rPr>
          <w:rFonts w:hint="cs"/>
          <w:rtl/>
        </w:rPr>
        <w:t xml:space="preserve"> והאמין בנכונותה</w:t>
      </w:r>
      <w:r w:rsidR="00490337" w:rsidRPr="00DB3E17">
        <w:rPr>
          <w:rFonts w:hint="cs"/>
          <w:rtl/>
        </w:rPr>
        <w:t xml:space="preserve"> (ראו והשוו: עניין </w:t>
      </w:r>
      <w:r w:rsidR="00490337" w:rsidRPr="00DB3E17">
        <w:rPr>
          <w:rFonts w:ascii="Century" w:hAnsi="Century" w:cs="Miriam" w:hint="cs"/>
          <w:b/>
          <w:spacing w:val="0"/>
          <w:sz w:val="22"/>
          <w:szCs w:val="24"/>
          <w:rtl/>
        </w:rPr>
        <w:t>ליכטנשטיין</w:t>
      </w:r>
      <w:r w:rsidR="00490337" w:rsidRPr="00DB3E17">
        <w:rPr>
          <w:rFonts w:hint="cs"/>
          <w:rtl/>
        </w:rPr>
        <w:t xml:space="preserve">, עמ' 159). </w:t>
      </w:r>
      <w:r w:rsidR="00E859F7">
        <w:rPr>
          <w:rFonts w:hint="cs"/>
          <w:rtl/>
        </w:rPr>
        <w:t>אולם</w:t>
      </w:r>
      <w:r w:rsidR="00490337" w:rsidRPr="00DB3E17">
        <w:rPr>
          <w:rFonts w:hint="cs"/>
          <w:rtl/>
        </w:rPr>
        <w:t xml:space="preserve"> ככל שהספק </w:t>
      </w:r>
      <w:r w:rsidR="00D50E07">
        <w:rPr>
          <w:rFonts w:hint="cs"/>
          <w:rtl/>
        </w:rPr>
        <w:t xml:space="preserve">בדבר </w:t>
      </w:r>
      <w:r w:rsidR="00A02CDD">
        <w:rPr>
          <w:rFonts w:hint="cs"/>
          <w:rtl/>
        </w:rPr>
        <w:t>גובה ההכנסה</w:t>
      </w:r>
      <w:r w:rsidR="00460788">
        <w:rPr>
          <w:rFonts w:hint="cs"/>
          <w:rtl/>
        </w:rPr>
        <w:t xml:space="preserve"> </w:t>
      </w:r>
      <w:r w:rsidR="00F2752D">
        <w:rPr>
          <w:rFonts w:hint="cs"/>
          <w:rtl/>
        </w:rPr>
        <w:t xml:space="preserve">החייבת </w:t>
      </w:r>
      <w:r w:rsidR="00460788">
        <w:rPr>
          <w:rFonts w:hint="cs"/>
          <w:rtl/>
        </w:rPr>
        <w:t>הוא קטן יותר,</w:t>
      </w:r>
      <w:r w:rsidR="00A02CDD" w:rsidRPr="00A02CDD">
        <w:rPr>
          <w:rFonts w:hint="cs"/>
          <w:rtl/>
        </w:rPr>
        <w:t xml:space="preserve"> </w:t>
      </w:r>
      <w:r w:rsidR="00A93F10">
        <w:rPr>
          <w:rFonts w:hint="cs"/>
          <w:rtl/>
        </w:rPr>
        <w:t xml:space="preserve">והנסיבות מלמדות כי העמדה המשפטית </w:t>
      </w:r>
      <w:r w:rsidR="00653F59">
        <w:rPr>
          <w:rFonts w:hint="cs"/>
          <w:rtl/>
        </w:rPr>
        <w:t>ש</w:t>
      </w:r>
      <w:r w:rsidR="00A93F10">
        <w:rPr>
          <w:rFonts w:hint="cs"/>
          <w:rtl/>
        </w:rPr>
        <w:t xml:space="preserve">הובילה לדיווח הגרעוני </w:t>
      </w:r>
      <w:r w:rsidR="00653F59">
        <w:rPr>
          <w:rFonts w:hint="cs"/>
          <w:rtl/>
        </w:rPr>
        <w:t>אינה עמדה שהנישום החזיק בה בתום לב</w:t>
      </w:r>
      <w:r w:rsidR="008D5084">
        <w:rPr>
          <w:rFonts w:hint="cs"/>
          <w:rtl/>
        </w:rPr>
        <w:t xml:space="preserve"> </w:t>
      </w:r>
      <w:r w:rsidR="008D5084">
        <w:rPr>
          <w:rtl/>
        </w:rPr>
        <w:t>–</w:t>
      </w:r>
      <w:r w:rsidR="008D5084">
        <w:rPr>
          <w:rFonts w:hint="cs"/>
          <w:rtl/>
        </w:rPr>
        <w:t xml:space="preserve"> </w:t>
      </w:r>
      <w:r w:rsidR="00BB1431">
        <w:rPr>
          <w:rFonts w:hint="cs"/>
          <w:rtl/>
        </w:rPr>
        <w:t>דומני</w:t>
      </w:r>
      <w:r w:rsidR="00653F59">
        <w:rPr>
          <w:rFonts w:hint="cs"/>
          <w:rtl/>
        </w:rPr>
        <w:t xml:space="preserve"> כי </w:t>
      </w:r>
      <w:r w:rsidR="00A02CDD">
        <w:rPr>
          <w:rFonts w:hint="cs"/>
          <w:rtl/>
        </w:rPr>
        <w:t>ניתן</w:t>
      </w:r>
      <w:r w:rsidR="00D05E85">
        <w:rPr>
          <w:rFonts w:hint="cs"/>
          <w:rtl/>
        </w:rPr>
        <w:t xml:space="preserve"> לראות</w:t>
      </w:r>
      <w:r w:rsidR="00A02CDD" w:rsidRPr="00DB3E17">
        <w:rPr>
          <w:rFonts w:hint="cs"/>
          <w:rtl/>
        </w:rPr>
        <w:t xml:space="preserve"> </w:t>
      </w:r>
      <w:r w:rsidR="00D05E85">
        <w:rPr>
          <w:rFonts w:hint="cs"/>
          <w:rtl/>
        </w:rPr>
        <w:t xml:space="preserve">בכך </w:t>
      </w:r>
      <w:r w:rsidR="00A02CDD">
        <w:rPr>
          <w:rFonts w:hint="cs"/>
          <w:rtl/>
        </w:rPr>
        <w:t xml:space="preserve">התרשלות בדמות </w:t>
      </w:r>
      <w:r w:rsidR="00D37008">
        <w:rPr>
          <w:rFonts w:hint="cs"/>
          <w:rtl/>
        </w:rPr>
        <w:t>אי-</w:t>
      </w:r>
      <w:r w:rsidR="00A02CDD" w:rsidRPr="00DB3E17">
        <w:rPr>
          <w:rFonts w:hint="cs"/>
          <w:rtl/>
        </w:rPr>
        <w:t>ע</w:t>
      </w:r>
      <w:r w:rsidR="00A02CDD">
        <w:rPr>
          <w:rFonts w:hint="cs"/>
          <w:rtl/>
        </w:rPr>
        <w:t xml:space="preserve">ריכת בירור נדרש </w:t>
      </w:r>
      <w:r w:rsidR="001025C5">
        <w:rPr>
          <w:rFonts w:hint="cs"/>
          <w:rtl/>
        </w:rPr>
        <w:t>ביחס</w:t>
      </w:r>
      <w:r w:rsidR="00A02CDD">
        <w:rPr>
          <w:rFonts w:hint="cs"/>
          <w:rtl/>
        </w:rPr>
        <w:t xml:space="preserve"> לדין </w:t>
      </w:r>
      <w:r w:rsidR="00A02CDD" w:rsidRPr="00DF25C0">
        <w:rPr>
          <w:rFonts w:ascii="FrankRuehl" w:hAnsi="FrankRuehl"/>
          <w:sz w:val="28"/>
          <w:rtl/>
        </w:rPr>
        <w:t>הקיים</w:t>
      </w:r>
      <w:r w:rsidR="00A93F10">
        <w:rPr>
          <w:rFonts w:ascii="FrankRuehl" w:hAnsi="FrankRuehl" w:hint="cs"/>
          <w:sz w:val="28"/>
          <w:rtl/>
        </w:rPr>
        <w:t>.</w:t>
      </w:r>
      <w:r w:rsidR="00A93F10">
        <w:rPr>
          <w:rFonts w:hint="cs"/>
          <w:rtl/>
        </w:rPr>
        <w:t xml:space="preserve"> כפי שנקבע בעניין </w:t>
      </w:r>
      <w:r w:rsidR="00A93F10" w:rsidRPr="00111141">
        <w:rPr>
          <w:rFonts w:ascii="Century" w:hAnsi="Century" w:cs="Miriam" w:hint="cs"/>
          <w:b/>
          <w:spacing w:val="0"/>
          <w:szCs w:val="24"/>
          <w:rtl/>
        </w:rPr>
        <w:t>שביט</w:t>
      </w:r>
      <w:r w:rsidR="00D05E85">
        <w:rPr>
          <w:rFonts w:hint="cs"/>
          <w:rtl/>
        </w:rPr>
        <w:t xml:space="preserve">, </w:t>
      </w:r>
      <w:r w:rsidR="00624CAE">
        <w:rPr>
          <w:rFonts w:hint="cs"/>
          <w:rtl/>
        </w:rPr>
        <w:t>יש לבחון את הדברים</w:t>
      </w:r>
      <w:r w:rsidR="00D05E85">
        <w:rPr>
          <w:rFonts w:hint="cs"/>
          <w:rtl/>
        </w:rPr>
        <w:t xml:space="preserve"> </w:t>
      </w:r>
      <w:r w:rsidR="00DA40CE">
        <w:rPr>
          <w:rFonts w:hint="cs"/>
          <w:rtl/>
        </w:rPr>
        <w:t>בכפוף</w:t>
      </w:r>
      <w:r w:rsidR="00D05E85">
        <w:rPr>
          <w:rFonts w:hint="cs"/>
          <w:rtl/>
        </w:rPr>
        <w:t xml:space="preserve"> להסברי הנישום, </w:t>
      </w:r>
      <w:r w:rsidR="00CB6B02">
        <w:rPr>
          <w:rFonts w:hint="cs"/>
          <w:rtl/>
        </w:rPr>
        <w:t>ו</w:t>
      </w:r>
      <w:r w:rsidR="00A405DB">
        <w:rPr>
          <w:rFonts w:hint="cs"/>
          <w:rtl/>
        </w:rPr>
        <w:t>אם הם מניחים</w:t>
      </w:r>
      <w:r w:rsidR="00CB6B02">
        <w:rPr>
          <w:rFonts w:hint="cs"/>
          <w:rtl/>
        </w:rPr>
        <w:t xml:space="preserve"> את הדעת בנוגע</w:t>
      </w:r>
      <w:r w:rsidR="00D05E85">
        <w:rPr>
          <w:rFonts w:hint="cs"/>
          <w:rtl/>
        </w:rPr>
        <w:t xml:space="preserve"> להתנהלותו.</w:t>
      </w:r>
    </w:p>
    <w:p w:rsidR="007D6167" w:rsidRDefault="007D6167" w:rsidP="00052DAD">
      <w:pPr>
        <w:pStyle w:val="Ruller41"/>
        <w:rPr>
          <w:rFonts w:ascii="Garamond" w:hAnsi="Garamond"/>
          <w:sz w:val="24"/>
          <w:rtl/>
        </w:rPr>
      </w:pPr>
      <w:r>
        <w:rPr>
          <w:rFonts w:ascii="Garamond" w:hAnsi="Garamond"/>
          <w:sz w:val="24"/>
          <w:rtl/>
        </w:rPr>
        <w:lastRenderedPageBreak/>
        <w:tab/>
      </w:r>
      <w:r w:rsidR="00F65CDD">
        <w:rPr>
          <w:rFonts w:ascii="Garamond" w:hAnsi="Garamond" w:hint="cs"/>
          <w:sz w:val="24"/>
          <w:rtl/>
        </w:rPr>
        <w:t xml:space="preserve">בענייננו, </w:t>
      </w:r>
      <w:r>
        <w:rPr>
          <w:rFonts w:ascii="Garamond" w:hAnsi="Garamond" w:hint="cs"/>
          <w:sz w:val="24"/>
          <w:rtl/>
        </w:rPr>
        <w:t>המערערת</w:t>
      </w:r>
      <w:r w:rsidR="00B70D25">
        <w:rPr>
          <w:rFonts w:ascii="Garamond" w:hAnsi="Garamond" w:hint="cs"/>
          <w:sz w:val="24"/>
          <w:rtl/>
        </w:rPr>
        <w:t xml:space="preserve"> טוענת</w:t>
      </w:r>
      <w:r>
        <w:rPr>
          <w:rFonts w:ascii="Garamond" w:hAnsi="Garamond" w:hint="cs"/>
          <w:sz w:val="24"/>
          <w:rtl/>
        </w:rPr>
        <w:t xml:space="preserve"> כי הסתמכה על חוות דעת מקצועיות שלפיהן הדין מאפשר לדווח על הכנסתה החייבת באופן שבו עשתה </w:t>
      </w:r>
      <w:r w:rsidR="00671DB3">
        <w:rPr>
          <w:rFonts w:ascii="Garamond" w:hAnsi="Garamond" w:hint="cs"/>
          <w:sz w:val="24"/>
          <w:rtl/>
        </w:rPr>
        <w:t>כן</w:t>
      </w:r>
      <w:r>
        <w:rPr>
          <w:rFonts w:ascii="Garamond" w:hAnsi="Garamond" w:hint="cs"/>
          <w:sz w:val="24"/>
          <w:rtl/>
        </w:rPr>
        <w:t xml:space="preserve">, אך </w:t>
      </w:r>
      <w:r w:rsidR="00671DB3">
        <w:rPr>
          <w:rFonts w:ascii="Garamond" w:hAnsi="Garamond" w:hint="cs"/>
          <w:sz w:val="24"/>
          <w:rtl/>
        </w:rPr>
        <w:t>אין</w:t>
      </w:r>
      <w:r>
        <w:rPr>
          <w:rFonts w:ascii="Garamond" w:hAnsi="Garamond" w:hint="cs"/>
          <w:sz w:val="24"/>
          <w:rtl/>
        </w:rPr>
        <w:t xml:space="preserve"> בהסבר </w:t>
      </w:r>
      <w:r w:rsidR="00671DB3">
        <w:rPr>
          <w:rFonts w:ascii="Garamond" w:hAnsi="Garamond" w:hint="cs"/>
          <w:sz w:val="24"/>
          <w:rtl/>
        </w:rPr>
        <w:t>שנתנה</w:t>
      </w:r>
      <w:r>
        <w:rPr>
          <w:rFonts w:ascii="Garamond" w:hAnsi="Garamond" w:hint="cs"/>
          <w:sz w:val="24"/>
          <w:rtl/>
        </w:rPr>
        <w:t xml:space="preserve"> כדי להניח את הדעת. </w:t>
      </w:r>
      <w:r w:rsidR="00671DB3">
        <w:rPr>
          <w:rFonts w:ascii="Garamond" w:hAnsi="Garamond" w:hint="cs"/>
          <w:sz w:val="24"/>
          <w:rtl/>
        </w:rPr>
        <w:t xml:space="preserve">זאת </w:t>
      </w:r>
      <w:r>
        <w:rPr>
          <w:rFonts w:ascii="Garamond" w:hAnsi="Garamond" w:hint="cs"/>
          <w:sz w:val="24"/>
          <w:rtl/>
        </w:rPr>
        <w:t xml:space="preserve">בעיקר </w:t>
      </w:r>
      <w:r w:rsidR="00767B13">
        <w:rPr>
          <w:rFonts w:ascii="Garamond" w:hAnsi="Garamond" w:hint="cs"/>
          <w:sz w:val="24"/>
          <w:rtl/>
        </w:rPr>
        <w:t>משום</w:t>
      </w:r>
      <w:r>
        <w:rPr>
          <w:rFonts w:ascii="Garamond" w:hAnsi="Garamond" w:hint="cs"/>
          <w:sz w:val="24"/>
          <w:rtl/>
        </w:rPr>
        <w:t xml:space="preserve"> שמדובר בחוות דע</w:t>
      </w:r>
      <w:r w:rsidR="00B472B7">
        <w:rPr>
          <w:rFonts w:ascii="Garamond" w:hAnsi="Garamond" w:hint="cs"/>
          <w:sz w:val="24"/>
          <w:rtl/>
        </w:rPr>
        <w:t xml:space="preserve">ת חשבונאיות וכלכליות, מקום שבו </w:t>
      </w:r>
      <w:r>
        <w:rPr>
          <w:rFonts w:ascii="Garamond" w:hAnsi="Garamond" w:hint="cs"/>
          <w:sz w:val="24"/>
          <w:rtl/>
        </w:rPr>
        <w:t>לכתחילה לא היה צורך להידרש לחוות דעת מ</w:t>
      </w:r>
      <w:r w:rsidR="00B472B7">
        <w:rPr>
          <w:rFonts w:ascii="Garamond" w:hAnsi="Garamond" w:hint="cs"/>
          <w:sz w:val="24"/>
          <w:rtl/>
        </w:rPr>
        <w:t>עין אלה. ו</w:t>
      </w:r>
      <w:r>
        <w:rPr>
          <w:rFonts w:ascii="Garamond" w:hAnsi="Garamond" w:hint="cs"/>
          <w:sz w:val="24"/>
          <w:rtl/>
        </w:rPr>
        <w:t xml:space="preserve">כך גם </w:t>
      </w:r>
      <w:r w:rsidR="00B472B7">
        <w:rPr>
          <w:rFonts w:ascii="Garamond" w:hAnsi="Garamond" w:hint="cs"/>
          <w:sz w:val="24"/>
          <w:rtl/>
        </w:rPr>
        <w:t>משום</w:t>
      </w:r>
      <w:r>
        <w:rPr>
          <w:rFonts w:ascii="Garamond" w:hAnsi="Garamond" w:hint="cs"/>
          <w:sz w:val="24"/>
          <w:rtl/>
        </w:rPr>
        <w:t xml:space="preserve"> שבית המשפט </w:t>
      </w:r>
      <w:r w:rsidRPr="00764D15">
        <w:rPr>
          <w:rFonts w:ascii="FrankRuehl" w:hAnsi="FrankRuehl"/>
          <w:sz w:val="28"/>
          <w:rtl/>
        </w:rPr>
        <w:t>המחוזי מצא בחוות הדעת פגמים רבים, ומ</w:t>
      </w:r>
      <w:r w:rsidR="000906CD">
        <w:rPr>
          <w:rFonts w:ascii="FrankRuehl" w:hAnsi="FrankRuehl" w:hint="cs"/>
          <w:sz w:val="28"/>
          <w:rtl/>
        </w:rPr>
        <w:t xml:space="preserve">ן </w:t>
      </w:r>
      <w:r w:rsidRPr="00764D15">
        <w:rPr>
          <w:rFonts w:ascii="FrankRuehl" w:hAnsi="FrankRuehl"/>
          <w:sz w:val="28"/>
          <w:rtl/>
        </w:rPr>
        <w:t xml:space="preserve">הקביעות בפסק הדין </w:t>
      </w:r>
      <w:r w:rsidR="000906CD">
        <w:rPr>
          <w:rFonts w:ascii="FrankRuehl" w:hAnsi="FrankRuehl" w:hint="cs"/>
          <w:sz w:val="28"/>
          <w:rtl/>
        </w:rPr>
        <w:t>דומה</w:t>
      </w:r>
      <w:r w:rsidRPr="00764D15">
        <w:rPr>
          <w:rFonts w:ascii="FrankRuehl" w:hAnsi="FrankRuehl"/>
          <w:sz w:val="28"/>
          <w:rtl/>
        </w:rPr>
        <w:t xml:space="preserve"> כי מדובר בחוות דעת שהניחו את המבוקש</w:t>
      </w:r>
      <w:r w:rsidRPr="00764D15">
        <w:rPr>
          <w:rFonts w:ascii="FrankRuehl" w:hAnsi="FrankRuehl"/>
          <w:sz w:val="28"/>
        </w:rPr>
        <w:t>;</w:t>
      </w:r>
      <w:r w:rsidRPr="00764D15">
        <w:rPr>
          <w:rFonts w:ascii="FrankRuehl" w:hAnsi="FrankRuehl"/>
          <w:sz w:val="28"/>
          <w:rtl/>
        </w:rPr>
        <w:t xml:space="preserve"> ויוזכר בהקשר זה כי גם חוות הדעת </w:t>
      </w:r>
      <w:r w:rsidR="00767AB0">
        <w:rPr>
          <w:rFonts w:ascii="FrankRuehl" w:hAnsi="FrankRuehl" w:hint="cs"/>
          <w:sz w:val="28"/>
          <w:rtl/>
        </w:rPr>
        <w:t>נסמכו</w:t>
      </w:r>
      <w:r w:rsidRPr="00764D15">
        <w:rPr>
          <w:rFonts w:ascii="FrankRuehl" w:hAnsi="FrankRuehl"/>
          <w:sz w:val="28"/>
          <w:rtl/>
        </w:rPr>
        <w:t xml:space="preserve"> על התמונה העובדתית השגויה שהמערערת הציגה בפני עורכיהן, ושעמדה בניגוד לממצאים העובדתיים שנקבעו בהליך.</w:t>
      </w:r>
      <w:r w:rsidR="00767AB0">
        <w:rPr>
          <w:rFonts w:ascii="Garamond" w:hAnsi="Garamond" w:hint="cs"/>
          <w:sz w:val="24"/>
          <w:rtl/>
        </w:rPr>
        <w:t xml:space="preserve"> ועוד יצוין כי המערערת היא חברה גדולה שנעזרת באנשי מקצוע לצורך הגשת הדיווח לפקיד השומה, ובהיבט זה עניינה שונה באופן משמעותי מהנדון בעניין </w:t>
      </w:r>
      <w:r w:rsidR="00767AB0" w:rsidRPr="00767AB0">
        <w:rPr>
          <w:rFonts w:ascii="Century" w:hAnsi="Century" w:cs="Miriam" w:hint="cs"/>
          <w:b/>
          <w:spacing w:val="0"/>
          <w:szCs w:val="24"/>
          <w:rtl/>
        </w:rPr>
        <w:t>ליכטנשטיין</w:t>
      </w:r>
      <w:r w:rsidR="00767AB0">
        <w:rPr>
          <w:rFonts w:ascii="Garamond" w:hAnsi="Garamond" w:hint="cs"/>
          <w:sz w:val="24"/>
          <w:rtl/>
        </w:rPr>
        <w:t xml:space="preserve">, </w:t>
      </w:r>
      <w:r w:rsidR="00052DAD">
        <w:rPr>
          <w:rFonts w:ascii="Garamond" w:hAnsi="Garamond" w:hint="cs"/>
          <w:sz w:val="24"/>
          <w:rtl/>
        </w:rPr>
        <w:t>שם היה מדובר</w:t>
      </w:r>
      <w:r w:rsidR="00767AB0">
        <w:rPr>
          <w:rFonts w:ascii="Garamond" w:hAnsi="Garamond" w:hint="cs"/>
          <w:sz w:val="24"/>
          <w:rtl/>
        </w:rPr>
        <w:t xml:space="preserve"> בבעל עסק </w:t>
      </w:r>
      <w:r w:rsidR="00484799">
        <w:rPr>
          <w:rFonts w:ascii="Garamond" w:hAnsi="Garamond" w:hint="cs"/>
          <w:sz w:val="24"/>
          <w:rtl/>
        </w:rPr>
        <w:t xml:space="preserve">עצמאי </w:t>
      </w:r>
      <w:r w:rsidR="00767AB0">
        <w:rPr>
          <w:rFonts w:ascii="Garamond" w:hAnsi="Garamond" w:hint="cs"/>
          <w:sz w:val="24"/>
          <w:rtl/>
        </w:rPr>
        <w:t xml:space="preserve">קטן. </w:t>
      </w:r>
    </w:p>
    <w:p w:rsidR="007D6167" w:rsidRDefault="007D6167" w:rsidP="007D6167">
      <w:pPr>
        <w:pStyle w:val="Ruller41"/>
        <w:rPr>
          <w:rFonts w:ascii="Garamond" w:hAnsi="Garamond"/>
          <w:sz w:val="24"/>
          <w:rtl/>
        </w:rPr>
      </w:pPr>
    </w:p>
    <w:p w:rsidR="00931A69" w:rsidRDefault="007D6167" w:rsidP="00931A69">
      <w:pPr>
        <w:pStyle w:val="Ruller4"/>
        <w:rPr>
          <w:rtl/>
        </w:rPr>
      </w:pPr>
      <w:r>
        <w:rPr>
          <w:rFonts w:hint="cs"/>
          <w:rtl/>
        </w:rPr>
        <w:t xml:space="preserve">זאת ועוד. בית המשפט המחוזי ציין, באמרת אגב, </w:t>
      </w:r>
      <w:r w:rsidR="00817A03">
        <w:rPr>
          <w:rFonts w:hint="cs"/>
          <w:rtl/>
        </w:rPr>
        <w:t xml:space="preserve">כי בנסיבות העניין ייתכן שפקיד השומה יכול היה לשקול גם הטלת קנס גירעון </w:t>
      </w:r>
      <w:r w:rsidR="00D40051">
        <w:rPr>
          <w:rFonts w:hint="cs"/>
          <w:rtl/>
        </w:rPr>
        <w:t>מוגדל, לנוכח התנהלותה</w:t>
      </w:r>
      <w:r w:rsidR="00981061">
        <w:rPr>
          <w:rFonts w:hint="cs"/>
          <w:rtl/>
        </w:rPr>
        <w:t xml:space="preserve"> של המערערת</w:t>
      </w:r>
      <w:r>
        <w:rPr>
          <w:rFonts w:hint="cs"/>
          <w:rtl/>
        </w:rPr>
        <w:t xml:space="preserve"> שישנן אינדיקציות לכך שהיא חמורה מהתרשלות. </w:t>
      </w:r>
      <w:r w:rsidR="00E07D55">
        <w:rPr>
          <w:rFonts w:hint="cs"/>
          <w:rtl/>
        </w:rPr>
        <w:t>ואמנם,</w:t>
      </w:r>
      <w:r>
        <w:rPr>
          <w:rFonts w:hint="cs"/>
          <w:rtl/>
        </w:rPr>
        <w:t xml:space="preserve"> התמונה </w:t>
      </w:r>
      <w:r w:rsidR="004E55B1">
        <w:rPr>
          <w:rFonts w:hint="cs"/>
          <w:rtl/>
        </w:rPr>
        <w:t>המסתמנת</w:t>
      </w:r>
      <w:r>
        <w:rPr>
          <w:rFonts w:hint="cs"/>
          <w:rtl/>
        </w:rPr>
        <w:t xml:space="preserve"> מהתנהלותה של המערערת היא של יצירת מצג עובדתי שגוי, </w:t>
      </w:r>
      <w:r w:rsidR="00843E0F">
        <w:rPr>
          <w:rFonts w:hint="cs"/>
          <w:rtl/>
        </w:rPr>
        <w:t>שלא בתום לב</w:t>
      </w:r>
      <w:r>
        <w:rPr>
          <w:rFonts w:hint="cs"/>
          <w:rtl/>
        </w:rPr>
        <w:t xml:space="preserve">, </w:t>
      </w:r>
      <w:r w:rsidR="00686019">
        <w:rPr>
          <w:rFonts w:hint="cs"/>
          <w:rtl/>
        </w:rPr>
        <w:t>בניסיון</w:t>
      </w:r>
      <w:r>
        <w:rPr>
          <w:rFonts w:hint="cs"/>
          <w:rtl/>
        </w:rPr>
        <w:t xml:space="preserve"> להצדיק את הדיווח על הכנסתה החייבת ולהפחית את המס שעליה לשלם. לכאורה, התנהלות מעין זו מעידה על כך ש"</w:t>
      </w:r>
      <w:r w:rsidRPr="007F2D97">
        <w:rPr>
          <w:rFonts w:ascii="Century" w:hAnsi="Century" w:cs="Miriam" w:hint="eastAsia"/>
          <w:b/>
          <w:spacing w:val="0"/>
          <w:sz w:val="22"/>
          <w:szCs w:val="24"/>
          <w:rtl/>
        </w:rPr>
        <w:t>הגרעון</w:t>
      </w:r>
      <w:r w:rsidRPr="007F2D97">
        <w:rPr>
          <w:rFonts w:ascii="Century" w:hAnsi="Century" w:cs="Miriam"/>
          <w:b/>
          <w:spacing w:val="0"/>
          <w:sz w:val="22"/>
          <w:szCs w:val="24"/>
          <w:rtl/>
        </w:rPr>
        <w:t xml:space="preserve"> </w:t>
      </w:r>
      <w:r w:rsidRPr="007F2D97">
        <w:rPr>
          <w:rFonts w:ascii="Century" w:hAnsi="Century" w:cs="Miriam" w:hint="eastAsia"/>
          <w:b/>
          <w:spacing w:val="0"/>
          <w:sz w:val="22"/>
          <w:szCs w:val="24"/>
          <w:rtl/>
        </w:rPr>
        <w:t>נוצר</w:t>
      </w:r>
      <w:r w:rsidRPr="007F2D97">
        <w:rPr>
          <w:rFonts w:ascii="Century" w:hAnsi="Century" w:cs="Miriam"/>
          <w:b/>
          <w:spacing w:val="0"/>
          <w:sz w:val="22"/>
          <w:szCs w:val="24"/>
          <w:rtl/>
        </w:rPr>
        <w:t xml:space="preserve"> </w:t>
      </w:r>
      <w:r w:rsidRPr="007F2D97">
        <w:rPr>
          <w:rFonts w:ascii="Century" w:hAnsi="Century" w:cs="Miriam" w:hint="eastAsia"/>
          <w:b/>
          <w:spacing w:val="0"/>
          <w:sz w:val="22"/>
          <w:szCs w:val="24"/>
          <w:rtl/>
        </w:rPr>
        <w:t>במזיד</w:t>
      </w:r>
      <w:r w:rsidRPr="007F2D97">
        <w:rPr>
          <w:rFonts w:ascii="Century" w:hAnsi="Century" w:cs="Miriam"/>
          <w:b/>
          <w:spacing w:val="0"/>
          <w:sz w:val="22"/>
          <w:szCs w:val="24"/>
          <w:rtl/>
        </w:rPr>
        <w:t xml:space="preserve"> </w:t>
      </w:r>
      <w:r w:rsidRPr="007F2D97">
        <w:rPr>
          <w:rFonts w:ascii="Century" w:hAnsi="Century" w:cs="Miriam" w:hint="eastAsia"/>
          <w:b/>
          <w:spacing w:val="0"/>
          <w:sz w:val="22"/>
          <w:szCs w:val="24"/>
          <w:rtl/>
        </w:rPr>
        <w:t>ומתוך</w:t>
      </w:r>
      <w:r w:rsidRPr="007F2D97">
        <w:rPr>
          <w:rFonts w:ascii="Century" w:hAnsi="Century" w:cs="Miriam"/>
          <w:b/>
          <w:spacing w:val="0"/>
          <w:sz w:val="22"/>
          <w:szCs w:val="24"/>
          <w:rtl/>
        </w:rPr>
        <w:t xml:space="preserve"> </w:t>
      </w:r>
      <w:r w:rsidRPr="007F2D97">
        <w:rPr>
          <w:rFonts w:ascii="Century" w:hAnsi="Century" w:cs="Miriam" w:hint="eastAsia"/>
          <w:b/>
          <w:spacing w:val="0"/>
          <w:sz w:val="22"/>
          <w:szCs w:val="24"/>
          <w:rtl/>
        </w:rPr>
        <w:t>כוונת</w:t>
      </w:r>
      <w:r w:rsidRPr="007F2D97">
        <w:rPr>
          <w:rFonts w:ascii="Century" w:hAnsi="Century" w:cs="Miriam"/>
          <w:b/>
          <w:spacing w:val="0"/>
          <w:sz w:val="22"/>
          <w:szCs w:val="24"/>
          <w:rtl/>
        </w:rPr>
        <w:t xml:space="preserve"> </w:t>
      </w:r>
      <w:r w:rsidRPr="007F2D97">
        <w:rPr>
          <w:rFonts w:ascii="Century" w:hAnsi="Century" w:cs="Miriam" w:hint="eastAsia"/>
          <w:b/>
          <w:spacing w:val="0"/>
          <w:sz w:val="22"/>
          <w:szCs w:val="24"/>
          <w:rtl/>
        </w:rPr>
        <w:t>הנישום</w:t>
      </w:r>
      <w:r w:rsidRPr="007F2D97">
        <w:rPr>
          <w:rFonts w:ascii="Century" w:hAnsi="Century" w:cs="Miriam"/>
          <w:b/>
          <w:spacing w:val="0"/>
          <w:sz w:val="22"/>
          <w:szCs w:val="24"/>
          <w:rtl/>
        </w:rPr>
        <w:t xml:space="preserve"> </w:t>
      </w:r>
      <w:r w:rsidRPr="007F2D97">
        <w:rPr>
          <w:rFonts w:ascii="Century" w:hAnsi="Century" w:cs="Miriam" w:hint="eastAsia"/>
          <w:b/>
          <w:spacing w:val="0"/>
          <w:sz w:val="22"/>
          <w:szCs w:val="24"/>
          <w:rtl/>
        </w:rPr>
        <w:t>להתחמק</w:t>
      </w:r>
      <w:r w:rsidRPr="007F2D97">
        <w:rPr>
          <w:rFonts w:ascii="Century" w:hAnsi="Century" w:cs="Miriam"/>
          <w:b/>
          <w:spacing w:val="0"/>
          <w:sz w:val="22"/>
          <w:szCs w:val="24"/>
          <w:rtl/>
        </w:rPr>
        <w:t xml:space="preserve"> </w:t>
      </w:r>
      <w:r w:rsidRPr="007F2D97">
        <w:rPr>
          <w:rFonts w:ascii="Century" w:hAnsi="Century" w:cs="Miriam" w:hint="eastAsia"/>
          <w:b/>
          <w:spacing w:val="0"/>
          <w:sz w:val="22"/>
          <w:szCs w:val="24"/>
          <w:rtl/>
        </w:rPr>
        <w:t>מתשלום</w:t>
      </w:r>
      <w:r w:rsidRPr="007F2D97">
        <w:rPr>
          <w:rFonts w:ascii="Century" w:hAnsi="Century" w:cs="Miriam"/>
          <w:b/>
          <w:spacing w:val="0"/>
          <w:sz w:val="22"/>
          <w:szCs w:val="24"/>
          <w:rtl/>
        </w:rPr>
        <w:t xml:space="preserve"> </w:t>
      </w:r>
      <w:r w:rsidRPr="007F2D97">
        <w:rPr>
          <w:rFonts w:ascii="Century" w:hAnsi="Century" w:cs="Miriam" w:hint="eastAsia"/>
          <w:b/>
          <w:spacing w:val="0"/>
          <w:sz w:val="22"/>
          <w:szCs w:val="24"/>
          <w:rtl/>
        </w:rPr>
        <w:t>מס</w:t>
      </w:r>
      <w:r>
        <w:rPr>
          <w:rFonts w:hint="cs"/>
          <w:rtl/>
        </w:rPr>
        <w:t>", כפי שקובע סעיף 191(ג) לפקודה, המאפשר להטיל על נישום קנס גירעון מוגדל בשיעור של 30%. עם זאת, משפקיד השומה ביקש להטיל על המערערת קנס בשיעור של 15% בלבד בנסיבות העניין, הדברים נאמרים בגדר למעלה מן הצורך.</w:t>
      </w:r>
    </w:p>
    <w:p w:rsidR="00931A69" w:rsidRPr="00931A69" w:rsidRDefault="00931A69" w:rsidP="00D05738">
      <w:pPr>
        <w:pStyle w:val="Ruller41"/>
        <w:spacing w:line="240" w:lineRule="auto"/>
        <w:rPr>
          <w:rtl/>
        </w:rPr>
      </w:pPr>
    </w:p>
    <w:p w:rsidR="007D6167" w:rsidRPr="00030ACF" w:rsidRDefault="00366A97" w:rsidP="007D6167">
      <w:pPr>
        <w:pStyle w:val="Ruller41"/>
        <w:rPr>
          <w:rFonts w:ascii="Century" w:hAnsi="Century" w:cs="Miriam"/>
          <w:b/>
          <w:spacing w:val="0"/>
          <w:szCs w:val="24"/>
          <w:rtl/>
        </w:rPr>
      </w:pPr>
      <w:r>
        <w:rPr>
          <w:rFonts w:ascii="Century" w:hAnsi="Century" w:cs="Miriam" w:hint="cs"/>
          <w:b/>
          <w:spacing w:val="0"/>
          <w:szCs w:val="24"/>
          <w:rtl/>
        </w:rPr>
        <w:t>הליך הטלת קנס הגירעון על המערערת</w:t>
      </w:r>
    </w:p>
    <w:p w:rsidR="007D6167" w:rsidRDefault="007D6167" w:rsidP="00D05738">
      <w:pPr>
        <w:pStyle w:val="Ruller41"/>
        <w:spacing w:line="240" w:lineRule="auto"/>
        <w:rPr>
          <w:rtl/>
        </w:rPr>
      </w:pPr>
    </w:p>
    <w:p w:rsidR="007D6167" w:rsidRDefault="008213F0" w:rsidP="009F783A">
      <w:pPr>
        <w:pStyle w:val="Ruller4"/>
        <w:rPr>
          <w:rtl/>
        </w:rPr>
      </w:pPr>
      <w:r>
        <w:rPr>
          <w:rFonts w:hint="cs"/>
          <w:rtl/>
        </w:rPr>
        <w:t>הטענה</w:t>
      </w:r>
      <w:r w:rsidR="007D6167">
        <w:rPr>
          <w:rFonts w:hint="cs"/>
          <w:rtl/>
        </w:rPr>
        <w:t xml:space="preserve"> ה</w:t>
      </w:r>
      <w:r>
        <w:rPr>
          <w:rFonts w:hint="cs"/>
          <w:rtl/>
        </w:rPr>
        <w:t xml:space="preserve">נוספת שבפי </w:t>
      </w:r>
      <w:r w:rsidR="00366A97">
        <w:rPr>
          <w:rFonts w:hint="cs"/>
          <w:rtl/>
        </w:rPr>
        <w:t>ה</w:t>
      </w:r>
      <w:r w:rsidR="007D6167">
        <w:rPr>
          <w:rFonts w:hint="cs"/>
          <w:rtl/>
        </w:rPr>
        <w:t xml:space="preserve">מערערת היא </w:t>
      </w:r>
      <w:r w:rsidR="007D6167" w:rsidRPr="00E320AE">
        <w:rPr>
          <w:rFonts w:ascii="FrankRuehl" w:hAnsi="FrankRuehl"/>
          <w:sz w:val="28"/>
          <w:rtl/>
        </w:rPr>
        <w:t xml:space="preserve">שקנס הגירעון הוטל עליה בניגוד לדין, </w:t>
      </w:r>
      <w:r>
        <w:rPr>
          <w:rFonts w:ascii="FrankRuehl" w:hAnsi="FrankRuehl" w:hint="cs"/>
          <w:sz w:val="28"/>
          <w:rtl/>
        </w:rPr>
        <w:t>מאחר</w:t>
      </w:r>
      <w:r w:rsidR="007D6167" w:rsidRPr="00E320AE">
        <w:rPr>
          <w:rFonts w:ascii="FrankRuehl" w:hAnsi="FrankRuehl"/>
          <w:sz w:val="28"/>
          <w:rtl/>
        </w:rPr>
        <w:t xml:space="preserve"> שפקיד השומה לא פעל בהתאם לסדרי הדין הקבועים בפקודה בעניין הטלת</w:t>
      </w:r>
      <w:r w:rsidR="00366A97">
        <w:rPr>
          <w:rFonts w:ascii="FrankRuehl" w:hAnsi="FrankRuehl" w:hint="cs"/>
          <w:sz w:val="28"/>
          <w:rtl/>
        </w:rPr>
        <w:t>ו</w:t>
      </w:r>
      <w:r w:rsidR="007D6167" w:rsidRPr="00E320AE">
        <w:rPr>
          <w:rFonts w:ascii="FrankRuehl" w:hAnsi="FrankRuehl"/>
          <w:sz w:val="28"/>
        </w:rPr>
        <w:t>;</w:t>
      </w:r>
      <w:r w:rsidR="007D6167" w:rsidRPr="00E320AE">
        <w:rPr>
          <w:rFonts w:ascii="FrankRuehl" w:hAnsi="FrankRuehl"/>
          <w:sz w:val="28"/>
          <w:rtl/>
        </w:rPr>
        <w:t xml:space="preserve"> ובתוך כך לא הפעיל את שיקול הדעת </w:t>
      </w:r>
      <w:r w:rsidR="00A51C9D">
        <w:rPr>
          <w:rFonts w:ascii="FrankRuehl" w:hAnsi="FrankRuehl" w:hint="cs"/>
          <w:sz w:val="28"/>
          <w:rtl/>
        </w:rPr>
        <w:t>כפי</w:t>
      </w:r>
      <w:r w:rsidR="007D6167" w:rsidRPr="00E320AE">
        <w:rPr>
          <w:rFonts w:ascii="FrankRuehl" w:hAnsi="FrankRuehl"/>
          <w:sz w:val="28"/>
          <w:rtl/>
        </w:rPr>
        <w:t xml:space="preserve"> </w:t>
      </w:r>
      <w:r w:rsidR="00A51C9D">
        <w:rPr>
          <w:rFonts w:ascii="FrankRuehl" w:hAnsi="FrankRuehl" w:hint="cs"/>
          <w:sz w:val="28"/>
          <w:rtl/>
        </w:rPr>
        <w:t>ש</w:t>
      </w:r>
      <w:r w:rsidR="007D6167" w:rsidRPr="00E320AE">
        <w:rPr>
          <w:rFonts w:ascii="FrankRuehl" w:hAnsi="FrankRuehl"/>
          <w:sz w:val="28"/>
          <w:rtl/>
        </w:rPr>
        <w:t>היה מחויב להפעיל</w:t>
      </w:r>
      <w:r w:rsidR="00A51C9D">
        <w:rPr>
          <w:rFonts w:ascii="FrankRuehl" w:hAnsi="FrankRuehl" w:hint="cs"/>
          <w:sz w:val="28"/>
          <w:rtl/>
        </w:rPr>
        <w:t>ו</w:t>
      </w:r>
      <w:r w:rsidR="007D6167" w:rsidRPr="00E320AE">
        <w:rPr>
          <w:rFonts w:ascii="FrankRuehl" w:hAnsi="FrankRuehl"/>
          <w:sz w:val="28"/>
          <w:rtl/>
        </w:rPr>
        <w:t xml:space="preserve"> </w:t>
      </w:r>
      <w:r w:rsidR="00A51C9D">
        <w:rPr>
          <w:rFonts w:ascii="FrankRuehl" w:hAnsi="FrankRuehl" w:hint="cs"/>
          <w:sz w:val="28"/>
          <w:rtl/>
        </w:rPr>
        <w:t>בהתייחס</w:t>
      </w:r>
      <w:r w:rsidR="007D6167" w:rsidRPr="00E320AE">
        <w:rPr>
          <w:rFonts w:ascii="FrankRuehl" w:hAnsi="FrankRuehl"/>
          <w:sz w:val="28"/>
          <w:rtl/>
        </w:rPr>
        <w:t xml:space="preserve"> לשיעור הקנס שיוטל עליה, ולמעשה גם לא בעניין עצם הטלת הקנס. בנסיבות אלה טוענת המערערת כי בית המשפט המחוזי </w:t>
      </w:r>
      <w:r w:rsidR="009F783A">
        <w:rPr>
          <w:rFonts w:ascii="FrankRuehl" w:hAnsi="FrankRuehl" w:hint="cs"/>
          <w:sz w:val="28"/>
          <w:rtl/>
        </w:rPr>
        <w:t>המיר</w:t>
      </w:r>
      <w:r w:rsidR="007D6167" w:rsidRPr="00E320AE">
        <w:rPr>
          <w:rFonts w:ascii="FrankRuehl" w:hAnsi="FrankRuehl"/>
          <w:sz w:val="28"/>
          <w:rtl/>
        </w:rPr>
        <w:t xml:space="preserve"> את שיקול דעתו של פקיד השומה בשיקול דעתו שלו, ובכך חרג מסמכותו וגם שלל ממנה את זכות ההשגה המגיעה</w:t>
      </w:r>
      <w:r w:rsidR="007D6167">
        <w:rPr>
          <w:rFonts w:hint="cs"/>
          <w:rtl/>
        </w:rPr>
        <w:t xml:space="preserve"> לה בפני פקיד השומה בעניין אופן הפעלת שיקול הדעת. </w:t>
      </w:r>
      <w:r w:rsidR="007D6167" w:rsidRPr="00884F1E">
        <w:rPr>
          <w:rFonts w:ascii="FrankRuehl" w:hAnsi="FrankRuehl" w:hint="cs"/>
          <w:sz w:val="28"/>
          <w:rtl/>
        </w:rPr>
        <w:t>לאחר ששקלתי את הדברים</w:t>
      </w:r>
      <w:r w:rsidR="007D6167" w:rsidRPr="00884F1E">
        <w:rPr>
          <w:rFonts w:ascii="FrankRuehl" w:hAnsi="FrankRuehl"/>
          <w:sz w:val="28"/>
          <w:rtl/>
        </w:rPr>
        <w:t xml:space="preserve">, </w:t>
      </w:r>
      <w:r w:rsidR="007D6167">
        <w:rPr>
          <w:rFonts w:hint="cs"/>
          <w:rtl/>
        </w:rPr>
        <w:t>הגעתי לכלל מסקנה שלא נפל בהליך פגם המצדיק את ביטול קנס הגירעון. ואבאר.</w:t>
      </w:r>
    </w:p>
    <w:p w:rsidR="00D05738" w:rsidRPr="00D05738" w:rsidRDefault="00D05738" w:rsidP="00D05738">
      <w:pPr>
        <w:pStyle w:val="Ruller41"/>
        <w:spacing w:line="240" w:lineRule="auto"/>
        <w:rPr>
          <w:rtl/>
        </w:rPr>
      </w:pPr>
    </w:p>
    <w:p w:rsidR="007D6167" w:rsidRPr="00026640" w:rsidRDefault="007D6167" w:rsidP="001E0CF8">
      <w:pPr>
        <w:pStyle w:val="Ruller4"/>
      </w:pPr>
      <w:r>
        <w:rPr>
          <w:rFonts w:hint="cs"/>
          <w:rtl/>
        </w:rPr>
        <w:t xml:space="preserve">בפקודת מס הכנסה קבועות הוראות שונות בעניין סדרי הדין של הליכי השומה. הוראות אלה חלות בעיקרן גם על </w:t>
      </w:r>
      <w:r w:rsidR="00080E01">
        <w:rPr>
          <w:rFonts w:hint="cs"/>
          <w:rtl/>
        </w:rPr>
        <w:t xml:space="preserve">הטלת </w:t>
      </w:r>
      <w:r>
        <w:rPr>
          <w:rFonts w:hint="cs"/>
          <w:rtl/>
        </w:rPr>
        <w:t xml:space="preserve">קנס </w:t>
      </w:r>
      <w:r w:rsidR="00080E01">
        <w:rPr>
          <w:rFonts w:hint="cs"/>
          <w:rtl/>
        </w:rPr>
        <w:t>ה</w:t>
      </w:r>
      <w:r w:rsidR="00D37008">
        <w:rPr>
          <w:rFonts w:hint="cs"/>
          <w:rtl/>
        </w:rPr>
        <w:t xml:space="preserve">גירעון, </w:t>
      </w:r>
      <w:r>
        <w:rPr>
          <w:rFonts w:hint="cs"/>
          <w:rtl/>
        </w:rPr>
        <w:t xml:space="preserve">זאת מכוח סעיף 191(ד) לפקודה הקובע כי דין קנס גירעון הוא כדין שומה לעניין </w:t>
      </w:r>
      <w:r w:rsidR="00080E01">
        <w:rPr>
          <w:rFonts w:hint="cs"/>
          <w:rtl/>
        </w:rPr>
        <w:t xml:space="preserve">ההוראות הקבועות בסעיפים 152-149 </w:t>
      </w:r>
      <w:r w:rsidR="00080E01">
        <w:rPr>
          <w:rFonts w:hint="cs"/>
          <w:rtl/>
        </w:rPr>
        <w:lastRenderedPageBreak/>
        <w:t>לפקודה</w:t>
      </w:r>
      <w:r>
        <w:rPr>
          <w:rFonts w:hint="cs"/>
          <w:rtl/>
        </w:rPr>
        <w:t xml:space="preserve">. בין היתר, על פי אותן הוראות, יש לשלוח לנישום הודעת שומה שבה מפורטים </w:t>
      </w:r>
      <w:r w:rsidRPr="004276BD">
        <w:rPr>
          <w:rFonts w:hint="eastAsia"/>
          <w:rtl/>
        </w:rPr>
        <w:t>סכום</w:t>
      </w:r>
      <w:r w:rsidRPr="004276BD">
        <w:rPr>
          <w:rtl/>
        </w:rPr>
        <w:t xml:space="preserve"> </w:t>
      </w:r>
      <w:r w:rsidRPr="004276BD">
        <w:rPr>
          <w:rFonts w:hint="eastAsia"/>
          <w:rtl/>
        </w:rPr>
        <w:t>הכנסתו</w:t>
      </w:r>
      <w:r w:rsidRPr="004276BD">
        <w:rPr>
          <w:rtl/>
        </w:rPr>
        <w:t xml:space="preserve"> </w:t>
      </w:r>
      <w:r w:rsidRPr="004276BD">
        <w:rPr>
          <w:rFonts w:hint="eastAsia"/>
          <w:rtl/>
        </w:rPr>
        <w:t>החייבת</w:t>
      </w:r>
      <w:r>
        <w:rPr>
          <w:rFonts w:hint="cs"/>
          <w:rtl/>
        </w:rPr>
        <w:t xml:space="preserve"> ו</w:t>
      </w:r>
      <w:r w:rsidRPr="004276BD">
        <w:rPr>
          <w:rFonts w:hint="eastAsia"/>
          <w:rtl/>
        </w:rPr>
        <w:t>סכום</w:t>
      </w:r>
      <w:r w:rsidRPr="004276BD">
        <w:rPr>
          <w:rtl/>
        </w:rPr>
        <w:t xml:space="preserve"> </w:t>
      </w:r>
      <w:r w:rsidRPr="004276BD">
        <w:rPr>
          <w:rFonts w:hint="eastAsia"/>
          <w:rtl/>
        </w:rPr>
        <w:t>המס</w:t>
      </w:r>
      <w:r w:rsidRPr="004276BD">
        <w:rPr>
          <w:rtl/>
        </w:rPr>
        <w:t xml:space="preserve"> </w:t>
      </w:r>
      <w:r>
        <w:rPr>
          <w:rFonts w:hint="cs"/>
          <w:rtl/>
        </w:rPr>
        <w:t xml:space="preserve">שעליו לשלם. לפיהן גם רשאי הנישום להגיש השגה על השומה, כשבמסגרת הליך ההשגה מוטל על פקיד השומה לפרט בפני הנישום את הנימוקים שהובילו לעריכתה. בתום הליך ההשגה, יכול הנישום להגיע </w:t>
      </w:r>
      <w:r w:rsidRPr="00340BDE">
        <w:rPr>
          <w:rFonts w:ascii="FrankRuehl" w:hAnsi="FrankRuehl"/>
          <w:sz w:val="28"/>
          <w:rtl/>
        </w:rPr>
        <w:t>להסכם עם פקיד השומה לגבי סכום השומה</w:t>
      </w:r>
      <w:r w:rsidRPr="00340BDE">
        <w:rPr>
          <w:rFonts w:ascii="FrankRuehl" w:hAnsi="FrankRuehl"/>
          <w:sz w:val="28"/>
        </w:rPr>
        <w:t>;</w:t>
      </w:r>
      <w:r w:rsidR="0042629C">
        <w:rPr>
          <w:rFonts w:ascii="FrankRuehl" w:hAnsi="FrankRuehl" w:hint="cs"/>
          <w:sz w:val="28"/>
          <w:rtl/>
        </w:rPr>
        <w:t xml:space="preserve"> ואם</w:t>
      </w:r>
      <w:r w:rsidRPr="00340BDE">
        <w:rPr>
          <w:rFonts w:ascii="FrankRuehl" w:hAnsi="FrankRuehl"/>
          <w:sz w:val="28"/>
          <w:rtl/>
        </w:rPr>
        <w:t xml:space="preserve"> לא</w:t>
      </w:r>
      <w:r w:rsidR="0042629C">
        <w:rPr>
          <w:rFonts w:ascii="FrankRuehl" w:hAnsi="FrankRuehl" w:hint="cs"/>
          <w:sz w:val="28"/>
          <w:rtl/>
        </w:rPr>
        <w:t xml:space="preserve"> הושג הסכם,</w:t>
      </w:r>
      <w:r w:rsidRPr="00340BDE">
        <w:rPr>
          <w:rFonts w:ascii="FrankRuehl" w:hAnsi="FrankRuehl"/>
          <w:sz w:val="28"/>
          <w:rtl/>
        </w:rPr>
        <w:t xml:space="preserve"> </w:t>
      </w:r>
      <w:r w:rsidR="0042629C">
        <w:rPr>
          <w:rFonts w:ascii="FrankRuehl" w:hAnsi="FrankRuehl" w:hint="cs"/>
          <w:sz w:val="28"/>
          <w:rtl/>
        </w:rPr>
        <w:t>יקבע</w:t>
      </w:r>
      <w:r w:rsidRPr="00340BDE">
        <w:rPr>
          <w:rFonts w:ascii="FrankRuehl" w:hAnsi="FrankRuehl"/>
          <w:sz w:val="28"/>
          <w:rtl/>
        </w:rPr>
        <w:t xml:space="preserve"> </w:t>
      </w:r>
      <w:r w:rsidR="007266F7">
        <w:rPr>
          <w:rFonts w:ascii="FrankRuehl" w:hAnsi="FrankRuehl" w:hint="cs"/>
          <w:sz w:val="28"/>
          <w:rtl/>
        </w:rPr>
        <w:t xml:space="preserve">האחרון </w:t>
      </w:r>
      <w:r w:rsidRPr="00340BDE">
        <w:rPr>
          <w:rFonts w:ascii="FrankRuehl" w:hAnsi="FrankRuehl"/>
          <w:sz w:val="28"/>
          <w:rtl/>
        </w:rPr>
        <w:t xml:space="preserve">את השומה בצו. </w:t>
      </w:r>
      <w:r w:rsidRPr="00340BDE">
        <w:rPr>
          <w:rFonts w:ascii="FrankRuehl" w:hAnsi="FrankRuehl" w:hint="cs"/>
          <w:sz w:val="28"/>
          <w:rtl/>
        </w:rPr>
        <w:t xml:space="preserve">עוד קובעות אותן הוראות כי </w:t>
      </w:r>
      <w:r w:rsidR="00D24251">
        <w:rPr>
          <w:rFonts w:ascii="FrankRuehl" w:hAnsi="FrankRuehl" w:hint="cs"/>
          <w:sz w:val="28"/>
          <w:rtl/>
        </w:rPr>
        <w:t>ככל ש</w:t>
      </w:r>
      <w:r w:rsidRPr="00340BDE">
        <w:rPr>
          <w:rFonts w:ascii="FrankRuehl" w:hAnsi="FrankRuehl" w:hint="cs"/>
          <w:sz w:val="28"/>
          <w:rtl/>
        </w:rPr>
        <w:t xml:space="preserve">ההשגה הסתיימה בצו ולא בהסכם, </w:t>
      </w:r>
      <w:r w:rsidR="00D24251">
        <w:rPr>
          <w:rFonts w:ascii="FrankRuehl" w:hAnsi="FrankRuehl" w:hint="cs"/>
          <w:sz w:val="28"/>
          <w:rtl/>
        </w:rPr>
        <w:t xml:space="preserve">תוצאותיה </w:t>
      </w:r>
      <w:r w:rsidRPr="00340BDE">
        <w:rPr>
          <w:rFonts w:ascii="FrankRuehl" w:hAnsi="FrankRuehl" w:hint="cs"/>
          <w:sz w:val="28"/>
          <w:rtl/>
        </w:rPr>
        <w:t xml:space="preserve">ניתנות לערעור בפני בית המשפט המחוזי. </w:t>
      </w:r>
      <w:r w:rsidR="00080E01">
        <w:rPr>
          <w:rFonts w:ascii="FrankRuehl" w:hAnsi="FrankRuehl" w:hint="cs"/>
          <w:sz w:val="28"/>
          <w:rtl/>
        </w:rPr>
        <w:t>לעניין סדרי הדין הללו, דין</w:t>
      </w:r>
      <w:r w:rsidRPr="00340BDE">
        <w:rPr>
          <w:rFonts w:ascii="FrankRuehl" w:hAnsi="FrankRuehl" w:hint="cs"/>
          <w:sz w:val="28"/>
          <w:rtl/>
        </w:rPr>
        <w:t xml:space="preserve"> קנס </w:t>
      </w:r>
      <w:r w:rsidR="00080E01">
        <w:rPr>
          <w:rFonts w:ascii="FrankRuehl" w:hAnsi="FrankRuehl" w:hint="cs"/>
          <w:sz w:val="28"/>
          <w:rtl/>
        </w:rPr>
        <w:t>ה</w:t>
      </w:r>
      <w:r w:rsidRPr="00340BDE">
        <w:rPr>
          <w:rFonts w:ascii="FrankRuehl" w:hAnsi="FrankRuehl" w:hint="cs"/>
          <w:sz w:val="28"/>
          <w:rtl/>
        </w:rPr>
        <w:t>גירעון</w:t>
      </w:r>
      <w:r w:rsidR="00080E01">
        <w:rPr>
          <w:rFonts w:ascii="FrankRuehl" w:hAnsi="FrankRuehl" w:hint="cs"/>
          <w:sz w:val="28"/>
          <w:rtl/>
        </w:rPr>
        <w:t xml:space="preserve"> הוא כדין שומה</w:t>
      </w:r>
      <w:r>
        <w:rPr>
          <w:rFonts w:ascii="FrankRuehl" w:hAnsi="FrankRuehl" w:hint="cs"/>
          <w:sz w:val="28"/>
          <w:rtl/>
        </w:rPr>
        <w:t>.</w:t>
      </w:r>
    </w:p>
    <w:p w:rsidR="007D6167" w:rsidRDefault="007D6167" w:rsidP="00D05738">
      <w:pPr>
        <w:pStyle w:val="Ruller41"/>
        <w:spacing w:line="240" w:lineRule="auto"/>
        <w:rPr>
          <w:rtl/>
        </w:rPr>
      </w:pPr>
    </w:p>
    <w:p w:rsidR="008B194B" w:rsidRDefault="007D6167" w:rsidP="003A30F8">
      <w:pPr>
        <w:pStyle w:val="Ruller41"/>
        <w:rPr>
          <w:rtl/>
        </w:rPr>
      </w:pPr>
      <w:r>
        <w:rPr>
          <w:rtl/>
        </w:rPr>
        <w:tab/>
      </w:r>
      <w:r>
        <w:rPr>
          <w:rFonts w:hint="cs"/>
          <w:rtl/>
        </w:rPr>
        <w:t>בענייננו, בהודעת השומה</w:t>
      </w:r>
      <w:r w:rsidR="00E64850">
        <w:rPr>
          <w:rFonts w:hint="cs"/>
          <w:rtl/>
        </w:rPr>
        <w:t xml:space="preserve"> ובצו</w:t>
      </w:r>
      <w:r>
        <w:rPr>
          <w:rFonts w:hint="cs"/>
          <w:rtl/>
        </w:rPr>
        <w:t xml:space="preserve"> צוין רק כי "</w:t>
      </w:r>
      <w:r w:rsidRPr="009A6520">
        <w:rPr>
          <w:rFonts w:ascii="Century" w:hAnsi="Century" w:cs="Miriam" w:hint="cs"/>
          <w:b/>
          <w:spacing w:val="0"/>
          <w:szCs w:val="24"/>
          <w:rtl/>
        </w:rPr>
        <w:t>קנס גירעון יוטל כחוק</w:t>
      </w:r>
      <w:r>
        <w:rPr>
          <w:rFonts w:hint="cs"/>
          <w:rtl/>
        </w:rPr>
        <w:t xml:space="preserve">", </w:t>
      </w:r>
      <w:r w:rsidR="001F5191">
        <w:rPr>
          <w:rFonts w:hint="cs"/>
          <w:rtl/>
        </w:rPr>
        <w:t xml:space="preserve">ניסוח המלמד כביכול על כוונה </w:t>
      </w:r>
      <w:r w:rsidR="001F5191" w:rsidRPr="001F5191">
        <w:rPr>
          <w:rFonts w:ascii="Century" w:hAnsi="Century" w:cs="Miriam" w:hint="cs"/>
          <w:b/>
          <w:spacing w:val="0"/>
          <w:szCs w:val="24"/>
          <w:rtl/>
        </w:rPr>
        <w:t>עתידית</w:t>
      </w:r>
      <w:r w:rsidR="001F5191" w:rsidRPr="001F5191">
        <w:rPr>
          <w:rFonts w:hint="cs"/>
          <w:rtl/>
        </w:rPr>
        <w:t xml:space="preserve"> </w:t>
      </w:r>
      <w:r w:rsidR="001F5191">
        <w:rPr>
          <w:rFonts w:hint="cs"/>
          <w:rtl/>
        </w:rPr>
        <w:t>להטיל את הקנס</w:t>
      </w:r>
      <w:r w:rsidR="00B22996">
        <w:rPr>
          <w:rFonts w:hint="cs"/>
          <w:rtl/>
        </w:rPr>
        <w:t>, במסגרת הודעה נפרדת שת</w:t>
      </w:r>
      <w:r w:rsidR="001D7AF4">
        <w:rPr>
          <w:rFonts w:hint="cs"/>
          <w:rtl/>
        </w:rPr>
        <w:t>י</w:t>
      </w:r>
      <w:r w:rsidR="00B22996">
        <w:rPr>
          <w:rFonts w:hint="cs"/>
          <w:rtl/>
        </w:rPr>
        <w:t xml:space="preserve">שלח למערערת ובה </w:t>
      </w:r>
      <w:r w:rsidR="001D7AF4">
        <w:rPr>
          <w:rFonts w:hint="cs"/>
          <w:rtl/>
        </w:rPr>
        <w:t>פירוט לעניין הקנס</w:t>
      </w:r>
      <w:r w:rsidR="00B22996">
        <w:rPr>
          <w:rFonts w:hint="cs"/>
          <w:rtl/>
        </w:rPr>
        <w:t xml:space="preserve"> ושיעורו</w:t>
      </w:r>
      <w:r w:rsidR="001F5191">
        <w:rPr>
          <w:rFonts w:hint="cs"/>
          <w:rtl/>
        </w:rPr>
        <w:t xml:space="preserve">. אלא </w:t>
      </w:r>
      <w:r w:rsidR="008B194B">
        <w:rPr>
          <w:rFonts w:hint="cs"/>
          <w:rtl/>
        </w:rPr>
        <w:t xml:space="preserve">שנקודת המוצא של הצדדים בבית המשפט המחוזי הייתה כי קנס הגירעון הוטל על המערערת כבר </w:t>
      </w:r>
      <w:r w:rsidR="00967267">
        <w:rPr>
          <w:rFonts w:hint="cs"/>
          <w:rtl/>
        </w:rPr>
        <w:t xml:space="preserve">במסגרת </w:t>
      </w:r>
      <w:r w:rsidR="006423CB">
        <w:rPr>
          <w:rFonts w:hint="cs"/>
          <w:rtl/>
        </w:rPr>
        <w:t>צו זה</w:t>
      </w:r>
      <w:r w:rsidR="00E0315D">
        <w:rPr>
          <w:rFonts w:hint="cs"/>
          <w:rtl/>
        </w:rPr>
        <w:t xml:space="preserve"> </w:t>
      </w:r>
      <w:r w:rsidR="00E0315D">
        <w:rPr>
          <w:rtl/>
        </w:rPr>
        <w:t>–</w:t>
      </w:r>
      <w:r w:rsidR="008B194B">
        <w:rPr>
          <w:rFonts w:hint="cs"/>
          <w:rtl/>
        </w:rPr>
        <w:t xml:space="preserve"> ו</w:t>
      </w:r>
      <w:r w:rsidR="00E0315D">
        <w:rPr>
          <w:rFonts w:hint="cs"/>
          <w:rtl/>
        </w:rPr>
        <w:t xml:space="preserve">יצוין כי בערעור לפנינו </w:t>
      </w:r>
      <w:r w:rsidR="00967267">
        <w:rPr>
          <w:rFonts w:hint="cs"/>
          <w:rtl/>
        </w:rPr>
        <w:t>לא הוסבר כיצד</w:t>
      </w:r>
      <w:r w:rsidR="00117458">
        <w:rPr>
          <w:rFonts w:hint="cs"/>
          <w:rtl/>
        </w:rPr>
        <w:t xml:space="preserve"> </w:t>
      </w:r>
      <w:r w:rsidR="00A37F2D">
        <w:rPr>
          <w:rFonts w:hint="cs"/>
          <w:rtl/>
        </w:rPr>
        <w:t xml:space="preserve">התקבעה </w:t>
      </w:r>
      <w:r w:rsidR="00117458">
        <w:rPr>
          <w:rFonts w:hint="cs"/>
          <w:rtl/>
        </w:rPr>
        <w:t>נקודת מוצא זו</w:t>
      </w:r>
      <w:r w:rsidR="00BD412C">
        <w:rPr>
          <w:rFonts w:hint="cs"/>
          <w:rtl/>
        </w:rPr>
        <w:t xml:space="preserve">, </w:t>
      </w:r>
      <w:r w:rsidR="00A37F2D">
        <w:rPr>
          <w:rFonts w:hint="cs"/>
          <w:rtl/>
        </w:rPr>
        <w:t>אף</w:t>
      </w:r>
      <w:r w:rsidR="00BD412C">
        <w:rPr>
          <w:rFonts w:hint="cs"/>
          <w:rtl/>
        </w:rPr>
        <w:t xml:space="preserve"> לא </w:t>
      </w:r>
      <w:r w:rsidR="00B22996">
        <w:rPr>
          <w:rFonts w:hint="cs"/>
          <w:rtl/>
        </w:rPr>
        <w:t>נאמר מהן הטענות שהועלו בפני בית המש</w:t>
      </w:r>
      <w:r w:rsidR="009B6DCB">
        <w:rPr>
          <w:rFonts w:hint="cs"/>
          <w:rtl/>
        </w:rPr>
        <w:t xml:space="preserve">פט המחוזי </w:t>
      </w:r>
      <w:r w:rsidR="00E0315D">
        <w:rPr>
          <w:rFonts w:hint="cs"/>
          <w:rtl/>
        </w:rPr>
        <w:t>בהתייחס</w:t>
      </w:r>
      <w:r w:rsidR="009B6DCB">
        <w:rPr>
          <w:rFonts w:hint="cs"/>
          <w:rtl/>
        </w:rPr>
        <w:t xml:space="preserve"> להליך הטלת הקנס</w:t>
      </w:r>
      <w:r w:rsidR="00FD6CF4">
        <w:rPr>
          <w:rFonts w:hint="cs"/>
          <w:rtl/>
        </w:rPr>
        <w:t xml:space="preserve"> על ידי פקיד השומה</w:t>
      </w:r>
      <w:r w:rsidR="009B6DCB">
        <w:rPr>
          <w:rFonts w:hint="cs"/>
          <w:rtl/>
        </w:rPr>
        <w:t xml:space="preserve">. </w:t>
      </w:r>
      <w:r w:rsidR="00FF3301">
        <w:rPr>
          <w:rFonts w:hint="cs"/>
          <w:rtl/>
        </w:rPr>
        <w:t xml:space="preserve">בית המשפט המחוזי </w:t>
      </w:r>
      <w:r w:rsidR="003973FD">
        <w:rPr>
          <w:rFonts w:hint="cs"/>
          <w:rtl/>
        </w:rPr>
        <w:t>עצמו</w:t>
      </w:r>
      <w:r w:rsidR="00583FD8">
        <w:rPr>
          <w:rFonts w:hint="cs"/>
          <w:rtl/>
        </w:rPr>
        <w:t xml:space="preserve"> </w:t>
      </w:r>
      <w:r w:rsidR="003A30F8">
        <w:rPr>
          <w:rFonts w:hint="cs"/>
          <w:rtl/>
        </w:rPr>
        <w:t>גם הוא</w:t>
      </w:r>
      <w:r w:rsidR="00FF3301">
        <w:rPr>
          <w:rFonts w:hint="cs"/>
          <w:rtl/>
        </w:rPr>
        <w:t xml:space="preserve"> לא </w:t>
      </w:r>
      <w:r w:rsidR="003973FD">
        <w:rPr>
          <w:rFonts w:hint="cs"/>
          <w:rtl/>
        </w:rPr>
        <w:t>נדרש</w:t>
      </w:r>
      <w:r w:rsidR="00FF3301">
        <w:rPr>
          <w:rFonts w:hint="cs"/>
          <w:rtl/>
        </w:rPr>
        <w:t xml:space="preserve"> </w:t>
      </w:r>
      <w:r w:rsidR="00BA72D0">
        <w:rPr>
          <w:rFonts w:hint="cs"/>
          <w:rtl/>
        </w:rPr>
        <w:t xml:space="preserve">בפסק דינו </w:t>
      </w:r>
      <w:r w:rsidR="00FF3301">
        <w:rPr>
          <w:rFonts w:hint="cs"/>
          <w:rtl/>
        </w:rPr>
        <w:t xml:space="preserve">לטענות </w:t>
      </w:r>
      <w:r w:rsidR="00A37F2D">
        <w:rPr>
          <w:rFonts w:hint="cs"/>
          <w:rtl/>
        </w:rPr>
        <w:t>הנוגעות להליך</w:t>
      </w:r>
      <w:r w:rsidR="00FF3301">
        <w:rPr>
          <w:rFonts w:hint="cs"/>
          <w:rtl/>
        </w:rPr>
        <w:t xml:space="preserve"> </w:t>
      </w:r>
      <w:r w:rsidR="00BA72D0">
        <w:rPr>
          <w:rFonts w:hint="cs"/>
          <w:rtl/>
        </w:rPr>
        <w:t>זה</w:t>
      </w:r>
      <w:r w:rsidR="00FF3301">
        <w:rPr>
          <w:rFonts w:hint="cs"/>
          <w:rtl/>
        </w:rPr>
        <w:t>.</w:t>
      </w:r>
      <w:r w:rsidR="009B6DCB">
        <w:rPr>
          <w:rFonts w:hint="cs"/>
          <w:rtl/>
        </w:rPr>
        <w:t xml:space="preserve"> </w:t>
      </w:r>
      <w:r w:rsidR="00BD412C">
        <w:rPr>
          <w:rFonts w:hint="cs"/>
          <w:rtl/>
        </w:rPr>
        <w:t xml:space="preserve">על כן, </w:t>
      </w:r>
      <w:r w:rsidR="00CA2913">
        <w:rPr>
          <w:rFonts w:hint="cs"/>
          <w:rtl/>
        </w:rPr>
        <w:t xml:space="preserve">למען שלמות התמונה, </w:t>
      </w:r>
      <w:r w:rsidR="003973FD">
        <w:rPr>
          <w:rFonts w:hint="cs"/>
          <w:rtl/>
        </w:rPr>
        <w:t>יש להרחיב</w:t>
      </w:r>
      <w:r w:rsidR="006902FF">
        <w:rPr>
          <w:rFonts w:hint="cs"/>
          <w:rtl/>
        </w:rPr>
        <w:t xml:space="preserve"> תחילה</w:t>
      </w:r>
      <w:r w:rsidR="003973FD">
        <w:rPr>
          <w:rFonts w:hint="cs"/>
          <w:rtl/>
        </w:rPr>
        <w:t xml:space="preserve"> בנוגע לדיון שהתנהל בבית המשפט המחוזי בנוגע לקנס הגירעון</w:t>
      </w:r>
      <w:r w:rsidR="00FC7421">
        <w:rPr>
          <w:rFonts w:hint="cs"/>
          <w:rtl/>
        </w:rPr>
        <w:t>.</w:t>
      </w:r>
      <w:r w:rsidR="003973FD">
        <w:rPr>
          <w:rFonts w:hint="cs"/>
          <w:rtl/>
        </w:rPr>
        <w:t xml:space="preserve"> </w:t>
      </w:r>
    </w:p>
    <w:p w:rsidR="008B194B" w:rsidRDefault="008B194B" w:rsidP="008B194B">
      <w:pPr>
        <w:pStyle w:val="Ruller41"/>
        <w:rPr>
          <w:rtl/>
        </w:rPr>
      </w:pPr>
    </w:p>
    <w:p w:rsidR="00B548E8" w:rsidRDefault="00FC7421" w:rsidP="00BC49AC">
      <w:pPr>
        <w:pStyle w:val="Ruller4"/>
      </w:pPr>
      <w:r>
        <w:rPr>
          <w:rFonts w:hint="cs"/>
          <w:rtl/>
        </w:rPr>
        <w:t xml:space="preserve">ההליך בבית המשפט המחוזי נפתח </w:t>
      </w:r>
      <w:r w:rsidR="00231411">
        <w:rPr>
          <w:rFonts w:hint="cs"/>
          <w:rtl/>
        </w:rPr>
        <w:t xml:space="preserve">לאחר שהתקבל </w:t>
      </w:r>
      <w:r>
        <w:rPr>
          <w:rFonts w:hint="cs"/>
          <w:rtl/>
        </w:rPr>
        <w:t>הצו אצל המערערת</w:t>
      </w:r>
      <w:r w:rsidR="00231411">
        <w:rPr>
          <w:rFonts w:hint="cs"/>
          <w:rtl/>
        </w:rPr>
        <w:t>,</w:t>
      </w:r>
      <w:r>
        <w:rPr>
          <w:rFonts w:hint="cs"/>
          <w:rtl/>
        </w:rPr>
        <w:t xml:space="preserve"> שאז</w:t>
      </w:r>
      <w:r w:rsidR="00231411">
        <w:rPr>
          <w:rFonts w:hint="cs"/>
          <w:rtl/>
        </w:rPr>
        <w:t xml:space="preserve"> הגישה הודעת ערעור</w:t>
      </w:r>
      <w:r>
        <w:rPr>
          <w:rFonts w:hint="cs"/>
          <w:rtl/>
        </w:rPr>
        <w:t xml:space="preserve"> לבית המשפט</w:t>
      </w:r>
      <w:r w:rsidR="00231411">
        <w:rPr>
          <w:rFonts w:hint="cs"/>
          <w:rtl/>
        </w:rPr>
        <w:t>. לאחר הגשת ההודעה, ו</w:t>
      </w:r>
      <w:r w:rsidR="001F5191">
        <w:rPr>
          <w:rFonts w:hint="cs"/>
          <w:rtl/>
        </w:rPr>
        <w:t>כמתחייב מסעיף 5(א) ל</w:t>
      </w:r>
      <w:r w:rsidR="001F5191" w:rsidRPr="001F5191">
        <w:rPr>
          <w:rtl/>
        </w:rPr>
        <w:t xml:space="preserve">תקנות בית משפט (ערעורים </w:t>
      </w:r>
      <w:proofErr w:type="spellStart"/>
      <w:r w:rsidR="001F5191" w:rsidRPr="001F5191">
        <w:rPr>
          <w:rtl/>
        </w:rPr>
        <w:t>בעניני</w:t>
      </w:r>
      <w:proofErr w:type="spellEnd"/>
      <w:r w:rsidR="001F5191" w:rsidRPr="001F5191">
        <w:rPr>
          <w:rtl/>
        </w:rPr>
        <w:t xml:space="preserve"> מס הכנסה), </w:t>
      </w:r>
      <w:r w:rsidR="001F5191">
        <w:rPr>
          <w:rFonts w:hint="cs"/>
          <w:rtl/>
        </w:rPr>
        <w:t>ה</w:t>
      </w:r>
      <w:r w:rsidR="001F5191" w:rsidRPr="001F5191">
        <w:rPr>
          <w:rtl/>
        </w:rPr>
        <w:t>תשל"ט-1978</w:t>
      </w:r>
      <w:r w:rsidR="001F5191">
        <w:rPr>
          <w:rFonts w:hint="cs"/>
          <w:rtl/>
        </w:rPr>
        <w:t xml:space="preserve"> (להלן: </w:t>
      </w:r>
      <w:r w:rsidR="001F5191" w:rsidRPr="001F5191">
        <w:rPr>
          <w:rFonts w:ascii="Century" w:hAnsi="Century" w:cs="Miriam" w:hint="cs"/>
          <w:b/>
          <w:spacing w:val="0"/>
          <w:szCs w:val="24"/>
          <w:rtl/>
        </w:rPr>
        <w:t>התקנות</w:t>
      </w:r>
      <w:r w:rsidR="001F5191">
        <w:rPr>
          <w:rFonts w:hint="cs"/>
          <w:rtl/>
        </w:rPr>
        <w:t xml:space="preserve">) </w:t>
      </w:r>
      <w:r w:rsidR="001F5191">
        <w:rPr>
          <w:rtl/>
        </w:rPr>
        <w:t>–</w:t>
      </w:r>
      <w:r w:rsidR="001F5191">
        <w:rPr>
          <w:rFonts w:hint="cs"/>
          <w:rtl/>
        </w:rPr>
        <w:t xml:space="preserve"> הגיש פקיד השומה לבית המשפט</w:t>
      </w:r>
      <w:r w:rsidR="00A37F2D">
        <w:rPr>
          <w:rFonts w:hint="cs"/>
          <w:rtl/>
        </w:rPr>
        <w:t xml:space="preserve"> הודעה המפרשת את נימוקי השומה. </w:t>
      </w:r>
      <w:r w:rsidR="001F5191">
        <w:rPr>
          <w:rFonts w:hint="cs"/>
          <w:rtl/>
        </w:rPr>
        <w:t>בה</w:t>
      </w:r>
      <w:r w:rsidR="00A37F2D">
        <w:rPr>
          <w:rFonts w:hint="cs"/>
          <w:rtl/>
        </w:rPr>
        <w:t>ודעה</w:t>
      </w:r>
      <w:r>
        <w:rPr>
          <w:rFonts w:hint="cs"/>
          <w:rtl/>
        </w:rPr>
        <w:t xml:space="preserve"> זו</w:t>
      </w:r>
      <w:r w:rsidR="00A37F2D">
        <w:rPr>
          <w:rFonts w:hint="cs"/>
          <w:rtl/>
        </w:rPr>
        <w:t xml:space="preserve"> כתב</w:t>
      </w:r>
      <w:r w:rsidR="00B548E8">
        <w:rPr>
          <w:rFonts w:hint="cs"/>
          <w:rtl/>
        </w:rPr>
        <w:t xml:space="preserve"> </w:t>
      </w:r>
      <w:r w:rsidR="001F5191">
        <w:rPr>
          <w:rFonts w:hint="cs"/>
          <w:rtl/>
        </w:rPr>
        <w:t xml:space="preserve">לעניין קנס הגירעון </w:t>
      </w:r>
      <w:r w:rsidR="00B548E8">
        <w:rPr>
          <w:rFonts w:hint="cs"/>
          <w:rtl/>
        </w:rPr>
        <w:t>כי "יש</w:t>
      </w:r>
      <w:r w:rsidR="001F5191">
        <w:rPr>
          <w:rFonts w:hint="cs"/>
          <w:rtl/>
        </w:rPr>
        <w:t xml:space="preserve"> לאשר את קביעתו </w:t>
      </w:r>
      <w:r w:rsidR="00B548E8">
        <w:rPr>
          <w:rFonts w:hint="cs"/>
          <w:rtl/>
        </w:rPr>
        <w:t>בדבר הטלת קנס גירעון בהתאם לסעיף 191 לפקודה".</w:t>
      </w:r>
      <w:r w:rsidR="00A37F2D">
        <w:rPr>
          <w:rFonts w:hint="cs"/>
          <w:rtl/>
        </w:rPr>
        <w:t xml:space="preserve"> כלומר, פקיד השומה עצמו </w:t>
      </w:r>
      <w:r w:rsidR="00BC49AC">
        <w:rPr>
          <w:rFonts w:hint="cs"/>
          <w:rtl/>
        </w:rPr>
        <w:t>הוא שציין, בראשית ההליך, כי כבר הטיל קנס גירעון על המערערת, וביקש כי בית המשפט יאשר זאת.</w:t>
      </w:r>
    </w:p>
    <w:p w:rsidR="00B548E8" w:rsidRDefault="00B548E8" w:rsidP="00D05738">
      <w:pPr>
        <w:pStyle w:val="Ruller4"/>
        <w:numPr>
          <w:ilvl w:val="0"/>
          <w:numId w:val="0"/>
        </w:numPr>
        <w:spacing w:line="240" w:lineRule="auto"/>
        <w:rPr>
          <w:rtl/>
        </w:rPr>
      </w:pPr>
    </w:p>
    <w:p w:rsidR="00916ED1" w:rsidRDefault="00B548E8" w:rsidP="00DB6A52">
      <w:pPr>
        <w:pStyle w:val="Ruller4"/>
        <w:numPr>
          <w:ilvl w:val="0"/>
          <w:numId w:val="0"/>
        </w:numPr>
        <w:rPr>
          <w:rtl/>
        </w:rPr>
      </w:pPr>
      <w:r>
        <w:rPr>
          <w:rtl/>
        </w:rPr>
        <w:tab/>
      </w:r>
      <w:r w:rsidR="001F5191">
        <w:rPr>
          <w:rFonts w:hint="cs"/>
          <w:rtl/>
        </w:rPr>
        <w:t xml:space="preserve">המערערת בתגובה להודעה, וכפי המתחייב מסעיף 5(ג) לתקנות, הגישה את נימוקי </w:t>
      </w:r>
      <w:r w:rsidR="001F5191" w:rsidRPr="00BA2ED2">
        <w:rPr>
          <w:rFonts w:ascii="FrankRuehl" w:hAnsi="FrankRuehl"/>
          <w:sz w:val="28"/>
          <w:rtl/>
        </w:rPr>
        <w:t>הערעור</w:t>
      </w:r>
      <w:r w:rsidR="001F5191" w:rsidRPr="00BA2ED2">
        <w:rPr>
          <w:rFonts w:ascii="FrankRuehl" w:hAnsi="FrankRuehl"/>
          <w:sz w:val="28"/>
        </w:rPr>
        <w:t>;</w:t>
      </w:r>
      <w:r w:rsidR="001F5191" w:rsidRPr="00BA2ED2">
        <w:rPr>
          <w:rFonts w:ascii="FrankRuehl" w:hAnsi="FrankRuehl"/>
          <w:sz w:val="28"/>
          <w:rtl/>
        </w:rPr>
        <w:t xml:space="preserve"> ובהתייחס לקנס הגירעון טענה כי דינו להתבטל, משום </w:t>
      </w:r>
      <w:r w:rsidR="00785315" w:rsidRPr="00BA2ED2">
        <w:rPr>
          <w:rFonts w:ascii="FrankRuehl" w:hAnsi="FrankRuehl"/>
          <w:sz w:val="28"/>
          <w:rtl/>
        </w:rPr>
        <w:t>שצו השומה לא היה מנומק לעניין</w:t>
      </w:r>
      <w:r w:rsidR="00785315">
        <w:rPr>
          <w:rFonts w:hint="cs"/>
          <w:rtl/>
        </w:rPr>
        <w:t xml:space="preserve"> הקנס ואף שיעור הקנס לא נקבע בו. </w:t>
      </w:r>
      <w:r w:rsidR="00BA2ED2">
        <w:rPr>
          <w:rFonts w:hint="cs"/>
          <w:rtl/>
        </w:rPr>
        <w:t xml:space="preserve">לטענתה </w:t>
      </w:r>
      <w:r w:rsidR="002D4809">
        <w:rPr>
          <w:rFonts w:hint="cs"/>
          <w:rtl/>
        </w:rPr>
        <w:t>אין להטיל קנס גירעון</w:t>
      </w:r>
      <w:r w:rsidR="00785315">
        <w:rPr>
          <w:rFonts w:hint="cs"/>
          <w:rtl/>
        </w:rPr>
        <w:t xml:space="preserve"> באופן אוטומטי, </w:t>
      </w:r>
      <w:r w:rsidR="00BA2ED2">
        <w:rPr>
          <w:rFonts w:hint="cs"/>
          <w:rtl/>
        </w:rPr>
        <w:t>וכלשונה "החלטה מנהלית שאינה מנומקת היא החלטה שלא ניתן לבחון אותה, ובטח שלא ניתן לתקוף אותה או להתגונן מפניה. [...] בהעדר הנמקה מוטל על המערערת קנס גירעון שאין היא יודעת מדוע הוטל, ובלי יכולת להתגונן מפניו. זוהי תוצאה בלתי נס</w:t>
      </w:r>
      <w:r w:rsidR="00916ED1">
        <w:rPr>
          <w:rFonts w:hint="cs"/>
          <w:rtl/>
        </w:rPr>
        <w:t>בלת, ומשום כך דין הקנס להתבטל".</w:t>
      </w:r>
      <w:r w:rsidR="00FB775B">
        <w:rPr>
          <w:rFonts w:hint="cs"/>
          <w:rtl/>
        </w:rPr>
        <w:t xml:space="preserve"> במסגרת הליך ההוכחות שהתנהל </w:t>
      </w:r>
      <w:r w:rsidR="00DB6A52">
        <w:rPr>
          <w:rFonts w:hint="cs"/>
          <w:rtl/>
        </w:rPr>
        <w:lastRenderedPageBreak/>
        <w:t>בהמשך</w:t>
      </w:r>
      <w:r w:rsidR="00FB775B">
        <w:rPr>
          <w:rFonts w:hint="cs"/>
          <w:rtl/>
        </w:rPr>
        <w:t xml:space="preserve"> העידה נציגת פקיד השומה, שנחקרה בחקירה נגדית על ידי בא-כוח המערערת, בין היתר לגבי קנס הגירעון. בחקירתה הבהירה כי שיעור הקנס טרם נקבע, וכי זה ייקבע בהתאם לפסק הדין בערעור המס.</w:t>
      </w:r>
    </w:p>
    <w:p w:rsidR="00916ED1" w:rsidRDefault="00916ED1" w:rsidP="00D05738">
      <w:pPr>
        <w:pStyle w:val="Ruller4"/>
        <w:numPr>
          <w:ilvl w:val="0"/>
          <w:numId w:val="0"/>
        </w:numPr>
        <w:spacing w:line="240" w:lineRule="auto"/>
        <w:rPr>
          <w:rtl/>
        </w:rPr>
      </w:pPr>
    </w:p>
    <w:p w:rsidR="008B194B" w:rsidRDefault="00FB775B" w:rsidP="0035308B">
      <w:pPr>
        <w:pStyle w:val="Ruller4"/>
        <w:numPr>
          <w:ilvl w:val="0"/>
          <w:numId w:val="0"/>
        </w:numPr>
        <w:rPr>
          <w:rtl/>
        </w:rPr>
      </w:pPr>
      <w:r>
        <w:rPr>
          <w:rtl/>
        </w:rPr>
        <w:tab/>
      </w:r>
      <w:r w:rsidR="003418AE">
        <w:rPr>
          <w:rFonts w:hint="cs"/>
          <w:rtl/>
        </w:rPr>
        <w:t>בסיכום טיעוניה בבית המשפט המחוזי</w:t>
      </w:r>
      <w:r>
        <w:rPr>
          <w:rFonts w:hint="cs"/>
          <w:rtl/>
        </w:rPr>
        <w:t>, ובעקבות דבריה של נציגת פקיד השומה בחקירתה הנגדית,</w:t>
      </w:r>
      <w:r w:rsidR="003418AE">
        <w:rPr>
          <w:rFonts w:hint="cs"/>
          <w:rtl/>
        </w:rPr>
        <w:t xml:space="preserve"> הוסיפה</w:t>
      </w:r>
      <w:r>
        <w:rPr>
          <w:rFonts w:hint="cs"/>
          <w:rtl/>
        </w:rPr>
        <w:t xml:space="preserve"> המערערת</w:t>
      </w:r>
      <w:r w:rsidR="003418AE">
        <w:rPr>
          <w:rFonts w:hint="cs"/>
          <w:rtl/>
        </w:rPr>
        <w:t xml:space="preserve"> כי כלל לא הופעל שיקול דעת </w:t>
      </w:r>
      <w:proofErr w:type="spellStart"/>
      <w:r w:rsidR="003418AE">
        <w:rPr>
          <w:rFonts w:hint="cs"/>
          <w:rtl/>
        </w:rPr>
        <w:t>מ</w:t>
      </w:r>
      <w:r w:rsidR="008E0FE7">
        <w:rPr>
          <w:rFonts w:hint="cs"/>
          <w:rtl/>
        </w:rPr>
        <w:t>י</w:t>
      </w:r>
      <w:r w:rsidR="003418AE">
        <w:rPr>
          <w:rFonts w:hint="cs"/>
          <w:rtl/>
        </w:rPr>
        <w:t>נהלי</w:t>
      </w:r>
      <w:proofErr w:type="spellEnd"/>
      <w:r w:rsidR="003418AE">
        <w:rPr>
          <w:rFonts w:hint="cs"/>
          <w:rtl/>
        </w:rPr>
        <w:t xml:space="preserve"> ביחס להטלת קנס הגירעון, וכי הוא הוטל עליה באופן שרירותי </w:t>
      </w:r>
      <w:r w:rsidR="005E5B4E">
        <w:rPr>
          <w:rFonts w:hint="cs"/>
          <w:rtl/>
        </w:rPr>
        <w:t>שאינו מאפשר</w:t>
      </w:r>
      <w:r w:rsidR="003418AE">
        <w:rPr>
          <w:rFonts w:hint="cs"/>
          <w:rtl/>
        </w:rPr>
        <w:t xml:space="preserve"> ביקורת שיפוטית </w:t>
      </w:r>
      <w:r w:rsidR="0035308B">
        <w:rPr>
          <w:rFonts w:hint="cs"/>
          <w:rtl/>
        </w:rPr>
        <w:t>ב</w:t>
      </w:r>
      <w:r w:rsidR="003418AE">
        <w:rPr>
          <w:rFonts w:hint="cs"/>
          <w:rtl/>
        </w:rPr>
        <w:t xml:space="preserve">היעדר ההנמקה. </w:t>
      </w:r>
      <w:r w:rsidR="005E5B4E">
        <w:rPr>
          <w:rFonts w:hint="cs"/>
          <w:rtl/>
        </w:rPr>
        <w:t xml:space="preserve">מעבר לכך נטען כי לגופו של עניין מקורו של הגירעון הוא במחלוקת משפטית לגיטימית, ואין </w:t>
      </w:r>
      <w:r w:rsidR="000E1FCD">
        <w:rPr>
          <w:rFonts w:hint="cs"/>
          <w:rtl/>
        </w:rPr>
        <w:t xml:space="preserve">לכן </w:t>
      </w:r>
      <w:r w:rsidR="005E5B4E">
        <w:rPr>
          <w:rFonts w:hint="cs"/>
          <w:rtl/>
        </w:rPr>
        <w:t>מקום להטלת הקנס.</w:t>
      </w:r>
      <w:r>
        <w:rPr>
          <w:rFonts w:hint="cs"/>
          <w:rtl/>
        </w:rPr>
        <w:t xml:space="preserve"> </w:t>
      </w:r>
      <w:r w:rsidR="005C6157">
        <w:rPr>
          <w:rFonts w:hint="cs"/>
          <w:rtl/>
        </w:rPr>
        <w:t>פקיד השומה בסיכומיו הסתפק בכך שהסביר</w:t>
      </w:r>
      <w:r w:rsidR="00724653">
        <w:rPr>
          <w:rFonts w:hint="cs"/>
          <w:rtl/>
        </w:rPr>
        <w:t xml:space="preserve"> מדוע</w:t>
      </w:r>
      <w:r w:rsidR="005C6157">
        <w:rPr>
          <w:rFonts w:hint="cs"/>
          <w:rtl/>
        </w:rPr>
        <w:t xml:space="preserve"> לשיטתו</w:t>
      </w:r>
      <w:r w:rsidR="00724653">
        <w:rPr>
          <w:rFonts w:hint="cs"/>
          <w:rtl/>
        </w:rPr>
        <w:t xml:space="preserve"> גובהו של הקנס לא פורט בצו. לדבריו, גובה הקנס שהמערערת צריכה לשאת בו ייקבע בהתאם לממצאים של פסק </w:t>
      </w:r>
      <w:r w:rsidR="00724653" w:rsidRPr="00724653">
        <w:rPr>
          <w:rFonts w:ascii="FrankRuehl" w:hAnsi="FrankRuehl"/>
          <w:sz w:val="28"/>
          <w:rtl/>
        </w:rPr>
        <w:t>הדין בערעור המס</w:t>
      </w:r>
      <w:r w:rsidR="00724653" w:rsidRPr="00724653">
        <w:rPr>
          <w:rFonts w:ascii="FrankRuehl" w:hAnsi="FrankRuehl"/>
          <w:sz w:val="28"/>
        </w:rPr>
        <w:t>;</w:t>
      </w:r>
      <w:r w:rsidR="00724653" w:rsidRPr="00724653">
        <w:rPr>
          <w:rFonts w:ascii="FrankRuehl" w:hAnsi="FrankRuehl"/>
          <w:sz w:val="28"/>
          <w:rtl/>
        </w:rPr>
        <w:t xml:space="preserve"> כאשר ככל שתאושר השומה שנקבעה יוטל קנס בשיעור של 15%, וככל שייקבע</w:t>
      </w:r>
      <w:r w:rsidR="00724653">
        <w:rPr>
          <w:rFonts w:hint="cs"/>
          <w:rtl/>
        </w:rPr>
        <w:t xml:space="preserve"> כי העסקה שבמוקד המחלוקת היא מלאכותית יוטל קנס בשיעור מוגדל של 30%.</w:t>
      </w:r>
      <w:r w:rsidR="00E30CE0">
        <w:rPr>
          <w:rFonts w:hint="cs"/>
          <w:rtl/>
        </w:rPr>
        <w:t xml:space="preserve"> כך בהינתן הוראות סעיף 191 לפקודה.</w:t>
      </w:r>
      <w:r w:rsidR="00724653">
        <w:rPr>
          <w:rFonts w:hint="cs"/>
          <w:rtl/>
        </w:rPr>
        <w:t xml:space="preserve"> עוד הוסיף פקיד השומה כי המפקחת שהעידה מטעמו הסבירה את הדברים במהלך הדיונים, וציינה כי ברירת המחדל היא בהטלת קנס רגיל, אלא אם</w:t>
      </w:r>
      <w:r w:rsidR="00EE22F0">
        <w:rPr>
          <w:rFonts w:hint="cs"/>
          <w:rtl/>
        </w:rPr>
        <w:t xml:space="preserve"> כן</w:t>
      </w:r>
      <w:r w:rsidR="00724653">
        <w:rPr>
          <w:rFonts w:hint="cs"/>
          <w:rtl/>
        </w:rPr>
        <w:t xml:space="preserve"> נקבע כי מקור הגירעון בעסקה מלאכותית.</w:t>
      </w:r>
    </w:p>
    <w:p w:rsidR="001D01F9" w:rsidRDefault="001D01F9" w:rsidP="00724653">
      <w:pPr>
        <w:pStyle w:val="Ruller41"/>
        <w:rPr>
          <w:rtl/>
        </w:rPr>
      </w:pPr>
    </w:p>
    <w:p w:rsidR="001D01F9" w:rsidRDefault="00F21742" w:rsidP="008616F3">
      <w:pPr>
        <w:pStyle w:val="Ruller4"/>
        <w:rPr>
          <w:rtl/>
        </w:rPr>
      </w:pPr>
      <w:r>
        <w:rPr>
          <w:rFonts w:hint="cs"/>
          <w:rtl/>
        </w:rPr>
        <w:t xml:space="preserve">אם כן, התמונה </w:t>
      </w:r>
      <w:r w:rsidR="00D61797">
        <w:rPr>
          <w:rFonts w:hint="cs"/>
          <w:rtl/>
        </w:rPr>
        <w:t>שמצטיירת מן ההליך שהתנהל</w:t>
      </w:r>
      <w:r w:rsidR="00C820E9">
        <w:rPr>
          <w:rFonts w:hint="cs"/>
          <w:rtl/>
        </w:rPr>
        <w:t xml:space="preserve"> בבית המשפט המחוזי היא</w:t>
      </w:r>
      <w:r w:rsidR="001D01F9">
        <w:rPr>
          <w:rFonts w:hint="cs"/>
          <w:rtl/>
        </w:rPr>
        <w:t xml:space="preserve"> כי התנהלות פקיד השומה במקרה דנן</w:t>
      </w:r>
      <w:r w:rsidR="00B62FB0">
        <w:rPr>
          <w:rFonts w:hint="cs"/>
          <w:rtl/>
        </w:rPr>
        <w:t xml:space="preserve"> אכן מעוררת קושי משמעותי</w:t>
      </w:r>
      <w:r w:rsidR="001D01F9">
        <w:rPr>
          <w:rFonts w:hint="cs"/>
          <w:rtl/>
        </w:rPr>
        <w:t>. אין לקבל את הגישה שלפיה ניתן להסתפק במסגרת צו השומה באמירה שלפיה "</w:t>
      </w:r>
      <w:r w:rsidR="001D01F9" w:rsidRPr="001D01F9">
        <w:rPr>
          <w:rFonts w:ascii="Century" w:hAnsi="Century" w:cs="Miriam" w:hint="cs"/>
          <w:b/>
          <w:spacing w:val="0"/>
          <w:sz w:val="22"/>
          <w:szCs w:val="24"/>
          <w:rtl/>
        </w:rPr>
        <w:t>קנס גירעון יוטל כחוק</w:t>
      </w:r>
      <w:r w:rsidR="001D01F9">
        <w:rPr>
          <w:rFonts w:hint="cs"/>
          <w:rtl/>
        </w:rPr>
        <w:t xml:space="preserve">", ולהמתין להכרעת בית המשפט </w:t>
      </w:r>
      <w:r w:rsidR="001D01F9" w:rsidRPr="00D71FB0">
        <w:rPr>
          <w:rFonts w:ascii="FrankRuehl" w:hAnsi="FrankRuehl"/>
          <w:sz w:val="28"/>
          <w:rtl/>
        </w:rPr>
        <w:t>בנדון על מנת לקבוע את שיעורו</w:t>
      </w:r>
      <w:r w:rsidR="001D01F9" w:rsidRPr="00D71FB0">
        <w:rPr>
          <w:rFonts w:ascii="FrankRuehl" w:hAnsi="FrankRuehl"/>
          <w:sz w:val="28"/>
        </w:rPr>
        <w:t>;</w:t>
      </w:r>
      <w:r w:rsidR="001D01F9" w:rsidRPr="00D71FB0">
        <w:rPr>
          <w:rFonts w:ascii="FrankRuehl" w:hAnsi="FrankRuehl"/>
          <w:sz w:val="28"/>
          <w:rtl/>
        </w:rPr>
        <w:t xml:space="preserve"> מה גם שאין הכרח </w:t>
      </w:r>
      <w:r w:rsidR="00D71FB0">
        <w:rPr>
          <w:rFonts w:ascii="FrankRuehl" w:hAnsi="FrankRuehl" w:hint="cs"/>
          <w:sz w:val="28"/>
          <w:rtl/>
        </w:rPr>
        <w:t>שיוגש</w:t>
      </w:r>
      <w:r w:rsidR="001D01F9" w:rsidRPr="00D71FB0">
        <w:rPr>
          <w:rFonts w:ascii="FrankRuehl" w:hAnsi="FrankRuehl"/>
          <w:sz w:val="28"/>
          <w:rtl/>
        </w:rPr>
        <w:t xml:space="preserve"> ערעור על שומה שנקבעה בצו</w:t>
      </w:r>
      <w:r w:rsidR="00D71FB0">
        <w:rPr>
          <w:rFonts w:hint="cs"/>
          <w:rtl/>
        </w:rPr>
        <w:t xml:space="preserve">, ובמקרה </w:t>
      </w:r>
      <w:r w:rsidR="00AE3E2C">
        <w:rPr>
          <w:rFonts w:hint="cs"/>
          <w:rtl/>
        </w:rPr>
        <w:t>שזה אכן המצב</w:t>
      </w:r>
      <w:r w:rsidR="00D71FB0">
        <w:rPr>
          <w:rFonts w:hint="cs"/>
          <w:rtl/>
        </w:rPr>
        <w:t xml:space="preserve"> לא ברור כיצד היה נקבע שיעור הקנס </w:t>
      </w:r>
      <w:r w:rsidR="006C4E16">
        <w:rPr>
          <w:rFonts w:hint="cs"/>
          <w:rtl/>
        </w:rPr>
        <w:t>ואימתי</w:t>
      </w:r>
      <w:r w:rsidR="00D71FB0">
        <w:rPr>
          <w:rFonts w:hint="cs"/>
          <w:rtl/>
        </w:rPr>
        <w:t xml:space="preserve"> </w:t>
      </w:r>
      <w:r w:rsidR="00B31E17">
        <w:rPr>
          <w:rFonts w:hint="cs"/>
          <w:rtl/>
        </w:rPr>
        <w:t>שיעור זה</w:t>
      </w:r>
      <w:r w:rsidR="00D71FB0">
        <w:rPr>
          <w:rFonts w:hint="cs"/>
          <w:rtl/>
        </w:rPr>
        <w:t xml:space="preserve"> היה נמסר למערערת. </w:t>
      </w:r>
      <w:r w:rsidR="00C33D0A">
        <w:rPr>
          <w:rFonts w:hint="cs"/>
          <w:rtl/>
        </w:rPr>
        <w:t>בפסק הדין</w:t>
      </w:r>
      <w:r w:rsidR="00B31E17">
        <w:rPr>
          <w:rFonts w:hint="cs"/>
          <w:rtl/>
        </w:rPr>
        <w:t xml:space="preserve"> </w:t>
      </w:r>
      <w:r w:rsidR="00CD5816">
        <w:rPr>
          <w:rFonts w:hint="cs"/>
          <w:rtl/>
        </w:rPr>
        <w:t xml:space="preserve">אמנם </w:t>
      </w:r>
      <w:r w:rsidR="00C33D0A">
        <w:rPr>
          <w:rFonts w:hint="cs"/>
          <w:rtl/>
        </w:rPr>
        <w:t>אין התייחסות לסוגיה זו</w:t>
      </w:r>
      <w:r w:rsidR="00B31E17">
        <w:rPr>
          <w:rFonts w:hint="cs"/>
          <w:rtl/>
        </w:rPr>
        <w:t xml:space="preserve">, אך </w:t>
      </w:r>
      <w:r w:rsidR="008616F3">
        <w:rPr>
          <w:rFonts w:hint="cs"/>
          <w:rtl/>
        </w:rPr>
        <w:t xml:space="preserve">דומני כי ראוי </w:t>
      </w:r>
      <w:r w:rsidR="00B31E17">
        <w:rPr>
          <w:rFonts w:hint="cs"/>
          <w:rtl/>
        </w:rPr>
        <w:t xml:space="preserve">להבהיר כי ככלל, </w:t>
      </w:r>
      <w:r w:rsidR="00447EB4">
        <w:rPr>
          <w:rFonts w:hint="cs"/>
          <w:rtl/>
        </w:rPr>
        <w:t>לאחר שנמסר לנישום כי יוטל עליו קנס גירעון, אין מקום להשהות את ההחלטה הנוגעת לשיעור הקנס</w:t>
      </w:r>
      <w:r w:rsidR="00C820E9">
        <w:rPr>
          <w:rFonts w:hint="cs"/>
          <w:rtl/>
        </w:rPr>
        <w:t xml:space="preserve"> ע</w:t>
      </w:r>
      <w:r w:rsidR="00C838D5">
        <w:rPr>
          <w:rFonts w:hint="cs"/>
          <w:rtl/>
        </w:rPr>
        <w:t>ד להכרעה בערעור מס שיכול שיוגש.</w:t>
      </w:r>
    </w:p>
    <w:p w:rsidR="00CD5816" w:rsidRDefault="00CD5816" w:rsidP="00D05738">
      <w:pPr>
        <w:pStyle w:val="Ruller41"/>
        <w:spacing w:line="240" w:lineRule="auto"/>
        <w:rPr>
          <w:rtl/>
        </w:rPr>
      </w:pPr>
    </w:p>
    <w:p w:rsidR="005B2360" w:rsidRDefault="00CD5816" w:rsidP="00FC6F0F">
      <w:pPr>
        <w:pStyle w:val="Ruller41"/>
        <w:rPr>
          <w:rFonts w:ascii="FrankRuehl" w:hAnsi="FrankRuehl"/>
          <w:sz w:val="28"/>
          <w:rtl/>
        </w:rPr>
      </w:pPr>
      <w:r>
        <w:rPr>
          <w:rtl/>
        </w:rPr>
        <w:tab/>
      </w:r>
      <w:r>
        <w:rPr>
          <w:rFonts w:hint="cs"/>
          <w:rtl/>
        </w:rPr>
        <w:t xml:space="preserve">אף על פי כן, וחרף הפגם </w:t>
      </w:r>
      <w:r w:rsidR="0075770F">
        <w:rPr>
          <w:rFonts w:hint="cs"/>
          <w:rtl/>
        </w:rPr>
        <w:t xml:space="preserve">המסוים </w:t>
      </w:r>
      <w:r>
        <w:rPr>
          <w:rFonts w:hint="cs"/>
          <w:rtl/>
        </w:rPr>
        <w:t xml:space="preserve">בהליך, </w:t>
      </w:r>
      <w:r w:rsidR="005B2360">
        <w:rPr>
          <w:rFonts w:hint="cs"/>
          <w:rtl/>
        </w:rPr>
        <w:t xml:space="preserve">המשמעות המתחייבת ממנו איננה בהכרח ביטול ההחלטה בדבר הטלת הקנס. זאת בהתאם לעיקרון הבטלות היחסית </w:t>
      </w:r>
      <w:r w:rsidR="00A975AD">
        <w:rPr>
          <w:rFonts w:hint="cs"/>
          <w:rtl/>
        </w:rPr>
        <w:t xml:space="preserve">שאומץ זה מכבר בשיטתנו, </w:t>
      </w:r>
      <w:r w:rsidR="00F05138">
        <w:rPr>
          <w:rFonts w:hint="cs"/>
          <w:rtl/>
        </w:rPr>
        <w:t xml:space="preserve">המאפשר גמישות ביחס </w:t>
      </w:r>
      <w:r w:rsidR="00A975AD">
        <w:rPr>
          <w:rFonts w:hint="cs"/>
          <w:rtl/>
        </w:rPr>
        <w:t>לנפקות</w:t>
      </w:r>
      <w:r w:rsidR="00F05138">
        <w:rPr>
          <w:rFonts w:hint="cs"/>
          <w:rtl/>
        </w:rPr>
        <w:t xml:space="preserve"> הפגם </w:t>
      </w:r>
      <w:proofErr w:type="spellStart"/>
      <w:r w:rsidR="00F05138">
        <w:rPr>
          <w:rFonts w:hint="cs"/>
          <w:rtl/>
        </w:rPr>
        <w:t>המינהלי</w:t>
      </w:r>
      <w:proofErr w:type="spellEnd"/>
      <w:r w:rsidR="00A975AD">
        <w:rPr>
          <w:rFonts w:hint="cs"/>
          <w:rtl/>
        </w:rPr>
        <w:t xml:space="preserve"> בשונה מבטלות מוחלטת של ההחלטה שהפגם נפל בה (יצחק זמיר </w:t>
      </w:r>
      <w:r w:rsidR="00A975AD" w:rsidRPr="00A975AD">
        <w:rPr>
          <w:rFonts w:ascii="Century" w:hAnsi="Century" w:cs="Miriam" w:hint="cs"/>
          <w:b/>
          <w:spacing w:val="0"/>
          <w:szCs w:val="24"/>
          <w:rtl/>
        </w:rPr>
        <w:t>הסמכות המינהלית</w:t>
      </w:r>
      <w:r w:rsidR="00A975AD" w:rsidRPr="00A975AD">
        <w:rPr>
          <w:rFonts w:hint="cs"/>
          <w:rtl/>
        </w:rPr>
        <w:t xml:space="preserve"> </w:t>
      </w:r>
      <w:r w:rsidR="00A975AD">
        <w:rPr>
          <w:rFonts w:hint="cs"/>
          <w:rtl/>
        </w:rPr>
        <w:t>כרך ד 3001-2992 (2017)</w:t>
      </w:r>
      <w:r w:rsidR="007F5441">
        <w:rPr>
          <w:rFonts w:hint="cs"/>
          <w:rtl/>
        </w:rPr>
        <w:t xml:space="preserve"> (להלן: </w:t>
      </w:r>
      <w:r w:rsidR="007F5441" w:rsidRPr="007F5441">
        <w:rPr>
          <w:rFonts w:ascii="Century" w:hAnsi="Century" w:cs="Miriam" w:hint="cs"/>
          <w:b/>
          <w:spacing w:val="0"/>
          <w:szCs w:val="24"/>
          <w:rtl/>
        </w:rPr>
        <w:t>זמיר</w:t>
      </w:r>
      <w:r w:rsidR="007F5441">
        <w:rPr>
          <w:rFonts w:hint="cs"/>
          <w:rtl/>
        </w:rPr>
        <w:t>)</w:t>
      </w:r>
      <w:r w:rsidR="00B36825" w:rsidRPr="00B36825">
        <w:rPr>
          <w:rFonts w:ascii="FrankRuehl" w:hAnsi="FrankRuehl"/>
          <w:sz w:val="28"/>
        </w:rPr>
        <w:t>;</w:t>
      </w:r>
      <w:r w:rsidR="00B36825" w:rsidRPr="00B36825">
        <w:rPr>
          <w:rFonts w:ascii="FrankRuehl" w:hAnsi="FrankRuehl"/>
          <w:sz w:val="28"/>
          <w:rtl/>
        </w:rPr>
        <w:t xml:space="preserve"> </w:t>
      </w:r>
      <w:r w:rsidR="00B36825" w:rsidRPr="00B36825">
        <w:rPr>
          <w:rtl/>
        </w:rPr>
        <w:t xml:space="preserve">דנ"א 7398/09 </w:t>
      </w:r>
      <w:r w:rsidR="00B36825" w:rsidRPr="00B36825">
        <w:rPr>
          <w:rFonts w:ascii="Century" w:hAnsi="Century" w:cs="Miriam"/>
          <w:b/>
          <w:spacing w:val="0"/>
          <w:szCs w:val="24"/>
          <w:rtl/>
        </w:rPr>
        <w:t>עיריית ירושלים נ' שירותי בריאות כללית</w:t>
      </w:r>
      <w:r w:rsidR="00B36825" w:rsidRPr="00B36825">
        <w:rPr>
          <w:rtl/>
        </w:rPr>
        <w:t>, פסקה 29 לפסק דינו של הנשיא (</w:t>
      </w:r>
      <w:proofErr w:type="spellStart"/>
      <w:r w:rsidR="00B36825" w:rsidRPr="00B36825">
        <w:rPr>
          <w:rtl/>
        </w:rPr>
        <w:t>בדימ</w:t>
      </w:r>
      <w:proofErr w:type="spellEnd"/>
      <w:r w:rsidR="00B36825" w:rsidRPr="00B36825">
        <w:rPr>
          <w:rtl/>
        </w:rPr>
        <w:t xml:space="preserve">') </w:t>
      </w:r>
      <w:r w:rsidR="00B36825" w:rsidRPr="00B36825">
        <w:rPr>
          <w:rFonts w:ascii="Century" w:hAnsi="Century" w:cs="Miriam"/>
          <w:b/>
          <w:spacing w:val="0"/>
          <w:szCs w:val="24"/>
          <w:rtl/>
        </w:rPr>
        <w:t xml:space="preserve">א' </w:t>
      </w:r>
      <w:proofErr w:type="spellStart"/>
      <w:r w:rsidR="00B36825" w:rsidRPr="00B36825">
        <w:rPr>
          <w:rFonts w:ascii="Century" w:hAnsi="Century" w:cs="Miriam"/>
          <w:b/>
          <w:spacing w:val="0"/>
          <w:szCs w:val="24"/>
          <w:rtl/>
        </w:rPr>
        <w:t>גרוניס</w:t>
      </w:r>
      <w:proofErr w:type="spellEnd"/>
      <w:r w:rsidR="00B36825" w:rsidRPr="00B36825">
        <w:rPr>
          <w:rtl/>
        </w:rPr>
        <w:t xml:space="preserve"> (</w:t>
      </w:r>
      <w:r w:rsidR="00B36825" w:rsidRPr="00B36825">
        <w:rPr>
          <w:rFonts w:ascii="FrankRuehl" w:hAnsi="FrankRuehl"/>
          <w:sz w:val="28"/>
          <w:rtl/>
        </w:rPr>
        <w:t>14.4.2015)</w:t>
      </w:r>
      <w:r w:rsidR="00B36825" w:rsidRPr="00B36825">
        <w:rPr>
          <w:rFonts w:ascii="FrankRuehl" w:hAnsi="FrankRuehl"/>
          <w:sz w:val="28"/>
        </w:rPr>
        <w:t>;</w:t>
      </w:r>
      <w:r w:rsidR="00B36825">
        <w:rPr>
          <w:rFonts w:hint="cs"/>
          <w:rtl/>
        </w:rPr>
        <w:t xml:space="preserve"> </w:t>
      </w:r>
      <w:r w:rsidR="00B36825" w:rsidRPr="00A22FE8">
        <w:rPr>
          <w:rFonts w:ascii="FrankRuehl" w:hAnsi="FrankRuehl"/>
          <w:sz w:val="28"/>
          <w:rtl/>
        </w:rPr>
        <w:t>בג</w:t>
      </w:r>
      <w:r w:rsidR="00B36825" w:rsidRPr="00A22FE8">
        <w:rPr>
          <w:rtl/>
        </w:rPr>
        <w:t>"ץ</w:t>
      </w:r>
      <w:r w:rsidR="00B36825" w:rsidRPr="00A22FE8">
        <w:rPr>
          <w:rFonts w:hint="cs"/>
          <w:rtl/>
        </w:rPr>
        <w:t xml:space="preserve"> </w:t>
      </w:r>
      <w:r w:rsidR="00B36825" w:rsidRPr="00A22FE8">
        <w:rPr>
          <w:rtl/>
        </w:rPr>
        <w:t>2758/01</w:t>
      </w:r>
      <w:r w:rsidR="00B36825" w:rsidRPr="00A22FE8">
        <w:rPr>
          <w:rFonts w:hint="cs"/>
          <w:rtl/>
        </w:rPr>
        <w:t xml:space="preserve"> </w:t>
      </w:r>
      <w:r w:rsidR="00B36825" w:rsidRPr="00A22FE8">
        <w:rPr>
          <w:rFonts w:ascii="Century" w:hAnsi="Century" w:cs="Miriam"/>
          <w:b/>
          <w:spacing w:val="0"/>
          <w:szCs w:val="24"/>
          <w:rtl/>
        </w:rPr>
        <w:t>התנועה למען איכות השלטון בישראל נ' עיריית ירושלים</w:t>
      </w:r>
      <w:r w:rsidR="00B36825" w:rsidRPr="00A22FE8">
        <w:rPr>
          <w:rtl/>
        </w:rPr>
        <w:t xml:space="preserve">, </w:t>
      </w:r>
      <w:proofErr w:type="spellStart"/>
      <w:r w:rsidR="00B36825" w:rsidRPr="00A22FE8">
        <w:rPr>
          <w:rtl/>
        </w:rPr>
        <w:t>פ''ד</w:t>
      </w:r>
      <w:proofErr w:type="spellEnd"/>
      <w:r w:rsidR="00B36825" w:rsidRPr="00A22FE8">
        <w:rPr>
          <w:rtl/>
        </w:rPr>
        <w:t xml:space="preserve"> נח(4) 289</w:t>
      </w:r>
      <w:r w:rsidR="00B36825" w:rsidRPr="00A22FE8">
        <w:rPr>
          <w:rFonts w:hint="cs"/>
          <w:rtl/>
        </w:rPr>
        <w:t xml:space="preserve">, </w:t>
      </w:r>
      <w:r w:rsidR="00B36825" w:rsidRPr="00A22FE8">
        <w:rPr>
          <w:rFonts w:ascii="Century" w:hAnsi="Century"/>
          <w:rtl/>
        </w:rPr>
        <w:t>פסקה 28</w:t>
      </w:r>
      <w:r w:rsidR="00B36825" w:rsidRPr="00A22FE8">
        <w:rPr>
          <w:rFonts w:ascii="FrankRuehl" w:hAnsi="FrankRuehl" w:hint="cs"/>
          <w:sz w:val="28"/>
          <w:rtl/>
        </w:rPr>
        <w:t xml:space="preserve"> </w:t>
      </w:r>
      <w:r w:rsidR="00B36825" w:rsidRPr="00A22FE8">
        <w:rPr>
          <w:rFonts w:ascii="FrankRuehl" w:hAnsi="FrankRuehl" w:hint="cs"/>
          <w:sz w:val="28"/>
          <w:rtl/>
        </w:rPr>
        <w:lastRenderedPageBreak/>
        <w:t>(20</w:t>
      </w:r>
      <w:r w:rsidR="00B36825">
        <w:rPr>
          <w:rFonts w:ascii="FrankRuehl" w:hAnsi="FrankRuehl" w:hint="cs"/>
          <w:sz w:val="28"/>
          <w:rtl/>
        </w:rPr>
        <w:t>0</w:t>
      </w:r>
      <w:r w:rsidR="00B36825" w:rsidRPr="00A22FE8">
        <w:rPr>
          <w:rFonts w:ascii="FrankRuehl" w:hAnsi="FrankRuehl" w:hint="cs"/>
          <w:sz w:val="28"/>
          <w:rtl/>
        </w:rPr>
        <w:t>4)</w:t>
      </w:r>
      <w:r w:rsidR="00A975AD">
        <w:rPr>
          <w:rFonts w:hint="cs"/>
          <w:rtl/>
        </w:rPr>
        <w:t>)</w:t>
      </w:r>
      <w:r w:rsidR="00F05138">
        <w:rPr>
          <w:rFonts w:hint="cs"/>
          <w:rtl/>
        </w:rPr>
        <w:t>.</w:t>
      </w:r>
      <w:r w:rsidR="00675CDA">
        <w:rPr>
          <w:rFonts w:hint="cs"/>
          <w:rtl/>
        </w:rPr>
        <w:t xml:space="preserve"> </w:t>
      </w:r>
      <w:r w:rsidR="00BD2454">
        <w:rPr>
          <w:rFonts w:hint="cs"/>
          <w:rtl/>
        </w:rPr>
        <w:t xml:space="preserve">כך, </w:t>
      </w:r>
      <w:r w:rsidR="00675CDA">
        <w:rPr>
          <w:rFonts w:hint="cs"/>
          <w:rtl/>
        </w:rPr>
        <w:t xml:space="preserve">קביעת התוצאה </w:t>
      </w:r>
      <w:r w:rsidR="00B36825">
        <w:rPr>
          <w:rFonts w:hint="cs"/>
          <w:rtl/>
        </w:rPr>
        <w:t xml:space="preserve">המתחייבת מן הפגם </w:t>
      </w:r>
      <w:r w:rsidR="00A63375">
        <w:rPr>
          <w:rFonts w:hint="cs"/>
          <w:rtl/>
        </w:rPr>
        <w:t>נתונה לשיקול דעת בית המשפט, בהתאם לנסיבות המקרה</w:t>
      </w:r>
      <w:r w:rsidR="00B36825">
        <w:rPr>
          <w:rFonts w:hint="cs"/>
          <w:rtl/>
        </w:rPr>
        <w:t xml:space="preserve"> ומתוך ראייה כוללת המאזנת בין שיקולים שונים </w:t>
      </w:r>
      <w:r w:rsidR="00A63375">
        <w:rPr>
          <w:rFonts w:hint="cs"/>
          <w:rtl/>
        </w:rPr>
        <w:t>ובכללם</w:t>
      </w:r>
      <w:r w:rsidR="00B36825">
        <w:rPr>
          <w:rFonts w:hint="cs"/>
          <w:rtl/>
        </w:rPr>
        <w:t xml:space="preserve"> </w:t>
      </w:r>
      <w:r w:rsidR="00FC6F0F">
        <w:rPr>
          <w:rFonts w:hint="cs"/>
          <w:rtl/>
        </w:rPr>
        <w:t xml:space="preserve">אופי הפגם, </w:t>
      </w:r>
      <w:r w:rsidR="00B36825">
        <w:rPr>
          <w:rFonts w:hint="cs"/>
          <w:rtl/>
        </w:rPr>
        <w:t>חומרת</w:t>
      </w:r>
      <w:r w:rsidR="005B2360">
        <w:rPr>
          <w:rFonts w:hint="cs"/>
          <w:rtl/>
        </w:rPr>
        <w:t xml:space="preserve"> הפגיעה </w:t>
      </w:r>
      <w:r w:rsidR="00B36825">
        <w:rPr>
          <w:rFonts w:hint="cs"/>
          <w:rtl/>
        </w:rPr>
        <w:t xml:space="preserve">שהסב </w:t>
      </w:r>
      <w:r w:rsidR="007F5441">
        <w:rPr>
          <w:rFonts w:hint="cs"/>
          <w:rtl/>
        </w:rPr>
        <w:t xml:space="preserve">בפועל </w:t>
      </w:r>
      <w:r w:rsidR="00B36825">
        <w:rPr>
          <w:rFonts w:hint="cs"/>
          <w:rtl/>
        </w:rPr>
        <w:t xml:space="preserve">לנפגע </w:t>
      </w:r>
      <w:r w:rsidR="00FC6F0F">
        <w:rPr>
          <w:rFonts w:hint="cs"/>
          <w:rtl/>
        </w:rPr>
        <w:t xml:space="preserve">והמשמעויות הכרוכות בביטול ההחלטה המינהלית </w:t>
      </w:r>
      <w:r w:rsidR="005B2360" w:rsidRPr="00A22FE8">
        <w:rPr>
          <w:rFonts w:hint="cs"/>
          <w:rtl/>
        </w:rPr>
        <w:t>(</w:t>
      </w:r>
      <w:r w:rsidR="007F5441">
        <w:rPr>
          <w:rFonts w:hint="cs"/>
          <w:rtl/>
        </w:rPr>
        <w:t>זמיר, בעמ'</w:t>
      </w:r>
      <w:r w:rsidR="007F5441" w:rsidRPr="007F5441">
        <w:rPr>
          <w:rFonts w:ascii="FrankRuehl" w:hAnsi="FrankRuehl"/>
          <w:sz w:val="28"/>
          <w:rtl/>
        </w:rPr>
        <w:t xml:space="preserve"> 3013-3007</w:t>
      </w:r>
      <w:r w:rsidR="007F5441" w:rsidRPr="007F5441">
        <w:rPr>
          <w:rFonts w:ascii="FrankRuehl" w:hAnsi="FrankRuehl"/>
          <w:sz w:val="28"/>
        </w:rPr>
        <w:t>;</w:t>
      </w:r>
      <w:r w:rsidR="007F5441" w:rsidRPr="007F5441">
        <w:rPr>
          <w:rFonts w:ascii="FrankRuehl" w:hAnsi="FrankRuehl"/>
          <w:sz w:val="28"/>
          <w:rtl/>
        </w:rPr>
        <w:t xml:space="preserve"> </w:t>
      </w:r>
      <w:r w:rsidR="00C23F6C">
        <w:rPr>
          <w:rFonts w:ascii="FrankRuehl" w:hAnsi="FrankRuehl" w:hint="cs"/>
          <w:sz w:val="28"/>
          <w:rtl/>
        </w:rPr>
        <w:t xml:space="preserve">דפנה ברק-ארז </w:t>
      </w:r>
      <w:r w:rsidR="00C23F6C">
        <w:rPr>
          <w:rFonts w:ascii="Century" w:hAnsi="Century" w:cs="Miriam" w:hint="cs"/>
          <w:b/>
          <w:spacing w:val="0"/>
          <w:szCs w:val="24"/>
          <w:rtl/>
        </w:rPr>
        <w:t>משפט</w:t>
      </w:r>
      <w:r w:rsidR="00C23F6C" w:rsidRPr="006D35F0">
        <w:rPr>
          <w:rFonts w:ascii="Century" w:hAnsi="Century" w:cs="Miriam" w:hint="cs"/>
          <w:b/>
          <w:spacing w:val="0"/>
          <w:szCs w:val="24"/>
          <w:rtl/>
        </w:rPr>
        <w:t xml:space="preserve"> </w:t>
      </w:r>
      <w:proofErr w:type="spellStart"/>
      <w:r w:rsidR="00C23F6C" w:rsidRPr="006D35F0">
        <w:rPr>
          <w:rFonts w:ascii="Century" w:hAnsi="Century" w:cs="Miriam" w:hint="cs"/>
          <w:b/>
          <w:spacing w:val="0"/>
          <w:szCs w:val="24"/>
          <w:rtl/>
        </w:rPr>
        <w:t>מינהלי</w:t>
      </w:r>
      <w:proofErr w:type="spellEnd"/>
      <w:r w:rsidR="00C23F6C" w:rsidRPr="006D35F0">
        <w:rPr>
          <w:rFonts w:ascii="FrankRuehl" w:hAnsi="FrankRuehl" w:hint="cs"/>
          <w:sz w:val="28"/>
          <w:rtl/>
        </w:rPr>
        <w:t xml:space="preserve"> </w:t>
      </w:r>
      <w:r w:rsidR="00C23F6C">
        <w:rPr>
          <w:rFonts w:ascii="FrankRuehl" w:hAnsi="FrankRuehl" w:hint="cs"/>
          <w:sz w:val="28"/>
          <w:rtl/>
        </w:rPr>
        <w:t>כרך ב 822-821 (2010)</w:t>
      </w:r>
      <w:r w:rsidR="00C23F6C">
        <w:rPr>
          <w:rFonts w:ascii="FrankRuehl" w:hAnsi="FrankRuehl"/>
          <w:sz w:val="28"/>
        </w:rPr>
        <w:t>;</w:t>
      </w:r>
      <w:r w:rsidR="00C23F6C">
        <w:rPr>
          <w:rFonts w:ascii="FrankRuehl" w:hAnsi="FrankRuehl" w:hint="cs"/>
          <w:sz w:val="28"/>
          <w:rtl/>
        </w:rPr>
        <w:t xml:space="preserve"> </w:t>
      </w:r>
      <w:r w:rsidR="00B36825" w:rsidRPr="007F5441">
        <w:rPr>
          <w:rFonts w:ascii="FrankRuehl" w:hAnsi="FrankRuehl"/>
          <w:sz w:val="28"/>
          <w:rtl/>
        </w:rPr>
        <w:t>בג</w:t>
      </w:r>
      <w:r w:rsidR="00B36825" w:rsidRPr="00B36825">
        <w:rPr>
          <w:rtl/>
        </w:rPr>
        <w:t xml:space="preserve">"ץ 5303/16 </w:t>
      </w:r>
      <w:r w:rsidR="00B36825" w:rsidRPr="00C23F6C">
        <w:rPr>
          <w:rFonts w:ascii="Century" w:hAnsi="Century" w:cs="Miriam"/>
          <w:b/>
          <w:spacing w:val="0"/>
          <w:szCs w:val="24"/>
          <w:rtl/>
        </w:rPr>
        <w:t>גרמן נ' שר הבריאות</w:t>
      </w:r>
      <w:r w:rsidR="00B36825">
        <w:rPr>
          <w:rFonts w:hint="cs"/>
          <w:rtl/>
        </w:rPr>
        <w:t>, פסקה 21</w:t>
      </w:r>
      <w:r w:rsidR="00B36825" w:rsidRPr="00B36825">
        <w:rPr>
          <w:rtl/>
        </w:rPr>
        <w:t xml:space="preserve"> (13.11.2018</w:t>
      </w:r>
      <w:r w:rsidR="00B36825" w:rsidRPr="00B36825">
        <w:rPr>
          <w:rFonts w:ascii="FrankRuehl" w:hAnsi="FrankRuehl"/>
          <w:sz w:val="28"/>
          <w:rtl/>
        </w:rPr>
        <w:t>)</w:t>
      </w:r>
      <w:r w:rsidR="005B2360" w:rsidRPr="00A22FE8">
        <w:rPr>
          <w:rFonts w:ascii="FrankRuehl" w:hAnsi="FrankRuehl" w:hint="cs"/>
          <w:sz w:val="28"/>
          <w:rtl/>
        </w:rPr>
        <w:t>)</w:t>
      </w:r>
      <w:r w:rsidR="005B2360" w:rsidRPr="00A22FE8">
        <w:rPr>
          <w:rFonts w:ascii="FrankRuehl" w:hAnsi="FrankRuehl"/>
          <w:sz w:val="28"/>
        </w:rPr>
        <w:t>.</w:t>
      </w:r>
      <w:r w:rsidR="005B2360">
        <w:rPr>
          <w:rFonts w:ascii="FrankRuehl" w:hAnsi="FrankRuehl" w:hint="cs"/>
          <w:sz w:val="28"/>
          <w:rtl/>
        </w:rPr>
        <w:t xml:space="preserve"> עיקרון </w:t>
      </w:r>
      <w:r w:rsidR="00184A65">
        <w:rPr>
          <w:rFonts w:ascii="FrankRuehl" w:hAnsi="FrankRuehl" w:hint="cs"/>
          <w:sz w:val="28"/>
          <w:rtl/>
        </w:rPr>
        <w:t>הבטלות היחסית</w:t>
      </w:r>
      <w:r w:rsidR="005B2360">
        <w:rPr>
          <w:rFonts w:ascii="FrankRuehl" w:hAnsi="FrankRuehl" w:hint="cs"/>
          <w:sz w:val="28"/>
          <w:rtl/>
        </w:rPr>
        <w:t xml:space="preserve"> חל גם בכל הנוגע להליכי מס ושומה, </w:t>
      </w:r>
      <w:r w:rsidR="006E0C60">
        <w:rPr>
          <w:rFonts w:ascii="FrankRuehl" w:hAnsi="FrankRuehl" w:hint="cs"/>
          <w:sz w:val="28"/>
          <w:rtl/>
        </w:rPr>
        <w:t>בהיותן של רשויות המס</w:t>
      </w:r>
      <w:r w:rsidR="005B2360">
        <w:rPr>
          <w:rFonts w:ascii="FrankRuehl" w:hAnsi="FrankRuehl" w:hint="cs"/>
          <w:sz w:val="28"/>
          <w:rtl/>
        </w:rPr>
        <w:t xml:space="preserve"> רשויות </w:t>
      </w:r>
      <w:proofErr w:type="spellStart"/>
      <w:r w:rsidR="005B2360">
        <w:rPr>
          <w:rFonts w:ascii="FrankRuehl" w:hAnsi="FrankRuehl" w:hint="cs"/>
          <w:sz w:val="28"/>
          <w:rtl/>
        </w:rPr>
        <w:t>מינהליות</w:t>
      </w:r>
      <w:proofErr w:type="spellEnd"/>
      <w:r w:rsidR="005B2360">
        <w:rPr>
          <w:rFonts w:ascii="FrankRuehl" w:hAnsi="FrankRuehl" w:hint="cs"/>
          <w:sz w:val="28"/>
          <w:rtl/>
        </w:rPr>
        <w:t xml:space="preserve"> (</w:t>
      </w:r>
      <w:r w:rsidR="005B2360" w:rsidRPr="005C186D">
        <w:rPr>
          <w:rFonts w:ascii="FrankRuehl" w:hAnsi="FrankRuehl"/>
          <w:sz w:val="28"/>
          <w:rtl/>
        </w:rPr>
        <w:t xml:space="preserve">ע"א 3291/11 </w:t>
      </w:r>
      <w:r w:rsidR="005B2360" w:rsidRPr="005C186D">
        <w:rPr>
          <w:rFonts w:ascii="Century" w:hAnsi="Century" w:cs="Miriam"/>
          <w:b/>
          <w:spacing w:val="0"/>
          <w:szCs w:val="24"/>
          <w:rtl/>
        </w:rPr>
        <w:t xml:space="preserve">עמותת </w:t>
      </w:r>
      <w:proofErr w:type="spellStart"/>
      <w:r w:rsidR="005B2360" w:rsidRPr="005C186D">
        <w:rPr>
          <w:rFonts w:ascii="Century" w:hAnsi="Century" w:cs="Miriam"/>
          <w:b/>
          <w:spacing w:val="0"/>
          <w:szCs w:val="24"/>
          <w:rtl/>
        </w:rPr>
        <w:t>י.ע.ל</w:t>
      </w:r>
      <w:proofErr w:type="spellEnd"/>
      <w:r w:rsidR="005B2360" w:rsidRPr="005C186D">
        <w:rPr>
          <w:rFonts w:ascii="Century" w:hAnsi="Century" w:cs="Miriam"/>
          <w:b/>
          <w:spacing w:val="0"/>
          <w:szCs w:val="24"/>
          <w:rtl/>
        </w:rPr>
        <w:t xml:space="preserve"> אסף הרופא נ' רשות המיסים</w:t>
      </w:r>
      <w:r w:rsidR="005B2360" w:rsidRPr="005C186D">
        <w:rPr>
          <w:rFonts w:ascii="FrankRuehl" w:hAnsi="FrankRuehl"/>
          <w:sz w:val="28"/>
          <w:rtl/>
        </w:rPr>
        <w:t>, פסקאות 56-55 (</w:t>
      </w:r>
      <w:r w:rsidR="005B2360">
        <w:rPr>
          <w:rFonts w:ascii="FrankRuehl" w:hAnsi="FrankRuehl" w:hint="cs"/>
          <w:sz w:val="28"/>
          <w:rtl/>
        </w:rPr>
        <w:t>10.8.2017</w:t>
      </w:r>
      <w:r w:rsidR="005B2360" w:rsidRPr="005C186D">
        <w:rPr>
          <w:rFonts w:ascii="FrankRuehl" w:hAnsi="FrankRuehl"/>
          <w:sz w:val="28"/>
          <w:rtl/>
        </w:rPr>
        <w:t>)</w:t>
      </w:r>
      <w:r w:rsidR="005B2360">
        <w:rPr>
          <w:rFonts w:ascii="FrankRuehl" w:hAnsi="FrankRuehl" w:hint="cs"/>
          <w:sz w:val="28"/>
          <w:rtl/>
        </w:rPr>
        <w:t xml:space="preserve">. ראו גם: </w:t>
      </w:r>
      <w:r w:rsidR="005B2360" w:rsidRPr="00A22FE8">
        <w:rPr>
          <w:rtl/>
        </w:rPr>
        <w:t xml:space="preserve">ע"א 8234/11 </w:t>
      </w:r>
      <w:proofErr w:type="spellStart"/>
      <w:r w:rsidR="005B2360" w:rsidRPr="00A22FE8">
        <w:rPr>
          <w:rFonts w:ascii="Century" w:hAnsi="Century" w:cs="Miriam"/>
          <w:b/>
          <w:spacing w:val="0"/>
          <w:szCs w:val="24"/>
          <w:rtl/>
        </w:rPr>
        <w:t>בלטינסקי</w:t>
      </w:r>
      <w:proofErr w:type="spellEnd"/>
      <w:r w:rsidR="005B2360" w:rsidRPr="00A22FE8">
        <w:rPr>
          <w:rFonts w:ascii="Century" w:hAnsi="Century" w:cs="Miriam"/>
          <w:b/>
          <w:spacing w:val="0"/>
          <w:szCs w:val="24"/>
          <w:rtl/>
        </w:rPr>
        <w:t xml:space="preserve"> נ' פקיד שומה עכו</w:t>
      </w:r>
      <w:r w:rsidR="005B2360" w:rsidRPr="00A22FE8">
        <w:rPr>
          <w:rFonts w:hint="cs"/>
          <w:rtl/>
        </w:rPr>
        <w:t>, פסקה 22</w:t>
      </w:r>
      <w:r w:rsidR="005B2360" w:rsidRPr="00A22FE8">
        <w:rPr>
          <w:rtl/>
        </w:rPr>
        <w:t xml:space="preserve"> (</w:t>
      </w:r>
      <w:r w:rsidR="005B2360" w:rsidRPr="00A22FE8">
        <w:rPr>
          <w:rFonts w:hint="cs"/>
          <w:rtl/>
        </w:rPr>
        <w:t>6</w:t>
      </w:r>
      <w:r w:rsidR="005B2360" w:rsidRPr="00A22FE8">
        <w:rPr>
          <w:rtl/>
        </w:rPr>
        <w:t>.</w:t>
      </w:r>
      <w:r w:rsidR="005B2360" w:rsidRPr="00A22FE8">
        <w:rPr>
          <w:rFonts w:hint="cs"/>
          <w:rtl/>
        </w:rPr>
        <w:t>2</w:t>
      </w:r>
      <w:r w:rsidR="005B2360" w:rsidRPr="00A22FE8">
        <w:rPr>
          <w:rtl/>
        </w:rPr>
        <w:t>.</w:t>
      </w:r>
      <w:r w:rsidR="005B2360" w:rsidRPr="00A22FE8">
        <w:rPr>
          <w:rFonts w:ascii="FrankRuehl" w:hAnsi="FrankRuehl"/>
          <w:sz w:val="28"/>
          <w:rtl/>
        </w:rPr>
        <w:t>2014)</w:t>
      </w:r>
      <w:r w:rsidR="005B2360">
        <w:rPr>
          <w:rFonts w:ascii="FrankRuehl" w:hAnsi="FrankRuehl" w:hint="cs"/>
          <w:sz w:val="28"/>
          <w:rtl/>
        </w:rPr>
        <w:t>).</w:t>
      </w:r>
    </w:p>
    <w:p w:rsidR="005B2360" w:rsidRDefault="005B2360" w:rsidP="00D05738">
      <w:pPr>
        <w:pStyle w:val="Ruller41"/>
        <w:spacing w:line="240" w:lineRule="auto"/>
        <w:rPr>
          <w:rFonts w:ascii="FrankRuehl" w:hAnsi="FrankRuehl"/>
          <w:sz w:val="28"/>
          <w:rtl/>
        </w:rPr>
      </w:pPr>
    </w:p>
    <w:p w:rsidR="00F5680A" w:rsidRDefault="005B2360" w:rsidP="00DC5D5B">
      <w:pPr>
        <w:pStyle w:val="Ruller41"/>
        <w:rPr>
          <w:rtl/>
        </w:rPr>
      </w:pPr>
      <w:r>
        <w:rPr>
          <w:rFonts w:ascii="FrankRuehl" w:hAnsi="FrankRuehl"/>
          <w:sz w:val="28"/>
          <w:rtl/>
        </w:rPr>
        <w:tab/>
      </w:r>
      <w:r>
        <w:rPr>
          <w:rFonts w:ascii="FrankRuehl" w:hAnsi="FrankRuehl" w:hint="cs"/>
          <w:sz w:val="28"/>
          <w:rtl/>
        </w:rPr>
        <w:t xml:space="preserve">במקרה הנדון, בחינת התנהלותו של פקיד השומה </w:t>
      </w:r>
      <w:r w:rsidR="00F5680A">
        <w:rPr>
          <w:rFonts w:ascii="FrankRuehl" w:hAnsi="FrankRuehl" w:hint="cs"/>
          <w:sz w:val="28"/>
          <w:rtl/>
        </w:rPr>
        <w:t>א</w:t>
      </w:r>
      <w:r>
        <w:rPr>
          <w:rFonts w:ascii="FrankRuehl" w:hAnsi="FrankRuehl" w:hint="cs"/>
          <w:sz w:val="28"/>
          <w:rtl/>
        </w:rPr>
        <w:t>ל</w:t>
      </w:r>
      <w:r w:rsidR="00F5680A">
        <w:rPr>
          <w:rFonts w:ascii="FrankRuehl" w:hAnsi="FrankRuehl" w:hint="cs"/>
          <w:sz w:val="28"/>
          <w:rtl/>
        </w:rPr>
        <w:t xml:space="preserve"> </w:t>
      </w:r>
      <w:r>
        <w:rPr>
          <w:rFonts w:ascii="FrankRuehl" w:hAnsi="FrankRuehl" w:hint="cs"/>
          <w:sz w:val="28"/>
          <w:rtl/>
        </w:rPr>
        <w:t>מול הפגיעה המצומצמת אם בכלל שנגרמה למערערת</w:t>
      </w:r>
      <w:r w:rsidR="00281289">
        <w:rPr>
          <w:rFonts w:ascii="FrankRuehl" w:hAnsi="FrankRuehl" w:hint="cs"/>
          <w:sz w:val="28"/>
          <w:rtl/>
        </w:rPr>
        <w:t xml:space="preserve"> והחשיבות הטמונה בהרתעת נישומים מהתנהלות דומה</w:t>
      </w:r>
      <w:r w:rsidR="00DE4873">
        <w:rPr>
          <w:rFonts w:ascii="FrankRuehl" w:hAnsi="FrankRuehl" w:hint="cs"/>
          <w:sz w:val="28"/>
          <w:rtl/>
        </w:rPr>
        <w:t xml:space="preserve"> בהגשת דיווח עצמי</w:t>
      </w:r>
      <w:r>
        <w:rPr>
          <w:rFonts w:ascii="FrankRuehl" w:hAnsi="FrankRuehl" w:hint="cs"/>
          <w:sz w:val="28"/>
          <w:rtl/>
        </w:rPr>
        <w:t>, מובילה למסקנה ש</w:t>
      </w:r>
      <w:r w:rsidR="00F5680A">
        <w:rPr>
          <w:rFonts w:ascii="FrankRuehl" w:hAnsi="FrankRuehl" w:hint="cs"/>
          <w:sz w:val="28"/>
          <w:rtl/>
        </w:rPr>
        <w:t xml:space="preserve">אין </w:t>
      </w:r>
      <w:r w:rsidR="00CD5816">
        <w:rPr>
          <w:rFonts w:hint="cs"/>
          <w:rtl/>
        </w:rPr>
        <w:t xml:space="preserve">מקום </w:t>
      </w:r>
      <w:r w:rsidR="00F5680A">
        <w:rPr>
          <w:rFonts w:hint="cs"/>
          <w:rtl/>
        </w:rPr>
        <w:t>להורות על ביטול</w:t>
      </w:r>
      <w:r w:rsidR="00CD5816">
        <w:rPr>
          <w:rFonts w:hint="cs"/>
          <w:rtl/>
        </w:rPr>
        <w:t xml:space="preserve"> קנס הגירעון.</w:t>
      </w:r>
      <w:r w:rsidR="00C838D5">
        <w:rPr>
          <w:rFonts w:hint="cs"/>
          <w:rtl/>
        </w:rPr>
        <w:t xml:space="preserve"> </w:t>
      </w:r>
      <w:r w:rsidR="00962C9C">
        <w:rPr>
          <w:rFonts w:hint="cs"/>
          <w:rtl/>
        </w:rPr>
        <w:t>מ</w:t>
      </w:r>
      <w:r w:rsidR="005F45F8">
        <w:rPr>
          <w:rFonts w:hint="cs"/>
          <w:rtl/>
        </w:rPr>
        <w:t xml:space="preserve">פסק דינו של בית המשפט המחוזי </w:t>
      </w:r>
      <w:r w:rsidR="008616F3">
        <w:rPr>
          <w:rFonts w:hint="cs"/>
          <w:rtl/>
        </w:rPr>
        <w:t>עולה בבירור</w:t>
      </w:r>
      <w:r w:rsidR="005F45F8">
        <w:rPr>
          <w:rFonts w:hint="cs"/>
          <w:rtl/>
        </w:rPr>
        <w:t xml:space="preserve"> כי המערערת</w:t>
      </w:r>
      <w:r w:rsidR="008C38B7">
        <w:rPr>
          <w:rFonts w:hint="cs"/>
          <w:rtl/>
        </w:rPr>
        <w:t xml:space="preserve"> לכל הפחות</w:t>
      </w:r>
      <w:r w:rsidR="005F45F8">
        <w:rPr>
          <w:rFonts w:hint="cs"/>
          <w:rtl/>
        </w:rPr>
        <w:t xml:space="preserve"> התרשלה</w:t>
      </w:r>
      <w:r w:rsidR="008C38B7">
        <w:rPr>
          <w:rFonts w:hint="cs"/>
          <w:rtl/>
        </w:rPr>
        <w:t xml:space="preserve"> בעריכת הדיווח</w:t>
      </w:r>
      <w:r w:rsidR="003F0501">
        <w:rPr>
          <w:rFonts w:hint="cs"/>
          <w:rtl/>
        </w:rPr>
        <w:t xml:space="preserve"> העצמי שהגישה</w:t>
      </w:r>
      <w:r w:rsidR="005F45F8">
        <w:rPr>
          <w:rFonts w:hint="cs"/>
          <w:rtl/>
        </w:rPr>
        <w:t xml:space="preserve">. </w:t>
      </w:r>
      <w:r w:rsidR="00281289">
        <w:rPr>
          <w:rFonts w:hint="cs"/>
          <w:rtl/>
        </w:rPr>
        <w:t>בהליך</w:t>
      </w:r>
      <w:r w:rsidR="00B21BA9">
        <w:rPr>
          <w:rFonts w:hint="cs"/>
          <w:rtl/>
        </w:rPr>
        <w:t xml:space="preserve"> </w:t>
      </w:r>
      <w:r w:rsidR="00DE4873">
        <w:rPr>
          <w:rFonts w:hint="cs"/>
          <w:rtl/>
        </w:rPr>
        <w:t xml:space="preserve">אמנם </w:t>
      </w:r>
      <w:r w:rsidR="00B21BA9">
        <w:rPr>
          <w:rFonts w:hint="cs"/>
          <w:rtl/>
        </w:rPr>
        <w:t>נפל</w:t>
      </w:r>
      <w:r w:rsidR="00281289">
        <w:rPr>
          <w:rFonts w:hint="cs"/>
          <w:rtl/>
        </w:rPr>
        <w:t xml:space="preserve"> פגם בדמות "המתנת" פקיד השומה לפסק הדין, שמא זה יאפשר </w:t>
      </w:r>
      <w:r w:rsidR="00B21BA9">
        <w:rPr>
          <w:rFonts w:hint="cs"/>
          <w:rtl/>
        </w:rPr>
        <w:t xml:space="preserve">לו להטיל על המערערת קנס </w:t>
      </w:r>
      <w:r w:rsidR="000666E2">
        <w:rPr>
          <w:rFonts w:hint="cs"/>
          <w:rtl/>
        </w:rPr>
        <w:t xml:space="preserve">גירעון בשיעור </w:t>
      </w:r>
      <w:r w:rsidR="00B21BA9">
        <w:rPr>
          <w:rFonts w:hint="cs"/>
          <w:rtl/>
        </w:rPr>
        <w:t>גבוה יותר</w:t>
      </w:r>
      <w:r w:rsidR="000666E2">
        <w:rPr>
          <w:rFonts w:hint="cs"/>
          <w:rtl/>
        </w:rPr>
        <w:t xml:space="preserve"> מהרגיל</w:t>
      </w:r>
      <w:r w:rsidR="00B21BA9">
        <w:rPr>
          <w:rFonts w:hint="cs"/>
          <w:rtl/>
        </w:rPr>
        <w:t xml:space="preserve">, </w:t>
      </w:r>
      <w:r w:rsidR="00B21BA9" w:rsidRPr="002500F7">
        <w:rPr>
          <w:rFonts w:ascii="FrankRuehl" w:hAnsi="FrankRuehl"/>
          <w:sz w:val="28"/>
          <w:rtl/>
        </w:rPr>
        <w:t xml:space="preserve">ככל שבית המשפט יגיע למסקנות </w:t>
      </w:r>
      <w:r w:rsidR="001C56EA">
        <w:rPr>
          <w:rFonts w:ascii="FrankRuehl" w:hAnsi="FrankRuehl" w:hint="cs"/>
          <w:sz w:val="28"/>
          <w:rtl/>
        </w:rPr>
        <w:t>שמאפשרות</w:t>
      </w:r>
      <w:r w:rsidR="00B21BA9" w:rsidRPr="002500F7">
        <w:rPr>
          <w:rFonts w:ascii="FrankRuehl" w:hAnsi="FrankRuehl"/>
          <w:sz w:val="28"/>
          <w:rtl/>
        </w:rPr>
        <w:t xml:space="preserve"> זאת על פי התנאים הקבועים בסעיף 191 לפקודה.</w:t>
      </w:r>
      <w:r w:rsidR="00B21BA9">
        <w:rPr>
          <w:rFonts w:hint="cs"/>
          <w:rtl/>
        </w:rPr>
        <w:t xml:space="preserve"> </w:t>
      </w:r>
      <w:r w:rsidR="004E7234">
        <w:rPr>
          <w:rFonts w:hint="cs"/>
          <w:rtl/>
        </w:rPr>
        <w:t xml:space="preserve">טוב היה לו הדברים היו מתנהלים אחרת, אך </w:t>
      </w:r>
      <w:r w:rsidR="00DC5D5B">
        <w:rPr>
          <w:rFonts w:hint="cs"/>
          <w:rtl/>
        </w:rPr>
        <w:t>אין בכך כדי לשנות מן התוצאה.</w:t>
      </w:r>
    </w:p>
    <w:p w:rsidR="007363AE" w:rsidRDefault="007363AE" w:rsidP="00D05738">
      <w:pPr>
        <w:pStyle w:val="Ruller41"/>
        <w:spacing w:line="240" w:lineRule="auto"/>
        <w:rPr>
          <w:rtl/>
        </w:rPr>
      </w:pPr>
    </w:p>
    <w:p w:rsidR="007363AE" w:rsidRDefault="007363AE" w:rsidP="005A4AFB">
      <w:pPr>
        <w:pStyle w:val="Ruller41"/>
        <w:rPr>
          <w:rtl/>
        </w:rPr>
      </w:pPr>
      <w:r>
        <w:rPr>
          <w:rtl/>
        </w:rPr>
        <w:tab/>
      </w:r>
      <w:r w:rsidR="00424F95">
        <w:rPr>
          <w:rFonts w:hint="cs"/>
          <w:rtl/>
        </w:rPr>
        <w:t>בפועל</w:t>
      </w:r>
      <w:r w:rsidR="004E7234">
        <w:rPr>
          <w:rFonts w:hint="cs"/>
          <w:rtl/>
        </w:rPr>
        <w:t xml:space="preserve">, </w:t>
      </w:r>
      <w:r>
        <w:rPr>
          <w:rFonts w:ascii="FrankRuehl" w:hAnsi="FrankRuehl" w:hint="cs"/>
          <w:sz w:val="28"/>
          <w:rtl/>
        </w:rPr>
        <w:t xml:space="preserve">בעצם הדיון בערעור המס שהתנהל לפני בית המשפט המחוזי </w:t>
      </w:r>
      <w:r w:rsidR="00AE3E2C">
        <w:rPr>
          <w:rFonts w:ascii="FrankRuehl" w:hAnsi="FrankRuehl" w:hint="cs"/>
          <w:sz w:val="28"/>
          <w:rtl/>
        </w:rPr>
        <w:t xml:space="preserve">היה </w:t>
      </w:r>
      <w:r>
        <w:rPr>
          <w:rFonts w:ascii="FrankRuehl" w:hAnsi="FrankRuehl" w:hint="cs"/>
          <w:sz w:val="28"/>
          <w:rtl/>
        </w:rPr>
        <w:t>כדי לרפא את הפגיע</w:t>
      </w:r>
      <w:r w:rsidR="00421E7D">
        <w:rPr>
          <w:rFonts w:ascii="FrankRuehl" w:hAnsi="FrankRuehl" w:hint="cs"/>
          <w:sz w:val="28"/>
          <w:rtl/>
        </w:rPr>
        <w:t>ה</w:t>
      </w:r>
      <w:r>
        <w:rPr>
          <w:rFonts w:ascii="FrankRuehl" w:hAnsi="FrankRuehl" w:hint="cs"/>
          <w:sz w:val="28"/>
          <w:rtl/>
        </w:rPr>
        <w:t xml:space="preserve"> </w:t>
      </w:r>
      <w:r w:rsidR="004E7234">
        <w:rPr>
          <w:rFonts w:ascii="FrankRuehl" w:hAnsi="FrankRuehl" w:hint="cs"/>
          <w:sz w:val="28"/>
          <w:rtl/>
        </w:rPr>
        <w:t>ש</w:t>
      </w:r>
      <w:r w:rsidR="0031343C">
        <w:rPr>
          <w:rFonts w:ascii="FrankRuehl" w:hAnsi="FrankRuehl" w:hint="cs"/>
          <w:sz w:val="28"/>
          <w:rtl/>
        </w:rPr>
        <w:t>המערערת</w:t>
      </w:r>
      <w:r w:rsidR="00421E7D">
        <w:rPr>
          <w:rFonts w:ascii="FrankRuehl" w:hAnsi="FrankRuehl" w:hint="cs"/>
          <w:sz w:val="28"/>
          <w:rtl/>
        </w:rPr>
        <w:t xml:space="preserve"> טוענת לה</w:t>
      </w:r>
      <w:r>
        <w:rPr>
          <w:rFonts w:ascii="FrankRuehl" w:hAnsi="FrankRuehl" w:hint="cs"/>
          <w:sz w:val="28"/>
          <w:rtl/>
        </w:rPr>
        <w:t xml:space="preserve">, הן בנוגע </w:t>
      </w:r>
      <w:r w:rsidR="00276731">
        <w:rPr>
          <w:rFonts w:ascii="FrankRuehl" w:hAnsi="FrankRuehl" w:hint="cs"/>
          <w:sz w:val="28"/>
          <w:rtl/>
        </w:rPr>
        <w:t xml:space="preserve">לזכות ההשגה שלה בפני פקיד השומה, הן בנוגע </w:t>
      </w:r>
      <w:r w:rsidR="007D2C35">
        <w:rPr>
          <w:rFonts w:ascii="FrankRuehl" w:hAnsi="FrankRuehl" w:hint="cs"/>
          <w:sz w:val="28"/>
          <w:rtl/>
        </w:rPr>
        <w:t>להפעלת שיקול דעתו</w:t>
      </w:r>
      <w:r w:rsidR="00276731">
        <w:rPr>
          <w:rFonts w:ascii="FrankRuehl" w:hAnsi="FrankRuehl" w:hint="cs"/>
          <w:sz w:val="28"/>
          <w:rtl/>
        </w:rPr>
        <w:t>.</w:t>
      </w:r>
      <w:r>
        <w:rPr>
          <w:rFonts w:ascii="FrankRuehl" w:hAnsi="FrankRuehl" w:hint="cs"/>
          <w:sz w:val="28"/>
          <w:rtl/>
        </w:rPr>
        <w:t xml:space="preserve"> </w:t>
      </w:r>
      <w:r w:rsidR="00276731">
        <w:rPr>
          <w:rFonts w:ascii="FrankRuehl" w:hAnsi="FrankRuehl" w:hint="cs"/>
          <w:sz w:val="28"/>
          <w:rtl/>
        </w:rPr>
        <w:t xml:space="preserve">אשר לזכות ההשגה, ייאמר תחילה כי המערערת לא הבהירה מהן </w:t>
      </w:r>
      <w:r w:rsidR="00FD6FC0">
        <w:rPr>
          <w:rFonts w:ascii="FrankRuehl" w:hAnsi="FrankRuehl" w:hint="cs"/>
          <w:sz w:val="28"/>
          <w:rtl/>
        </w:rPr>
        <w:t>טענותיה</w:t>
      </w:r>
      <w:r w:rsidR="00276731">
        <w:rPr>
          <w:rFonts w:ascii="FrankRuehl" w:hAnsi="FrankRuehl" w:hint="cs"/>
          <w:sz w:val="28"/>
          <w:rtl/>
        </w:rPr>
        <w:t xml:space="preserve"> </w:t>
      </w:r>
      <w:r w:rsidR="00FD6FC0">
        <w:rPr>
          <w:rFonts w:ascii="FrankRuehl" w:hAnsi="FrankRuehl" w:hint="cs"/>
          <w:sz w:val="28"/>
          <w:rtl/>
        </w:rPr>
        <w:t xml:space="preserve">בעניין </w:t>
      </w:r>
      <w:r w:rsidR="00773932">
        <w:rPr>
          <w:rFonts w:ascii="FrankRuehl" w:hAnsi="FrankRuehl" w:hint="cs"/>
          <w:sz w:val="28"/>
          <w:rtl/>
        </w:rPr>
        <w:t xml:space="preserve">קנס </w:t>
      </w:r>
      <w:r w:rsidR="00FD6FC0">
        <w:rPr>
          <w:rFonts w:ascii="FrankRuehl" w:hAnsi="FrankRuehl" w:hint="cs"/>
          <w:sz w:val="28"/>
          <w:rtl/>
        </w:rPr>
        <w:t>הגירעון ש</w:t>
      </w:r>
      <w:r w:rsidR="001C577A">
        <w:rPr>
          <w:rFonts w:ascii="FrankRuehl" w:hAnsi="FrankRuehl" w:hint="cs"/>
          <w:sz w:val="28"/>
          <w:rtl/>
        </w:rPr>
        <w:t xml:space="preserve">אותן </w:t>
      </w:r>
      <w:r w:rsidR="005E41FC">
        <w:rPr>
          <w:rFonts w:ascii="FrankRuehl" w:hAnsi="FrankRuehl" w:hint="cs"/>
          <w:sz w:val="28"/>
          <w:rtl/>
        </w:rPr>
        <w:t>נמנע ממנה</w:t>
      </w:r>
      <w:r w:rsidR="00C37866">
        <w:rPr>
          <w:rFonts w:ascii="FrankRuehl" w:hAnsi="FrankRuehl" w:hint="cs"/>
          <w:sz w:val="28"/>
          <w:rtl/>
        </w:rPr>
        <w:t xml:space="preserve"> להעלות </w:t>
      </w:r>
      <w:r w:rsidR="00FD6FC0">
        <w:rPr>
          <w:rFonts w:ascii="FrankRuehl" w:hAnsi="FrankRuehl" w:hint="cs"/>
          <w:sz w:val="28"/>
          <w:rtl/>
        </w:rPr>
        <w:t xml:space="preserve">בפני פקיד השומה. יוזכר כי המערערת ניהלה הליך השגה בעניין </w:t>
      </w:r>
      <w:r w:rsidR="00DE4873">
        <w:rPr>
          <w:rFonts w:ascii="FrankRuehl" w:hAnsi="FrankRuehl" w:hint="cs"/>
          <w:sz w:val="28"/>
          <w:rtl/>
        </w:rPr>
        <w:t>ההכנסה החייבת</w:t>
      </w:r>
      <w:r w:rsidR="00FB503C">
        <w:rPr>
          <w:rFonts w:ascii="FrankRuehl" w:hAnsi="FrankRuehl" w:hint="cs"/>
          <w:sz w:val="28"/>
          <w:rtl/>
        </w:rPr>
        <w:t xml:space="preserve"> במס</w:t>
      </w:r>
      <w:r w:rsidR="00DE4873">
        <w:rPr>
          <w:rFonts w:ascii="FrankRuehl" w:hAnsi="FrankRuehl" w:hint="cs"/>
          <w:sz w:val="28"/>
          <w:rtl/>
        </w:rPr>
        <w:t xml:space="preserve"> שנקבעה לה</w:t>
      </w:r>
      <w:r w:rsidR="00C37866">
        <w:rPr>
          <w:rFonts w:ascii="FrankRuehl" w:hAnsi="FrankRuehl" w:hint="cs"/>
          <w:sz w:val="28"/>
          <w:rtl/>
        </w:rPr>
        <w:t>,</w:t>
      </w:r>
      <w:r w:rsidR="00FD6FC0">
        <w:rPr>
          <w:rFonts w:ascii="FrankRuehl" w:hAnsi="FrankRuehl" w:hint="cs"/>
          <w:sz w:val="28"/>
          <w:rtl/>
        </w:rPr>
        <w:t xml:space="preserve"> כאשר הטלת הקנס נובעת באופן ישיר מהדיווח</w:t>
      </w:r>
      <w:r w:rsidR="004C71F5">
        <w:rPr>
          <w:rFonts w:ascii="FrankRuehl" w:hAnsi="FrankRuehl" w:hint="cs"/>
          <w:sz w:val="28"/>
          <w:rtl/>
        </w:rPr>
        <w:t xml:space="preserve"> העצמי</w:t>
      </w:r>
      <w:r w:rsidR="00FD6FC0">
        <w:rPr>
          <w:rFonts w:ascii="FrankRuehl" w:hAnsi="FrankRuehl" w:hint="cs"/>
          <w:sz w:val="28"/>
          <w:rtl/>
        </w:rPr>
        <w:t xml:space="preserve"> שנדחה </w:t>
      </w:r>
      <w:r w:rsidR="00235395">
        <w:rPr>
          <w:rFonts w:ascii="FrankRuehl" w:hAnsi="FrankRuehl" w:hint="cs"/>
          <w:sz w:val="28"/>
          <w:rtl/>
        </w:rPr>
        <w:t>והשומה לפי מיטב השפיטה שנותרה בעינה משעה שההשגה אף היא נדחתה</w:t>
      </w:r>
      <w:r w:rsidR="00FD6FC0">
        <w:rPr>
          <w:rFonts w:ascii="FrankRuehl" w:hAnsi="FrankRuehl" w:hint="cs"/>
          <w:sz w:val="28"/>
          <w:rtl/>
        </w:rPr>
        <w:t xml:space="preserve">. </w:t>
      </w:r>
      <w:r w:rsidR="0041023E">
        <w:rPr>
          <w:rFonts w:ascii="FrankRuehl" w:hAnsi="FrankRuehl" w:hint="cs"/>
          <w:sz w:val="28"/>
          <w:rtl/>
        </w:rPr>
        <w:t>ל</w:t>
      </w:r>
      <w:r w:rsidR="000331A5">
        <w:rPr>
          <w:rFonts w:ascii="FrankRuehl" w:hAnsi="FrankRuehl" w:hint="cs"/>
          <w:sz w:val="28"/>
          <w:rtl/>
        </w:rPr>
        <w:t>נוכח הקביעות</w:t>
      </w:r>
      <w:r w:rsidR="00B57504">
        <w:rPr>
          <w:rFonts w:ascii="FrankRuehl" w:hAnsi="FrankRuehl" w:hint="cs"/>
          <w:sz w:val="28"/>
          <w:rtl/>
        </w:rPr>
        <w:t xml:space="preserve"> הברורות</w:t>
      </w:r>
      <w:r w:rsidR="0041023E">
        <w:rPr>
          <w:rFonts w:ascii="FrankRuehl" w:hAnsi="FrankRuehl" w:hint="cs"/>
          <w:sz w:val="28"/>
          <w:rtl/>
        </w:rPr>
        <w:t xml:space="preserve"> והמנומקות</w:t>
      </w:r>
      <w:r w:rsidR="000331A5">
        <w:rPr>
          <w:rFonts w:ascii="FrankRuehl" w:hAnsi="FrankRuehl" w:hint="cs"/>
          <w:sz w:val="28"/>
          <w:rtl/>
        </w:rPr>
        <w:t xml:space="preserve"> של בית המשפט המחוזי בפסק דינו, קשה להלום מצב שבו טענות כלשהן בהליך השגה נפרד היו הופכות את הקערה</w:t>
      </w:r>
      <w:r w:rsidR="00B36AC9">
        <w:rPr>
          <w:rFonts w:ascii="FrankRuehl" w:hAnsi="FrankRuehl" w:hint="cs"/>
          <w:sz w:val="28"/>
          <w:rtl/>
        </w:rPr>
        <w:t xml:space="preserve"> על פיה</w:t>
      </w:r>
      <w:r w:rsidR="000331A5">
        <w:rPr>
          <w:rFonts w:ascii="FrankRuehl" w:hAnsi="FrankRuehl" w:hint="cs"/>
          <w:sz w:val="28"/>
          <w:rtl/>
        </w:rPr>
        <w:t xml:space="preserve"> ומובילות למסקנה שהמערערת לא התרשלה בעריכת הדיווח. </w:t>
      </w:r>
      <w:r w:rsidR="001F12A6">
        <w:rPr>
          <w:rFonts w:ascii="FrankRuehl" w:hAnsi="FrankRuehl" w:hint="cs"/>
          <w:sz w:val="28"/>
          <w:rtl/>
        </w:rPr>
        <w:t>מכל מקום, תכליות ההשגה</w:t>
      </w:r>
      <w:r w:rsidR="008348F9">
        <w:rPr>
          <w:rFonts w:ascii="FrankRuehl" w:hAnsi="FrankRuehl" w:hint="cs"/>
          <w:sz w:val="28"/>
          <w:rtl/>
        </w:rPr>
        <w:t xml:space="preserve"> התמלאו במסגרת </w:t>
      </w:r>
      <w:r w:rsidR="00C03F0C">
        <w:rPr>
          <w:rFonts w:ascii="FrankRuehl" w:hAnsi="FrankRuehl" w:hint="cs"/>
          <w:sz w:val="28"/>
          <w:rtl/>
        </w:rPr>
        <w:t>ה</w:t>
      </w:r>
      <w:r w:rsidR="008348F9">
        <w:rPr>
          <w:rFonts w:ascii="FrankRuehl" w:hAnsi="FrankRuehl" w:hint="cs"/>
          <w:sz w:val="28"/>
          <w:rtl/>
        </w:rPr>
        <w:t xml:space="preserve">דיון לפני בית המשפט המחוזי, </w:t>
      </w:r>
      <w:r w:rsidR="00B36AC9">
        <w:rPr>
          <w:rFonts w:ascii="FrankRuehl" w:hAnsi="FrankRuehl" w:hint="cs"/>
          <w:sz w:val="28"/>
          <w:rtl/>
        </w:rPr>
        <w:t>משעה</w:t>
      </w:r>
      <w:r w:rsidR="001F12A6">
        <w:rPr>
          <w:rFonts w:ascii="FrankRuehl" w:hAnsi="FrankRuehl" w:hint="cs"/>
          <w:sz w:val="28"/>
          <w:rtl/>
        </w:rPr>
        <w:t xml:space="preserve"> </w:t>
      </w:r>
      <w:r w:rsidR="00B36AC9">
        <w:rPr>
          <w:rFonts w:ascii="FrankRuehl" w:hAnsi="FrankRuehl" w:hint="cs"/>
          <w:sz w:val="28"/>
          <w:rtl/>
        </w:rPr>
        <w:t>שהמערערת</w:t>
      </w:r>
      <w:r w:rsidR="008348F9">
        <w:rPr>
          <w:rFonts w:ascii="FrankRuehl" w:hAnsi="FrankRuehl" w:hint="cs"/>
          <w:sz w:val="28"/>
          <w:rtl/>
        </w:rPr>
        <w:t xml:space="preserve"> </w:t>
      </w:r>
      <w:r w:rsidR="00B36AC9">
        <w:rPr>
          <w:rFonts w:ascii="FrankRuehl" w:hAnsi="FrankRuehl" w:hint="cs"/>
          <w:sz w:val="28"/>
          <w:rtl/>
        </w:rPr>
        <w:t xml:space="preserve">השמיעה </w:t>
      </w:r>
      <w:r w:rsidR="00781CB9">
        <w:rPr>
          <w:rFonts w:ascii="FrankRuehl" w:hAnsi="FrankRuehl" w:hint="cs"/>
          <w:sz w:val="28"/>
          <w:rtl/>
        </w:rPr>
        <w:t>ל</w:t>
      </w:r>
      <w:r w:rsidR="00B36AC9">
        <w:rPr>
          <w:rFonts w:ascii="FrankRuehl" w:hAnsi="FrankRuehl" w:hint="cs"/>
          <w:sz w:val="28"/>
          <w:rtl/>
        </w:rPr>
        <w:t>פניו את טענותיה לגופו של עניי</w:t>
      </w:r>
      <w:r w:rsidR="00781CB9">
        <w:rPr>
          <w:rFonts w:ascii="FrankRuehl" w:hAnsi="FrankRuehl" w:hint="cs"/>
          <w:sz w:val="28"/>
          <w:rtl/>
        </w:rPr>
        <w:t xml:space="preserve">ן. למעשה מדובר בטענה אחת </w:t>
      </w:r>
      <w:r w:rsidR="00C938C2">
        <w:rPr>
          <w:rFonts w:ascii="FrankRuehl" w:hAnsi="FrankRuehl" w:hint="cs"/>
          <w:sz w:val="28"/>
          <w:rtl/>
        </w:rPr>
        <w:t>ויחידה</w:t>
      </w:r>
      <w:r w:rsidR="00781CB9">
        <w:rPr>
          <w:rFonts w:ascii="FrankRuehl" w:hAnsi="FrankRuehl" w:hint="cs"/>
          <w:sz w:val="28"/>
          <w:rtl/>
        </w:rPr>
        <w:t xml:space="preserve">, והיא </w:t>
      </w:r>
      <w:r w:rsidR="005A4AFB">
        <w:rPr>
          <w:rFonts w:ascii="FrankRuehl" w:hAnsi="FrankRuehl" w:hint="cs"/>
          <w:sz w:val="28"/>
          <w:rtl/>
        </w:rPr>
        <w:t>שעסקינן</w:t>
      </w:r>
      <w:r w:rsidR="008348F9">
        <w:rPr>
          <w:rFonts w:ascii="FrankRuehl" w:hAnsi="FrankRuehl" w:hint="cs"/>
          <w:sz w:val="28"/>
          <w:rtl/>
        </w:rPr>
        <w:t xml:space="preserve"> במחלוקת משפטית לגיטימית. בית המשפט בחן את </w:t>
      </w:r>
      <w:r w:rsidR="00B36AC9">
        <w:rPr>
          <w:rFonts w:ascii="FrankRuehl" w:hAnsi="FrankRuehl" w:hint="cs"/>
          <w:sz w:val="28"/>
          <w:rtl/>
        </w:rPr>
        <w:t>הטענה</w:t>
      </w:r>
      <w:r w:rsidR="008348F9">
        <w:rPr>
          <w:rFonts w:ascii="FrankRuehl" w:hAnsi="FrankRuehl" w:hint="cs"/>
          <w:sz w:val="28"/>
          <w:rtl/>
        </w:rPr>
        <w:t xml:space="preserve">, </w:t>
      </w:r>
      <w:r w:rsidR="00910A57">
        <w:rPr>
          <w:rFonts w:ascii="FrankRuehl" w:hAnsi="FrankRuehl" w:hint="cs"/>
          <w:sz w:val="28"/>
          <w:rtl/>
        </w:rPr>
        <w:t>ו</w:t>
      </w:r>
      <w:r w:rsidR="002165C2">
        <w:rPr>
          <w:rFonts w:ascii="FrankRuehl" w:hAnsi="FrankRuehl" w:hint="cs"/>
          <w:sz w:val="28"/>
          <w:rtl/>
        </w:rPr>
        <w:t>הגיע</w:t>
      </w:r>
      <w:r w:rsidR="00B36AC9">
        <w:rPr>
          <w:rFonts w:ascii="FrankRuehl" w:hAnsi="FrankRuehl" w:hint="cs"/>
          <w:sz w:val="28"/>
          <w:rtl/>
        </w:rPr>
        <w:t xml:space="preserve"> למסקנה חד-</w:t>
      </w:r>
      <w:r w:rsidR="00C03F0C">
        <w:rPr>
          <w:rFonts w:ascii="FrankRuehl" w:hAnsi="FrankRuehl" w:hint="cs"/>
          <w:sz w:val="28"/>
          <w:rtl/>
        </w:rPr>
        <w:t xml:space="preserve">משמעית שלפיה התנהלותה של המערערת עולה כדי התרשלות לכל הפחות. </w:t>
      </w:r>
      <w:r w:rsidR="00361971">
        <w:rPr>
          <w:rFonts w:ascii="FrankRuehl" w:hAnsi="FrankRuehl" w:hint="cs"/>
          <w:sz w:val="28"/>
          <w:rtl/>
        </w:rPr>
        <w:t xml:space="preserve">אשר לשיקול </w:t>
      </w:r>
      <w:r w:rsidR="00276731">
        <w:rPr>
          <w:rFonts w:ascii="FrankRuehl" w:hAnsi="FrankRuehl" w:hint="cs"/>
          <w:sz w:val="28"/>
          <w:rtl/>
        </w:rPr>
        <w:t>דעת</w:t>
      </w:r>
      <w:r w:rsidR="00B36AC9">
        <w:rPr>
          <w:rFonts w:ascii="FrankRuehl" w:hAnsi="FrankRuehl" w:hint="cs"/>
          <w:sz w:val="28"/>
          <w:rtl/>
        </w:rPr>
        <w:t xml:space="preserve"> פקיד השומה</w:t>
      </w:r>
      <w:r w:rsidR="00276731">
        <w:rPr>
          <w:rFonts w:ascii="FrankRuehl" w:hAnsi="FrankRuehl" w:hint="cs"/>
          <w:sz w:val="28"/>
          <w:rtl/>
        </w:rPr>
        <w:t xml:space="preserve">, </w:t>
      </w:r>
      <w:r w:rsidR="001C577A">
        <w:rPr>
          <w:rFonts w:hint="cs"/>
          <w:rtl/>
        </w:rPr>
        <w:t xml:space="preserve">גם אם לא ברור מהו שיקול הדעת שהופעל על </w:t>
      </w:r>
      <w:r w:rsidR="00361971">
        <w:rPr>
          <w:rFonts w:hint="cs"/>
          <w:rtl/>
        </w:rPr>
        <w:t>ידו</w:t>
      </w:r>
      <w:r w:rsidR="001C577A">
        <w:rPr>
          <w:rFonts w:hint="cs"/>
          <w:rtl/>
        </w:rPr>
        <w:t xml:space="preserve"> "בזמן אמת"</w:t>
      </w:r>
      <w:r w:rsidR="00361971">
        <w:rPr>
          <w:rFonts w:hint="cs"/>
          <w:rtl/>
        </w:rPr>
        <w:t xml:space="preserve"> </w:t>
      </w:r>
      <w:r w:rsidR="00361971">
        <w:rPr>
          <w:rtl/>
        </w:rPr>
        <w:t>–</w:t>
      </w:r>
      <w:r w:rsidR="001C577A">
        <w:rPr>
          <w:rFonts w:hint="cs"/>
          <w:rtl/>
        </w:rPr>
        <w:t xml:space="preserve"> </w:t>
      </w:r>
      <w:r w:rsidR="00276731">
        <w:rPr>
          <w:rFonts w:hint="cs"/>
          <w:rtl/>
        </w:rPr>
        <w:t xml:space="preserve">נציגת פקיד השומה הבהירה לבית המשפט כיצד </w:t>
      </w:r>
      <w:r w:rsidR="00A05A5F">
        <w:rPr>
          <w:rFonts w:hint="cs"/>
          <w:rtl/>
        </w:rPr>
        <w:t>נכון להפעילו</w:t>
      </w:r>
      <w:r w:rsidR="00276731">
        <w:rPr>
          <w:rFonts w:hint="cs"/>
          <w:rtl/>
        </w:rPr>
        <w:t xml:space="preserve"> </w:t>
      </w:r>
      <w:r w:rsidR="00276731">
        <w:rPr>
          <w:rFonts w:ascii="FrankRuehl" w:hAnsi="FrankRuehl" w:hint="cs"/>
          <w:sz w:val="28"/>
          <w:rtl/>
        </w:rPr>
        <w:t>בנסיבות המקרה הנדון</w:t>
      </w:r>
      <w:r w:rsidR="00361971">
        <w:rPr>
          <w:rFonts w:ascii="FrankRuehl" w:hAnsi="FrankRuehl" w:hint="cs"/>
          <w:sz w:val="28"/>
          <w:rtl/>
        </w:rPr>
        <w:t xml:space="preserve">. </w:t>
      </w:r>
      <w:r w:rsidR="00276731">
        <w:rPr>
          <w:rFonts w:ascii="FrankRuehl" w:hAnsi="FrankRuehl" w:hint="cs"/>
          <w:sz w:val="28"/>
          <w:rtl/>
        </w:rPr>
        <w:t xml:space="preserve">אף שבית המשפט סבר כי </w:t>
      </w:r>
      <w:r w:rsidR="00A35BE6">
        <w:rPr>
          <w:rFonts w:ascii="FrankRuehl" w:hAnsi="FrankRuehl" w:hint="cs"/>
          <w:sz w:val="28"/>
          <w:rtl/>
        </w:rPr>
        <w:t xml:space="preserve">בהינתן התמונה </w:t>
      </w:r>
      <w:r w:rsidR="00A35BE6">
        <w:rPr>
          <w:rFonts w:ascii="FrankRuehl" w:hAnsi="FrankRuehl" w:hint="cs"/>
          <w:sz w:val="28"/>
          <w:rtl/>
        </w:rPr>
        <w:lastRenderedPageBreak/>
        <w:t>שנגלתה לפניו</w:t>
      </w:r>
      <w:r w:rsidR="00276731">
        <w:rPr>
          <w:rFonts w:ascii="FrankRuehl" w:hAnsi="FrankRuehl" w:hint="cs"/>
          <w:sz w:val="28"/>
          <w:rtl/>
        </w:rPr>
        <w:t xml:space="preserve"> פקיד השומה רשאי היה לשקול גם הטלת </w:t>
      </w:r>
      <w:r w:rsidR="00361971">
        <w:rPr>
          <w:rFonts w:ascii="FrankRuehl" w:hAnsi="FrankRuehl" w:hint="cs"/>
          <w:sz w:val="28"/>
          <w:rtl/>
        </w:rPr>
        <w:t>קנס גירעון מוגדל, בשיעור של 30%,</w:t>
      </w:r>
      <w:r w:rsidR="00276731">
        <w:rPr>
          <w:rFonts w:ascii="FrankRuehl" w:hAnsi="FrankRuehl" w:hint="cs"/>
          <w:sz w:val="28"/>
          <w:rtl/>
        </w:rPr>
        <w:t xml:space="preserve"> </w:t>
      </w:r>
      <w:r w:rsidR="00A35BE6">
        <w:rPr>
          <w:rFonts w:ascii="FrankRuehl" w:hAnsi="FrankRuehl" w:hint="cs"/>
          <w:sz w:val="28"/>
          <w:rtl/>
        </w:rPr>
        <w:t>בית המשפט</w:t>
      </w:r>
      <w:r w:rsidR="00276731">
        <w:rPr>
          <w:rFonts w:ascii="FrankRuehl" w:hAnsi="FrankRuehl" w:hint="cs"/>
          <w:sz w:val="28"/>
          <w:rtl/>
        </w:rPr>
        <w:t xml:space="preserve"> לא "החליף" את שיקול הדעת של פקיד השומה בשיקול דעתו שלו, ופסק בהתאם לדברי נציגת פקיד השומה את שיעור הקנס הרגיל</w:t>
      </w:r>
      <w:r w:rsidR="00B36AC9">
        <w:rPr>
          <w:rFonts w:ascii="FrankRuehl" w:hAnsi="FrankRuehl" w:hint="cs"/>
          <w:sz w:val="28"/>
          <w:rtl/>
        </w:rPr>
        <w:t xml:space="preserve"> של 15%</w:t>
      </w:r>
      <w:r w:rsidR="00276731">
        <w:rPr>
          <w:rFonts w:ascii="FrankRuehl" w:hAnsi="FrankRuehl" w:hint="cs"/>
          <w:sz w:val="28"/>
          <w:rtl/>
        </w:rPr>
        <w:t>.</w:t>
      </w:r>
    </w:p>
    <w:p w:rsidR="00276731" w:rsidRDefault="00276731" w:rsidP="00D05738">
      <w:pPr>
        <w:pStyle w:val="Ruller41"/>
        <w:spacing w:line="240" w:lineRule="auto"/>
        <w:rPr>
          <w:rtl/>
        </w:rPr>
      </w:pPr>
    </w:p>
    <w:p w:rsidR="001E4CA8" w:rsidRDefault="00361971" w:rsidP="008B36C2">
      <w:pPr>
        <w:pStyle w:val="Ruller41"/>
        <w:rPr>
          <w:rtl/>
        </w:rPr>
      </w:pPr>
      <w:r>
        <w:rPr>
          <w:rFonts w:ascii="FrankRuehl" w:hAnsi="FrankRuehl"/>
          <w:sz w:val="28"/>
          <w:rtl/>
        </w:rPr>
        <w:tab/>
      </w:r>
      <w:r w:rsidR="00781CB9">
        <w:rPr>
          <w:rFonts w:ascii="FrankRuehl" w:hAnsi="FrankRuehl" w:hint="cs"/>
          <w:sz w:val="28"/>
          <w:rtl/>
        </w:rPr>
        <w:t xml:space="preserve">בשקלול </w:t>
      </w:r>
      <w:r w:rsidR="008B36C2">
        <w:rPr>
          <w:rFonts w:ascii="FrankRuehl" w:hAnsi="FrankRuehl" w:hint="cs"/>
          <w:sz w:val="28"/>
          <w:rtl/>
        </w:rPr>
        <w:t>הנתונים</w:t>
      </w:r>
      <w:r w:rsidR="00781CB9">
        <w:rPr>
          <w:rFonts w:ascii="FrankRuehl" w:hAnsi="FrankRuehl" w:hint="cs"/>
          <w:sz w:val="28"/>
          <w:rtl/>
        </w:rPr>
        <w:t xml:space="preserve"> כאמור, אינני סבורה שהפגם שנפל בהתנהלות</w:t>
      </w:r>
      <w:r w:rsidR="00BC3CB0">
        <w:rPr>
          <w:rFonts w:ascii="FrankRuehl" w:hAnsi="FrankRuehl" w:hint="cs"/>
          <w:sz w:val="28"/>
          <w:rtl/>
        </w:rPr>
        <w:t xml:space="preserve"> פקיד השומה</w:t>
      </w:r>
      <w:r w:rsidR="00781CB9">
        <w:rPr>
          <w:rFonts w:ascii="FrankRuehl" w:hAnsi="FrankRuehl" w:hint="cs"/>
          <w:sz w:val="28"/>
          <w:rtl/>
        </w:rPr>
        <w:t xml:space="preserve"> </w:t>
      </w:r>
      <w:r w:rsidR="00276731">
        <w:rPr>
          <w:rFonts w:hint="cs"/>
          <w:rtl/>
        </w:rPr>
        <w:t xml:space="preserve">מצדיק את ביטול </w:t>
      </w:r>
      <w:r>
        <w:rPr>
          <w:rFonts w:hint="cs"/>
          <w:rtl/>
        </w:rPr>
        <w:t>קנס הגירעון</w:t>
      </w:r>
      <w:r w:rsidR="00276731">
        <w:rPr>
          <w:rFonts w:hint="cs"/>
          <w:rtl/>
        </w:rPr>
        <w:t>.</w:t>
      </w:r>
      <w:r w:rsidR="001E4CA8">
        <w:rPr>
          <w:rtl/>
        </w:rPr>
        <w:tab/>
      </w:r>
    </w:p>
    <w:p w:rsidR="000F02B6" w:rsidRDefault="000F02B6" w:rsidP="00697CFC">
      <w:pPr>
        <w:pStyle w:val="Ruller4"/>
        <w:numPr>
          <w:ilvl w:val="0"/>
          <w:numId w:val="0"/>
        </w:numPr>
        <w:rPr>
          <w:rtl/>
        </w:rPr>
      </w:pPr>
    </w:p>
    <w:p w:rsidR="009C166F" w:rsidRDefault="000F02B6" w:rsidP="007D6A46">
      <w:pPr>
        <w:pStyle w:val="Ruller4"/>
        <w:rPr>
          <w:rFonts w:ascii="FrankRuehl" w:hAnsi="FrankRuehl"/>
          <w:sz w:val="28"/>
        </w:rPr>
      </w:pPr>
      <w:r w:rsidRPr="009C166F">
        <w:rPr>
          <w:rFonts w:ascii="FrankRuehl" w:hAnsi="FrankRuehl" w:hint="cs"/>
          <w:sz w:val="28"/>
          <w:rtl/>
        </w:rPr>
        <w:t xml:space="preserve">יצוין </w:t>
      </w:r>
      <w:r w:rsidR="009C166F">
        <w:rPr>
          <w:rFonts w:ascii="FrankRuehl" w:hAnsi="FrankRuehl" w:hint="cs"/>
          <w:sz w:val="28"/>
          <w:rtl/>
        </w:rPr>
        <w:t xml:space="preserve">עוד </w:t>
      </w:r>
      <w:r w:rsidRPr="009C166F">
        <w:rPr>
          <w:rFonts w:ascii="FrankRuehl" w:hAnsi="FrankRuehl" w:hint="cs"/>
          <w:sz w:val="28"/>
          <w:rtl/>
        </w:rPr>
        <w:t xml:space="preserve">כי בנסיבות העניין ניתן היה גם להחזיר </w:t>
      </w:r>
      <w:r>
        <w:rPr>
          <w:rFonts w:hint="cs"/>
          <w:rtl/>
        </w:rPr>
        <w:t xml:space="preserve">את ההכרעה בסוגיית קנס הגירעון לפתחו של פקיד השומה עצמו, על מנת שזה יוכל לקבל החלטה מנומקת ולקיים את סדרי הדין הקבועים בפקודה בנוגע לקנס. </w:t>
      </w:r>
      <w:r w:rsidR="00ED5CD4">
        <w:rPr>
          <w:rFonts w:ascii="FrankRuehl" w:hAnsi="FrankRuehl" w:hint="cs"/>
          <w:sz w:val="28"/>
          <w:rtl/>
        </w:rPr>
        <w:t>אך ספק אם היה לכך מקום וטעם</w:t>
      </w:r>
      <w:r w:rsidR="00004998">
        <w:rPr>
          <w:rFonts w:ascii="FrankRuehl" w:hAnsi="FrankRuehl" w:hint="cs"/>
          <w:sz w:val="28"/>
          <w:rtl/>
        </w:rPr>
        <w:t>. זאת לנוכח הקביעות הנחרצות של בית המשפט המחוזי בפסק דינו, ששלל מכל וכל את טענותיה של המערערת בניסיון להצדיק את הדיווח העצמי שלה בהקשר לעסקה,</w:t>
      </w:r>
      <w:r w:rsidR="007059EC">
        <w:rPr>
          <w:rFonts w:ascii="FrankRuehl" w:hAnsi="FrankRuehl" w:hint="cs"/>
          <w:sz w:val="28"/>
          <w:rtl/>
        </w:rPr>
        <w:t xml:space="preserve"> דיווח</w:t>
      </w:r>
      <w:r w:rsidR="00004998">
        <w:rPr>
          <w:rFonts w:ascii="FrankRuehl" w:hAnsi="FrankRuehl" w:hint="cs"/>
          <w:sz w:val="28"/>
          <w:rtl/>
        </w:rPr>
        <w:t xml:space="preserve"> שנדחה על ידי פקיד השומה</w:t>
      </w:r>
      <w:r w:rsidR="00004998">
        <w:rPr>
          <w:rFonts w:ascii="FrankRuehl" w:hAnsi="FrankRuehl"/>
          <w:sz w:val="28"/>
        </w:rPr>
        <w:t>;</w:t>
      </w:r>
      <w:r w:rsidR="00004998">
        <w:rPr>
          <w:rFonts w:ascii="FrankRuehl" w:hAnsi="FrankRuehl" w:hint="cs"/>
          <w:sz w:val="28"/>
          <w:rtl/>
        </w:rPr>
        <w:t xml:space="preserve"> וכך בהינתן </w:t>
      </w:r>
      <w:r w:rsidR="009C166F">
        <w:rPr>
          <w:rFonts w:ascii="FrankRuehl" w:hAnsi="FrankRuehl" w:hint="cs"/>
          <w:sz w:val="28"/>
          <w:rtl/>
        </w:rPr>
        <w:t xml:space="preserve">ששיעור הקנס שנפסק הוא הנמוך </w:t>
      </w:r>
      <w:r w:rsidR="00942A84">
        <w:rPr>
          <w:rFonts w:ascii="FrankRuehl" w:hAnsi="FrankRuehl" w:hint="cs"/>
          <w:sz w:val="28"/>
          <w:rtl/>
        </w:rPr>
        <w:t>מבין שתי האפשרויות שקובעת הפקודה</w:t>
      </w:r>
      <w:r w:rsidR="009C166F">
        <w:rPr>
          <w:rFonts w:ascii="FrankRuehl" w:hAnsi="FrankRuehl" w:hint="cs"/>
          <w:sz w:val="28"/>
          <w:rtl/>
        </w:rPr>
        <w:t xml:space="preserve">, ושגם פקיד השומה לא יכול היה להטיל עליה קנס </w:t>
      </w:r>
      <w:r w:rsidR="00636E51">
        <w:rPr>
          <w:rFonts w:ascii="FrankRuehl" w:hAnsi="FrankRuehl" w:hint="cs"/>
          <w:sz w:val="28"/>
          <w:rtl/>
        </w:rPr>
        <w:t xml:space="preserve">גירעון </w:t>
      </w:r>
      <w:r w:rsidR="0087773C">
        <w:rPr>
          <w:rFonts w:ascii="FrankRuehl" w:hAnsi="FrankRuehl" w:hint="cs"/>
          <w:sz w:val="28"/>
          <w:rtl/>
        </w:rPr>
        <w:t xml:space="preserve">בשיעור נמוך מ-15% </w:t>
      </w:r>
      <w:r w:rsidR="00B60E38">
        <w:rPr>
          <w:rFonts w:ascii="FrankRuehl" w:hAnsi="FrankRuehl" w:hint="cs"/>
          <w:sz w:val="28"/>
          <w:rtl/>
        </w:rPr>
        <w:t>מש</w:t>
      </w:r>
      <w:r w:rsidR="00DC3F5A">
        <w:rPr>
          <w:rFonts w:ascii="FrankRuehl" w:hAnsi="FrankRuehl" w:hint="cs"/>
          <w:sz w:val="28"/>
          <w:rtl/>
        </w:rPr>
        <w:t>ה</w:t>
      </w:r>
      <w:r w:rsidR="007767DA">
        <w:rPr>
          <w:rFonts w:ascii="FrankRuehl" w:hAnsi="FrankRuehl" w:hint="cs"/>
          <w:sz w:val="28"/>
          <w:rtl/>
        </w:rPr>
        <w:t>תנהלותה כפי שהצטיירה בבית המשפט חייבה את עצם הטלתו.</w:t>
      </w:r>
    </w:p>
    <w:p w:rsidR="009C166F" w:rsidRDefault="009C166F" w:rsidP="00D05738">
      <w:pPr>
        <w:pStyle w:val="Ruller4"/>
        <w:numPr>
          <w:ilvl w:val="0"/>
          <w:numId w:val="0"/>
        </w:numPr>
        <w:spacing w:line="240" w:lineRule="auto"/>
        <w:rPr>
          <w:rFonts w:ascii="FrankRuehl" w:hAnsi="FrankRuehl"/>
          <w:sz w:val="28"/>
          <w:rtl/>
        </w:rPr>
      </w:pPr>
    </w:p>
    <w:p w:rsidR="007D6167" w:rsidRDefault="009C166F" w:rsidP="00850D41">
      <w:pPr>
        <w:pStyle w:val="Ruller4"/>
        <w:numPr>
          <w:ilvl w:val="0"/>
          <w:numId w:val="0"/>
        </w:numPr>
        <w:rPr>
          <w:rtl/>
        </w:rPr>
      </w:pPr>
      <w:r>
        <w:rPr>
          <w:rFonts w:ascii="FrankRuehl" w:hAnsi="FrankRuehl"/>
          <w:sz w:val="28"/>
          <w:rtl/>
        </w:rPr>
        <w:tab/>
      </w:r>
      <w:r w:rsidR="000F02B6">
        <w:rPr>
          <w:rFonts w:ascii="FrankRuehl" w:hAnsi="FrankRuehl" w:hint="cs"/>
          <w:sz w:val="28"/>
          <w:rtl/>
        </w:rPr>
        <w:t xml:space="preserve">אמנם, </w:t>
      </w:r>
      <w:r w:rsidR="000F02B6">
        <w:rPr>
          <w:rFonts w:hint="cs"/>
          <w:rtl/>
        </w:rPr>
        <w:t xml:space="preserve">המערערת </w:t>
      </w:r>
      <w:r w:rsidR="00971E0F">
        <w:rPr>
          <w:rFonts w:hint="cs"/>
          <w:rtl/>
        </w:rPr>
        <w:t>טוענת כיום</w:t>
      </w:r>
      <w:r w:rsidR="000F02B6">
        <w:rPr>
          <w:rFonts w:hint="cs"/>
          <w:rtl/>
        </w:rPr>
        <w:t xml:space="preserve"> שלו העניין היה מוחזר לפקיד השומה, הוא עצמו לא</w:t>
      </w:r>
      <w:r w:rsidR="000F02B6" w:rsidRPr="00A272F2">
        <w:rPr>
          <w:rFonts w:hint="cs"/>
          <w:rtl/>
        </w:rPr>
        <w:t xml:space="preserve"> </w:t>
      </w:r>
      <w:r w:rsidR="000F02B6">
        <w:rPr>
          <w:rFonts w:hint="cs"/>
          <w:rtl/>
        </w:rPr>
        <w:t xml:space="preserve">יכול היה להטיל עליה את קנס הגירעון בשל התיישנות </w:t>
      </w:r>
      <w:r w:rsidR="000F02B6">
        <w:rPr>
          <w:rtl/>
        </w:rPr>
        <w:t>–</w:t>
      </w:r>
      <w:r w:rsidR="000F02B6">
        <w:rPr>
          <w:rFonts w:hint="cs"/>
          <w:rtl/>
        </w:rPr>
        <w:t xml:space="preserve"> כך שבכל זאת נפגעה מכך שההחלטה התקבלה על ידי בית המשפט המחוזי. אך אף </w:t>
      </w:r>
      <w:r w:rsidR="007D6A46">
        <w:rPr>
          <w:rFonts w:hint="cs"/>
          <w:rtl/>
        </w:rPr>
        <w:t>בלא</w:t>
      </w:r>
      <w:r w:rsidR="000F02B6">
        <w:rPr>
          <w:rFonts w:hint="cs"/>
          <w:rtl/>
        </w:rPr>
        <w:t xml:space="preserve"> להביע עמדה </w:t>
      </w:r>
      <w:r w:rsidR="007D6A46">
        <w:rPr>
          <w:rFonts w:hint="cs"/>
          <w:rtl/>
        </w:rPr>
        <w:t>בנוגע</w:t>
      </w:r>
      <w:r w:rsidR="000F02B6">
        <w:rPr>
          <w:rFonts w:hint="cs"/>
          <w:rtl/>
        </w:rPr>
        <w:t xml:space="preserve"> לשאלת ההתיישנות לגופה</w:t>
      </w:r>
      <w:r w:rsidR="001C69E0">
        <w:rPr>
          <w:rFonts w:hint="cs"/>
          <w:rtl/>
        </w:rPr>
        <w:t xml:space="preserve">, </w:t>
      </w:r>
      <w:r w:rsidR="000F02B6">
        <w:rPr>
          <w:rFonts w:hint="cs"/>
          <w:rtl/>
        </w:rPr>
        <w:t xml:space="preserve">מדובר בטענה שלא הועלתה בפני בית המשפט המחוזי, וכבר בשל כך אין להידרש </w:t>
      </w:r>
      <w:r w:rsidR="00DB2714">
        <w:rPr>
          <w:rFonts w:hint="cs"/>
          <w:rtl/>
        </w:rPr>
        <w:t>לה</w:t>
      </w:r>
      <w:r w:rsidR="000F02B6">
        <w:rPr>
          <w:rFonts w:hint="cs"/>
          <w:rtl/>
        </w:rPr>
        <w:t xml:space="preserve"> בשלב הנוכחי. יתרה מזאת, גם </w:t>
      </w:r>
      <w:r w:rsidR="002348CC">
        <w:rPr>
          <w:rFonts w:hint="cs"/>
          <w:rtl/>
        </w:rPr>
        <w:t>בערעור שהגישה המערערת לבית משפט זה</w:t>
      </w:r>
      <w:r w:rsidR="000F02B6">
        <w:rPr>
          <w:rFonts w:hint="cs"/>
          <w:rtl/>
        </w:rPr>
        <w:t xml:space="preserve"> הועלתה הטענה אך בשולי הדברים, </w:t>
      </w:r>
      <w:r w:rsidR="00850D41">
        <w:rPr>
          <w:rFonts w:hint="cs"/>
          <w:rtl/>
        </w:rPr>
        <w:t>ללא</w:t>
      </w:r>
      <w:r w:rsidR="000F02B6">
        <w:rPr>
          <w:rFonts w:hint="cs"/>
          <w:rtl/>
        </w:rPr>
        <w:t xml:space="preserve"> פירוט או התייחסות של ממש</w:t>
      </w:r>
      <w:r w:rsidR="00850D41">
        <w:rPr>
          <w:rFonts w:hint="cs"/>
          <w:rtl/>
        </w:rPr>
        <w:t>.</w:t>
      </w:r>
    </w:p>
    <w:p w:rsidR="00D4255E" w:rsidRPr="00D4255E" w:rsidRDefault="00D4255E" w:rsidP="00D4255E">
      <w:pPr>
        <w:pStyle w:val="Ruller41"/>
        <w:rPr>
          <w:rtl/>
        </w:rPr>
      </w:pPr>
    </w:p>
    <w:p w:rsidR="007D6167" w:rsidRPr="00F57B1E" w:rsidRDefault="002C5601" w:rsidP="00250442">
      <w:pPr>
        <w:pStyle w:val="Ruller4"/>
        <w:rPr>
          <w:rFonts w:ascii="FrankRuehl" w:hAnsi="FrankRuehl"/>
          <w:sz w:val="28"/>
          <w:rtl/>
        </w:rPr>
      </w:pPr>
      <w:r>
        <w:rPr>
          <w:rFonts w:hint="cs"/>
          <w:rtl/>
        </w:rPr>
        <w:t xml:space="preserve">אשר </w:t>
      </w:r>
      <w:r w:rsidR="00541443">
        <w:rPr>
          <w:rFonts w:hint="cs"/>
          <w:rtl/>
        </w:rPr>
        <w:t>לעצם האפשרות ש</w:t>
      </w:r>
      <w:r>
        <w:rPr>
          <w:rFonts w:hint="cs"/>
          <w:rtl/>
        </w:rPr>
        <w:t xml:space="preserve">בית המשפט </w:t>
      </w:r>
      <w:r w:rsidR="00FB18FA">
        <w:rPr>
          <w:rFonts w:hint="cs"/>
          <w:rtl/>
        </w:rPr>
        <w:t xml:space="preserve">עצמו </w:t>
      </w:r>
      <w:r w:rsidR="00541443">
        <w:rPr>
          <w:rFonts w:hint="cs"/>
          <w:rtl/>
        </w:rPr>
        <w:t>יכריע</w:t>
      </w:r>
      <w:r w:rsidR="00FB18FA">
        <w:rPr>
          <w:rFonts w:hint="cs"/>
          <w:rtl/>
        </w:rPr>
        <w:t xml:space="preserve"> בסוגיית קנס הגירעון</w:t>
      </w:r>
      <w:r w:rsidR="00541443">
        <w:rPr>
          <w:rFonts w:hint="cs"/>
          <w:rtl/>
        </w:rPr>
        <w:t xml:space="preserve"> בנסיבות המקרה, ניתן </w:t>
      </w:r>
      <w:r w:rsidR="007535DD">
        <w:rPr>
          <w:rFonts w:hint="cs"/>
          <w:rtl/>
        </w:rPr>
        <w:t xml:space="preserve">לבסס את האמור </w:t>
      </w:r>
      <w:r w:rsidR="00541443">
        <w:rPr>
          <w:rFonts w:hint="cs"/>
          <w:rtl/>
        </w:rPr>
        <w:t xml:space="preserve">לעיל גם על </w:t>
      </w:r>
      <w:r w:rsidR="007D6167">
        <w:rPr>
          <w:rFonts w:hint="cs"/>
          <w:rtl/>
        </w:rPr>
        <w:t>סמכותו</w:t>
      </w:r>
      <w:r w:rsidR="00B66AA9">
        <w:rPr>
          <w:rFonts w:hint="cs"/>
          <w:rtl/>
        </w:rPr>
        <w:t xml:space="preserve"> הרחבה</w:t>
      </w:r>
      <w:r w:rsidR="007D6167">
        <w:rPr>
          <w:rFonts w:hint="cs"/>
          <w:rtl/>
        </w:rPr>
        <w:t xml:space="preserve"> של בית המשפט הדן בערעור מס</w:t>
      </w:r>
      <w:r w:rsidR="00541443">
        <w:rPr>
          <w:rFonts w:hint="cs"/>
          <w:rtl/>
        </w:rPr>
        <w:t xml:space="preserve">. מדובר בסמכות </w:t>
      </w:r>
      <w:r w:rsidR="007535DD">
        <w:rPr>
          <w:rFonts w:hint="cs"/>
          <w:rtl/>
        </w:rPr>
        <w:t>ה</w:t>
      </w:r>
      <w:r w:rsidR="004704A7">
        <w:rPr>
          <w:rFonts w:hint="cs"/>
          <w:rtl/>
        </w:rPr>
        <w:t>מעוגנת ב</w:t>
      </w:r>
      <w:r w:rsidR="007D6167">
        <w:rPr>
          <w:rFonts w:hint="cs"/>
          <w:rtl/>
        </w:rPr>
        <w:t>סעיף 156 לפקודה:</w:t>
      </w:r>
      <w:r w:rsidR="007D6167" w:rsidRPr="001E154A">
        <w:rPr>
          <w:rtl/>
        </w:rPr>
        <w:tab/>
      </w:r>
    </w:p>
    <w:p w:rsidR="007D6167" w:rsidRDefault="007D6167" w:rsidP="00D05738">
      <w:pPr>
        <w:pStyle w:val="Ruller41"/>
        <w:spacing w:line="240" w:lineRule="auto"/>
        <w:rPr>
          <w:rtl/>
        </w:rPr>
      </w:pPr>
    </w:p>
    <w:p w:rsidR="007D6167" w:rsidRDefault="007D6167" w:rsidP="007D6167">
      <w:pPr>
        <w:pStyle w:val="Ruller5"/>
        <w:rPr>
          <w:rtl/>
        </w:rPr>
      </w:pPr>
      <w:r w:rsidRPr="00F57B1E">
        <w:rPr>
          <w:rFonts w:hint="eastAsia"/>
          <w:rtl/>
        </w:rPr>
        <w:t>בית</w:t>
      </w:r>
      <w:r w:rsidRPr="00F57B1E">
        <w:rPr>
          <w:rtl/>
        </w:rPr>
        <w:t xml:space="preserve"> </w:t>
      </w:r>
      <w:r w:rsidRPr="00F57B1E">
        <w:rPr>
          <w:rFonts w:hint="eastAsia"/>
          <w:rtl/>
        </w:rPr>
        <w:t>המשפט</w:t>
      </w:r>
      <w:r w:rsidRPr="00F57B1E">
        <w:rPr>
          <w:rtl/>
        </w:rPr>
        <w:t xml:space="preserve"> </w:t>
      </w:r>
      <w:r w:rsidRPr="00F57B1E">
        <w:rPr>
          <w:rFonts w:hint="eastAsia"/>
          <w:rtl/>
        </w:rPr>
        <w:t>יאשר</w:t>
      </w:r>
      <w:r w:rsidRPr="00F57B1E">
        <w:rPr>
          <w:rtl/>
        </w:rPr>
        <w:t xml:space="preserve">, </w:t>
      </w:r>
      <w:r w:rsidRPr="00F57B1E">
        <w:rPr>
          <w:rFonts w:hint="eastAsia"/>
          <w:rtl/>
        </w:rPr>
        <w:t>יפחית</w:t>
      </w:r>
      <w:r w:rsidRPr="00F57B1E">
        <w:rPr>
          <w:rtl/>
        </w:rPr>
        <w:t xml:space="preserve">, </w:t>
      </w:r>
      <w:r w:rsidRPr="00F57B1E">
        <w:rPr>
          <w:rFonts w:hint="eastAsia"/>
          <w:rtl/>
        </w:rPr>
        <w:t>יגדיל</w:t>
      </w:r>
      <w:r w:rsidRPr="00F57B1E">
        <w:rPr>
          <w:rtl/>
        </w:rPr>
        <w:t xml:space="preserve"> </w:t>
      </w:r>
      <w:r w:rsidRPr="00F57B1E">
        <w:rPr>
          <w:rFonts w:hint="eastAsia"/>
          <w:rtl/>
        </w:rPr>
        <w:t>או</w:t>
      </w:r>
      <w:r w:rsidRPr="00F57B1E">
        <w:rPr>
          <w:rtl/>
        </w:rPr>
        <w:t xml:space="preserve"> </w:t>
      </w:r>
      <w:r w:rsidRPr="00F57B1E">
        <w:rPr>
          <w:rFonts w:hint="eastAsia"/>
          <w:rtl/>
        </w:rPr>
        <w:t>יבטל</w:t>
      </w:r>
      <w:r w:rsidRPr="00F57B1E">
        <w:rPr>
          <w:rtl/>
        </w:rPr>
        <w:t xml:space="preserve"> </w:t>
      </w:r>
      <w:r w:rsidRPr="00F57B1E">
        <w:rPr>
          <w:rFonts w:hint="eastAsia"/>
          <w:rtl/>
        </w:rPr>
        <w:t>את</w:t>
      </w:r>
      <w:r w:rsidRPr="00F57B1E">
        <w:rPr>
          <w:rtl/>
        </w:rPr>
        <w:t xml:space="preserve"> </w:t>
      </w:r>
      <w:r w:rsidRPr="00F57B1E">
        <w:rPr>
          <w:rFonts w:hint="eastAsia"/>
          <w:rtl/>
        </w:rPr>
        <w:t>השומה</w:t>
      </w:r>
      <w:r w:rsidRPr="00F57B1E">
        <w:rPr>
          <w:rtl/>
        </w:rPr>
        <w:t xml:space="preserve"> </w:t>
      </w:r>
      <w:r w:rsidRPr="00F57B1E">
        <w:rPr>
          <w:rFonts w:hint="eastAsia"/>
          <w:rtl/>
        </w:rPr>
        <w:t>או</w:t>
      </w:r>
      <w:r w:rsidRPr="00F57B1E">
        <w:rPr>
          <w:rtl/>
        </w:rPr>
        <w:t xml:space="preserve"> </w:t>
      </w:r>
      <w:r w:rsidRPr="00F57B1E">
        <w:rPr>
          <w:rFonts w:hint="eastAsia"/>
          <w:rtl/>
        </w:rPr>
        <w:t>יפסוק</w:t>
      </w:r>
      <w:r w:rsidRPr="00F57B1E">
        <w:rPr>
          <w:rtl/>
        </w:rPr>
        <w:t xml:space="preserve"> </w:t>
      </w:r>
      <w:r w:rsidRPr="00F57B1E">
        <w:rPr>
          <w:rFonts w:hint="eastAsia"/>
          <w:rtl/>
        </w:rPr>
        <w:t>בערעור</w:t>
      </w:r>
      <w:r w:rsidRPr="00F57B1E">
        <w:rPr>
          <w:rtl/>
        </w:rPr>
        <w:t xml:space="preserve"> </w:t>
      </w:r>
      <w:r w:rsidRPr="00F57B1E">
        <w:rPr>
          <w:rFonts w:hint="eastAsia"/>
          <w:rtl/>
        </w:rPr>
        <w:t>באופן</w:t>
      </w:r>
      <w:r w:rsidRPr="00F57B1E">
        <w:rPr>
          <w:rtl/>
        </w:rPr>
        <w:t xml:space="preserve"> </w:t>
      </w:r>
      <w:r w:rsidRPr="00F57B1E">
        <w:rPr>
          <w:rFonts w:hint="eastAsia"/>
          <w:rtl/>
        </w:rPr>
        <w:t>אחר</w:t>
      </w:r>
      <w:r w:rsidRPr="00F57B1E">
        <w:rPr>
          <w:rtl/>
        </w:rPr>
        <w:t xml:space="preserve"> </w:t>
      </w:r>
      <w:r w:rsidRPr="00F57B1E">
        <w:rPr>
          <w:rFonts w:hint="eastAsia"/>
          <w:rtl/>
        </w:rPr>
        <w:t>כפי</w:t>
      </w:r>
      <w:r w:rsidRPr="00F57B1E">
        <w:rPr>
          <w:rtl/>
        </w:rPr>
        <w:t xml:space="preserve"> </w:t>
      </w:r>
      <w:r w:rsidRPr="00F57B1E">
        <w:rPr>
          <w:rFonts w:hint="eastAsia"/>
          <w:rtl/>
        </w:rPr>
        <w:t>שיראה</w:t>
      </w:r>
      <w:r w:rsidRPr="00F57B1E">
        <w:rPr>
          <w:rtl/>
        </w:rPr>
        <w:t xml:space="preserve"> </w:t>
      </w:r>
      <w:r w:rsidRPr="00F57B1E">
        <w:rPr>
          <w:rFonts w:hint="eastAsia"/>
          <w:rtl/>
        </w:rPr>
        <w:t>לנכון</w:t>
      </w:r>
      <w:r w:rsidRPr="00F57B1E">
        <w:rPr>
          <w:rtl/>
        </w:rPr>
        <w:t xml:space="preserve">, </w:t>
      </w:r>
      <w:r w:rsidRPr="00F57B1E">
        <w:rPr>
          <w:rFonts w:hint="eastAsia"/>
          <w:rtl/>
        </w:rPr>
        <w:t>והודעה</w:t>
      </w:r>
      <w:r w:rsidRPr="00F57B1E">
        <w:rPr>
          <w:rtl/>
        </w:rPr>
        <w:t xml:space="preserve"> </w:t>
      </w:r>
      <w:r w:rsidRPr="00F57B1E">
        <w:rPr>
          <w:rFonts w:hint="eastAsia"/>
          <w:rtl/>
        </w:rPr>
        <w:t>על</w:t>
      </w:r>
      <w:r w:rsidRPr="00F57B1E">
        <w:rPr>
          <w:rtl/>
        </w:rPr>
        <w:t xml:space="preserve"> </w:t>
      </w:r>
      <w:r w:rsidRPr="00F57B1E">
        <w:rPr>
          <w:rFonts w:hint="eastAsia"/>
          <w:rtl/>
        </w:rPr>
        <w:t>ההכנסה</w:t>
      </w:r>
      <w:r w:rsidRPr="00F57B1E">
        <w:rPr>
          <w:rtl/>
        </w:rPr>
        <w:t xml:space="preserve"> </w:t>
      </w:r>
      <w:r w:rsidRPr="00F57B1E">
        <w:rPr>
          <w:rFonts w:hint="eastAsia"/>
          <w:rtl/>
        </w:rPr>
        <w:t>החייבת</w:t>
      </w:r>
      <w:r w:rsidRPr="00F57B1E">
        <w:rPr>
          <w:rtl/>
        </w:rPr>
        <w:t xml:space="preserve"> </w:t>
      </w:r>
      <w:r w:rsidRPr="00F57B1E">
        <w:rPr>
          <w:rFonts w:hint="eastAsia"/>
          <w:rtl/>
        </w:rPr>
        <w:t>ועל</w:t>
      </w:r>
      <w:r w:rsidRPr="00F57B1E">
        <w:rPr>
          <w:rtl/>
        </w:rPr>
        <w:t xml:space="preserve"> </w:t>
      </w:r>
      <w:r w:rsidRPr="00F57B1E">
        <w:rPr>
          <w:rFonts w:hint="eastAsia"/>
          <w:rtl/>
        </w:rPr>
        <w:t>סכום</w:t>
      </w:r>
      <w:r w:rsidRPr="00F57B1E">
        <w:rPr>
          <w:rtl/>
        </w:rPr>
        <w:t xml:space="preserve"> </w:t>
      </w:r>
      <w:r w:rsidRPr="00F57B1E">
        <w:rPr>
          <w:rFonts w:hint="eastAsia"/>
          <w:rtl/>
        </w:rPr>
        <w:t>המס</w:t>
      </w:r>
      <w:r w:rsidRPr="00F57B1E">
        <w:rPr>
          <w:rtl/>
        </w:rPr>
        <w:t xml:space="preserve">, </w:t>
      </w:r>
      <w:r w:rsidRPr="00F57B1E">
        <w:rPr>
          <w:rFonts w:hint="eastAsia"/>
          <w:rtl/>
        </w:rPr>
        <w:t>אשר</w:t>
      </w:r>
      <w:r w:rsidRPr="00F57B1E">
        <w:rPr>
          <w:rtl/>
        </w:rPr>
        <w:t xml:space="preserve"> </w:t>
      </w:r>
      <w:r w:rsidRPr="00F57B1E">
        <w:rPr>
          <w:rFonts w:hint="eastAsia"/>
          <w:rtl/>
        </w:rPr>
        <w:t>על</w:t>
      </w:r>
      <w:r w:rsidRPr="00F57B1E">
        <w:rPr>
          <w:rtl/>
        </w:rPr>
        <w:t xml:space="preserve"> </w:t>
      </w:r>
      <w:r w:rsidRPr="00F57B1E">
        <w:rPr>
          <w:rFonts w:hint="eastAsia"/>
          <w:rtl/>
        </w:rPr>
        <w:t>המערער</w:t>
      </w:r>
      <w:r w:rsidRPr="00F57B1E">
        <w:rPr>
          <w:rtl/>
        </w:rPr>
        <w:t xml:space="preserve"> </w:t>
      </w:r>
      <w:r w:rsidRPr="00F57B1E">
        <w:rPr>
          <w:rFonts w:hint="eastAsia"/>
          <w:rtl/>
        </w:rPr>
        <w:t>לשלם</w:t>
      </w:r>
      <w:r w:rsidR="00056448">
        <w:rPr>
          <w:rtl/>
        </w:rPr>
        <w:t xml:space="preserve"> –</w:t>
      </w:r>
      <w:r w:rsidRPr="00F57B1E">
        <w:rPr>
          <w:rtl/>
        </w:rPr>
        <w:t xml:space="preserve"> </w:t>
      </w:r>
      <w:r w:rsidRPr="00F57B1E">
        <w:rPr>
          <w:rFonts w:hint="eastAsia"/>
          <w:rtl/>
        </w:rPr>
        <w:t>לפי</w:t>
      </w:r>
      <w:r w:rsidRPr="00F57B1E">
        <w:rPr>
          <w:rtl/>
        </w:rPr>
        <w:t xml:space="preserve"> </w:t>
      </w:r>
      <w:r w:rsidRPr="00F57B1E">
        <w:rPr>
          <w:rFonts w:hint="eastAsia"/>
          <w:rtl/>
        </w:rPr>
        <w:t>החלטת</w:t>
      </w:r>
      <w:r w:rsidRPr="00F57B1E">
        <w:rPr>
          <w:rtl/>
        </w:rPr>
        <w:t xml:space="preserve"> </w:t>
      </w:r>
      <w:r w:rsidRPr="00F57B1E">
        <w:rPr>
          <w:rFonts w:hint="eastAsia"/>
          <w:rtl/>
        </w:rPr>
        <w:t>בית</w:t>
      </w:r>
      <w:r w:rsidRPr="00F57B1E">
        <w:rPr>
          <w:rtl/>
        </w:rPr>
        <w:t xml:space="preserve"> </w:t>
      </w:r>
      <w:r w:rsidRPr="00F57B1E">
        <w:rPr>
          <w:rFonts w:hint="eastAsia"/>
          <w:rtl/>
        </w:rPr>
        <w:t>המשפט</w:t>
      </w:r>
      <w:r w:rsidR="00056448">
        <w:rPr>
          <w:rtl/>
        </w:rPr>
        <w:t xml:space="preserve"> –</w:t>
      </w:r>
      <w:r w:rsidR="00056448">
        <w:rPr>
          <w:rFonts w:hint="cs"/>
          <w:rtl/>
        </w:rPr>
        <w:t xml:space="preserve"> </w:t>
      </w:r>
      <w:r w:rsidRPr="00F57B1E">
        <w:rPr>
          <w:rFonts w:hint="eastAsia"/>
          <w:rtl/>
        </w:rPr>
        <w:t>תימסר</w:t>
      </w:r>
      <w:r w:rsidRPr="00F57B1E">
        <w:rPr>
          <w:rtl/>
        </w:rPr>
        <w:t xml:space="preserve"> </w:t>
      </w:r>
      <w:r w:rsidRPr="00F57B1E">
        <w:rPr>
          <w:rFonts w:hint="eastAsia"/>
          <w:rtl/>
        </w:rPr>
        <w:t>לשני</w:t>
      </w:r>
      <w:r w:rsidRPr="00F57B1E">
        <w:rPr>
          <w:rtl/>
        </w:rPr>
        <w:t xml:space="preserve"> </w:t>
      </w:r>
      <w:r w:rsidRPr="00F57B1E">
        <w:rPr>
          <w:rFonts w:hint="eastAsia"/>
          <w:rtl/>
        </w:rPr>
        <w:t>הצדדים</w:t>
      </w:r>
      <w:r w:rsidRPr="00F57B1E">
        <w:rPr>
          <w:rtl/>
        </w:rPr>
        <w:t>.</w:t>
      </w:r>
    </w:p>
    <w:p w:rsidR="007D6167" w:rsidRDefault="007D6167" w:rsidP="007D6167">
      <w:pPr>
        <w:pStyle w:val="Ruller41"/>
        <w:rPr>
          <w:rtl/>
        </w:rPr>
      </w:pPr>
    </w:p>
    <w:p w:rsidR="007D6167" w:rsidRDefault="007D6167" w:rsidP="002E4D8A">
      <w:pPr>
        <w:pStyle w:val="Ruller41"/>
        <w:rPr>
          <w:rtl/>
        </w:rPr>
      </w:pPr>
      <w:r>
        <w:rPr>
          <w:rtl/>
        </w:rPr>
        <w:tab/>
      </w:r>
      <w:r>
        <w:rPr>
          <w:rFonts w:hint="cs"/>
          <w:rtl/>
        </w:rPr>
        <w:t xml:space="preserve">כאמור, דין קנס הגירעון לעניין הליכי השומה, ובהם גם הליך הערעור </w:t>
      </w:r>
      <w:r>
        <w:rPr>
          <w:rtl/>
        </w:rPr>
        <w:t>–</w:t>
      </w:r>
      <w:r>
        <w:rPr>
          <w:rFonts w:hint="cs"/>
          <w:rtl/>
        </w:rPr>
        <w:t xml:space="preserve"> הוא כדין שומה. לפיכך רשאי בית המשפט הדן בערעור מס לקבוע מה יהיה שיעורו של קנס הגירעון</w:t>
      </w:r>
      <w:r w:rsidR="009A777C">
        <w:rPr>
          <w:rFonts w:hint="cs"/>
          <w:rtl/>
        </w:rPr>
        <w:t xml:space="preserve">. </w:t>
      </w:r>
      <w:r>
        <w:rPr>
          <w:rFonts w:hint="cs"/>
          <w:rtl/>
        </w:rPr>
        <w:t xml:space="preserve">יובהר כי סמכות זו של בית המשפט מותנית בכך שהונחו לפניו כל הנתונים </w:t>
      </w:r>
      <w:r>
        <w:rPr>
          <w:rFonts w:hint="cs"/>
          <w:rtl/>
        </w:rPr>
        <w:lastRenderedPageBreak/>
        <w:t>הדרושים בעניין, ושלצדדים עצמם ניתנה הזדמנות לטעון לגביו (</w:t>
      </w:r>
      <w:r w:rsidRPr="000E3269">
        <w:rPr>
          <w:rFonts w:hint="eastAsia"/>
          <w:rtl/>
        </w:rPr>
        <w:t>ע</w:t>
      </w:r>
      <w:r w:rsidRPr="000E3269">
        <w:rPr>
          <w:rtl/>
        </w:rPr>
        <w:t>"</w:t>
      </w:r>
      <w:r w:rsidRPr="000E3269">
        <w:rPr>
          <w:rFonts w:hint="eastAsia"/>
          <w:rtl/>
        </w:rPr>
        <w:t>א</w:t>
      </w:r>
      <w:r w:rsidRPr="000E3269">
        <w:rPr>
          <w:rtl/>
        </w:rPr>
        <w:t xml:space="preserve"> 490/13 </w:t>
      </w:r>
      <w:proofErr w:type="spellStart"/>
      <w:r w:rsidRPr="000E3269">
        <w:rPr>
          <w:rFonts w:ascii="Century" w:hAnsi="Century" w:cs="Miriam" w:hint="eastAsia"/>
          <w:b/>
          <w:spacing w:val="0"/>
          <w:szCs w:val="24"/>
          <w:rtl/>
        </w:rPr>
        <w:t>פלומין</w:t>
      </w:r>
      <w:proofErr w:type="spellEnd"/>
      <w:r w:rsidRPr="000E3269">
        <w:rPr>
          <w:rFonts w:ascii="Century" w:hAnsi="Century" w:cs="Miriam"/>
          <w:b/>
          <w:spacing w:val="0"/>
          <w:szCs w:val="24"/>
          <w:rtl/>
        </w:rPr>
        <w:t xml:space="preserve"> </w:t>
      </w:r>
      <w:r w:rsidRPr="000E3269">
        <w:rPr>
          <w:rFonts w:ascii="Century" w:hAnsi="Century" w:cs="Miriam" w:hint="eastAsia"/>
          <w:b/>
          <w:spacing w:val="0"/>
          <w:szCs w:val="24"/>
          <w:rtl/>
        </w:rPr>
        <w:t>נ</w:t>
      </w:r>
      <w:r w:rsidRPr="000E3269">
        <w:rPr>
          <w:rFonts w:ascii="Century" w:hAnsi="Century" w:cs="Miriam"/>
          <w:b/>
          <w:spacing w:val="0"/>
          <w:szCs w:val="24"/>
          <w:rtl/>
        </w:rPr>
        <w:t xml:space="preserve">' </w:t>
      </w:r>
      <w:r w:rsidRPr="000E3269">
        <w:rPr>
          <w:rFonts w:ascii="Century" w:hAnsi="Century" w:cs="Miriam" w:hint="eastAsia"/>
          <w:b/>
          <w:spacing w:val="0"/>
          <w:szCs w:val="24"/>
          <w:rtl/>
        </w:rPr>
        <w:t>פקיד</w:t>
      </w:r>
      <w:r w:rsidRPr="000E3269">
        <w:rPr>
          <w:rFonts w:ascii="Century" w:hAnsi="Century" w:cs="Miriam"/>
          <w:b/>
          <w:spacing w:val="0"/>
          <w:szCs w:val="24"/>
          <w:rtl/>
        </w:rPr>
        <w:t xml:space="preserve"> </w:t>
      </w:r>
      <w:r>
        <w:rPr>
          <w:rFonts w:ascii="Century" w:hAnsi="Century" w:cs="Miriam" w:hint="cs"/>
          <w:b/>
          <w:spacing w:val="0"/>
          <w:szCs w:val="24"/>
          <w:rtl/>
        </w:rPr>
        <w:t>ה</w:t>
      </w:r>
      <w:r w:rsidRPr="000E3269">
        <w:rPr>
          <w:rFonts w:ascii="Century" w:hAnsi="Century" w:cs="Miriam" w:hint="eastAsia"/>
          <w:b/>
          <w:spacing w:val="0"/>
          <w:szCs w:val="24"/>
          <w:rtl/>
        </w:rPr>
        <w:t>שומה</w:t>
      </w:r>
      <w:r w:rsidRPr="000E3269">
        <w:rPr>
          <w:rFonts w:ascii="Century" w:hAnsi="Century" w:cs="Miriam"/>
          <w:b/>
          <w:spacing w:val="0"/>
          <w:szCs w:val="24"/>
          <w:rtl/>
        </w:rPr>
        <w:t xml:space="preserve"> </w:t>
      </w:r>
      <w:r w:rsidRPr="000E3269">
        <w:rPr>
          <w:rFonts w:ascii="Century" w:hAnsi="Century" w:cs="Miriam" w:hint="eastAsia"/>
          <w:b/>
          <w:spacing w:val="0"/>
          <w:szCs w:val="24"/>
          <w:rtl/>
        </w:rPr>
        <w:t>חיפה</w:t>
      </w:r>
      <w:r w:rsidRPr="000E3269">
        <w:rPr>
          <w:rtl/>
        </w:rPr>
        <w:t xml:space="preserve">, </w:t>
      </w:r>
      <w:r w:rsidRPr="000E3269">
        <w:rPr>
          <w:rFonts w:hint="eastAsia"/>
          <w:rtl/>
        </w:rPr>
        <w:t>פסקאות</w:t>
      </w:r>
      <w:r w:rsidRPr="000E3269">
        <w:rPr>
          <w:rtl/>
        </w:rPr>
        <w:t xml:space="preserve"> 121-120 (24.12.2014)</w:t>
      </w:r>
      <w:r>
        <w:rPr>
          <w:rFonts w:hint="cs"/>
          <w:rtl/>
        </w:rPr>
        <w:t xml:space="preserve">. ראו גם: </w:t>
      </w:r>
      <w:r w:rsidRPr="00FA02C7">
        <w:rPr>
          <w:rFonts w:hint="eastAsia"/>
          <w:rtl/>
        </w:rPr>
        <w:t>ע</w:t>
      </w:r>
      <w:r w:rsidRPr="00FA02C7">
        <w:rPr>
          <w:rtl/>
        </w:rPr>
        <w:t>"</w:t>
      </w:r>
      <w:r w:rsidRPr="00FA02C7">
        <w:rPr>
          <w:rFonts w:hint="eastAsia"/>
          <w:rtl/>
        </w:rPr>
        <w:t>א</w:t>
      </w:r>
      <w:r w:rsidRPr="00FA02C7">
        <w:rPr>
          <w:rtl/>
        </w:rPr>
        <w:t xml:space="preserve"> 495/63 </w:t>
      </w:r>
      <w:proofErr w:type="spellStart"/>
      <w:r w:rsidRPr="00FA02C7">
        <w:rPr>
          <w:rFonts w:ascii="Century" w:hAnsi="Century" w:cs="Miriam" w:hint="eastAsia"/>
          <w:b/>
          <w:spacing w:val="0"/>
          <w:szCs w:val="24"/>
          <w:rtl/>
        </w:rPr>
        <w:t>מלכוב</w:t>
      </w:r>
      <w:proofErr w:type="spellEnd"/>
      <w:r w:rsidRPr="00FA02C7">
        <w:rPr>
          <w:rFonts w:ascii="Century" w:hAnsi="Century" w:cs="Miriam"/>
          <w:b/>
          <w:spacing w:val="0"/>
          <w:szCs w:val="24"/>
          <w:rtl/>
        </w:rPr>
        <w:t xml:space="preserve"> </w:t>
      </w:r>
      <w:r w:rsidRPr="00FA02C7">
        <w:rPr>
          <w:rFonts w:ascii="Century" w:hAnsi="Century" w:cs="Miriam" w:hint="eastAsia"/>
          <w:b/>
          <w:spacing w:val="0"/>
          <w:szCs w:val="24"/>
          <w:rtl/>
        </w:rPr>
        <w:t>נ</w:t>
      </w:r>
      <w:r w:rsidRPr="00FA02C7">
        <w:rPr>
          <w:rFonts w:ascii="Century" w:hAnsi="Century" w:cs="Miriam"/>
          <w:b/>
          <w:spacing w:val="0"/>
          <w:szCs w:val="24"/>
          <w:rtl/>
        </w:rPr>
        <w:t xml:space="preserve">' </w:t>
      </w:r>
      <w:r w:rsidRPr="00FA02C7">
        <w:rPr>
          <w:rFonts w:ascii="Century" w:hAnsi="Century" w:cs="Miriam" w:hint="eastAsia"/>
          <w:b/>
          <w:spacing w:val="0"/>
          <w:szCs w:val="24"/>
          <w:rtl/>
        </w:rPr>
        <w:t>פקיד</w:t>
      </w:r>
      <w:r w:rsidRPr="00FA02C7">
        <w:rPr>
          <w:rFonts w:ascii="Century" w:hAnsi="Century" w:cs="Miriam"/>
          <w:b/>
          <w:spacing w:val="0"/>
          <w:szCs w:val="24"/>
          <w:rtl/>
        </w:rPr>
        <w:t xml:space="preserve"> </w:t>
      </w:r>
      <w:r w:rsidRPr="00FA02C7">
        <w:rPr>
          <w:rFonts w:ascii="Century" w:hAnsi="Century" w:cs="Miriam" w:hint="eastAsia"/>
          <w:b/>
          <w:spacing w:val="0"/>
          <w:szCs w:val="24"/>
          <w:rtl/>
        </w:rPr>
        <w:t>השומה</w:t>
      </w:r>
      <w:r w:rsidRPr="00FA02C7">
        <w:rPr>
          <w:rFonts w:ascii="Century" w:hAnsi="Century" w:cs="Miriam"/>
          <w:b/>
          <w:spacing w:val="0"/>
          <w:szCs w:val="24"/>
          <w:rtl/>
        </w:rPr>
        <w:t xml:space="preserve"> </w:t>
      </w:r>
      <w:r>
        <w:rPr>
          <w:rFonts w:ascii="Century" w:hAnsi="Century" w:cs="Miriam" w:hint="eastAsia"/>
          <w:b/>
          <w:spacing w:val="0"/>
          <w:szCs w:val="24"/>
          <w:rtl/>
        </w:rPr>
        <w:t>תל</w:t>
      </w:r>
      <w:r>
        <w:rPr>
          <w:rFonts w:ascii="Century" w:hAnsi="Century" w:cs="Miriam" w:hint="cs"/>
          <w:b/>
          <w:spacing w:val="0"/>
          <w:szCs w:val="24"/>
          <w:rtl/>
        </w:rPr>
        <w:t>-</w:t>
      </w:r>
      <w:r w:rsidRPr="00FA02C7">
        <w:rPr>
          <w:rFonts w:ascii="Century" w:hAnsi="Century" w:cs="Miriam" w:hint="eastAsia"/>
          <w:b/>
          <w:spacing w:val="0"/>
          <w:szCs w:val="24"/>
          <w:rtl/>
        </w:rPr>
        <w:t>אביב</w:t>
      </w:r>
      <w:r w:rsidRPr="00FA02C7">
        <w:rPr>
          <w:rtl/>
        </w:rPr>
        <w:t xml:space="preserve">, </w:t>
      </w:r>
      <w:r w:rsidRPr="00FA02C7">
        <w:rPr>
          <w:rFonts w:hint="eastAsia"/>
          <w:rtl/>
        </w:rPr>
        <w:t>פ</w:t>
      </w:r>
      <w:r w:rsidRPr="00FA02C7">
        <w:rPr>
          <w:rtl/>
        </w:rPr>
        <w:t>"</w:t>
      </w:r>
      <w:r w:rsidRPr="00FA02C7">
        <w:rPr>
          <w:rFonts w:hint="eastAsia"/>
          <w:rtl/>
        </w:rPr>
        <w:t>ד</w:t>
      </w:r>
      <w:r w:rsidRPr="00FA02C7">
        <w:rPr>
          <w:rtl/>
        </w:rPr>
        <w:t xml:space="preserve"> </w:t>
      </w:r>
      <w:proofErr w:type="spellStart"/>
      <w:r w:rsidRPr="00FA02C7">
        <w:rPr>
          <w:rFonts w:hint="eastAsia"/>
          <w:rtl/>
        </w:rPr>
        <w:t>יח</w:t>
      </w:r>
      <w:proofErr w:type="spellEnd"/>
      <w:r w:rsidRPr="00FA02C7">
        <w:rPr>
          <w:rtl/>
        </w:rPr>
        <w:t>(2) 683, 686 (1964)</w:t>
      </w:r>
      <w:r>
        <w:rPr>
          <w:rFonts w:hint="cs"/>
          <w:rtl/>
        </w:rPr>
        <w:t>).</w:t>
      </w:r>
      <w:r w:rsidR="00641589">
        <w:rPr>
          <w:rFonts w:hint="cs"/>
          <w:rtl/>
        </w:rPr>
        <w:t xml:space="preserve"> </w:t>
      </w:r>
      <w:r>
        <w:rPr>
          <w:rFonts w:hint="cs"/>
          <w:rtl/>
        </w:rPr>
        <w:t xml:space="preserve">תנאים אלה מתקיימים במקרה דנן, משהיו בפני בית המשפט כלל הנתונים הדרושים לצורך הכרעה </w:t>
      </w:r>
      <w:r w:rsidR="005472EF">
        <w:rPr>
          <w:rFonts w:hint="cs"/>
          <w:rtl/>
        </w:rPr>
        <w:t>בנוגע</w:t>
      </w:r>
      <w:r>
        <w:rPr>
          <w:rFonts w:hint="cs"/>
          <w:rtl/>
        </w:rPr>
        <w:t xml:space="preserve"> לשאלת התרשלותה של המערערת, ומשזו טענה</w:t>
      </w:r>
      <w:r w:rsidR="00641589">
        <w:rPr>
          <w:rFonts w:hint="cs"/>
          <w:rtl/>
        </w:rPr>
        <w:t xml:space="preserve"> בפניו לעניין הטלת קנס הגירעון.</w:t>
      </w:r>
    </w:p>
    <w:p w:rsidR="007D6167" w:rsidRDefault="007D6167" w:rsidP="00D05738">
      <w:pPr>
        <w:pStyle w:val="Ruller41"/>
        <w:spacing w:line="240" w:lineRule="auto"/>
        <w:rPr>
          <w:rtl/>
        </w:rPr>
      </w:pPr>
    </w:p>
    <w:p w:rsidR="007D6167" w:rsidRDefault="007D6167" w:rsidP="001D6389">
      <w:pPr>
        <w:pStyle w:val="Ruller41"/>
        <w:rPr>
          <w:rtl/>
        </w:rPr>
      </w:pPr>
      <w:r>
        <w:rPr>
          <w:rtl/>
        </w:rPr>
        <w:tab/>
      </w:r>
      <w:r w:rsidR="006C4F9D">
        <w:rPr>
          <w:rFonts w:hint="cs"/>
          <w:rtl/>
        </w:rPr>
        <w:t>כמו כן,</w:t>
      </w:r>
      <w:r>
        <w:rPr>
          <w:rFonts w:hint="cs"/>
          <w:rtl/>
        </w:rPr>
        <w:t xml:space="preserve"> בית המשפט </w:t>
      </w:r>
      <w:r w:rsidR="006C4F9D">
        <w:rPr>
          <w:rFonts w:hint="cs"/>
          <w:rtl/>
        </w:rPr>
        <w:t xml:space="preserve">אמנם </w:t>
      </w:r>
      <w:r>
        <w:rPr>
          <w:rFonts w:hint="cs"/>
          <w:rtl/>
        </w:rPr>
        <w:t xml:space="preserve">יכול להחזיר את הדיון בעניינים הנוגעים לקביעת השומה לפקיד השומה עצמו, אך יכול </w:t>
      </w:r>
      <w:r w:rsidR="006C4F9D">
        <w:rPr>
          <w:rFonts w:hint="cs"/>
          <w:rtl/>
        </w:rPr>
        <w:t xml:space="preserve">גם </w:t>
      </w:r>
      <w:r>
        <w:rPr>
          <w:rFonts w:hint="cs"/>
          <w:rtl/>
        </w:rPr>
        <w:t>להכריע בהם בעצמו, כפי שקובעת תקנה 11 ל</w:t>
      </w:r>
      <w:r w:rsidRPr="00CF03A3">
        <w:rPr>
          <w:rFonts w:hint="eastAsia"/>
          <w:rtl/>
        </w:rPr>
        <w:t>תקנות</w:t>
      </w:r>
      <w:r>
        <w:rPr>
          <w:rFonts w:hint="cs"/>
          <w:rtl/>
        </w:rPr>
        <w:t xml:space="preserve">: </w:t>
      </w:r>
    </w:p>
    <w:p w:rsidR="007D6167" w:rsidRPr="00D05738" w:rsidRDefault="007D6167" w:rsidP="00D05738">
      <w:pPr>
        <w:pStyle w:val="Ruller41"/>
        <w:spacing w:line="240" w:lineRule="auto"/>
        <w:rPr>
          <w:rFonts w:ascii="Century" w:hAnsi="Century" w:cs="Miriam"/>
          <w:b/>
          <w:spacing w:val="0"/>
          <w:sz w:val="10"/>
          <w:szCs w:val="12"/>
          <w:rtl/>
        </w:rPr>
      </w:pPr>
    </w:p>
    <w:p w:rsidR="007D6167" w:rsidRDefault="007D6167" w:rsidP="009C166F">
      <w:pPr>
        <w:pStyle w:val="Ruller5"/>
        <w:rPr>
          <w:rtl/>
        </w:rPr>
      </w:pPr>
      <w:r>
        <w:rPr>
          <w:rFonts w:hint="cs"/>
          <w:rtl/>
        </w:rPr>
        <w:t>[..]</w:t>
      </w:r>
      <w:r w:rsidRPr="00F57B1E">
        <w:rPr>
          <w:rtl/>
        </w:rPr>
        <w:t xml:space="preserve"> </w:t>
      </w:r>
      <w:r w:rsidRPr="00F57B1E">
        <w:rPr>
          <w:rFonts w:hint="eastAsia"/>
          <w:rtl/>
        </w:rPr>
        <w:t>בפסק</w:t>
      </w:r>
      <w:r w:rsidRPr="00F57B1E">
        <w:rPr>
          <w:rtl/>
        </w:rPr>
        <w:t xml:space="preserve"> </w:t>
      </w:r>
      <w:r w:rsidRPr="00F57B1E">
        <w:rPr>
          <w:rFonts w:hint="eastAsia"/>
          <w:rtl/>
        </w:rPr>
        <w:t>הדין</w:t>
      </w:r>
      <w:r w:rsidRPr="00F57B1E">
        <w:rPr>
          <w:rtl/>
        </w:rPr>
        <w:t xml:space="preserve"> </w:t>
      </w:r>
      <w:r w:rsidRPr="00F57B1E">
        <w:rPr>
          <w:rFonts w:hint="eastAsia"/>
          <w:rtl/>
        </w:rPr>
        <w:t>שיינתן</w:t>
      </w:r>
      <w:r w:rsidRPr="00F57B1E">
        <w:rPr>
          <w:rtl/>
        </w:rPr>
        <w:t xml:space="preserve"> </w:t>
      </w:r>
      <w:r w:rsidRPr="00F57B1E">
        <w:rPr>
          <w:rFonts w:hint="eastAsia"/>
          <w:rtl/>
        </w:rPr>
        <w:t>בגמר</w:t>
      </w:r>
      <w:r w:rsidRPr="00F57B1E">
        <w:rPr>
          <w:rtl/>
        </w:rPr>
        <w:t xml:space="preserve"> </w:t>
      </w:r>
      <w:r w:rsidRPr="00F57B1E">
        <w:rPr>
          <w:rFonts w:hint="eastAsia"/>
          <w:rtl/>
        </w:rPr>
        <w:t>הדיון</w:t>
      </w:r>
      <w:r w:rsidRPr="00F57B1E">
        <w:rPr>
          <w:rtl/>
        </w:rPr>
        <w:t xml:space="preserve"> </w:t>
      </w:r>
      <w:r w:rsidRPr="00F57B1E">
        <w:rPr>
          <w:rFonts w:hint="eastAsia"/>
          <w:rtl/>
        </w:rPr>
        <w:t>בערעור</w:t>
      </w:r>
      <w:r w:rsidRPr="00F57B1E">
        <w:rPr>
          <w:rtl/>
        </w:rPr>
        <w:t xml:space="preserve">, </w:t>
      </w:r>
      <w:r w:rsidRPr="00F57B1E">
        <w:rPr>
          <w:rFonts w:hint="eastAsia"/>
          <w:rtl/>
        </w:rPr>
        <w:t>יכול</w:t>
      </w:r>
      <w:r w:rsidRPr="00F57B1E">
        <w:rPr>
          <w:rtl/>
        </w:rPr>
        <w:t xml:space="preserve"> </w:t>
      </w:r>
      <w:r w:rsidRPr="00F57B1E">
        <w:rPr>
          <w:rFonts w:hint="eastAsia"/>
          <w:rtl/>
        </w:rPr>
        <w:t>בית</w:t>
      </w:r>
      <w:r w:rsidRPr="00F57B1E">
        <w:rPr>
          <w:rtl/>
        </w:rPr>
        <w:t xml:space="preserve"> </w:t>
      </w:r>
      <w:r w:rsidRPr="00F57B1E">
        <w:rPr>
          <w:rFonts w:hint="eastAsia"/>
          <w:rtl/>
        </w:rPr>
        <w:t>המשפט</w:t>
      </w:r>
      <w:r w:rsidRPr="00F57B1E">
        <w:rPr>
          <w:rtl/>
        </w:rPr>
        <w:t xml:space="preserve"> </w:t>
      </w:r>
      <w:r w:rsidRPr="00F57B1E">
        <w:rPr>
          <w:rFonts w:hint="eastAsia"/>
          <w:rtl/>
        </w:rPr>
        <w:t>לקבוע</w:t>
      </w:r>
      <w:r w:rsidRPr="00F57B1E">
        <w:rPr>
          <w:rtl/>
        </w:rPr>
        <w:t xml:space="preserve"> </w:t>
      </w:r>
      <w:r w:rsidRPr="00F57B1E">
        <w:rPr>
          <w:rFonts w:hint="eastAsia"/>
          <w:rtl/>
        </w:rPr>
        <w:t>את</w:t>
      </w:r>
      <w:r w:rsidRPr="00F57B1E">
        <w:rPr>
          <w:rtl/>
        </w:rPr>
        <w:t xml:space="preserve"> </w:t>
      </w:r>
      <w:r w:rsidRPr="00F57B1E">
        <w:rPr>
          <w:rFonts w:hint="eastAsia"/>
          <w:rtl/>
        </w:rPr>
        <w:t>סכום</w:t>
      </w:r>
      <w:r w:rsidRPr="00F57B1E">
        <w:rPr>
          <w:rtl/>
        </w:rPr>
        <w:t xml:space="preserve"> </w:t>
      </w:r>
      <w:r w:rsidRPr="00F57B1E">
        <w:rPr>
          <w:rFonts w:hint="eastAsia"/>
          <w:rtl/>
        </w:rPr>
        <w:t>ההכנסה</w:t>
      </w:r>
      <w:r w:rsidRPr="00F57B1E">
        <w:rPr>
          <w:rtl/>
        </w:rPr>
        <w:t xml:space="preserve"> </w:t>
      </w:r>
      <w:r w:rsidRPr="00F57B1E">
        <w:rPr>
          <w:rFonts w:hint="eastAsia"/>
          <w:rtl/>
        </w:rPr>
        <w:t>החייבת</w:t>
      </w:r>
      <w:r w:rsidRPr="00F57B1E">
        <w:rPr>
          <w:rtl/>
        </w:rPr>
        <w:t xml:space="preserve"> </w:t>
      </w:r>
      <w:r w:rsidRPr="00F57B1E">
        <w:rPr>
          <w:rFonts w:hint="eastAsia"/>
          <w:rtl/>
        </w:rPr>
        <w:t>במס</w:t>
      </w:r>
      <w:r w:rsidRPr="00F57B1E">
        <w:rPr>
          <w:rtl/>
        </w:rPr>
        <w:t xml:space="preserve"> </w:t>
      </w:r>
      <w:r w:rsidRPr="00F57B1E">
        <w:rPr>
          <w:rFonts w:hint="eastAsia"/>
          <w:rtl/>
        </w:rPr>
        <w:t>לכל</w:t>
      </w:r>
      <w:r w:rsidRPr="00F57B1E">
        <w:rPr>
          <w:rtl/>
        </w:rPr>
        <w:t xml:space="preserve"> </w:t>
      </w:r>
      <w:r w:rsidRPr="00F57B1E">
        <w:rPr>
          <w:rFonts w:hint="eastAsia"/>
          <w:rtl/>
        </w:rPr>
        <w:t>שנה</w:t>
      </w:r>
      <w:r w:rsidRPr="00F57B1E">
        <w:rPr>
          <w:rtl/>
        </w:rPr>
        <w:t xml:space="preserve"> </w:t>
      </w:r>
      <w:r w:rsidRPr="00F57B1E">
        <w:rPr>
          <w:rFonts w:hint="eastAsia"/>
          <w:rtl/>
        </w:rPr>
        <w:t>מהשנים</w:t>
      </w:r>
      <w:r w:rsidRPr="00F57B1E">
        <w:rPr>
          <w:rtl/>
        </w:rPr>
        <w:t xml:space="preserve"> </w:t>
      </w:r>
      <w:r w:rsidRPr="00F57B1E">
        <w:rPr>
          <w:rFonts w:hint="eastAsia"/>
          <w:rtl/>
        </w:rPr>
        <w:t>שבערעור</w:t>
      </w:r>
      <w:r w:rsidRPr="00F57B1E">
        <w:rPr>
          <w:rtl/>
        </w:rPr>
        <w:t xml:space="preserve"> </w:t>
      </w:r>
      <w:r w:rsidRPr="00F57B1E">
        <w:rPr>
          <w:rFonts w:hint="eastAsia"/>
          <w:rtl/>
        </w:rPr>
        <w:t>או</w:t>
      </w:r>
      <w:r w:rsidRPr="00F57B1E">
        <w:rPr>
          <w:rtl/>
        </w:rPr>
        <w:t xml:space="preserve"> </w:t>
      </w:r>
      <w:r w:rsidRPr="00F57B1E">
        <w:rPr>
          <w:rFonts w:hint="eastAsia"/>
          <w:rtl/>
        </w:rPr>
        <w:t>את</w:t>
      </w:r>
      <w:r w:rsidRPr="00F57B1E">
        <w:rPr>
          <w:rtl/>
        </w:rPr>
        <w:t xml:space="preserve"> </w:t>
      </w:r>
      <w:r w:rsidRPr="00F57B1E">
        <w:rPr>
          <w:rFonts w:hint="eastAsia"/>
          <w:rtl/>
        </w:rPr>
        <w:t>שיעור</w:t>
      </w:r>
      <w:r w:rsidRPr="00F57B1E">
        <w:rPr>
          <w:rtl/>
        </w:rPr>
        <w:t xml:space="preserve"> </w:t>
      </w:r>
      <w:r w:rsidRPr="00F57B1E">
        <w:rPr>
          <w:rFonts w:hint="eastAsia"/>
          <w:rtl/>
        </w:rPr>
        <w:t>המס</w:t>
      </w:r>
      <w:r w:rsidRPr="00F57B1E">
        <w:rPr>
          <w:rtl/>
        </w:rPr>
        <w:t xml:space="preserve">, </w:t>
      </w:r>
      <w:r w:rsidRPr="00F57B1E">
        <w:rPr>
          <w:rFonts w:hint="eastAsia"/>
          <w:rtl/>
        </w:rPr>
        <w:t>אם</w:t>
      </w:r>
      <w:r w:rsidRPr="00F57B1E">
        <w:rPr>
          <w:rtl/>
        </w:rPr>
        <w:t xml:space="preserve"> </w:t>
      </w:r>
      <w:r w:rsidRPr="00F57B1E">
        <w:rPr>
          <w:rFonts w:hint="eastAsia"/>
          <w:rtl/>
        </w:rPr>
        <w:t>חלים</w:t>
      </w:r>
      <w:r w:rsidRPr="00F57B1E">
        <w:rPr>
          <w:rtl/>
        </w:rPr>
        <w:t xml:space="preserve"> </w:t>
      </w:r>
      <w:r w:rsidRPr="00F57B1E">
        <w:rPr>
          <w:rFonts w:hint="eastAsia"/>
          <w:rtl/>
        </w:rPr>
        <w:t>על</w:t>
      </w:r>
      <w:r w:rsidRPr="00F57B1E">
        <w:rPr>
          <w:rtl/>
        </w:rPr>
        <w:t xml:space="preserve"> </w:t>
      </w:r>
      <w:r w:rsidRPr="00F57B1E">
        <w:rPr>
          <w:rFonts w:hint="eastAsia"/>
          <w:rtl/>
        </w:rPr>
        <w:t>המערער</w:t>
      </w:r>
      <w:r w:rsidRPr="00F57B1E">
        <w:rPr>
          <w:rtl/>
        </w:rPr>
        <w:t xml:space="preserve"> </w:t>
      </w:r>
      <w:r w:rsidRPr="00F57B1E">
        <w:rPr>
          <w:rFonts w:hint="eastAsia"/>
          <w:rtl/>
        </w:rPr>
        <w:t>שיעורי</w:t>
      </w:r>
      <w:r w:rsidRPr="00F57B1E">
        <w:rPr>
          <w:rtl/>
        </w:rPr>
        <w:t xml:space="preserve"> </w:t>
      </w:r>
      <w:r w:rsidRPr="00F57B1E">
        <w:rPr>
          <w:rFonts w:hint="eastAsia"/>
          <w:rtl/>
        </w:rPr>
        <w:t>מס</w:t>
      </w:r>
      <w:r w:rsidRPr="00F57B1E">
        <w:rPr>
          <w:rtl/>
        </w:rPr>
        <w:t xml:space="preserve"> </w:t>
      </w:r>
      <w:r w:rsidRPr="00F57B1E">
        <w:rPr>
          <w:rFonts w:hint="eastAsia"/>
          <w:rtl/>
        </w:rPr>
        <w:t>מיוחדים</w:t>
      </w:r>
      <w:r w:rsidRPr="00F57B1E">
        <w:rPr>
          <w:rtl/>
        </w:rPr>
        <w:t xml:space="preserve">, </w:t>
      </w:r>
      <w:r w:rsidRPr="00F57B1E">
        <w:rPr>
          <w:rFonts w:hint="eastAsia"/>
          <w:rtl/>
        </w:rPr>
        <w:t>ויכול</w:t>
      </w:r>
      <w:r w:rsidRPr="00F57B1E">
        <w:rPr>
          <w:rtl/>
        </w:rPr>
        <w:t xml:space="preserve"> </w:t>
      </w:r>
      <w:r w:rsidRPr="00F57B1E">
        <w:rPr>
          <w:rFonts w:hint="eastAsia"/>
          <w:rtl/>
        </w:rPr>
        <w:t>בית</w:t>
      </w:r>
      <w:r w:rsidRPr="00F57B1E">
        <w:rPr>
          <w:rtl/>
        </w:rPr>
        <w:t xml:space="preserve"> </w:t>
      </w:r>
      <w:r w:rsidRPr="00F57B1E">
        <w:rPr>
          <w:rFonts w:hint="eastAsia"/>
          <w:rtl/>
        </w:rPr>
        <w:t>המשפט</w:t>
      </w:r>
      <w:r w:rsidRPr="00F57B1E">
        <w:rPr>
          <w:rtl/>
        </w:rPr>
        <w:t xml:space="preserve"> </w:t>
      </w:r>
      <w:r w:rsidRPr="00F57B1E">
        <w:rPr>
          <w:rFonts w:hint="eastAsia"/>
          <w:rtl/>
        </w:rPr>
        <w:t>להורות</w:t>
      </w:r>
      <w:r w:rsidRPr="00F57B1E">
        <w:rPr>
          <w:rtl/>
        </w:rPr>
        <w:t xml:space="preserve"> </w:t>
      </w:r>
      <w:r w:rsidRPr="00F57B1E">
        <w:rPr>
          <w:rFonts w:hint="eastAsia"/>
          <w:rtl/>
        </w:rPr>
        <w:t>למשיב</w:t>
      </w:r>
      <w:r w:rsidRPr="00F57B1E">
        <w:rPr>
          <w:rtl/>
        </w:rPr>
        <w:t xml:space="preserve"> </w:t>
      </w:r>
      <w:r w:rsidRPr="00F57B1E">
        <w:rPr>
          <w:rFonts w:hint="eastAsia"/>
          <w:rtl/>
        </w:rPr>
        <w:t>כיצד</w:t>
      </w:r>
      <w:r w:rsidRPr="00F57B1E">
        <w:rPr>
          <w:rtl/>
        </w:rPr>
        <w:t xml:space="preserve"> </w:t>
      </w:r>
      <w:r w:rsidRPr="00F57B1E">
        <w:rPr>
          <w:rFonts w:hint="eastAsia"/>
          <w:rtl/>
        </w:rPr>
        <w:t>לקבוע</w:t>
      </w:r>
      <w:r w:rsidRPr="00F57B1E">
        <w:rPr>
          <w:rtl/>
        </w:rPr>
        <w:t xml:space="preserve"> </w:t>
      </w:r>
      <w:r w:rsidRPr="00F57B1E">
        <w:rPr>
          <w:rFonts w:hint="eastAsia"/>
          <w:rtl/>
        </w:rPr>
        <w:t>את</w:t>
      </w:r>
      <w:r w:rsidRPr="00F57B1E">
        <w:rPr>
          <w:rtl/>
        </w:rPr>
        <w:t xml:space="preserve"> </w:t>
      </w:r>
      <w:r w:rsidRPr="00F57B1E">
        <w:rPr>
          <w:rFonts w:hint="eastAsia"/>
          <w:rtl/>
        </w:rPr>
        <w:t>ההכנסה</w:t>
      </w:r>
      <w:r w:rsidRPr="00F57B1E">
        <w:rPr>
          <w:rtl/>
        </w:rPr>
        <w:t xml:space="preserve"> </w:t>
      </w:r>
      <w:r w:rsidRPr="00F57B1E">
        <w:rPr>
          <w:rFonts w:hint="eastAsia"/>
          <w:rtl/>
        </w:rPr>
        <w:t>או</w:t>
      </w:r>
      <w:r w:rsidRPr="00F57B1E">
        <w:rPr>
          <w:rtl/>
        </w:rPr>
        <w:t xml:space="preserve"> </w:t>
      </w:r>
      <w:r w:rsidRPr="00F57B1E">
        <w:rPr>
          <w:rFonts w:hint="eastAsia"/>
          <w:rtl/>
        </w:rPr>
        <w:t>את</w:t>
      </w:r>
      <w:r w:rsidRPr="00F57B1E">
        <w:rPr>
          <w:rtl/>
        </w:rPr>
        <w:t xml:space="preserve"> </w:t>
      </w:r>
      <w:r w:rsidRPr="00F57B1E">
        <w:rPr>
          <w:rFonts w:hint="eastAsia"/>
          <w:rtl/>
        </w:rPr>
        <w:t>המס</w:t>
      </w:r>
      <w:r w:rsidRPr="00F57B1E">
        <w:rPr>
          <w:rtl/>
        </w:rPr>
        <w:t xml:space="preserve"> </w:t>
      </w:r>
      <w:r w:rsidRPr="00F57B1E">
        <w:rPr>
          <w:rFonts w:hint="eastAsia"/>
          <w:rtl/>
        </w:rPr>
        <w:t>כאמור</w:t>
      </w:r>
      <w:r w:rsidRPr="00F57B1E">
        <w:rPr>
          <w:rtl/>
        </w:rPr>
        <w:t xml:space="preserve"> </w:t>
      </w:r>
      <w:r w:rsidRPr="00F57B1E">
        <w:rPr>
          <w:rFonts w:hint="eastAsia"/>
          <w:rtl/>
        </w:rPr>
        <w:t>או</w:t>
      </w:r>
      <w:r w:rsidRPr="00F57B1E">
        <w:rPr>
          <w:rtl/>
        </w:rPr>
        <w:t xml:space="preserve"> </w:t>
      </w:r>
      <w:r w:rsidRPr="00F57B1E">
        <w:rPr>
          <w:rFonts w:hint="eastAsia"/>
          <w:rtl/>
        </w:rPr>
        <w:t>להחזיר</w:t>
      </w:r>
      <w:r w:rsidRPr="00F57B1E">
        <w:rPr>
          <w:rtl/>
        </w:rPr>
        <w:t xml:space="preserve"> </w:t>
      </w:r>
      <w:r w:rsidRPr="00F57B1E">
        <w:rPr>
          <w:rFonts w:hint="eastAsia"/>
          <w:rtl/>
        </w:rPr>
        <w:t>את</w:t>
      </w:r>
      <w:r w:rsidRPr="00F57B1E">
        <w:rPr>
          <w:rtl/>
        </w:rPr>
        <w:t xml:space="preserve"> </w:t>
      </w:r>
      <w:r w:rsidRPr="00F57B1E">
        <w:rPr>
          <w:rFonts w:hint="eastAsia"/>
          <w:rtl/>
        </w:rPr>
        <w:t>הדין</w:t>
      </w:r>
      <w:r w:rsidRPr="00F57B1E">
        <w:rPr>
          <w:rtl/>
        </w:rPr>
        <w:t xml:space="preserve"> </w:t>
      </w:r>
      <w:r w:rsidRPr="00F57B1E">
        <w:rPr>
          <w:rFonts w:hint="eastAsia"/>
          <w:rtl/>
        </w:rPr>
        <w:t>למשיב</w:t>
      </w:r>
      <w:r w:rsidRPr="00F57B1E">
        <w:rPr>
          <w:rtl/>
        </w:rPr>
        <w:t xml:space="preserve"> </w:t>
      </w:r>
      <w:r w:rsidRPr="00F57B1E">
        <w:rPr>
          <w:rFonts w:hint="eastAsia"/>
          <w:rtl/>
        </w:rPr>
        <w:t>לשם</w:t>
      </w:r>
      <w:r w:rsidRPr="00F57B1E">
        <w:rPr>
          <w:rtl/>
        </w:rPr>
        <w:t xml:space="preserve"> </w:t>
      </w:r>
      <w:r w:rsidRPr="00F57B1E">
        <w:rPr>
          <w:rFonts w:hint="eastAsia"/>
          <w:rtl/>
        </w:rPr>
        <w:t>קביעת</w:t>
      </w:r>
      <w:r w:rsidRPr="00F57B1E">
        <w:rPr>
          <w:rtl/>
        </w:rPr>
        <w:t xml:space="preserve"> </w:t>
      </w:r>
      <w:r w:rsidRPr="00F57B1E">
        <w:rPr>
          <w:rFonts w:hint="eastAsia"/>
          <w:rtl/>
        </w:rPr>
        <w:t>שומה</w:t>
      </w:r>
      <w:r w:rsidRPr="00F57B1E">
        <w:rPr>
          <w:rtl/>
        </w:rPr>
        <w:t xml:space="preserve"> </w:t>
      </w:r>
      <w:r w:rsidRPr="00F57B1E">
        <w:rPr>
          <w:rFonts w:hint="eastAsia"/>
          <w:rtl/>
        </w:rPr>
        <w:t>חדשה</w:t>
      </w:r>
      <w:r w:rsidRPr="00F57B1E">
        <w:rPr>
          <w:rtl/>
        </w:rPr>
        <w:t>.</w:t>
      </w:r>
    </w:p>
    <w:p w:rsidR="004400C1" w:rsidRDefault="004400C1" w:rsidP="007D6167">
      <w:pPr>
        <w:pStyle w:val="Ruller41"/>
        <w:rPr>
          <w:rFonts w:ascii="Century" w:hAnsi="Century"/>
          <w:rtl/>
        </w:rPr>
      </w:pPr>
    </w:p>
    <w:p w:rsidR="007D6167" w:rsidRPr="00E30378" w:rsidRDefault="007D6167" w:rsidP="007A3A26">
      <w:pPr>
        <w:pStyle w:val="Ruller41"/>
        <w:spacing w:line="240" w:lineRule="auto"/>
        <w:rPr>
          <w:rFonts w:ascii="Century" w:hAnsi="Century" w:cs="Miriam"/>
          <w:b/>
          <w:spacing w:val="0"/>
          <w:szCs w:val="24"/>
          <w:rtl/>
        </w:rPr>
      </w:pPr>
      <w:r>
        <w:rPr>
          <w:rFonts w:ascii="Century" w:hAnsi="Century" w:cs="Miriam" w:hint="cs"/>
          <w:b/>
          <w:spacing w:val="0"/>
          <w:szCs w:val="24"/>
          <w:rtl/>
        </w:rPr>
        <w:t>ההוצאות</w:t>
      </w:r>
      <w:r w:rsidR="00CB29C2">
        <w:rPr>
          <w:rFonts w:ascii="Century" w:hAnsi="Century" w:cs="Miriam" w:hint="cs"/>
          <w:b/>
          <w:spacing w:val="0"/>
          <w:szCs w:val="24"/>
          <w:rtl/>
        </w:rPr>
        <w:t xml:space="preserve"> שהוטלו על המערערת</w:t>
      </w:r>
    </w:p>
    <w:p w:rsidR="007D6167" w:rsidRPr="00E30378" w:rsidRDefault="007D6167" w:rsidP="007D6167">
      <w:pPr>
        <w:pStyle w:val="Ruller41"/>
        <w:spacing w:line="240" w:lineRule="auto"/>
        <w:rPr>
          <w:rFonts w:ascii="Century" w:hAnsi="Century" w:cs="Miriam"/>
          <w:b/>
          <w:spacing w:val="0"/>
          <w:szCs w:val="24"/>
          <w:rtl/>
        </w:rPr>
      </w:pPr>
    </w:p>
    <w:p w:rsidR="007D6167" w:rsidRDefault="007D6167" w:rsidP="00DA23AA">
      <w:pPr>
        <w:pStyle w:val="Ruller4"/>
        <w:rPr>
          <w:rtl/>
        </w:rPr>
      </w:pPr>
      <w:r>
        <w:rPr>
          <w:rFonts w:hint="cs"/>
          <w:rtl/>
        </w:rPr>
        <w:t>הסוגיה האחרונה שנותרה לפתחנו היא סוגיית הוצאות המשפט שבהן חויבה המערערת, בסך 250,000 ש"ח. לטענתה אין מדובר בהוצאות ריאליות אלא בהוצאות "</w:t>
      </w:r>
      <w:proofErr w:type="spellStart"/>
      <w:r>
        <w:rPr>
          <w:rFonts w:hint="cs"/>
          <w:rtl/>
        </w:rPr>
        <w:t>עונשיות</w:t>
      </w:r>
      <w:proofErr w:type="spellEnd"/>
      <w:r>
        <w:rPr>
          <w:rFonts w:hint="cs"/>
          <w:rtl/>
        </w:rPr>
        <w:t>", ומשכך יש להורות על הפחתה שלהן. בטענה זו לא מצאתי ממש, ואפרט.</w:t>
      </w:r>
    </w:p>
    <w:p w:rsidR="007D6167" w:rsidRDefault="007D6167" w:rsidP="007D6167">
      <w:pPr>
        <w:pStyle w:val="Ruller41"/>
        <w:rPr>
          <w:rtl/>
        </w:rPr>
      </w:pPr>
    </w:p>
    <w:p w:rsidR="007D6167" w:rsidRDefault="007D6167" w:rsidP="006F2DB3">
      <w:pPr>
        <w:pStyle w:val="Ruller4"/>
        <w:rPr>
          <w:rtl/>
        </w:rPr>
      </w:pPr>
      <w:r>
        <w:rPr>
          <w:rFonts w:hint="cs"/>
          <w:rtl/>
        </w:rPr>
        <w:t xml:space="preserve">כידוע, פסיקת הוצאות הינה סוגיה דיוניות מובהקת, </w:t>
      </w:r>
      <w:proofErr w:type="spellStart"/>
      <w:r>
        <w:rPr>
          <w:rFonts w:hint="cs"/>
          <w:rtl/>
        </w:rPr>
        <w:t>וככזו</w:t>
      </w:r>
      <w:proofErr w:type="spellEnd"/>
      <w:r>
        <w:rPr>
          <w:rFonts w:hint="cs"/>
          <w:rtl/>
        </w:rPr>
        <w:t xml:space="preserve"> נתון לערכאה הדיוניות שיקול דעת רחב מאוד לגביה. זאת מתוך </w:t>
      </w:r>
      <w:r w:rsidR="006F2DB3">
        <w:rPr>
          <w:rFonts w:hint="cs"/>
          <w:rtl/>
        </w:rPr>
        <w:t>הנחה</w:t>
      </w:r>
      <w:r>
        <w:rPr>
          <w:rFonts w:hint="cs"/>
          <w:rtl/>
        </w:rPr>
        <w:t xml:space="preserve"> שלפיה היכרותה של הערכאה הדיונית את מאפייני ההליך והצדדים לו היא הטובה ביותר, כך שהיא יכולה לשקלל באופן מיטבי את כלל הנתונים </w:t>
      </w:r>
      <w:r w:rsidR="00601E50">
        <w:rPr>
          <w:rFonts w:hint="cs"/>
          <w:rtl/>
        </w:rPr>
        <w:t>הצריכים לעניין</w:t>
      </w:r>
      <w:r>
        <w:rPr>
          <w:rFonts w:hint="cs"/>
          <w:rtl/>
        </w:rPr>
        <w:t xml:space="preserve"> (</w:t>
      </w:r>
      <w:r w:rsidRPr="00E31AB6">
        <w:rPr>
          <w:rFonts w:hint="eastAsia"/>
          <w:rtl/>
        </w:rPr>
        <w:t>ע</w:t>
      </w:r>
      <w:r>
        <w:rPr>
          <w:rFonts w:hint="cs"/>
          <w:rtl/>
        </w:rPr>
        <w:t>"</w:t>
      </w:r>
      <w:r w:rsidRPr="00E31AB6">
        <w:rPr>
          <w:rFonts w:hint="eastAsia"/>
          <w:rtl/>
        </w:rPr>
        <w:t>א</w:t>
      </w:r>
      <w:r>
        <w:rPr>
          <w:rtl/>
        </w:rPr>
        <w:t xml:space="preserve"> 11512/04‏</w:t>
      </w:r>
      <w:r>
        <w:rPr>
          <w:rFonts w:hint="cs"/>
          <w:rtl/>
        </w:rPr>
        <w:t xml:space="preserve"> </w:t>
      </w:r>
      <w:proofErr w:type="spellStart"/>
      <w:r w:rsidRPr="00E31AB6">
        <w:rPr>
          <w:rFonts w:ascii="Century" w:hAnsi="Century" w:cs="Miriam" w:hint="eastAsia"/>
          <w:b/>
          <w:spacing w:val="0"/>
          <w:sz w:val="22"/>
          <w:szCs w:val="24"/>
          <w:rtl/>
        </w:rPr>
        <w:t>קרניל</w:t>
      </w:r>
      <w:proofErr w:type="spellEnd"/>
      <w:r w:rsidRPr="00E31AB6">
        <w:rPr>
          <w:rFonts w:ascii="Century" w:hAnsi="Century" w:cs="Miriam"/>
          <w:b/>
          <w:spacing w:val="0"/>
          <w:sz w:val="22"/>
          <w:szCs w:val="24"/>
          <w:rtl/>
        </w:rPr>
        <w:t xml:space="preserve"> </w:t>
      </w:r>
      <w:r w:rsidRPr="00E31AB6">
        <w:rPr>
          <w:rFonts w:ascii="Century" w:hAnsi="Century" w:cs="Miriam" w:hint="eastAsia"/>
          <w:b/>
          <w:spacing w:val="0"/>
          <w:sz w:val="22"/>
          <w:szCs w:val="24"/>
          <w:rtl/>
        </w:rPr>
        <w:t>חברה</w:t>
      </w:r>
      <w:r w:rsidRPr="00E31AB6">
        <w:rPr>
          <w:rFonts w:ascii="Century" w:hAnsi="Century" w:cs="Miriam"/>
          <w:b/>
          <w:spacing w:val="0"/>
          <w:sz w:val="22"/>
          <w:szCs w:val="24"/>
          <w:rtl/>
        </w:rPr>
        <w:t xml:space="preserve"> </w:t>
      </w:r>
      <w:r w:rsidRPr="00E31AB6">
        <w:rPr>
          <w:rFonts w:ascii="Century" w:hAnsi="Century" w:cs="Miriam" w:hint="eastAsia"/>
          <w:b/>
          <w:spacing w:val="0"/>
          <w:sz w:val="22"/>
          <w:szCs w:val="24"/>
          <w:rtl/>
        </w:rPr>
        <w:t>לעבודות</w:t>
      </w:r>
      <w:r w:rsidRPr="00E31AB6">
        <w:rPr>
          <w:rFonts w:ascii="Century" w:hAnsi="Century" w:cs="Miriam"/>
          <w:b/>
          <w:spacing w:val="0"/>
          <w:sz w:val="22"/>
          <w:szCs w:val="24"/>
          <w:rtl/>
        </w:rPr>
        <w:t xml:space="preserve"> </w:t>
      </w:r>
      <w:r w:rsidRPr="00E31AB6">
        <w:rPr>
          <w:rFonts w:ascii="Century" w:hAnsi="Century" w:cs="Miriam" w:hint="eastAsia"/>
          <w:b/>
          <w:spacing w:val="0"/>
          <w:sz w:val="22"/>
          <w:szCs w:val="24"/>
          <w:rtl/>
        </w:rPr>
        <w:t>הנדסיות</w:t>
      </w:r>
      <w:r w:rsidRPr="00E31AB6">
        <w:rPr>
          <w:rFonts w:ascii="Century" w:hAnsi="Century" w:cs="Miriam"/>
          <w:b/>
          <w:spacing w:val="0"/>
          <w:sz w:val="22"/>
          <w:szCs w:val="24"/>
          <w:rtl/>
        </w:rPr>
        <w:t xml:space="preserve"> </w:t>
      </w:r>
      <w:r w:rsidRPr="00E31AB6">
        <w:rPr>
          <w:rFonts w:ascii="Century" w:hAnsi="Century" w:cs="Miriam" w:hint="eastAsia"/>
          <w:b/>
          <w:spacing w:val="0"/>
          <w:sz w:val="22"/>
          <w:szCs w:val="24"/>
          <w:rtl/>
        </w:rPr>
        <w:t>בע</w:t>
      </w:r>
      <w:r w:rsidRPr="00E31AB6">
        <w:rPr>
          <w:rFonts w:ascii="Century" w:hAnsi="Century" w:cs="Miriam"/>
          <w:b/>
          <w:spacing w:val="0"/>
          <w:sz w:val="22"/>
          <w:szCs w:val="24"/>
          <w:rtl/>
        </w:rPr>
        <w:t>"</w:t>
      </w:r>
      <w:r w:rsidRPr="00E31AB6">
        <w:rPr>
          <w:rFonts w:ascii="Century" w:hAnsi="Century" w:cs="Miriam" w:hint="eastAsia"/>
          <w:b/>
          <w:spacing w:val="0"/>
          <w:sz w:val="22"/>
          <w:szCs w:val="24"/>
          <w:rtl/>
        </w:rPr>
        <w:t>מ</w:t>
      </w:r>
      <w:r w:rsidRPr="00E31AB6">
        <w:rPr>
          <w:rFonts w:ascii="Century" w:hAnsi="Century" w:cs="Miriam"/>
          <w:b/>
          <w:spacing w:val="0"/>
          <w:sz w:val="22"/>
          <w:szCs w:val="24"/>
          <w:rtl/>
        </w:rPr>
        <w:t xml:space="preserve"> </w:t>
      </w:r>
      <w:r w:rsidRPr="00E31AB6">
        <w:rPr>
          <w:rFonts w:ascii="Century" w:hAnsi="Century" w:cs="Miriam" w:hint="eastAsia"/>
          <w:b/>
          <w:spacing w:val="0"/>
          <w:sz w:val="22"/>
          <w:szCs w:val="24"/>
          <w:rtl/>
        </w:rPr>
        <w:t>נ</w:t>
      </w:r>
      <w:r w:rsidRPr="00E31AB6">
        <w:rPr>
          <w:rFonts w:ascii="Century" w:hAnsi="Century" w:cs="Miriam"/>
          <w:b/>
          <w:spacing w:val="0"/>
          <w:sz w:val="22"/>
          <w:szCs w:val="24"/>
          <w:rtl/>
        </w:rPr>
        <w:t xml:space="preserve">' </w:t>
      </w:r>
      <w:r w:rsidRPr="00E31AB6">
        <w:rPr>
          <w:rFonts w:ascii="Century" w:hAnsi="Century" w:cs="Miriam" w:hint="eastAsia"/>
          <w:b/>
          <w:spacing w:val="0"/>
          <w:sz w:val="22"/>
          <w:szCs w:val="24"/>
          <w:rtl/>
        </w:rPr>
        <w:t>גב</w:t>
      </w:r>
      <w:r w:rsidRPr="00E31AB6">
        <w:rPr>
          <w:rFonts w:ascii="Century" w:hAnsi="Century" w:cs="Miriam"/>
          <w:b/>
          <w:spacing w:val="0"/>
          <w:sz w:val="22"/>
          <w:szCs w:val="24"/>
          <w:rtl/>
        </w:rPr>
        <w:t xml:space="preserve"> </w:t>
      </w:r>
      <w:r w:rsidRPr="00E31AB6">
        <w:rPr>
          <w:rFonts w:ascii="Century" w:hAnsi="Century" w:cs="Miriam" w:hint="eastAsia"/>
          <w:b/>
          <w:spacing w:val="0"/>
          <w:sz w:val="22"/>
          <w:szCs w:val="24"/>
          <w:rtl/>
        </w:rPr>
        <w:t>ים</w:t>
      </w:r>
      <w:r w:rsidRPr="00E31AB6">
        <w:rPr>
          <w:rFonts w:ascii="Century" w:hAnsi="Century" w:cs="Miriam"/>
          <w:b/>
          <w:spacing w:val="0"/>
          <w:sz w:val="22"/>
          <w:szCs w:val="24"/>
          <w:rtl/>
        </w:rPr>
        <w:t xml:space="preserve"> </w:t>
      </w:r>
      <w:r w:rsidRPr="00E31AB6">
        <w:rPr>
          <w:rFonts w:ascii="Century" w:hAnsi="Century" w:cs="Miriam" w:hint="eastAsia"/>
          <w:b/>
          <w:spacing w:val="0"/>
          <w:sz w:val="22"/>
          <w:szCs w:val="24"/>
          <w:rtl/>
        </w:rPr>
        <w:t>חברה</w:t>
      </w:r>
      <w:r w:rsidRPr="00E31AB6">
        <w:rPr>
          <w:rFonts w:ascii="Century" w:hAnsi="Century" w:cs="Miriam"/>
          <w:b/>
          <w:spacing w:val="0"/>
          <w:sz w:val="22"/>
          <w:szCs w:val="24"/>
          <w:rtl/>
        </w:rPr>
        <w:t xml:space="preserve"> </w:t>
      </w:r>
      <w:r w:rsidRPr="00E31AB6">
        <w:rPr>
          <w:rFonts w:ascii="Century" w:hAnsi="Century" w:cs="Miriam" w:hint="eastAsia"/>
          <w:b/>
          <w:spacing w:val="0"/>
          <w:sz w:val="22"/>
          <w:szCs w:val="24"/>
          <w:rtl/>
        </w:rPr>
        <w:t>לקרקעות</w:t>
      </w:r>
      <w:r w:rsidRPr="00E31AB6">
        <w:rPr>
          <w:rFonts w:ascii="Century" w:hAnsi="Century" w:cs="Miriam"/>
          <w:b/>
          <w:spacing w:val="0"/>
          <w:sz w:val="22"/>
          <w:szCs w:val="24"/>
          <w:rtl/>
        </w:rPr>
        <w:t xml:space="preserve"> </w:t>
      </w:r>
      <w:r w:rsidRPr="00E31AB6">
        <w:rPr>
          <w:rFonts w:ascii="Century" w:hAnsi="Century" w:cs="Miriam" w:hint="eastAsia"/>
          <w:b/>
          <w:spacing w:val="0"/>
          <w:sz w:val="22"/>
          <w:szCs w:val="24"/>
          <w:rtl/>
        </w:rPr>
        <w:t>בע</w:t>
      </w:r>
      <w:r w:rsidRPr="00E31AB6">
        <w:rPr>
          <w:rFonts w:ascii="Century" w:hAnsi="Century" w:cs="Miriam"/>
          <w:b/>
          <w:spacing w:val="0"/>
          <w:sz w:val="22"/>
          <w:szCs w:val="24"/>
          <w:rtl/>
        </w:rPr>
        <w:t>"</w:t>
      </w:r>
      <w:r w:rsidRPr="00E31AB6">
        <w:rPr>
          <w:rFonts w:ascii="Century" w:hAnsi="Century" w:cs="Miriam" w:hint="eastAsia"/>
          <w:b/>
          <w:spacing w:val="0"/>
          <w:sz w:val="22"/>
          <w:szCs w:val="24"/>
          <w:rtl/>
        </w:rPr>
        <w:t>מ</w:t>
      </w:r>
      <w:r w:rsidRPr="00E31AB6">
        <w:rPr>
          <w:rtl/>
        </w:rPr>
        <w:t xml:space="preserve">, </w:t>
      </w:r>
      <w:r w:rsidRPr="00E31AB6">
        <w:rPr>
          <w:rFonts w:hint="eastAsia"/>
          <w:rtl/>
        </w:rPr>
        <w:t>פסקה</w:t>
      </w:r>
      <w:r w:rsidRPr="00E31AB6">
        <w:rPr>
          <w:rtl/>
        </w:rPr>
        <w:t xml:space="preserve"> 15 (16.11.2006)</w:t>
      </w:r>
      <w:r>
        <w:rPr>
          <w:rFonts w:hint="cs"/>
          <w:rtl/>
        </w:rPr>
        <w:t>. משכך, הלכה היא שאין זו מדרכה של ערכאת הערעור להתערב בהוצאות שנפסקו על ידי הערכאה הדיונית, אלא במקרים חריגים ביותר בהם הוכח כי הערכאה הדיונית שגתה ב</w:t>
      </w:r>
      <w:r w:rsidR="00FA5F28">
        <w:rPr>
          <w:rFonts w:hint="cs"/>
          <w:rtl/>
        </w:rPr>
        <w:t xml:space="preserve">אופן </w:t>
      </w:r>
      <w:r>
        <w:rPr>
          <w:rFonts w:hint="cs"/>
          <w:rtl/>
        </w:rPr>
        <w:t xml:space="preserve">הפעלת שיקול </w:t>
      </w:r>
      <w:r w:rsidR="00FA5F28">
        <w:rPr>
          <w:rFonts w:hint="cs"/>
          <w:rtl/>
        </w:rPr>
        <w:t>ה</w:t>
      </w:r>
      <w:r>
        <w:rPr>
          <w:rFonts w:hint="cs"/>
          <w:rtl/>
        </w:rPr>
        <w:t xml:space="preserve">דעת (רע"א 7650/20 </w:t>
      </w:r>
      <w:r w:rsidRPr="006A4519">
        <w:rPr>
          <w:rFonts w:ascii="Century" w:hAnsi="Century" w:cs="Miriam"/>
          <w:b/>
          <w:spacing w:val="0"/>
          <w:sz w:val="22"/>
          <w:szCs w:val="24"/>
        </w:rPr>
        <w:t>Magic Software Enterprises Ltd</w:t>
      </w:r>
      <w:r w:rsidRPr="006A4519">
        <w:rPr>
          <w:rFonts w:ascii="Century" w:hAnsi="Century" w:cs="Miriam"/>
          <w:b/>
          <w:spacing w:val="0"/>
          <w:sz w:val="22"/>
          <w:szCs w:val="24"/>
          <w:rtl/>
        </w:rPr>
        <w:t xml:space="preserve"> </w:t>
      </w:r>
      <w:r w:rsidRPr="006A4519">
        <w:rPr>
          <w:rFonts w:ascii="Century" w:hAnsi="Century" w:cs="Miriam" w:hint="eastAsia"/>
          <w:b/>
          <w:spacing w:val="0"/>
          <w:sz w:val="22"/>
          <w:szCs w:val="24"/>
          <w:rtl/>
        </w:rPr>
        <w:t>נ</w:t>
      </w:r>
      <w:r w:rsidRPr="006A4519">
        <w:rPr>
          <w:rFonts w:ascii="Century" w:hAnsi="Century" w:cs="Miriam"/>
          <w:b/>
          <w:spacing w:val="0"/>
          <w:sz w:val="22"/>
          <w:szCs w:val="24"/>
          <w:rtl/>
        </w:rPr>
        <w:t xml:space="preserve">' </w:t>
      </w:r>
      <w:proofErr w:type="spellStart"/>
      <w:r w:rsidRPr="006A4519">
        <w:rPr>
          <w:rFonts w:ascii="Century" w:hAnsi="Century" w:cs="Miriam" w:hint="eastAsia"/>
          <w:b/>
          <w:spacing w:val="0"/>
          <w:sz w:val="22"/>
          <w:szCs w:val="24"/>
          <w:rtl/>
        </w:rPr>
        <w:t>פאיירפלאי</w:t>
      </w:r>
      <w:proofErr w:type="spellEnd"/>
      <w:r w:rsidRPr="006A4519">
        <w:rPr>
          <w:rFonts w:ascii="Century" w:hAnsi="Century" w:cs="Miriam"/>
          <w:b/>
          <w:spacing w:val="0"/>
          <w:sz w:val="22"/>
          <w:szCs w:val="24"/>
          <w:rtl/>
        </w:rPr>
        <w:t xml:space="preserve"> </w:t>
      </w:r>
      <w:r w:rsidRPr="006A4519">
        <w:rPr>
          <w:rFonts w:ascii="Century" w:hAnsi="Century" w:cs="Miriam" w:hint="eastAsia"/>
          <w:b/>
          <w:spacing w:val="0"/>
          <w:sz w:val="22"/>
          <w:szCs w:val="24"/>
          <w:rtl/>
        </w:rPr>
        <w:t>בע</w:t>
      </w:r>
      <w:r w:rsidRPr="006A4519">
        <w:rPr>
          <w:rFonts w:ascii="Century" w:hAnsi="Century" w:cs="Miriam"/>
          <w:b/>
          <w:spacing w:val="0"/>
          <w:sz w:val="22"/>
          <w:szCs w:val="24"/>
          <w:rtl/>
        </w:rPr>
        <w:t>"</w:t>
      </w:r>
      <w:r w:rsidRPr="006A4519">
        <w:rPr>
          <w:rFonts w:ascii="Century" w:hAnsi="Century" w:cs="Miriam" w:hint="eastAsia"/>
          <w:b/>
          <w:spacing w:val="0"/>
          <w:sz w:val="22"/>
          <w:szCs w:val="24"/>
          <w:rtl/>
        </w:rPr>
        <w:t>מ</w:t>
      </w:r>
      <w:r>
        <w:rPr>
          <w:rFonts w:hint="cs"/>
          <w:rtl/>
        </w:rPr>
        <w:t xml:space="preserve">, פסקה 8 </w:t>
      </w:r>
      <w:r w:rsidRPr="006A4519">
        <w:rPr>
          <w:rtl/>
        </w:rPr>
        <w:t>(28.12.2020)</w:t>
      </w:r>
      <w:r w:rsidRPr="006A4519">
        <w:rPr>
          <w:rFonts w:ascii="FrankRuehl" w:hAnsi="FrankRuehl"/>
          <w:sz w:val="28"/>
        </w:rPr>
        <w:t>;</w:t>
      </w:r>
      <w:r w:rsidRPr="006A4519">
        <w:rPr>
          <w:rFonts w:ascii="FrankRuehl" w:hAnsi="FrankRuehl"/>
          <w:sz w:val="28"/>
          <w:rtl/>
        </w:rPr>
        <w:t xml:space="preserve"> </w:t>
      </w:r>
      <w:r w:rsidRPr="00293383">
        <w:rPr>
          <w:rFonts w:hint="eastAsia"/>
          <w:rtl/>
        </w:rPr>
        <w:t>רע</w:t>
      </w:r>
      <w:r w:rsidRPr="00293383">
        <w:rPr>
          <w:rtl/>
        </w:rPr>
        <w:t>"</w:t>
      </w:r>
      <w:r w:rsidRPr="00293383">
        <w:rPr>
          <w:rFonts w:hint="eastAsia"/>
          <w:rtl/>
        </w:rPr>
        <w:t>א</w:t>
      </w:r>
      <w:r w:rsidRPr="00293383">
        <w:rPr>
          <w:rtl/>
        </w:rPr>
        <w:t xml:space="preserve"> 6793/08 </w:t>
      </w:r>
      <w:r w:rsidRPr="006A4519">
        <w:rPr>
          <w:rFonts w:ascii="Century" w:hAnsi="Century" w:cs="Miriam" w:hint="eastAsia"/>
          <w:b/>
          <w:spacing w:val="0"/>
          <w:sz w:val="22"/>
          <w:szCs w:val="24"/>
          <w:rtl/>
        </w:rPr>
        <w:t>לואר</w:t>
      </w:r>
      <w:r w:rsidRPr="006A4519">
        <w:rPr>
          <w:rFonts w:ascii="Century" w:hAnsi="Century" w:cs="Miriam"/>
          <w:b/>
          <w:spacing w:val="0"/>
          <w:sz w:val="22"/>
          <w:szCs w:val="24"/>
          <w:rtl/>
        </w:rPr>
        <w:t xml:space="preserve"> </w:t>
      </w:r>
      <w:r w:rsidRPr="006A4519">
        <w:rPr>
          <w:rFonts w:ascii="Century" w:hAnsi="Century" w:cs="Miriam" w:hint="eastAsia"/>
          <w:b/>
          <w:spacing w:val="0"/>
          <w:sz w:val="22"/>
          <w:szCs w:val="24"/>
          <w:rtl/>
        </w:rPr>
        <w:t>בע</w:t>
      </w:r>
      <w:r w:rsidRPr="006A4519">
        <w:rPr>
          <w:rFonts w:ascii="Century" w:hAnsi="Century" w:cs="Miriam"/>
          <w:b/>
          <w:spacing w:val="0"/>
          <w:sz w:val="22"/>
          <w:szCs w:val="24"/>
          <w:rtl/>
        </w:rPr>
        <w:t>"</w:t>
      </w:r>
      <w:r w:rsidRPr="006A4519">
        <w:rPr>
          <w:rFonts w:ascii="Century" w:hAnsi="Century" w:cs="Miriam" w:hint="eastAsia"/>
          <w:b/>
          <w:spacing w:val="0"/>
          <w:sz w:val="22"/>
          <w:szCs w:val="24"/>
          <w:rtl/>
        </w:rPr>
        <w:t>מ</w:t>
      </w:r>
      <w:r w:rsidRPr="006A4519">
        <w:rPr>
          <w:rFonts w:ascii="Century" w:hAnsi="Century" w:cs="Miriam"/>
          <w:b/>
          <w:spacing w:val="0"/>
          <w:sz w:val="22"/>
          <w:szCs w:val="24"/>
          <w:rtl/>
        </w:rPr>
        <w:t xml:space="preserve"> </w:t>
      </w:r>
      <w:r w:rsidRPr="006A4519">
        <w:rPr>
          <w:rFonts w:ascii="Century" w:hAnsi="Century" w:cs="Miriam" w:hint="eastAsia"/>
          <w:b/>
          <w:spacing w:val="0"/>
          <w:sz w:val="22"/>
          <w:szCs w:val="24"/>
          <w:rtl/>
        </w:rPr>
        <w:t>נ</w:t>
      </w:r>
      <w:r w:rsidRPr="006A4519">
        <w:rPr>
          <w:rFonts w:ascii="Century" w:hAnsi="Century" w:cs="Miriam"/>
          <w:b/>
          <w:spacing w:val="0"/>
          <w:sz w:val="22"/>
          <w:szCs w:val="24"/>
          <w:rtl/>
        </w:rPr>
        <w:t xml:space="preserve">' </w:t>
      </w:r>
      <w:r w:rsidRPr="006A4519">
        <w:rPr>
          <w:rFonts w:ascii="Century" w:hAnsi="Century" w:cs="Miriam" w:hint="eastAsia"/>
          <w:b/>
          <w:spacing w:val="0"/>
          <w:sz w:val="22"/>
          <w:szCs w:val="24"/>
          <w:rtl/>
        </w:rPr>
        <w:t>משולם</w:t>
      </w:r>
      <w:r w:rsidRPr="006A4519">
        <w:rPr>
          <w:rFonts w:ascii="Century" w:hAnsi="Century" w:cs="Miriam"/>
          <w:b/>
          <w:spacing w:val="0"/>
          <w:sz w:val="22"/>
          <w:szCs w:val="24"/>
          <w:rtl/>
        </w:rPr>
        <w:t xml:space="preserve"> </w:t>
      </w:r>
      <w:proofErr w:type="spellStart"/>
      <w:r w:rsidRPr="006A4519">
        <w:rPr>
          <w:rFonts w:ascii="Century" w:hAnsi="Century" w:cs="Miriam" w:hint="eastAsia"/>
          <w:b/>
          <w:spacing w:val="0"/>
          <w:sz w:val="22"/>
          <w:szCs w:val="24"/>
          <w:rtl/>
        </w:rPr>
        <w:t>לוינשטיין</w:t>
      </w:r>
      <w:proofErr w:type="spellEnd"/>
      <w:r w:rsidRPr="006A4519">
        <w:rPr>
          <w:rFonts w:ascii="Century" w:hAnsi="Century" w:cs="Miriam"/>
          <w:b/>
          <w:spacing w:val="0"/>
          <w:sz w:val="22"/>
          <w:szCs w:val="24"/>
          <w:rtl/>
        </w:rPr>
        <w:t xml:space="preserve"> </w:t>
      </w:r>
      <w:r w:rsidRPr="006A4519">
        <w:rPr>
          <w:rFonts w:ascii="Century" w:hAnsi="Century" w:cs="Miriam" w:hint="eastAsia"/>
          <w:b/>
          <w:spacing w:val="0"/>
          <w:sz w:val="22"/>
          <w:szCs w:val="24"/>
          <w:rtl/>
        </w:rPr>
        <w:t>הנדסה</w:t>
      </w:r>
      <w:r w:rsidRPr="006A4519">
        <w:rPr>
          <w:rFonts w:ascii="Century" w:hAnsi="Century" w:cs="Miriam"/>
          <w:b/>
          <w:spacing w:val="0"/>
          <w:sz w:val="22"/>
          <w:szCs w:val="24"/>
          <w:rtl/>
        </w:rPr>
        <w:t xml:space="preserve"> </w:t>
      </w:r>
      <w:r w:rsidRPr="006A4519">
        <w:rPr>
          <w:rFonts w:ascii="Century" w:hAnsi="Century" w:cs="Miriam" w:hint="eastAsia"/>
          <w:b/>
          <w:spacing w:val="0"/>
          <w:sz w:val="22"/>
          <w:szCs w:val="24"/>
          <w:rtl/>
        </w:rPr>
        <w:t>וקבלנות</w:t>
      </w:r>
      <w:r w:rsidRPr="006A4519">
        <w:rPr>
          <w:rFonts w:ascii="Century" w:hAnsi="Century" w:cs="Miriam"/>
          <w:b/>
          <w:spacing w:val="0"/>
          <w:sz w:val="22"/>
          <w:szCs w:val="24"/>
          <w:rtl/>
        </w:rPr>
        <w:t xml:space="preserve"> </w:t>
      </w:r>
      <w:r w:rsidRPr="006A4519">
        <w:rPr>
          <w:rFonts w:ascii="Century" w:hAnsi="Century" w:cs="Miriam" w:hint="eastAsia"/>
          <w:b/>
          <w:spacing w:val="0"/>
          <w:sz w:val="22"/>
          <w:szCs w:val="24"/>
          <w:rtl/>
        </w:rPr>
        <w:t>בע</w:t>
      </w:r>
      <w:r w:rsidRPr="006A4519">
        <w:rPr>
          <w:rFonts w:ascii="Century" w:hAnsi="Century" w:cs="Miriam"/>
          <w:b/>
          <w:spacing w:val="0"/>
          <w:sz w:val="22"/>
          <w:szCs w:val="24"/>
          <w:rtl/>
        </w:rPr>
        <w:t>"</w:t>
      </w:r>
      <w:r w:rsidRPr="006A4519">
        <w:rPr>
          <w:rFonts w:ascii="Century" w:hAnsi="Century" w:cs="Miriam" w:hint="eastAsia"/>
          <w:b/>
          <w:spacing w:val="0"/>
          <w:sz w:val="22"/>
          <w:szCs w:val="24"/>
          <w:rtl/>
        </w:rPr>
        <w:t>מ</w:t>
      </w:r>
      <w:r w:rsidRPr="00293383">
        <w:rPr>
          <w:rtl/>
        </w:rPr>
        <w:t xml:space="preserve">, </w:t>
      </w:r>
      <w:r w:rsidRPr="00293383">
        <w:rPr>
          <w:rFonts w:hint="eastAsia"/>
          <w:rtl/>
        </w:rPr>
        <w:t>פסקה</w:t>
      </w:r>
      <w:r w:rsidRPr="00293383">
        <w:rPr>
          <w:rtl/>
        </w:rPr>
        <w:t xml:space="preserve"> 18 (28.6.2009)</w:t>
      </w:r>
      <w:r>
        <w:rPr>
          <w:rFonts w:hint="cs"/>
          <w:rtl/>
        </w:rPr>
        <w:t xml:space="preserve"> (להלן: </w:t>
      </w:r>
      <w:r w:rsidRPr="00272DF9">
        <w:rPr>
          <w:rFonts w:ascii="Century" w:hAnsi="Century" w:cs="Miriam" w:hint="cs"/>
          <w:b/>
          <w:spacing w:val="0"/>
          <w:sz w:val="22"/>
          <w:szCs w:val="24"/>
          <w:rtl/>
        </w:rPr>
        <w:t>עניין לואר</w:t>
      </w:r>
      <w:r>
        <w:rPr>
          <w:rFonts w:hint="cs"/>
          <w:rtl/>
        </w:rPr>
        <w:t>)).</w:t>
      </w:r>
    </w:p>
    <w:p w:rsidR="007D6167" w:rsidRDefault="007D6167" w:rsidP="007D6167">
      <w:pPr>
        <w:pStyle w:val="Ruller41"/>
        <w:rPr>
          <w:rtl/>
        </w:rPr>
      </w:pPr>
    </w:p>
    <w:p w:rsidR="007D6167" w:rsidRDefault="007D6167" w:rsidP="00E43585">
      <w:pPr>
        <w:pStyle w:val="Ruller4"/>
        <w:numPr>
          <w:ilvl w:val="0"/>
          <w:numId w:val="0"/>
        </w:numPr>
        <w:rPr>
          <w:rtl/>
        </w:rPr>
      </w:pPr>
      <w:r>
        <w:rPr>
          <w:rtl/>
        </w:rPr>
        <w:tab/>
      </w:r>
      <w:r>
        <w:rPr>
          <w:rFonts w:hint="cs"/>
          <w:rtl/>
        </w:rPr>
        <w:t xml:space="preserve">נקודת </w:t>
      </w:r>
      <w:r w:rsidR="006F2DB3">
        <w:rPr>
          <w:rFonts w:hint="cs"/>
          <w:rtl/>
        </w:rPr>
        <w:t>המוצא</w:t>
      </w:r>
      <w:r>
        <w:rPr>
          <w:rFonts w:hint="cs"/>
          <w:rtl/>
        </w:rPr>
        <w:t xml:space="preserve"> של הערכאה הדיונית </w:t>
      </w:r>
      <w:r w:rsidR="00A15302">
        <w:rPr>
          <w:rFonts w:hint="cs"/>
          <w:rtl/>
        </w:rPr>
        <w:t>בנוגע</w:t>
      </w:r>
      <w:r>
        <w:rPr>
          <w:rFonts w:hint="cs"/>
          <w:rtl/>
        </w:rPr>
        <w:t xml:space="preserve"> לגו</w:t>
      </w:r>
      <w:r w:rsidR="00315659">
        <w:rPr>
          <w:rFonts w:hint="cs"/>
          <w:rtl/>
        </w:rPr>
        <w:t xml:space="preserve">בה ההוצאות שיש לפסוק לזכות בעל </w:t>
      </w:r>
      <w:r>
        <w:rPr>
          <w:rFonts w:hint="cs"/>
          <w:rtl/>
        </w:rPr>
        <w:t>דין שז</w:t>
      </w:r>
      <w:r w:rsidR="00315659">
        <w:rPr>
          <w:rFonts w:hint="cs"/>
          <w:rtl/>
        </w:rPr>
        <w:t>ו</w:t>
      </w:r>
      <w:r>
        <w:rPr>
          <w:rFonts w:hint="cs"/>
          <w:rtl/>
        </w:rPr>
        <w:t xml:space="preserve">כה בהליך, </w:t>
      </w:r>
      <w:r w:rsidR="001E6151">
        <w:rPr>
          <w:rFonts w:hint="cs"/>
          <w:rtl/>
        </w:rPr>
        <w:t>נכון שתהא</w:t>
      </w:r>
      <w:r>
        <w:rPr>
          <w:rFonts w:hint="cs"/>
          <w:rtl/>
        </w:rPr>
        <w:t xml:space="preserve"> </w:t>
      </w:r>
      <w:r w:rsidR="00E43585">
        <w:rPr>
          <w:rFonts w:hint="cs"/>
          <w:rtl/>
        </w:rPr>
        <w:t>ה</w:t>
      </w:r>
      <w:r>
        <w:rPr>
          <w:rFonts w:hint="cs"/>
          <w:rtl/>
        </w:rPr>
        <w:t xml:space="preserve">הוצאות הריאליות </w:t>
      </w:r>
      <w:r w:rsidR="00BE2F0D">
        <w:rPr>
          <w:rFonts w:hint="cs"/>
          <w:rtl/>
        </w:rPr>
        <w:t>ש</w:t>
      </w:r>
      <w:r>
        <w:rPr>
          <w:rFonts w:hint="cs"/>
          <w:rtl/>
        </w:rPr>
        <w:t>הוציא. ואולם מדובר</w:t>
      </w:r>
      <w:r w:rsidR="00315659">
        <w:rPr>
          <w:rFonts w:hint="cs"/>
          <w:rtl/>
        </w:rPr>
        <w:t xml:space="preserve"> אך</w:t>
      </w:r>
      <w:r>
        <w:rPr>
          <w:rFonts w:hint="cs"/>
          <w:rtl/>
        </w:rPr>
        <w:t xml:space="preserve"> </w:t>
      </w:r>
      <w:r w:rsidR="00315659">
        <w:rPr>
          <w:rFonts w:hint="cs"/>
          <w:rtl/>
        </w:rPr>
        <w:t>בעוגן ראשוני, כשבכל מקרה ומקרה צריך בית המשפט לשקול את הדברים לגופם</w:t>
      </w:r>
      <w:r w:rsidR="00754A49">
        <w:rPr>
          <w:rFonts w:hint="cs"/>
          <w:rtl/>
        </w:rPr>
        <w:t>, בין היתר ב</w:t>
      </w:r>
      <w:r>
        <w:rPr>
          <w:rFonts w:hint="cs"/>
          <w:rtl/>
        </w:rPr>
        <w:t xml:space="preserve">התאם </w:t>
      </w:r>
      <w:r w:rsidRPr="00EC6E36">
        <w:rPr>
          <w:rFonts w:ascii="FrankRuehl" w:hAnsi="FrankRuehl"/>
          <w:sz w:val="28"/>
          <w:rtl/>
        </w:rPr>
        <w:t>לאופי ההליך ומורכבותו</w:t>
      </w:r>
      <w:r w:rsidRPr="00EC6E36">
        <w:rPr>
          <w:rFonts w:ascii="FrankRuehl" w:hAnsi="FrankRuehl"/>
          <w:sz w:val="28"/>
        </w:rPr>
        <w:t>;</w:t>
      </w:r>
      <w:r w:rsidRPr="00EC6E36">
        <w:rPr>
          <w:rFonts w:ascii="FrankRuehl" w:hAnsi="FrankRuehl"/>
          <w:sz w:val="28"/>
          <w:rtl/>
        </w:rPr>
        <w:t xml:space="preserve"> לגובה הסעד שנתבקש, ולפער בינו לבין הסעד </w:t>
      </w:r>
      <w:r w:rsidRPr="00EC6E36">
        <w:rPr>
          <w:rFonts w:ascii="FrankRuehl" w:hAnsi="FrankRuehl"/>
          <w:sz w:val="28"/>
          <w:rtl/>
        </w:rPr>
        <w:lastRenderedPageBreak/>
        <w:t>שנפסק</w:t>
      </w:r>
      <w:r w:rsidRPr="00EC6E36">
        <w:rPr>
          <w:rFonts w:ascii="FrankRuehl" w:hAnsi="FrankRuehl"/>
          <w:sz w:val="28"/>
        </w:rPr>
        <w:t>;</w:t>
      </w:r>
      <w:r w:rsidRPr="00EC6E36">
        <w:rPr>
          <w:rFonts w:ascii="FrankRuehl" w:hAnsi="FrankRuehl"/>
          <w:sz w:val="28"/>
          <w:rtl/>
        </w:rPr>
        <w:t xml:space="preserve"> להיקף ה</w:t>
      </w:r>
      <w:r w:rsidR="00315659">
        <w:rPr>
          <w:rFonts w:ascii="FrankRuehl" w:hAnsi="FrankRuehl" w:hint="cs"/>
          <w:sz w:val="28"/>
          <w:rtl/>
        </w:rPr>
        <w:t xml:space="preserve">מאמץ </w:t>
      </w:r>
      <w:r w:rsidR="00315659">
        <w:rPr>
          <w:rFonts w:ascii="FrankRuehl" w:hAnsi="FrankRuehl"/>
          <w:sz w:val="28"/>
          <w:rtl/>
        </w:rPr>
        <w:t>שהושקע</w:t>
      </w:r>
      <w:r w:rsidRPr="00EC6E36">
        <w:rPr>
          <w:rFonts w:ascii="FrankRuehl" w:hAnsi="FrankRuehl"/>
          <w:sz w:val="28"/>
          <w:rtl/>
        </w:rPr>
        <w:t xml:space="preserve"> על ידי בעלי הדין</w:t>
      </w:r>
      <w:r w:rsidRPr="00EC6E36">
        <w:rPr>
          <w:rFonts w:ascii="FrankRuehl" w:hAnsi="FrankRuehl"/>
          <w:sz w:val="28"/>
        </w:rPr>
        <w:t>;</w:t>
      </w:r>
      <w:r w:rsidRPr="00EC6E36">
        <w:rPr>
          <w:rFonts w:ascii="FrankRuehl" w:hAnsi="FrankRuehl"/>
          <w:sz w:val="28"/>
          <w:rtl/>
        </w:rPr>
        <w:t xml:space="preserve"> ולהתנהלותם הדיונית של בעלי הדין לאורך ההליך</w:t>
      </w:r>
      <w:r>
        <w:rPr>
          <w:rFonts w:hint="cs"/>
          <w:rtl/>
        </w:rPr>
        <w:t xml:space="preserve"> (ע"א 9535/04 </w:t>
      </w:r>
      <w:r w:rsidRPr="00EC6E36">
        <w:rPr>
          <w:rFonts w:ascii="Century" w:hAnsi="Century" w:cs="Miriam" w:hint="cs"/>
          <w:b/>
          <w:spacing w:val="0"/>
          <w:sz w:val="22"/>
          <w:szCs w:val="24"/>
          <w:rtl/>
        </w:rPr>
        <w:t>סיעת "ביאליק 10" נ' סיעת "יש עתיד לביאליק"</w:t>
      </w:r>
      <w:r>
        <w:rPr>
          <w:rFonts w:hint="cs"/>
          <w:rtl/>
        </w:rPr>
        <w:t xml:space="preserve">, פ"ד </w:t>
      </w:r>
      <w:r w:rsidRPr="00EC6E36">
        <w:rPr>
          <w:rFonts w:hint="eastAsia"/>
          <w:rtl/>
        </w:rPr>
        <w:t>ס</w:t>
      </w:r>
      <w:r w:rsidRPr="00EC6E36">
        <w:rPr>
          <w:rtl/>
        </w:rPr>
        <w:t>(1) 391</w:t>
      </w:r>
      <w:r>
        <w:rPr>
          <w:rFonts w:hint="cs"/>
          <w:rtl/>
        </w:rPr>
        <w:t>, פסקה 3</w:t>
      </w:r>
      <w:r w:rsidRPr="00EC6E36">
        <w:rPr>
          <w:rtl/>
        </w:rPr>
        <w:t xml:space="preserve"> (2005)</w:t>
      </w:r>
      <w:r>
        <w:rPr>
          <w:rFonts w:hint="cs"/>
          <w:rtl/>
        </w:rPr>
        <w:t xml:space="preserve">). </w:t>
      </w:r>
      <w:r w:rsidR="00C421A6">
        <w:rPr>
          <w:rFonts w:hint="cs"/>
          <w:rtl/>
        </w:rPr>
        <w:t xml:space="preserve">בכל אופן, </w:t>
      </w:r>
      <w:r>
        <w:rPr>
          <w:rFonts w:hint="cs"/>
          <w:rtl/>
        </w:rPr>
        <w:t xml:space="preserve">על ההוצאות להיות סבירות ומידתיות, </w:t>
      </w:r>
      <w:r w:rsidR="00C421A6">
        <w:rPr>
          <w:rFonts w:hint="cs"/>
          <w:rtl/>
        </w:rPr>
        <w:t>ו</w:t>
      </w:r>
      <w:r>
        <w:rPr>
          <w:rFonts w:hint="cs"/>
          <w:rtl/>
        </w:rPr>
        <w:t xml:space="preserve">הן אינן יכולות להיות גבוהות מן ההוצאות </w:t>
      </w:r>
      <w:r w:rsidRPr="00272DF9">
        <w:rPr>
          <w:rFonts w:ascii="FrankRuehl" w:hAnsi="FrankRuehl"/>
          <w:sz w:val="28"/>
          <w:rtl/>
        </w:rPr>
        <w:t>הריאליות</w:t>
      </w:r>
      <w:r w:rsidR="00C421A6">
        <w:rPr>
          <w:rFonts w:ascii="FrankRuehl" w:hAnsi="FrankRuehl" w:hint="cs"/>
          <w:sz w:val="28"/>
          <w:rtl/>
        </w:rPr>
        <w:t xml:space="preserve"> של בעל הדין שנפסקו לזכותו</w:t>
      </w:r>
      <w:r>
        <w:rPr>
          <w:rFonts w:ascii="FrankRuehl" w:hAnsi="FrankRuehl" w:hint="cs"/>
          <w:sz w:val="28"/>
          <w:rtl/>
        </w:rPr>
        <w:t>.</w:t>
      </w:r>
      <w:r>
        <w:rPr>
          <w:rFonts w:hint="cs"/>
          <w:rtl/>
        </w:rPr>
        <w:t xml:space="preserve"> </w:t>
      </w:r>
      <w:r w:rsidR="00C421A6">
        <w:rPr>
          <w:rFonts w:hint="cs"/>
          <w:rtl/>
        </w:rPr>
        <w:t xml:space="preserve">זאת </w:t>
      </w:r>
      <w:r>
        <w:rPr>
          <w:rFonts w:hint="cs"/>
          <w:rtl/>
        </w:rPr>
        <w:t>מכיוון שהוצאות אינן בגדר כלי עונשי, ומטרתן היא</w:t>
      </w:r>
      <w:r w:rsidR="00FC3144">
        <w:rPr>
          <w:rFonts w:hint="cs"/>
          <w:rtl/>
        </w:rPr>
        <w:t xml:space="preserve"> אך</w:t>
      </w:r>
      <w:r>
        <w:rPr>
          <w:rFonts w:hint="cs"/>
          <w:rtl/>
        </w:rPr>
        <w:t xml:space="preserve"> שיפוי</w:t>
      </w:r>
      <w:r w:rsidR="00FC3144">
        <w:rPr>
          <w:rFonts w:hint="cs"/>
          <w:rtl/>
        </w:rPr>
        <w:t xml:space="preserve"> של</w:t>
      </w:r>
      <w:r>
        <w:rPr>
          <w:rFonts w:hint="cs"/>
          <w:rtl/>
        </w:rPr>
        <w:t xml:space="preserve"> </w:t>
      </w:r>
      <w:r w:rsidR="00FC3144">
        <w:rPr>
          <w:rFonts w:hint="cs"/>
          <w:rtl/>
        </w:rPr>
        <w:t>בעל הדין שזכה על</w:t>
      </w:r>
      <w:r>
        <w:rPr>
          <w:rFonts w:hint="cs"/>
          <w:rtl/>
        </w:rPr>
        <w:t xml:space="preserve"> ההוצאות שהוציא לצד יצירת מערך תמריצים הולם בפני </w:t>
      </w:r>
      <w:r w:rsidR="00FC3144">
        <w:rPr>
          <w:rFonts w:hint="cs"/>
          <w:rtl/>
        </w:rPr>
        <w:t>בעלי דין עתידיים</w:t>
      </w:r>
      <w:r>
        <w:rPr>
          <w:rFonts w:hint="cs"/>
          <w:rtl/>
        </w:rPr>
        <w:t xml:space="preserve"> (עניין </w:t>
      </w:r>
      <w:r w:rsidRPr="00272DF9">
        <w:rPr>
          <w:rFonts w:ascii="Century" w:hAnsi="Century" w:cs="Miriam" w:hint="cs"/>
          <w:b/>
          <w:spacing w:val="0"/>
          <w:sz w:val="22"/>
          <w:szCs w:val="24"/>
          <w:rtl/>
        </w:rPr>
        <w:t>לואר</w:t>
      </w:r>
      <w:r>
        <w:rPr>
          <w:rFonts w:hint="cs"/>
          <w:rtl/>
        </w:rPr>
        <w:t>, פסקה 19).</w:t>
      </w:r>
    </w:p>
    <w:p w:rsidR="007D6167" w:rsidRDefault="007D6167" w:rsidP="007D6167">
      <w:pPr>
        <w:pStyle w:val="Ruller41"/>
        <w:rPr>
          <w:rtl/>
        </w:rPr>
      </w:pPr>
    </w:p>
    <w:p w:rsidR="007D6167" w:rsidRDefault="0094474D" w:rsidP="0094474D">
      <w:pPr>
        <w:pStyle w:val="Ruller4"/>
        <w:rPr>
          <w:rtl/>
        </w:rPr>
      </w:pPr>
      <w:r>
        <w:rPr>
          <w:rFonts w:ascii="FrankRuehl" w:hAnsi="FrankRuehl" w:hint="cs"/>
          <w:sz w:val="28"/>
          <w:rtl/>
        </w:rPr>
        <w:t xml:space="preserve">בענייננו, </w:t>
      </w:r>
      <w:r w:rsidR="00625CCD" w:rsidRPr="00935216">
        <w:rPr>
          <w:rFonts w:ascii="FrankRuehl" w:hAnsi="FrankRuehl"/>
          <w:sz w:val="28"/>
          <w:rtl/>
        </w:rPr>
        <w:t>אינני סבורה</w:t>
      </w:r>
      <w:r w:rsidR="00625CCD">
        <w:rPr>
          <w:rFonts w:hint="cs"/>
          <w:rtl/>
        </w:rPr>
        <w:t xml:space="preserve"> כי ההוצאות שנפסקו לחובת המערערת הן הוצאות "</w:t>
      </w:r>
      <w:proofErr w:type="spellStart"/>
      <w:r w:rsidR="00625CCD">
        <w:rPr>
          <w:rFonts w:hint="cs"/>
          <w:rtl/>
        </w:rPr>
        <w:t>עונשיות</w:t>
      </w:r>
      <w:proofErr w:type="spellEnd"/>
      <w:r w:rsidR="00625CCD">
        <w:rPr>
          <w:rFonts w:hint="cs"/>
          <w:rtl/>
        </w:rPr>
        <w:t xml:space="preserve">", כטענתה. </w:t>
      </w:r>
      <w:r>
        <w:rPr>
          <w:rFonts w:hint="cs"/>
          <w:rtl/>
        </w:rPr>
        <w:t>מדובר</w:t>
      </w:r>
      <w:r w:rsidR="00B727AA">
        <w:rPr>
          <w:rFonts w:hint="cs"/>
          <w:rtl/>
        </w:rPr>
        <w:t xml:space="preserve"> </w:t>
      </w:r>
      <w:r w:rsidR="007D6167">
        <w:rPr>
          <w:rFonts w:hint="cs"/>
          <w:rtl/>
        </w:rPr>
        <w:t xml:space="preserve">בהליך </w:t>
      </w:r>
      <w:r w:rsidR="00C62CE2">
        <w:rPr>
          <w:rFonts w:hint="cs"/>
          <w:rtl/>
        </w:rPr>
        <w:t>שבו</w:t>
      </w:r>
      <w:r w:rsidR="007D6167">
        <w:rPr>
          <w:rFonts w:hint="cs"/>
          <w:rtl/>
        </w:rPr>
        <w:t xml:space="preserve"> </w:t>
      </w:r>
      <w:r w:rsidR="00C62CE2">
        <w:rPr>
          <w:rFonts w:hint="cs"/>
          <w:rtl/>
        </w:rPr>
        <w:t xml:space="preserve">נדמה כי </w:t>
      </w:r>
      <w:r w:rsidR="007D6167">
        <w:rPr>
          <w:rFonts w:hint="cs"/>
          <w:rtl/>
        </w:rPr>
        <w:t>קיים קושי</w:t>
      </w:r>
      <w:r w:rsidR="003F2819">
        <w:rPr>
          <w:rFonts w:hint="cs"/>
          <w:rtl/>
        </w:rPr>
        <w:t xml:space="preserve"> </w:t>
      </w:r>
      <w:r w:rsidR="007D6167">
        <w:rPr>
          <w:rFonts w:hint="cs"/>
          <w:rtl/>
        </w:rPr>
        <w:t>בכימות ההוצאות הריאליות שהוציא פקיד השומה. בא-כוח פקיד השומה שיקף קושי זה</w:t>
      </w:r>
      <w:r w:rsidR="00833A23">
        <w:rPr>
          <w:rFonts w:hint="cs"/>
          <w:rtl/>
        </w:rPr>
        <w:t xml:space="preserve"> לפנינו</w:t>
      </w:r>
      <w:r w:rsidR="00C62CE2">
        <w:rPr>
          <w:rFonts w:hint="cs"/>
          <w:rtl/>
        </w:rPr>
        <w:t>, ועמד על כך ש</w:t>
      </w:r>
      <w:r w:rsidR="007D6167">
        <w:rPr>
          <w:rFonts w:hint="cs"/>
          <w:rtl/>
        </w:rPr>
        <w:t xml:space="preserve">עובדי רשות המסים הם </w:t>
      </w:r>
      <w:r w:rsidR="00C62CE2">
        <w:rPr>
          <w:rFonts w:hint="cs"/>
          <w:rtl/>
        </w:rPr>
        <w:t>שערכו את</w:t>
      </w:r>
      <w:r w:rsidR="007D6167">
        <w:rPr>
          <w:rFonts w:hint="cs"/>
          <w:rtl/>
        </w:rPr>
        <w:t xml:space="preserve"> חוות </w:t>
      </w:r>
      <w:r w:rsidR="00C62CE2">
        <w:rPr>
          <w:rFonts w:hint="cs"/>
          <w:rtl/>
        </w:rPr>
        <w:t>ה</w:t>
      </w:r>
      <w:r w:rsidR="007D6167">
        <w:rPr>
          <w:rFonts w:hint="cs"/>
          <w:rtl/>
        </w:rPr>
        <w:t xml:space="preserve">דעת </w:t>
      </w:r>
      <w:r w:rsidR="00625CCD">
        <w:rPr>
          <w:rFonts w:hint="cs"/>
          <w:rtl/>
        </w:rPr>
        <w:t>שנועדו</w:t>
      </w:r>
      <w:r w:rsidR="007D6167">
        <w:rPr>
          <w:rFonts w:hint="cs"/>
          <w:rtl/>
        </w:rPr>
        <w:t xml:space="preserve"> "להתמודד" עם חוות </w:t>
      </w:r>
      <w:r w:rsidR="00C62CE2">
        <w:rPr>
          <w:rFonts w:hint="cs"/>
          <w:rtl/>
        </w:rPr>
        <w:t>ה</w:t>
      </w:r>
      <w:r w:rsidR="007D6167">
        <w:rPr>
          <w:rFonts w:hint="cs"/>
          <w:rtl/>
        </w:rPr>
        <w:t xml:space="preserve">דעת </w:t>
      </w:r>
      <w:r w:rsidR="003A4E4F">
        <w:rPr>
          <w:rFonts w:hint="cs"/>
          <w:rtl/>
        </w:rPr>
        <w:t xml:space="preserve">החשבונאיות </w:t>
      </w:r>
      <w:r w:rsidR="00C62CE2">
        <w:rPr>
          <w:rFonts w:hint="cs"/>
          <w:rtl/>
        </w:rPr>
        <w:t xml:space="preserve">שהגישה המערערת, לאחר שהתקשרה עם </w:t>
      </w:r>
      <w:r w:rsidR="00625CCD">
        <w:rPr>
          <w:rFonts w:hint="cs"/>
          <w:rtl/>
        </w:rPr>
        <w:t>מומחים מה</w:t>
      </w:r>
      <w:r w:rsidR="00C62CE2">
        <w:rPr>
          <w:rFonts w:hint="cs"/>
          <w:rtl/>
        </w:rPr>
        <w:t>שוק הפרטי.</w:t>
      </w:r>
      <w:r w:rsidR="007D6167">
        <w:rPr>
          <w:rFonts w:hint="cs"/>
          <w:rtl/>
        </w:rPr>
        <w:t xml:space="preserve"> </w:t>
      </w:r>
      <w:r w:rsidR="00C62CE2">
        <w:rPr>
          <w:rFonts w:hint="cs"/>
          <w:rtl/>
        </w:rPr>
        <w:t xml:space="preserve">אין ספק כי </w:t>
      </w:r>
      <w:r w:rsidR="007D6167">
        <w:rPr>
          <w:rFonts w:hint="cs"/>
          <w:rtl/>
        </w:rPr>
        <w:t xml:space="preserve">לצורך הכנת חוות הדעת </w:t>
      </w:r>
      <w:r w:rsidR="00C62CE2">
        <w:rPr>
          <w:rFonts w:hint="cs"/>
          <w:rtl/>
        </w:rPr>
        <w:t>הושקעו</w:t>
      </w:r>
      <w:r w:rsidR="007D6167">
        <w:rPr>
          <w:rFonts w:hint="cs"/>
          <w:rtl/>
        </w:rPr>
        <w:t xml:space="preserve"> </w:t>
      </w:r>
      <w:r w:rsidR="00C62CE2">
        <w:rPr>
          <w:rFonts w:hint="cs"/>
          <w:rtl/>
        </w:rPr>
        <w:t xml:space="preserve">זמן ומשאבים מצד עובדי רשות המסים, </w:t>
      </w:r>
      <w:proofErr w:type="spellStart"/>
      <w:r w:rsidR="007D6167">
        <w:rPr>
          <w:rFonts w:hint="cs"/>
          <w:rtl/>
        </w:rPr>
        <w:t>שבהיותם</w:t>
      </w:r>
      <w:proofErr w:type="spellEnd"/>
      <w:r w:rsidR="007D6167">
        <w:rPr>
          <w:rFonts w:hint="cs"/>
          <w:rtl/>
        </w:rPr>
        <w:t xml:space="preserve"> עובדי ציבור אינם זוכים לשכר נוסף בגין </w:t>
      </w:r>
      <w:r w:rsidR="003A4E4F">
        <w:rPr>
          <w:rFonts w:hint="cs"/>
          <w:rtl/>
        </w:rPr>
        <w:t>זאת.</w:t>
      </w:r>
    </w:p>
    <w:p w:rsidR="007D6167" w:rsidRDefault="007D6167" w:rsidP="00D05738">
      <w:pPr>
        <w:pStyle w:val="Ruller41"/>
        <w:spacing w:line="240" w:lineRule="auto"/>
        <w:rPr>
          <w:rtl/>
        </w:rPr>
      </w:pPr>
    </w:p>
    <w:p w:rsidR="007D6167" w:rsidRPr="00A5692E" w:rsidRDefault="007D6167" w:rsidP="005D7961">
      <w:pPr>
        <w:pStyle w:val="Ruller41"/>
        <w:rPr>
          <w:rFonts w:ascii="FrankRuehl" w:hAnsi="FrankRuehl"/>
          <w:sz w:val="28"/>
          <w:rtl/>
        </w:rPr>
      </w:pPr>
      <w:r>
        <w:rPr>
          <w:rtl/>
        </w:rPr>
        <w:tab/>
      </w:r>
      <w:r w:rsidR="00D10A59">
        <w:rPr>
          <w:rFonts w:hint="cs"/>
          <w:rtl/>
        </w:rPr>
        <w:t>לנוכח האמור</w:t>
      </w:r>
      <w:r>
        <w:rPr>
          <w:rFonts w:hint="cs"/>
          <w:rtl/>
        </w:rPr>
        <w:t xml:space="preserve">, לא ניתן לצפות </w:t>
      </w:r>
      <w:r w:rsidR="003F2819">
        <w:rPr>
          <w:rFonts w:hint="cs"/>
          <w:rtl/>
        </w:rPr>
        <w:t xml:space="preserve">כי </w:t>
      </w:r>
      <w:r>
        <w:rPr>
          <w:rFonts w:hint="cs"/>
          <w:rtl/>
        </w:rPr>
        <w:t xml:space="preserve">פקיד השומה </w:t>
      </w:r>
      <w:r w:rsidR="006F2DB3">
        <w:rPr>
          <w:rFonts w:hint="cs"/>
          <w:rtl/>
        </w:rPr>
        <w:t>יציג</w:t>
      </w:r>
      <w:r>
        <w:rPr>
          <w:rFonts w:hint="cs"/>
          <w:rtl/>
        </w:rPr>
        <w:t xml:space="preserve"> קבלות המוכיחות את גובה </w:t>
      </w:r>
      <w:r w:rsidRPr="00935216">
        <w:rPr>
          <w:rFonts w:ascii="FrankRuehl" w:hAnsi="FrankRuehl"/>
          <w:sz w:val="28"/>
          <w:rtl/>
        </w:rPr>
        <w:t xml:space="preserve">ההוצאות שבהן נשא. </w:t>
      </w:r>
      <w:r w:rsidR="0094474D">
        <w:rPr>
          <w:rFonts w:ascii="FrankRuehl" w:hAnsi="FrankRuehl" w:hint="cs"/>
          <w:sz w:val="28"/>
          <w:rtl/>
        </w:rPr>
        <w:t>על הערכאה הדיונית</w:t>
      </w:r>
      <w:r w:rsidRPr="00935216">
        <w:rPr>
          <w:rFonts w:ascii="FrankRuehl" w:hAnsi="FrankRuehl"/>
          <w:sz w:val="28"/>
          <w:rtl/>
        </w:rPr>
        <w:t xml:space="preserve"> לעמוד</w:t>
      </w:r>
      <w:r w:rsidR="003F2819">
        <w:rPr>
          <w:rFonts w:ascii="FrankRuehl" w:hAnsi="FrankRuehl" w:hint="cs"/>
          <w:sz w:val="28"/>
          <w:rtl/>
        </w:rPr>
        <w:t xml:space="preserve"> על</w:t>
      </w:r>
      <w:r w:rsidR="0094474D">
        <w:rPr>
          <w:rFonts w:ascii="FrankRuehl" w:hAnsi="FrankRuehl" w:hint="cs"/>
          <w:sz w:val="28"/>
          <w:rtl/>
        </w:rPr>
        <w:t xml:space="preserve"> ההוצאות</w:t>
      </w:r>
      <w:r w:rsidRPr="00935216">
        <w:rPr>
          <w:rFonts w:ascii="FrankRuehl" w:hAnsi="FrankRuehl"/>
          <w:sz w:val="28"/>
          <w:rtl/>
        </w:rPr>
        <w:t xml:space="preserve"> בהתאם ל</w:t>
      </w:r>
      <w:r w:rsidR="00A5692E">
        <w:rPr>
          <w:rFonts w:ascii="FrankRuehl" w:hAnsi="FrankRuehl" w:hint="cs"/>
          <w:sz w:val="28"/>
          <w:rtl/>
        </w:rPr>
        <w:t>אמות המידה</w:t>
      </w:r>
      <w:r w:rsidR="003F2819">
        <w:rPr>
          <w:rFonts w:ascii="FrankRuehl" w:hAnsi="FrankRuehl" w:hint="cs"/>
          <w:sz w:val="28"/>
          <w:rtl/>
        </w:rPr>
        <w:t xml:space="preserve"> </w:t>
      </w:r>
      <w:r w:rsidR="0094474D">
        <w:rPr>
          <w:rFonts w:ascii="FrankRuehl" w:hAnsi="FrankRuehl" w:hint="cs"/>
          <w:sz w:val="28"/>
          <w:rtl/>
        </w:rPr>
        <w:t>שצוינו לעיל</w:t>
      </w:r>
      <w:r w:rsidR="003F2819">
        <w:rPr>
          <w:rFonts w:ascii="FrankRuehl" w:hAnsi="FrankRuehl" w:hint="cs"/>
          <w:sz w:val="28"/>
          <w:rtl/>
        </w:rPr>
        <w:t>, תוך התאמת</w:t>
      </w:r>
      <w:r w:rsidR="0094474D">
        <w:rPr>
          <w:rFonts w:ascii="FrankRuehl" w:hAnsi="FrankRuehl" w:hint="cs"/>
          <w:sz w:val="28"/>
          <w:rtl/>
        </w:rPr>
        <w:t>ן</w:t>
      </w:r>
      <w:r w:rsidR="003F2819">
        <w:rPr>
          <w:rFonts w:ascii="FrankRuehl" w:hAnsi="FrankRuehl" w:hint="cs"/>
          <w:sz w:val="28"/>
          <w:rtl/>
        </w:rPr>
        <w:t xml:space="preserve"> למאפיינ</w:t>
      </w:r>
      <w:r w:rsidR="00A5692E">
        <w:rPr>
          <w:rFonts w:ascii="FrankRuehl" w:hAnsi="FrankRuehl" w:hint="cs"/>
          <w:sz w:val="28"/>
          <w:rtl/>
        </w:rPr>
        <w:t xml:space="preserve">יו הייחודיים של הליך ערעור המס. כך אכן עשה בית המשפט המחוזי. </w:t>
      </w:r>
      <w:r w:rsidR="00A5692E">
        <w:rPr>
          <w:rFonts w:hint="cs"/>
          <w:rtl/>
        </w:rPr>
        <w:t>אף</w:t>
      </w:r>
      <w:r>
        <w:rPr>
          <w:rFonts w:hint="cs"/>
          <w:rtl/>
        </w:rPr>
        <w:t xml:space="preserve"> </w:t>
      </w:r>
      <w:r w:rsidR="00A5692E">
        <w:rPr>
          <w:rFonts w:hint="cs"/>
          <w:rtl/>
        </w:rPr>
        <w:t>ש</w:t>
      </w:r>
      <w:r w:rsidR="0094474D">
        <w:rPr>
          <w:rFonts w:hint="cs"/>
          <w:rtl/>
        </w:rPr>
        <w:t>לחובת המערערת נפסקו</w:t>
      </w:r>
      <w:r w:rsidR="00A5692E">
        <w:rPr>
          <w:rFonts w:hint="cs"/>
          <w:rtl/>
        </w:rPr>
        <w:t xml:space="preserve"> </w:t>
      </w:r>
      <w:r>
        <w:rPr>
          <w:rFonts w:hint="cs"/>
          <w:rtl/>
        </w:rPr>
        <w:t>הוצאות על הצד הגבוה,</w:t>
      </w:r>
      <w:r w:rsidRPr="00272DF9">
        <w:rPr>
          <w:rFonts w:ascii="FrankRuehl" w:hAnsi="FrankRuehl"/>
          <w:sz w:val="28"/>
          <w:rtl/>
        </w:rPr>
        <w:t xml:space="preserve"> </w:t>
      </w:r>
      <w:r>
        <w:rPr>
          <w:rFonts w:hint="cs"/>
          <w:rtl/>
        </w:rPr>
        <w:t>פסיקתן נעשתה בהתאם</w:t>
      </w:r>
      <w:r w:rsidR="00A5692E">
        <w:rPr>
          <w:rFonts w:hint="cs"/>
          <w:rtl/>
        </w:rPr>
        <w:t xml:space="preserve"> לנסיבות המקרה</w:t>
      </w:r>
      <w:r>
        <w:rPr>
          <w:rFonts w:hint="cs"/>
          <w:rtl/>
        </w:rPr>
        <w:t xml:space="preserve">. די אם אציין כי בפני בית המשפט המחוזי התנהל הליך מורכב, שענייננו במחלוקת על הכנסה בגובה של עשרות מיליוני ש"ח. </w:t>
      </w:r>
      <w:r w:rsidR="00256CBF">
        <w:rPr>
          <w:rFonts w:hint="cs"/>
          <w:rtl/>
        </w:rPr>
        <w:t>בתוך כך</w:t>
      </w:r>
      <w:r>
        <w:rPr>
          <w:rFonts w:hint="cs"/>
          <w:rtl/>
        </w:rPr>
        <w:t xml:space="preserve"> התנהל הליך הוכחות</w:t>
      </w:r>
      <w:r w:rsidR="00A5692E">
        <w:rPr>
          <w:rFonts w:hint="cs"/>
          <w:rtl/>
        </w:rPr>
        <w:t xml:space="preserve"> </w:t>
      </w:r>
      <w:r>
        <w:rPr>
          <w:rFonts w:hint="cs"/>
          <w:rtl/>
        </w:rPr>
        <w:t>והוגשו גם חוות דעת מומחים מטעם הצדדים. פסק הדין בן עשרות העמודים של בית המשפט המחוזי מדבר בעד עצמו, וממחיש את היקפה של המחלוקת. ועוד ראוי לציין כי המערערת, שהיא שיזמה את ההליך, הפסידה בו וכל טענותיה נדחו.</w:t>
      </w:r>
    </w:p>
    <w:p w:rsidR="00E27A5C" w:rsidRDefault="00E27A5C" w:rsidP="007D6167">
      <w:pPr>
        <w:pStyle w:val="Ruller41"/>
        <w:rPr>
          <w:rtl/>
        </w:rPr>
      </w:pPr>
    </w:p>
    <w:p w:rsidR="007D6167" w:rsidRPr="004A3215" w:rsidRDefault="007D6167" w:rsidP="007D6167">
      <w:pPr>
        <w:pStyle w:val="Ruller41"/>
        <w:rPr>
          <w:rFonts w:ascii="Century" w:hAnsi="Century" w:cs="Miriam"/>
          <w:b/>
          <w:spacing w:val="0"/>
          <w:szCs w:val="24"/>
          <w:rtl/>
        </w:rPr>
      </w:pPr>
      <w:r w:rsidRPr="004A3215">
        <w:rPr>
          <w:rFonts w:ascii="Century" w:hAnsi="Century" w:cs="Miriam" w:hint="cs"/>
          <w:b/>
          <w:spacing w:val="0"/>
          <w:szCs w:val="24"/>
          <w:rtl/>
        </w:rPr>
        <w:t>סוף דבר</w:t>
      </w:r>
    </w:p>
    <w:p w:rsidR="007D6167" w:rsidRPr="004A3215" w:rsidRDefault="007D6167" w:rsidP="007D6167">
      <w:pPr>
        <w:pStyle w:val="Ruller41"/>
        <w:spacing w:line="240" w:lineRule="auto"/>
        <w:rPr>
          <w:rFonts w:ascii="Century" w:hAnsi="Century" w:cs="Miriam"/>
          <w:b/>
          <w:spacing w:val="0"/>
          <w:szCs w:val="24"/>
          <w:rtl/>
        </w:rPr>
      </w:pPr>
    </w:p>
    <w:p w:rsidR="007D6167" w:rsidRDefault="007D6167" w:rsidP="007D6167">
      <w:pPr>
        <w:pStyle w:val="Ruller4"/>
        <w:rPr>
          <w:rtl/>
        </w:rPr>
      </w:pPr>
      <w:r>
        <w:rPr>
          <w:rFonts w:hint="cs"/>
          <w:rtl/>
        </w:rPr>
        <w:t>אציע אפוא לחברותיי שנדחה את הערעור על שני חלקיו, הן לעניין קנס הגירעון הן לעניין הוצאות המשפט. עם זאת, בהינתן גובה ההוצאות שנפסקו לחובת המערערת בבית המשפט המחוזי, שהיו כאמור על הצד הגבוה, אציע שלא נעשה צו להוצאות בערכאתנו.</w:t>
      </w:r>
    </w:p>
    <w:p w:rsidR="00554C85" w:rsidRDefault="00554C85" w:rsidP="00554C85">
      <w:pPr>
        <w:pStyle w:val="Ruller41"/>
        <w:rPr>
          <w:rtl/>
        </w:rPr>
      </w:pPr>
    </w:p>
    <w:p w:rsidR="00554C85" w:rsidRPr="00554C85" w:rsidRDefault="00554C85" w:rsidP="00D05738">
      <w:pPr>
        <w:pStyle w:val="Ruller41"/>
        <w:spacing w:line="240" w:lineRule="auto"/>
        <w:rPr>
          <w:rtl/>
        </w:rPr>
      </w:pPr>
    </w:p>
    <w:tbl>
      <w:tblPr>
        <w:bidiVisual/>
        <w:tblW w:w="8363" w:type="dxa"/>
        <w:tblLook w:val="01E0" w:firstRow="1" w:lastRow="1" w:firstColumn="1" w:lastColumn="1" w:noHBand="0" w:noVBand="0"/>
      </w:tblPr>
      <w:tblGrid>
        <w:gridCol w:w="2786"/>
        <w:gridCol w:w="2787"/>
        <w:gridCol w:w="2790"/>
      </w:tblGrid>
      <w:tr w:rsidR="00554C85" w:rsidTr="00113238">
        <w:tc>
          <w:tcPr>
            <w:tcW w:w="2842" w:type="dxa"/>
            <w:shd w:val="clear" w:color="auto" w:fill="auto"/>
          </w:tcPr>
          <w:p w:rsidR="00554C85" w:rsidRDefault="00554C85" w:rsidP="00554C85">
            <w:pPr>
              <w:pStyle w:val="Ruller4"/>
              <w:numPr>
                <w:ilvl w:val="0"/>
                <w:numId w:val="0"/>
              </w:numPr>
              <w:rPr>
                <w:rtl/>
              </w:rPr>
            </w:pPr>
          </w:p>
        </w:tc>
        <w:tc>
          <w:tcPr>
            <w:tcW w:w="2843" w:type="dxa"/>
            <w:shd w:val="clear" w:color="auto" w:fill="auto"/>
          </w:tcPr>
          <w:p w:rsidR="00554C85" w:rsidRDefault="00554C85" w:rsidP="00113238">
            <w:pPr>
              <w:pStyle w:val="Ruller41"/>
              <w:jc w:val="center"/>
              <w:rPr>
                <w:rtl/>
              </w:rPr>
            </w:pPr>
          </w:p>
        </w:tc>
        <w:tc>
          <w:tcPr>
            <w:tcW w:w="2843" w:type="dxa"/>
            <w:shd w:val="clear" w:color="auto" w:fill="auto"/>
          </w:tcPr>
          <w:p w:rsidR="00554C85" w:rsidRDefault="00554C85" w:rsidP="00554C85">
            <w:pPr>
              <w:pStyle w:val="Ruller41"/>
              <w:jc w:val="center"/>
              <w:rPr>
                <w:rtl/>
              </w:rPr>
            </w:pPr>
            <w:r>
              <w:rPr>
                <w:rtl/>
              </w:rPr>
              <w:t>ש ו פ ט</w:t>
            </w:r>
            <w:r>
              <w:rPr>
                <w:rFonts w:hint="cs"/>
                <w:rtl/>
              </w:rPr>
              <w:t xml:space="preserve"> ת</w:t>
            </w:r>
          </w:p>
        </w:tc>
      </w:tr>
    </w:tbl>
    <w:p w:rsidR="00554C85" w:rsidRDefault="00554C85" w:rsidP="00554C85">
      <w:pPr>
        <w:pStyle w:val="Ruller41"/>
        <w:rPr>
          <w:rFonts w:hint="cs"/>
          <w:rtl/>
        </w:rPr>
      </w:pPr>
    </w:p>
    <w:p w:rsidR="00432052" w:rsidRDefault="00432052" w:rsidP="007D6167">
      <w:pPr>
        <w:pStyle w:val="Ruller41"/>
        <w:rPr>
          <w:rtl/>
        </w:rPr>
      </w:pPr>
    </w:p>
    <w:p w:rsidR="00554C85" w:rsidRPr="00503A3E" w:rsidRDefault="00554C85" w:rsidP="00554C85">
      <w:pPr>
        <w:pStyle w:val="BODYVERDICT"/>
        <w:rPr>
          <w:rFonts w:cs="Miriam"/>
          <w:sz w:val="24"/>
          <w:szCs w:val="24"/>
          <w:u w:val="single"/>
          <w:rtl/>
        </w:rPr>
      </w:pPr>
      <w:r>
        <w:rPr>
          <w:rFonts w:cs="Miriam"/>
          <w:sz w:val="24"/>
          <w:szCs w:val="24"/>
          <w:u w:val="single"/>
          <w:rtl/>
        </w:rPr>
        <w:t xml:space="preserve">השופטת </w:t>
      </w:r>
      <w:r>
        <w:rPr>
          <w:rFonts w:cs="Miriam" w:hint="cs"/>
          <w:sz w:val="24"/>
          <w:szCs w:val="24"/>
          <w:u w:val="single"/>
          <w:rtl/>
        </w:rPr>
        <w:t>י</w:t>
      </w:r>
      <w:r>
        <w:rPr>
          <w:rFonts w:cs="Miriam"/>
          <w:sz w:val="24"/>
          <w:szCs w:val="24"/>
          <w:u w:val="single"/>
          <w:rtl/>
        </w:rPr>
        <w:t xml:space="preserve">' </w:t>
      </w:r>
      <w:r>
        <w:rPr>
          <w:rFonts w:cs="Miriam" w:hint="cs"/>
          <w:sz w:val="24"/>
          <w:szCs w:val="24"/>
          <w:u w:val="single"/>
          <w:rtl/>
        </w:rPr>
        <w:t>וילנר</w:t>
      </w:r>
      <w:r w:rsidRPr="00554C85">
        <w:rPr>
          <w:rFonts w:cs="Miriam"/>
          <w:sz w:val="24"/>
          <w:szCs w:val="24"/>
          <w:rtl/>
        </w:rPr>
        <w:t>:</w:t>
      </w:r>
    </w:p>
    <w:p w:rsidR="00554C85" w:rsidRDefault="00554C85" w:rsidP="007D6167">
      <w:pPr>
        <w:pStyle w:val="Ruller41"/>
        <w:rPr>
          <w:rtl/>
        </w:rPr>
      </w:pPr>
    </w:p>
    <w:p w:rsidR="00554C85" w:rsidRDefault="00554C85" w:rsidP="007D6167">
      <w:pPr>
        <w:pStyle w:val="Ruller41"/>
        <w:rPr>
          <w:rtl/>
        </w:rPr>
      </w:pPr>
      <w:r>
        <w:rPr>
          <w:rtl/>
        </w:rPr>
        <w:tab/>
      </w:r>
      <w:r>
        <w:rPr>
          <w:rFonts w:hint="cs"/>
          <w:rtl/>
        </w:rPr>
        <w:t>אני מסכימה.</w:t>
      </w:r>
    </w:p>
    <w:p w:rsidR="00554C85" w:rsidRDefault="00554C85" w:rsidP="007D6167">
      <w:pPr>
        <w:pStyle w:val="Ruller41"/>
        <w:rPr>
          <w:rtl/>
        </w:rPr>
      </w:pPr>
    </w:p>
    <w:tbl>
      <w:tblPr>
        <w:bidiVisual/>
        <w:tblW w:w="8363" w:type="dxa"/>
        <w:tblLook w:val="01E0" w:firstRow="1" w:lastRow="1" w:firstColumn="1" w:lastColumn="1" w:noHBand="0" w:noVBand="0"/>
      </w:tblPr>
      <w:tblGrid>
        <w:gridCol w:w="2786"/>
        <w:gridCol w:w="2787"/>
        <w:gridCol w:w="2790"/>
      </w:tblGrid>
      <w:tr w:rsidR="00554C85" w:rsidTr="00564209">
        <w:tc>
          <w:tcPr>
            <w:tcW w:w="2786" w:type="dxa"/>
            <w:shd w:val="clear" w:color="auto" w:fill="auto"/>
          </w:tcPr>
          <w:p w:rsidR="00554C85" w:rsidRDefault="00554C85" w:rsidP="00113238">
            <w:pPr>
              <w:pStyle w:val="Ruller4"/>
              <w:numPr>
                <w:ilvl w:val="0"/>
                <w:numId w:val="0"/>
              </w:numPr>
              <w:rPr>
                <w:rtl/>
              </w:rPr>
            </w:pPr>
          </w:p>
        </w:tc>
        <w:tc>
          <w:tcPr>
            <w:tcW w:w="2787" w:type="dxa"/>
            <w:shd w:val="clear" w:color="auto" w:fill="auto"/>
          </w:tcPr>
          <w:p w:rsidR="00554C85" w:rsidRDefault="00554C85" w:rsidP="00113238">
            <w:pPr>
              <w:pStyle w:val="Ruller41"/>
              <w:jc w:val="center"/>
              <w:rPr>
                <w:rtl/>
              </w:rPr>
            </w:pPr>
          </w:p>
        </w:tc>
        <w:tc>
          <w:tcPr>
            <w:tcW w:w="2790" w:type="dxa"/>
            <w:shd w:val="clear" w:color="auto" w:fill="auto"/>
          </w:tcPr>
          <w:p w:rsidR="00554C85" w:rsidRDefault="00554C85" w:rsidP="00113238">
            <w:pPr>
              <w:pStyle w:val="Ruller41"/>
              <w:jc w:val="center"/>
              <w:rPr>
                <w:rtl/>
              </w:rPr>
            </w:pPr>
            <w:r>
              <w:rPr>
                <w:rtl/>
              </w:rPr>
              <w:t>ש ו פ ט</w:t>
            </w:r>
            <w:r>
              <w:rPr>
                <w:rFonts w:hint="cs"/>
                <w:rtl/>
              </w:rPr>
              <w:t xml:space="preserve"> ת</w:t>
            </w:r>
          </w:p>
        </w:tc>
      </w:tr>
    </w:tbl>
    <w:p w:rsidR="00554C85" w:rsidRDefault="00554C85" w:rsidP="00554C85">
      <w:pPr>
        <w:pStyle w:val="Ruller41"/>
        <w:rPr>
          <w:rtl/>
        </w:rPr>
      </w:pPr>
    </w:p>
    <w:p w:rsidR="00044953" w:rsidRDefault="00044953" w:rsidP="00A51FAE">
      <w:pPr>
        <w:pStyle w:val="Ruller41"/>
        <w:rPr>
          <w:rtl/>
        </w:rPr>
      </w:pPr>
    </w:p>
    <w:p w:rsidR="00554C85" w:rsidRPr="00503A3E" w:rsidRDefault="00554C85" w:rsidP="00554C85">
      <w:pPr>
        <w:pStyle w:val="BODYVERDICT"/>
        <w:rPr>
          <w:rFonts w:cs="Miriam"/>
          <w:sz w:val="24"/>
          <w:szCs w:val="24"/>
          <w:u w:val="single"/>
          <w:rtl/>
        </w:rPr>
      </w:pPr>
      <w:r>
        <w:rPr>
          <w:rFonts w:cs="Miriam"/>
          <w:sz w:val="24"/>
          <w:szCs w:val="24"/>
          <w:u w:val="single"/>
          <w:rtl/>
        </w:rPr>
        <w:t xml:space="preserve">השופטת </w:t>
      </w:r>
      <w:r>
        <w:rPr>
          <w:rFonts w:cs="Miriam" w:hint="cs"/>
          <w:sz w:val="24"/>
          <w:szCs w:val="24"/>
          <w:u w:val="single"/>
          <w:rtl/>
        </w:rPr>
        <w:t>ר</w:t>
      </w:r>
      <w:r>
        <w:rPr>
          <w:rFonts w:cs="Miriam"/>
          <w:sz w:val="24"/>
          <w:szCs w:val="24"/>
          <w:u w:val="single"/>
          <w:rtl/>
        </w:rPr>
        <w:t xml:space="preserve">' </w:t>
      </w:r>
      <w:r>
        <w:rPr>
          <w:rFonts w:cs="Miriam" w:hint="cs"/>
          <w:sz w:val="24"/>
          <w:szCs w:val="24"/>
          <w:u w:val="single"/>
          <w:rtl/>
        </w:rPr>
        <w:t>רונן</w:t>
      </w:r>
      <w:r w:rsidRPr="00554C85">
        <w:rPr>
          <w:rFonts w:cs="Miriam"/>
          <w:sz w:val="24"/>
          <w:szCs w:val="24"/>
          <w:rtl/>
        </w:rPr>
        <w:t>:</w:t>
      </w:r>
    </w:p>
    <w:p w:rsidR="00554C85" w:rsidRPr="00564209" w:rsidRDefault="00554C85" w:rsidP="00AD1ACD">
      <w:pPr>
        <w:pStyle w:val="Ruller41"/>
        <w:spacing w:line="240" w:lineRule="auto"/>
        <w:rPr>
          <w:sz w:val="38"/>
          <w:szCs w:val="44"/>
          <w:rtl/>
        </w:rPr>
      </w:pPr>
    </w:p>
    <w:p w:rsidR="00AD1ACD" w:rsidRDefault="00AD1ACD" w:rsidP="00A51FAE">
      <w:pPr>
        <w:pStyle w:val="Ruller41"/>
        <w:rPr>
          <w:rFonts w:hint="cs"/>
          <w:rtl/>
        </w:rPr>
      </w:pPr>
      <w:r>
        <w:rPr>
          <w:rtl/>
        </w:rPr>
        <w:tab/>
      </w:r>
      <w:r>
        <w:rPr>
          <w:rFonts w:hint="cs"/>
          <w:rtl/>
        </w:rPr>
        <w:t xml:space="preserve">אני מסכימה לחוות דעתה של חברתי, השופטת </w:t>
      </w:r>
      <w:r w:rsidRPr="00AD1ACD">
        <w:rPr>
          <w:rFonts w:ascii="Century" w:hAnsi="Century" w:cs="Miriam" w:hint="cs"/>
          <w:b/>
          <w:spacing w:val="0"/>
          <w:szCs w:val="24"/>
          <w:rtl/>
        </w:rPr>
        <w:t>ע' ברון</w:t>
      </w:r>
      <w:r>
        <w:rPr>
          <w:rFonts w:hint="cs"/>
          <w:rtl/>
        </w:rPr>
        <w:t xml:space="preserve">. אעיר רק כי לטעמי, מאחר שסעיף 191(ב) לפקודה אינו מקנה לפקיד השומה שיקול דעת ביחס </w:t>
      </w:r>
      <w:r w:rsidRPr="00564209">
        <w:rPr>
          <w:rFonts w:ascii="Century" w:hAnsi="Century" w:cs="Miriam" w:hint="cs"/>
          <w:b/>
          <w:spacing w:val="0"/>
          <w:szCs w:val="24"/>
          <w:rtl/>
        </w:rPr>
        <w:t>לשיעור</w:t>
      </w:r>
      <w:r>
        <w:rPr>
          <w:rFonts w:hint="cs"/>
          <w:rtl/>
        </w:rPr>
        <w:t xml:space="preserve"> קנס הגירעון </w:t>
      </w:r>
      <w:r>
        <w:rPr>
          <w:rtl/>
        </w:rPr>
        <w:t>–</w:t>
      </w:r>
      <w:r w:rsidR="00D87C39">
        <w:rPr>
          <w:rFonts w:hint="cs"/>
          <w:rtl/>
        </w:rPr>
        <w:t xml:space="preserve"> </w:t>
      </w:r>
      <w:r>
        <w:rPr>
          <w:rFonts w:hint="cs"/>
          <w:rtl/>
        </w:rPr>
        <w:t xml:space="preserve">שעומד על 15% מסכום הגירעון; ומאחר שנמסר למערער כי יוטל עליו קנס גירעון (משהגירעון עלה </w:t>
      </w:r>
      <w:r w:rsidR="00564209">
        <w:rPr>
          <w:rFonts w:hint="cs"/>
          <w:rtl/>
        </w:rPr>
        <w:t xml:space="preserve">לשיטת פקיד השומה על 50% מהמס בו היה המערער חייב); ומאחר שהקנס אכן הוטל בשיעור 15% (ולא למעלה מכך), אינני סבורה כי התנהלותו של פקיד השומה הייתה פגומה, ודאי לא באופן משמעותי. כך או כך </w:t>
      </w:r>
      <w:r w:rsidR="00564209">
        <w:rPr>
          <w:rtl/>
        </w:rPr>
        <w:t>–</w:t>
      </w:r>
      <w:r w:rsidR="00564209">
        <w:rPr>
          <w:rFonts w:hint="cs"/>
          <w:rtl/>
        </w:rPr>
        <w:t xml:space="preserve"> הדבר אינו משליך על התוצאה לפיה דין הערעור להידחות.</w:t>
      </w:r>
    </w:p>
    <w:p w:rsidR="00564209" w:rsidRDefault="00564209" w:rsidP="00A51FAE">
      <w:pPr>
        <w:pStyle w:val="Ruller41"/>
        <w:rPr>
          <w:rtl/>
        </w:rPr>
      </w:pPr>
    </w:p>
    <w:p w:rsidR="00564209" w:rsidRDefault="00564209" w:rsidP="00A51FAE">
      <w:pPr>
        <w:pStyle w:val="Ruller41"/>
        <w:rPr>
          <w:rtl/>
        </w:rPr>
      </w:pPr>
    </w:p>
    <w:tbl>
      <w:tblPr>
        <w:bidiVisual/>
        <w:tblW w:w="8363" w:type="dxa"/>
        <w:tblLook w:val="01E0" w:firstRow="1" w:lastRow="1" w:firstColumn="1" w:lastColumn="1" w:noHBand="0" w:noVBand="0"/>
      </w:tblPr>
      <w:tblGrid>
        <w:gridCol w:w="2786"/>
        <w:gridCol w:w="2787"/>
        <w:gridCol w:w="2790"/>
      </w:tblGrid>
      <w:tr w:rsidR="00564209" w:rsidTr="005215B1">
        <w:tc>
          <w:tcPr>
            <w:tcW w:w="2786" w:type="dxa"/>
            <w:shd w:val="clear" w:color="auto" w:fill="auto"/>
          </w:tcPr>
          <w:p w:rsidR="00564209" w:rsidRDefault="00564209" w:rsidP="005215B1">
            <w:pPr>
              <w:pStyle w:val="Ruller4"/>
              <w:numPr>
                <w:ilvl w:val="0"/>
                <w:numId w:val="0"/>
              </w:numPr>
              <w:rPr>
                <w:rtl/>
              </w:rPr>
            </w:pPr>
          </w:p>
        </w:tc>
        <w:tc>
          <w:tcPr>
            <w:tcW w:w="2787" w:type="dxa"/>
            <w:shd w:val="clear" w:color="auto" w:fill="auto"/>
          </w:tcPr>
          <w:p w:rsidR="00564209" w:rsidRDefault="00564209" w:rsidP="005215B1">
            <w:pPr>
              <w:pStyle w:val="Ruller41"/>
              <w:jc w:val="center"/>
              <w:rPr>
                <w:rtl/>
              </w:rPr>
            </w:pPr>
          </w:p>
        </w:tc>
        <w:tc>
          <w:tcPr>
            <w:tcW w:w="2790" w:type="dxa"/>
            <w:shd w:val="clear" w:color="auto" w:fill="auto"/>
          </w:tcPr>
          <w:p w:rsidR="00564209" w:rsidRDefault="00564209" w:rsidP="005215B1">
            <w:pPr>
              <w:pStyle w:val="Ruller41"/>
              <w:jc w:val="center"/>
              <w:rPr>
                <w:rtl/>
              </w:rPr>
            </w:pPr>
            <w:r>
              <w:rPr>
                <w:rtl/>
              </w:rPr>
              <w:t>ש ו פ ט</w:t>
            </w:r>
            <w:r>
              <w:rPr>
                <w:rFonts w:hint="cs"/>
                <w:rtl/>
              </w:rPr>
              <w:t xml:space="preserve"> ת</w:t>
            </w:r>
          </w:p>
        </w:tc>
      </w:tr>
    </w:tbl>
    <w:p w:rsidR="00564209" w:rsidRDefault="00564209" w:rsidP="00564209">
      <w:pPr>
        <w:pStyle w:val="Ruller41"/>
        <w:rPr>
          <w:rtl/>
        </w:rPr>
      </w:pPr>
    </w:p>
    <w:p w:rsidR="00554C85" w:rsidRDefault="00554C85" w:rsidP="00A51FAE">
      <w:pPr>
        <w:pStyle w:val="Ruller41"/>
        <w:rPr>
          <w:rtl/>
        </w:rPr>
      </w:pPr>
    </w:p>
    <w:p w:rsidR="00564209" w:rsidRDefault="00564209" w:rsidP="00A51FAE">
      <w:pPr>
        <w:pStyle w:val="Ruller41"/>
        <w:rPr>
          <w:rtl/>
        </w:rPr>
      </w:pPr>
      <w:r>
        <w:rPr>
          <w:rtl/>
        </w:rPr>
        <w:tab/>
      </w:r>
      <w:r>
        <w:rPr>
          <w:rFonts w:hint="cs"/>
          <w:rtl/>
        </w:rPr>
        <w:t xml:space="preserve">הוחלט כאמור בפסק דינה של השופטת </w:t>
      </w:r>
      <w:r w:rsidRPr="00564209">
        <w:rPr>
          <w:rFonts w:ascii="Century" w:hAnsi="Century" w:cs="Miriam" w:hint="cs"/>
          <w:b/>
          <w:spacing w:val="0"/>
          <w:szCs w:val="24"/>
          <w:rtl/>
        </w:rPr>
        <w:t>ע' ברון</w:t>
      </w:r>
      <w:r>
        <w:rPr>
          <w:rFonts w:hint="cs"/>
          <w:rtl/>
        </w:rPr>
        <w:t>.</w:t>
      </w:r>
    </w:p>
    <w:p w:rsidR="00564209" w:rsidRDefault="00564209" w:rsidP="00A51FAE">
      <w:pPr>
        <w:pStyle w:val="Ruller41"/>
        <w:rPr>
          <w:rtl/>
        </w:rPr>
      </w:pPr>
    </w:p>
    <w:p w:rsidR="00564209" w:rsidRDefault="00564209" w:rsidP="00A51FAE">
      <w:pPr>
        <w:pStyle w:val="Ruller41"/>
        <w:rPr>
          <w:rtl/>
        </w:rPr>
      </w:pPr>
      <w:r>
        <w:rPr>
          <w:rtl/>
        </w:rPr>
        <w:tab/>
        <w:t xml:space="preserve">ניתן היום, </w:t>
      </w:r>
      <w:r>
        <w:rPr>
          <w:rFonts w:hint="eastAsia"/>
          <w:rtl/>
        </w:rPr>
        <w:t>‏כ</w:t>
      </w:r>
      <w:r>
        <w:rPr>
          <w:rtl/>
        </w:rPr>
        <w:t xml:space="preserve">"ג בתמוז </w:t>
      </w:r>
      <w:proofErr w:type="spellStart"/>
      <w:r>
        <w:rPr>
          <w:rtl/>
        </w:rPr>
        <w:t>התשפ"ג</w:t>
      </w:r>
      <w:proofErr w:type="spellEnd"/>
      <w:r>
        <w:rPr>
          <w:rtl/>
        </w:rPr>
        <w:t xml:space="preserve"> (</w:t>
      </w:r>
      <w:r>
        <w:rPr>
          <w:rFonts w:hint="eastAsia"/>
          <w:rtl/>
        </w:rPr>
        <w:t>‏</w:t>
      </w:r>
      <w:r>
        <w:rPr>
          <w:rtl/>
        </w:rPr>
        <w:t>12.7.2023).</w:t>
      </w:r>
    </w:p>
    <w:p w:rsidR="00564209" w:rsidRDefault="00564209" w:rsidP="00A51FAE">
      <w:pPr>
        <w:pStyle w:val="Ruller41"/>
        <w:rPr>
          <w:rtl/>
        </w:rPr>
      </w:pPr>
    </w:p>
    <w:p w:rsidR="00564209" w:rsidRDefault="00564209" w:rsidP="00A51FAE">
      <w:pPr>
        <w:pStyle w:val="Ruller41"/>
        <w:rPr>
          <w:rtl/>
        </w:rPr>
      </w:pPr>
    </w:p>
    <w:p w:rsidR="00554C85" w:rsidRDefault="00554C85" w:rsidP="00B31448">
      <w:pPr>
        <w:pStyle w:val="Ruller38"/>
      </w:pPr>
    </w:p>
    <w:p w:rsidR="00554C85" w:rsidRDefault="00554C85" w:rsidP="00B31448">
      <w:pPr>
        <w:pStyle w:val="Ruller38"/>
        <w:rPr>
          <w:rtl/>
        </w:rPr>
      </w:pPr>
    </w:p>
    <w:p w:rsidR="00554C85" w:rsidRDefault="00554C85" w:rsidP="00B31448">
      <w:pPr>
        <w:pStyle w:val="Ruller38"/>
      </w:pPr>
    </w:p>
    <w:p w:rsidR="00554C85" w:rsidRDefault="00554C85" w:rsidP="00B31448">
      <w:pPr>
        <w:pStyle w:val="Ruller38"/>
      </w:pPr>
    </w:p>
    <w:p w:rsidR="00554C85" w:rsidRDefault="00554C85" w:rsidP="00B31448">
      <w:pPr>
        <w:pStyle w:val="Ruller38"/>
      </w:pPr>
    </w:p>
    <w:p w:rsidR="00554C85" w:rsidRDefault="00554C85" w:rsidP="00B31448">
      <w:pPr>
        <w:pStyle w:val="Ruller38"/>
      </w:pPr>
    </w:p>
    <w:tbl>
      <w:tblPr>
        <w:bidiVisual/>
        <w:tblW w:w="8363" w:type="dxa"/>
        <w:tblLook w:val="01E0" w:firstRow="1" w:lastRow="1" w:firstColumn="1" w:lastColumn="1" w:noHBand="0" w:noVBand="0"/>
      </w:tblPr>
      <w:tblGrid>
        <w:gridCol w:w="2787"/>
        <w:gridCol w:w="2788"/>
        <w:gridCol w:w="2788"/>
      </w:tblGrid>
      <w:tr w:rsidR="00554C85" w:rsidTr="00113238">
        <w:tc>
          <w:tcPr>
            <w:tcW w:w="2842" w:type="dxa"/>
            <w:shd w:val="clear" w:color="auto" w:fill="auto"/>
          </w:tcPr>
          <w:p w:rsidR="00554C85" w:rsidRDefault="00554C85" w:rsidP="00113238">
            <w:pPr>
              <w:pStyle w:val="Ruller4"/>
              <w:numPr>
                <w:ilvl w:val="0"/>
                <w:numId w:val="0"/>
              </w:numPr>
              <w:rPr>
                <w:rtl/>
              </w:rPr>
            </w:pPr>
            <w:r>
              <w:rPr>
                <w:rFonts w:hint="cs"/>
                <w:rtl/>
              </w:rPr>
              <w:t>ש ו פ ט</w:t>
            </w:r>
            <w:r w:rsidR="00564209">
              <w:rPr>
                <w:rFonts w:hint="cs"/>
                <w:rtl/>
              </w:rPr>
              <w:t xml:space="preserve"> ת</w:t>
            </w:r>
          </w:p>
        </w:tc>
        <w:tc>
          <w:tcPr>
            <w:tcW w:w="2843" w:type="dxa"/>
            <w:shd w:val="clear" w:color="auto" w:fill="auto"/>
          </w:tcPr>
          <w:p w:rsidR="00554C85" w:rsidRDefault="00554C85" w:rsidP="00113238">
            <w:pPr>
              <w:pStyle w:val="Ruller41"/>
              <w:jc w:val="center"/>
              <w:rPr>
                <w:rtl/>
              </w:rPr>
            </w:pPr>
            <w:r>
              <w:rPr>
                <w:rFonts w:hint="cs"/>
                <w:rtl/>
              </w:rPr>
              <w:t>ש ו פ ט ת</w:t>
            </w:r>
          </w:p>
        </w:tc>
        <w:tc>
          <w:tcPr>
            <w:tcW w:w="2843" w:type="dxa"/>
            <w:shd w:val="clear" w:color="auto" w:fill="auto"/>
          </w:tcPr>
          <w:p w:rsidR="00554C85" w:rsidRDefault="00554C85" w:rsidP="00113238">
            <w:pPr>
              <w:pStyle w:val="Ruller41"/>
              <w:jc w:val="center"/>
              <w:rPr>
                <w:rtl/>
              </w:rPr>
            </w:pPr>
            <w:r>
              <w:rPr>
                <w:rtl/>
              </w:rPr>
              <w:t>ש ו פ ט</w:t>
            </w:r>
            <w:r w:rsidR="00634D6C">
              <w:rPr>
                <w:rFonts w:hint="cs"/>
                <w:rtl/>
              </w:rPr>
              <w:t xml:space="preserve"> ת</w:t>
            </w:r>
            <w:bookmarkStart w:id="5" w:name="_GoBack"/>
            <w:bookmarkEnd w:id="5"/>
          </w:p>
        </w:tc>
      </w:tr>
    </w:tbl>
    <w:p w:rsidR="00554C85" w:rsidRDefault="00554C85" w:rsidP="00554C85">
      <w:pPr>
        <w:pStyle w:val="Ruller41"/>
        <w:rPr>
          <w:rtl/>
        </w:rPr>
      </w:pPr>
    </w:p>
    <w:p w:rsidR="00554C85" w:rsidRDefault="00554C85" w:rsidP="00B31448">
      <w:pPr>
        <w:pStyle w:val="Ruller38"/>
        <w:rPr>
          <w:rtl/>
        </w:rPr>
      </w:pPr>
    </w:p>
    <w:p w:rsidR="00564209" w:rsidRDefault="00564209" w:rsidP="00564209">
      <w:pPr>
        <w:pStyle w:val="Ruller41"/>
        <w:rPr>
          <w:rtl/>
        </w:rPr>
      </w:pPr>
    </w:p>
    <w:p w:rsidR="00564209" w:rsidRDefault="00564209" w:rsidP="00564209">
      <w:pPr>
        <w:rPr>
          <w:szCs w:val="16"/>
          <w:rtl/>
        </w:rPr>
      </w:pPr>
      <w:r>
        <w:rPr>
          <w:szCs w:val="16"/>
          <w:rtl/>
        </w:rPr>
        <w:t>_________________</w:t>
      </w:r>
      <w:r>
        <w:rPr>
          <w:rFonts w:hint="cs"/>
          <w:szCs w:val="16"/>
          <w:rtl/>
        </w:rPr>
        <w:t>________</w:t>
      </w:r>
    </w:p>
    <w:p w:rsidR="00564209" w:rsidRDefault="00564209" w:rsidP="00564209">
      <w:pPr>
        <w:pStyle w:val="Ruller38"/>
        <w:rPr>
          <w:rtl/>
        </w:rPr>
      </w:pPr>
      <w:r>
        <w:rPr>
          <w:sz w:val="16"/>
        </w:rPr>
        <w:t xml:space="preserve">   21034540_G13.docx   </w:t>
      </w:r>
      <w:proofErr w:type="spellStart"/>
      <w:r>
        <w:rPr>
          <w:sz w:val="16"/>
          <w:rtl/>
        </w:rPr>
        <w:t>לפ</w:t>
      </w:r>
      <w:proofErr w:type="spellEnd"/>
    </w:p>
    <w:p w:rsidR="00564209" w:rsidRDefault="00564209" w:rsidP="00564209">
      <w:pPr>
        <w:pStyle w:val="Ruller38"/>
        <w:rPr>
          <w:rtl/>
        </w:rPr>
      </w:pPr>
      <w:r>
        <w:rPr>
          <w:rtl/>
        </w:rPr>
        <w:t>מרכז מידע, טל'</w:t>
      </w:r>
      <w:r>
        <w:rPr>
          <w:rFonts w:hint="cs"/>
          <w:rtl/>
        </w:rPr>
        <w:t xml:space="preserve"> 077-2703333, 3852* ; אתר אינטרנט,  </w:t>
      </w:r>
      <w:hyperlink r:id="rId9" w:history="1">
        <w:r w:rsidRPr="00BB4C68">
          <w:rPr>
            <w:rStyle w:val="Hyperlink"/>
            <w:sz w:val="16"/>
          </w:rPr>
          <w:t>https://supreme.court.gov.il</w:t>
        </w:r>
      </w:hyperlink>
    </w:p>
    <w:p w:rsidR="00564209" w:rsidRDefault="00564209" w:rsidP="00B31448">
      <w:pPr>
        <w:pStyle w:val="Ruller38"/>
        <w:rPr>
          <w:rtl/>
        </w:rPr>
      </w:pPr>
    </w:p>
    <w:sectPr w:rsidR="00564209" w:rsidSect="00591983">
      <w:headerReference w:type="even" r:id="rId10"/>
      <w:headerReference w:type="default" r:id="rId11"/>
      <w:footerReference w:type="even" r:id="rId12"/>
      <w:footerReference w:type="default" r:id="rId13"/>
      <w:headerReference w:type="first" r:id="rId14"/>
      <w:footerReference w:type="first" r:id="rId15"/>
      <w:endnotePr>
        <w:numFmt w:val="lowerLetter"/>
      </w:endnotePr>
      <w:pgSz w:w="11906" w:h="16838" w:code="9"/>
      <w:pgMar w:top="1134" w:right="1797" w:bottom="1440" w:left="1797" w:header="567" w:footer="397" w:gutter="0"/>
      <w:cols w:space="720"/>
      <w:titlePg/>
      <w:bidi/>
      <w:rtlGutter/>
    </w:sectPr>
  </w:body>
</w:document>
</file>

<file path=word/customizations.xml><?xml version="1.0" encoding="utf-8"?>
<wne:tcg xmlns:r="http://schemas.openxmlformats.org/officeDocument/2006/relationships" xmlns:wne="http://schemas.microsoft.com/office/word/2006/wordml">
  <wne:keymaps>
    <wne:keymap wne:kcmPrimary="0433">
      <wne:acd wne:acdName="acd0"/>
    </wne:keymap>
    <wne:keymap wne:kcmPrimary="0434">
      <wne:acd wne:acdName="acd1"/>
    </wne:keymap>
    <wne:keymap wne:kcmPrimary="0435">
      <wne:acd wne:acdName="acd2"/>
    </wne:keymap>
  </wne:keymaps>
  <wne:toolbars>
    <wne:acdManifest>
      <wne:acdEntry wne:acdName="acd0"/>
      <wne:acdEntry wne:acdName="acd1"/>
      <wne:acdEntry wne:acdName="acd2"/>
    </wne:acdManifest>
    <wne:toolbarData r:id="rId1"/>
  </wne:toolbars>
  <wne:acds>
    <wne:acd wne:argValue="AgBSAHUAbABsAGUAcgAgADMA" wne:acdName="acd0" wne:fciIndexBasedOn="0065"/>
    <wne:acd wne:argValue="AgBSAHUAbABsAGUAcgA0AA==" wne:acdName="acd1" wne:fciIndexBasedOn="0065"/>
    <wne:acd wne:argValue="AgBSAHUAbABsAGUAcgA1A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512" w:rsidRDefault="007F7512">
      <w:r>
        <w:separator/>
      </w:r>
    </w:p>
  </w:endnote>
  <w:endnote w:type="continuationSeparator" w:id="0">
    <w:p w:rsidR="007F7512" w:rsidRDefault="007F7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Arial TUR">
    <w:altName w:val="Arial"/>
    <w:charset w:val="00"/>
    <w:family w:val="swiss"/>
    <w:pitch w:val="variable"/>
    <w:sig w:usb0="E0002EFF" w:usb1="C000785B" w:usb2="00000009" w:usb3="00000000" w:csb0="000001FF" w:csb1="00000000"/>
  </w:font>
  <w:font w:name="DavidFix">
    <w:charset w:val="B1"/>
    <w:family w:val="auto"/>
    <w:pitch w:val="variable"/>
    <w:sig w:usb0="00001801" w:usb1="00000000" w:usb2="00000000" w:usb3="00000000" w:csb0="00000020" w:csb1="00000000"/>
  </w:font>
  <w:font w:name="Guttman Yad">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iriam">
    <w:panose1 w:val="020B0502050101010101"/>
    <w:charset w:val="00"/>
    <w:family w:val="swiss"/>
    <w:pitch w:val="variable"/>
    <w:sig w:usb0="00000803" w:usb1="00000000" w:usb2="00000000" w:usb3="00000000" w:csb0="00000021"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02" w:rsidRDefault="00377102">
    <w:pPr>
      <w:pStyle w:val="a3"/>
      <w:framePr w:wrap="around" w:vAnchor="text" w:hAnchor="margin" w:xAlign="center" w:y="1"/>
      <w:rPr>
        <w:rStyle w:val="a4"/>
        <w:rtl/>
      </w:rPr>
    </w:pPr>
    <w:r>
      <w:rPr>
        <w:rStyle w:val="a4"/>
        <w:rtl/>
      </w:rPr>
      <w:fldChar w:fldCharType="begin"/>
    </w:r>
    <w:r>
      <w:rPr>
        <w:rStyle w:val="a4"/>
      </w:rPr>
      <w:instrText xml:space="preserve">PAGE  </w:instrText>
    </w:r>
    <w:r>
      <w:rPr>
        <w:rStyle w:val="a4"/>
        <w:rtl/>
      </w:rPr>
      <w:fldChar w:fldCharType="separate"/>
    </w:r>
    <w:r w:rsidR="00BC0E82">
      <w:rPr>
        <w:rStyle w:val="a4"/>
        <w:noProof/>
        <w:rtl/>
      </w:rPr>
      <w:t>1</w:t>
    </w:r>
    <w:r>
      <w:rPr>
        <w:rStyle w:val="a4"/>
        <w:rtl/>
      </w:rPr>
      <w:fldChar w:fldCharType="end"/>
    </w:r>
  </w:p>
  <w:p w:rsidR="00377102" w:rsidRDefault="00377102">
    <w:pPr>
      <w:pStyle w:val="a3"/>
      <w:rPr>
        <w:rtl/>
      </w:rPr>
    </w:pPr>
  </w:p>
  <w:p w:rsidR="00377102" w:rsidRDefault="0037710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BD8" w:rsidRDefault="00817BD8">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B4D" w:rsidRPr="00F959DB" w:rsidRDefault="00045B4D" w:rsidP="00914156">
    <w:pPr>
      <w:pStyle w:val="a3"/>
      <w:bidi w:val="0"/>
      <w:jc w:val="right"/>
      <w:rPr>
        <w:sz w:val="16"/>
        <w:szCs w:val="16"/>
      </w:rPr>
    </w:pPr>
    <w:bookmarkStart w:id="6" w:name="footer_line"/>
    <w:bookmarkEnd w:id="6"/>
  </w:p>
  <w:p w:rsidR="00045B4D" w:rsidRDefault="00045B4D">
    <w:pPr>
      <w:pStyle w:val="a3"/>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512" w:rsidRDefault="007F7512">
      <w:r>
        <w:separator/>
      </w:r>
    </w:p>
  </w:footnote>
  <w:footnote w:type="continuationSeparator" w:id="0">
    <w:p w:rsidR="007F7512" w:rsidRDefault="007F7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02" w:rsidRDefault="00377102">
    <w:pPr>
      <w:pStyle w:val="a5"/>
      <w:framePr w:wrap="around" w:vAnchor="text" w:hAnchor="margin" w:xAlign="center" w:y="1"/>
      <w:rPr>
        <w:rStyle w:val="a4"/>
        <w:rtl/>
      </w:rPr>
    </w:pPr>
    <w:r>
      <w:rPr>
        <w:rStyle w:val="a4"/>
        <w:rtl/>
      </w:rPr>
      <w:fldChar w:fldCharType="begin"/>
    </w:r>
    <w:r>
      <w:rPr>
        <w:rStyle w:val="a4"/>
      </w:rPr>
      <w:instrText xml:space="preserve">PAGE  </w:instrText>
    </w:r>
    <w:r>
      <w:rPr>
        <w:rStyle w:val="a4"/>
        <w:rtl/>
      </w:rPr>
      <w:fldChar w:fldCharType="separate"/>
    </w:r>
    <w:r w:rsidR="00BC0E82">
      <w:rPr>
        <w:rStyle w:val="a4"/>
        <w:noProof/>
        <w:rtl/>
      </w:rPr>
      <w:t>1</w:t>
    </w:r>
    <w:r>
      <w:rPr>
        <w:rStyle w:val="a4"/>
        <w:rtl/>
      </w:rPr>
      <w:fldChar w:fldCharType="end"/>
    </w:r>
  </w:p>
  <w:p w:rsidR="00377102" w:rsidRDefault="00377102">
    <w:pPr>
      <w:pStyle w:val="a5"/>
      <w:rPr>
        <w:rtl/>
      </w:rPr>
    </w:pPr>
  </w:p>
  <w:p w:rsidR="00377102" w:rsidRDefault="0037710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02" w:rsidRDefault="00377102">
    <w:pPr>
      <w:pStyle w:val="a5"/>
      <w:framePr w:wrap="around" w:vAnchor="text" w:hAnchor="margin" w:xAlign="center" w:y="1"/>
      <w:rPr>
        <w:rStyle w:val="a4"/>
        <w:rtl/>
      </w:rPr>
    </w:pPr>
    <w:r>
      <w:rPr>
        <w:rStyle w:val="a4"/>
        <w:rtl/>
      </w:rPr>
      <w:fldChar w:fldCharType="begin"/>
    </w:r>
    <w:r>
      <w:rPr>
        <w:rStyle w:val="a4"/>
      </w:rPr>
      <w:instrText xml:space="preserve">PAGE  </w:instrText>
    </w:r>
    <w:r>
      <w:rPr>
        <w:rStyle w:val="a4"/>
        <w:rtl/>
      </w:rPr>
      <w:fldChar w:fldCharType="separate"/>
    </w:r>
    <w:r w:rsidR="00634D6C">
      <w:rPr>
        <w:rStyle w:val="a4"/>
        <w:noProof/>
        <w:rtl/>
      </w:rPr>
      <w:t>24</w:t>
    </w:r>
    <w:r>
      <w:rPr>
        <w:rStyle w:val="a4"/>
        <w:rtl/>
      </w:rPr>
      <w:fldChar w:fldCharType="end"/>
    </w:r>
  </w:p>
  <w:p w:rsidR="00377102" w:rsidRDefault="00377102">
    <w:pPr>
      <w:pStyle w:val="a5"/>
      <w:rPr>
        <w:rtl/>
      </w:rPr>
    </w:pPr>
  </w:p>
  <w:p w:rsidR="00377102" w:rsidRDefault="0037710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8363" w:type="dxa"/>
      <w:tblLook w:val="0000" w:firstRow="0" w:lastRow="0" w:firstColumn="0" w:lastColumn="0" w:noHBand="0" w:noVBand="0"/>
    </w:tblPr>
    <w:tblGrid>
      <w:gridCol w:w="8363"/>
    </w:tblGrid>
    <w:tr w:rsidR="00045B4D" w:rsidTr="00EC23AC">
      <w:trPr>
        <w:trHeight w:val="342"/>
      </w:trPr>
      <w:tc>
        <w:tcPr>
          <w:tcW w:w="9828" w:type="dxa"/>
        </w:tcPr>
        <w:p w:rsidR="00377102" w:rsidRPr="002F7BB6" w:rsidRDefault="00EE3810" w:rsidP="00045B4D">
          <w:pPr>
            <w:pStyle w:val="Casenameintextbody"/>
            <w:jc w:val="center"/>
            <w:rPr>
              <w:u w:val="none"/>
              <w:rtl/>
            </w:rPr>
          </w:pPr>
          <w:r w:rsidRPr="002F7BB6">
            <w:rPr>
              <w:noProof/>
              <w:sz w:val="16"/>
              <w:szCs w:val="18"/>
              <w:u w:val="none"/>
              <w:rtl/>
            </w:rPr>
            <w:drawing>
              <wp:inline distT="0" distB="0" distL="0" distR="0">
                <wp:extent cx="464820" cy="449580"/>
                <wp:effectExtent l="0" t="0" r="0" b="762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820" cy="449580"/>
                        </a:xfrm>
                        <a:prstGeom prst="rect">
                          <a:avLst/>
                        </a:prstGeom>
                        <a:noFill/>
                        <a:ln>
                          <a:noFill/>
                        </a:ln>
                      </pic:spPr>
                    </pic:pic>
                  </a:graphicData>
                </a:graphic>
              </wp:inline>
            </w:drawing>
          </w:r>
        </w:p>
      </w:tc>
    </w:tr>
  </w:tbl>
  <w:p w:rsidR="00045B4D" w:rsidRDefault="00045B4D" w:rsidP="00045B4D">
    <w:pPr>
      <w:pStyle w:val="a5"/>
      <w:jc w:val="cent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77A4F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B8EE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485F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3003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0465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CCE6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264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1A09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046C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800B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A6001B"/>
    <w:multiLevelType w:val="hybridMultilevel"/>
    <w:tmpl w:val="FFD64526"/>
    <w:lvl w:ilvl="0" w:tplc="1E3C2304">
      <w:start w:val="1"/>
      <w:numFmt w:val="decimal"/>
      <w:pStyle w:val="Ruller4"/>
      <w:lvlText w:val="%1."/>
      <w:lvlJc w:val="left"/>
      <w:pPr>
        <w:tabs>
          <w:tab w:val="num" w:pos="907"/>
        </w:tabs>
        <w:ind w:left="0" w:firstLine="0"/>
      </w:pPr>
      <w:rPr>
        <w:rFonts w:hint="default"/>
        <w:lang w:bidi="he-IL"/>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F641BE6"/>
    <w:multiLevelType w:val="multilevel"/>
    <w:tmpl w:val="148CA6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FE70B62"/>
    <w:multiLevelType w:val="hybridMultilevel"/>
    <w:tmpl w:val="ADA8711E"/>
    <w:lvl w:ilvl="0" w:tplc="DBB0A036">
      <w:start w:val="1"/>
      <w:numFmt w:val="hebrew1"/>
      <w:pStyle w:val="Ruller40"/>
      <w:lvlText w:val="%1."/>
      <w:lvlJc w:val="left"/>
      <w:pPr>
        <w:tabs>
          <w:tab w:val="num" w:pos="90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lowerLette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227"/>
    <w:rsid w:val="00004685"/>
    <w:rsid w:val="000047D1"/>
    <w:rsid w:val="00004998"/>
    <w:rsid w:val="0000597C"/>
    <w:rsid w:val="00012332"/>
    <w:rsid w:val="00013251"/>
    <w:rsid w:val="00016EF1"/>
    <w:rsid w:val="00017A55"/>
    <w:rsid w:val="00021C78"/>
    <w:rsid w:val="00027E5F"/>
    <w:rsid w:val="000315A4"/>
    <w:rsid w:val="00032036"/>
    <w:rsid w:val="000331A5"/>
    <w:rsid w:val="00034CC9"/>
    <w:rsid w:val="000357C0"/>
    <w:rsid w:val="00036227"/>
    <w:rsid w:val="00036D03"/>
    <w:rsid w:val="0004127B"/>
    <w:rsid w:val="00044953"/>
    <w:rsid w:val="00045B4D"/>
    <w:rsid w:val="000461D6"/>
    <w:rsid w:val="00046B6E"/>
    <w:rsid w:val="00047355"/>
    <w:rsid w:val="00052910"/>
    <w:rsid w:val="00052B6D"/>
    <w:rsid w:val="00052DAD"/>
    <w:rsid w:val="0005618E"/>
    <w:rsid w:val="00056448"/>
    <w:rsid w:val="0006272A"/>
    <w:rsid w:val="000666E2"/>
    <w:rsid w:val="000678E5"/>
    <w:rsid w:val="000725F5"/>
    <w:rsid w:val="00072AD2"/>
    <w:rsid w:val="00073CB6"/>
    <w:rsid w:val="00080E01"/>
    <w:rsid w:val="000906CD"/>
    <w:rsid w:val="000A1BF4"/>
    <w:rsid w:val="000A414C"/>
    <w:rsid w:val="000A5159"/>
    <w:rsid w:val="000B0F56"/>
    <w:rsid w:val="000B1478"/>
    <w:rsid w:val="000B475E"/>
    <w:rsid w:val="000B47BF"/>
    <w:rsid w:val="000B6AA5"/>
    <w:rsid w:val="000C160F"/>
    <w:rsid w:val="000C4690"/>
    <w:rsid w:val="000D0AD6"/>
    <w:rsid w:val="000D25C4"/>
    <w:rsid w:val="000D2711"/>
    <w:rsid w:val="000E1FCD"/>
    <w:rsid w:val="000F015F"/>
    <w:rsid w:val="000F02B6"/>
    <w:rsid w:val="000F254A"/>
    <w:rsid w:val="000F7785"/>
    <w:rsid w:val="00100A36"/>
    <w:rsid w:val="001025C5"/>
    <w:rsid w:val="001069C2"/>
    <w:rsid w:val="001136AC"/>
    <w:rsid w:val="00113A4F"/>
    <w:rsid w:val="0011595C"/>
    <w:rsid w:val="00115B19"/>
    <w:rsid w:val="00116821"/>
    <w:rsid w:val="00117458"/>
    <w:rsid w:val="00127C28"/>
    <w:rsid w:val="00130C95"/>
    <w:rsid w:val="001344B6"/>
    <w:rsid w:val="00134A67"/>
    <w:rsid w:val="001359C2"/>
    <w:rsid w:val="00137351"/>
    <w:rsid w:val="00140451"/>
    <w:rsid w:val="00140F69"/>
    <w:rsid w:val="00145591"/>
    <w:rsid w:val="0015073A"/>
    <w:rsid w:val="001531F8"/>
    <w:rsid w:val="00155BBB"/>
    <w:rsid w:val="00156A98"/>
    <w:rsid w:val="0015750C"/>
    <w:rsid w:val="00157B7F"/>
    <w:rsid w:val="00160365"/>
    <w:rsid w:val="00162CDC"/>
    <w:rsid w:val="00162F65"/>
    <w:rsid w:val="00163BE5"/>
    <w:rsid w:val="00167F18"/>
    <w:rsid w:val="00172730"/>
    <w:rsid w:val="00173312"/>
    <w:rsid w:val="001740FD"/>
    <w:rsid w:val="0018180C"/>
    <w:rsid w:val="00183E57"/>
    <w:rsid w:val="00184A65"/>
    <w:rsid w:val="00195BB6"/>
    <w:rsid w:val="001978A1"/>
    <w:rsid w:val="001A0164"/>
    <w:rsid w:val="001A0173"/>
    <w:rsid w:val="001A3702"/>
    <w:rsid w:val="001A4F9A"/>
    <w:rsid w:val="001A693A"/>
    <w:rsid w:val="001B0357"/>
    <w:rsid w:val="001B2237"/>
    <w:rsid w:val="001B4CC2"/>
    <w:rsid w:val="001B5377"/>
    <w:rsid w:val="001C3D5F"/>
    <w:rsid w:val="001C56EA"/>
    <w:rsid w:val="001C577A"/>
    <w:rsid w:val="001C5B14"/>
    <w:rsid w:val="001C6322"/>
    <w:rsid w:val="001C69E0"/>
    <w:rsid w:val="001C6B3E"/>
    <w:rsid w:val="001C74D0"/>
    <w:rsid w:val="001C7A84"/>
    <w:rsid w:val="001D01F9"/>
    <w:rsid w:val="001D37FF"/>
    <w:rsid w:val="001D6389"/>
    <w:rsid w:val="001D7AF4"/>
    <w:rsid w:val="001E0CF8"/>
    <w:rsid w:val="001E1F5A"/>
    <w:rsid w:val="001E4CA8"/>
    <w:rsid w:val="001E6151"/>
    <w:rsid w:val="001E6206"/>
    <w:rsid w:val="001F11ED"/>
    <w:rsid w:val="001F12A6"/>
    <w:rsid w:val="001F29D6"/>
    <w:rsid w:val="001F3A71"/>
    <w:rsid w:val="001F5191"/>
    <w:rsid w:val="001F6C32"/>
    <w:rsid w:val="00200D6B"/>
    <w:rsid w:val="00201558"/>
    <w:rsid w:val="0021158B"/>
    <w:rsid w:val="00215A33"/>
    <w:rsid w:val="00215D29"/>
    <w:rsid w:val="002161F3"/>
    <w:rsid w:val="002165C2"/>
    <w:rsid w:val="00220D20"/>
    <w:rsid w:val="002274EC"/>
    <w:rsid w:val="00230AB5"/>
    <w:rsid w:val="00231411"/>
    <w:rsid w:val="002348CC"/>
    <w:rsid w:val="00235395"/>
    <w:rsid w:val="00235622"/>
    <w:rsid w:val="00241797"/>
    <w:rsid w:val="002419B3"/>
    <w:rsid w:val="00242516"/>
    <w:rsid w:val="002500F7"/>
    <w:rsid w:val="00250442"/>
    <w:rsid w:val="00252BA9"/>
    <w:rsid w:val="00252D0F"/>
    <w:rsid w:val="00256192"/>
    <w:rsid w:val="00256CBF"/>
    <w:rsid w:val="0026039E"/>
    <w:rsid w:val="00265F6E"/>
    <w:rsid w:val="00267B5B"/>
    <w:rsid w:val="002713C2"/>
    <w:rsid w:val="0027287B"/>
    <w:rsid w:val="002741F8"/>
    <w:rsid w:val="00275588"/>
    <w:rsid w:val="00276731"/>
    <w:rsid w:val="00281289"/>
    <w:rsid w:val="0028535F"/>
    <w:rsid w:val="00285B49"/>
    <w:rsid w:val="002876BF"/>
    <w:rsid w:val="002879C2"/>
    <w:rsid w:val="002908BB"/>
    <w:rsid w:val="002A0381"/>
    <w:rsid w:val="002A32F7"/>
    <w:rsid w:val="002A3560"/>
    <w:rsid w:val="002A4A7A"/>
    <w:rsid w:val="002A4BF3"/>
    <w:rsid w:val="002B11EC"/>
    <w:rsid w:val="002C5601"/>
    <w:rsid w:val="002C7BAC"/>
    <w:rsid w:val="002D09A8"/>
    <w:rsid w:val="002D31B8"/>
    <w:rsid w:val="002D4809"/>
    <w:rsid w:val="002D7E41"/>
    <w:rsid w:val="002E4D8A"/>
    <w:rsid w:val="002E7D0E"/>
    <w:rsid w:val="002F10D2"/>
    <w:rsid w:val="002F1E89"/>
    <w:rsid w:val="002F2A72"/>
    <w:rsid w:val="002F2C80"/>
    <w:rsid w:val="002F33D4"/>
    <w:rsid w:val="002F602A"/>
    <w:rsid w:val="002F7BB6"/>
    <w:rsid w:val="00302113"/>
    <w:rsid w:val="0030553F"/>
    <w:rsid w:val="00306C18"/>
    <w:rsid w:val="0031343C"/>
    <w:rsid w:val="00313634"/>
    <w:rsid w:val="00314194"/>
    <w:rsid w:val="00315018"/>
    <w:rsid w:val="00315659"/>
    <w:rsid w:val="003209B5"/>
    <w:rsid w:val="0032397A"/>
    <w:rsid w:val="003242D3"/>
    <w:rsid w:val="00327476"/>
    <w:rsid w:val="00330E16"/>
    <w:rsid w:val="003321F6"/>
    <w:rsid w:val="0033485A"/>
    <w:rsid w:val="00335B6A"/>
    <w:rsid w:val="003418AE"/>
    <w:rsid w:val="00343531"/>
    <w:rsid w:val="003448B2"/>
    <w:rsid w:val="003461D5"/>
    <w:rsid w:val="0035308B"/>
    <w:rsid w:val="00353C75"/>
    <w:rsid w:val="00361971"/>
    <w:rsid w:val="00361DB2"/>
    <w:rsid w:val="00366A97"/>
    <w:rsid w:val="0037459D"/>
    <w:rsid w:val="0037622E"/>
    <w:rsid w:val="00377102"/>
    <w:rsid w:val="003815AA"/>
    <w:rsid w:val="00384C13"/>
    <w:rsid w:val="00384D0F"/>
    <w:rsid w:val="0038511A"/>
    <w:rsid w:val="00385A1D"/>
    <w:rsid w:val="00386A00"/>
    <w:rsid w:val="003878F3"/>
    <w:rsid w:val="00387FC2"/>
    <w:rsid w:val="003937C8"/>
    <w:rsid w:val="0039709B"/>
    <w:rsid w:val="003973FD"/>
    <w:rsid w:val="003A1517"/>
    <w:rsid w:val="003A30F8"/>
    <w:rsid w:val="003A4E4F"/>
    <w:rsid w:val="003A60F4"/>
    <w:rsid w:val="003B0F4A"/>
    <w:rsid w:val="003B643B"/>
    <w:rsid w:val="003B65EB"/>
    <w:rsid w:val="003B7791"/>
    <w:rsid w:val="003C04B9"/>
    <w:rsid w:val="003C1220"/>
    <w:rsid w:val="003C2887"/>
    <w:rsid w:val="003C2D25"/>
    <w:rsid w:val="003D1664"/>
    <w:rsid w:val="003D3030"/>
    <w:rsid w:val="003D51CA"/>
    <w:rsid w:val="003D72DA"/>
    <w:rsid w:val="003E7FBE"/>
    <w:rsid w:val="003F0501"/>
    <w:rsid w:val="003F0DD9"/>
    <w:rsid w:val="003F1F97"/>
    <w:rsid w:val="003F2819"/>
    <w:rsid w:val="003F5B4F"/>
    <w:rsid w:val="003F6607"/>
    <w:rsid w:val="0040146C"/>
    <w:rsid w:val="00403B13"/>
    <w:rsid w:val="0041023E"/>
    <w:rsid w:val="0041048F"/>
    <w:rsid w:val="004122A8"/>
    <w:rsid w:val="0041309C"/>
    <w:rsid w:val="00417A4D"/>
    <w:rsid w:val="00417DC6"/>
    <w:rsid w:val="00421E7D"/>
    <w:rsid w:val="00422C67"/>
    <w:rsid w:val="00423003"/>
    <w:rsid w:val="004241A7"/>
    <w:rsid w:val="00424AD4"/>
    <w:rsid w:val="00424F95"/>
    <w:rsid w:val="0042629C"/>
    <w:rsid w:val="004266E6"/>
    <w:rsid w:val="00430084"/>
    <w:rsid w:val="0043121A"/>
    <w:rsid w:val="004312F5"/>
    <w:rsid w:val="00432009"/>
    <w:rsid w:val="00432052"/>
    <w:rsid w:val="00433BA8"/>
    <w:rsid w:val="004342E4"/>
    <w:rsid w:val="00436FE1"/>
    <w:rsid w:val="0043758D"/>
    <w:rsid w:val="00437D59"/>
    <w:rsid w:val="004400C1"/>
    <w:rsid w:val="004402FE"/>
    <w:rsid w:val="00447EB4"/>
    <w:rsid w:val="0045034E"/>
    <w:rsid w:val="00453049"/>
    <w:rsid w:val="00454D18"/>
    <w:rsid w:val="00460788"/>
    <w:rsid w:val="004610A4"/>
    <w:rsid w:val="004672DF"/>
    <w:rsid w:val="004704A7"/>
    <w:rsid w:val="0047644F"/>
    <w:rsid w:val="00484799"/>
    <w:rsid w:val="00485B75"/>
    <w:rsid w:val="00485F87"/>
    <w:rsid w:val="00487306"/>
    <w:rsid w:val="00490337"/>
    <w:rsid w:val="00490396"/>
    <w:rsid w:val="00494C63"/>
    <w:rsid w:val="00495A35"/>
    <w:rsid w:val="00495E90"/>
    <w:rsid w:val="004A22CB"/>
    <w:rsid w:val="004A5454"/>
    <w:rsid w:val="004A7CBC"/>
    <w:rsid w:val="004B1A6C"/>
    <w:rsid w:val="004B1D9F"/>
    <w:rsid w:val="004B29FF"/>
    <w:rsid w:val="004C71F5"/>
    <w:rsid w:val="004C7868"/>
    <w:rsid w:val="004D2C87"/>
    <w:rsid w:val="004E22F7"/>
    <w:rsid w:val="004E4B0D"/>
    <w:rsid w:val="004E55B1"/>
    <w:rsid w:val="004E5CDE"/>
    <w:rsid w:val="004E7081"/>
    <w:rsid w:val="004E7234"/>
    <w:rsid w:val="004F1EF3"/>
    <w:rsid w:val="004F691B"/>
    <w:rsid w:val="0050062D"/>
    <w:rsid w:val="00503A3E"/>
    <w:rsid w:val="00506E09"/>
    <w:rsid w:val="005126E9"/>
    <w:rsid w:val="00527F02"/>
    <w:rsid w:val="005327F7"/>
    <w:rsid w:val="005338CF"/>
    <w:rsid w:val="005343FF"/>
    <w:rsid w:val="0053484D"/>
    <w:rsid w:val="00534C04"/>
    <w:rsid w:val="00536183"/>
    <w:rsid w:val="00541443"/>
    <w:rsid w:val="00543AFA"/>
    <w:rsid w:val="00543B82"/>
    <w:rsid w:val="00544C0B"/>
    <w:rsid w:val="005472EF"/>
    <w:rsid w:val="00554C85"/>
    <w:rsid w:val="00556120"/>
    <w:rsid w:val="00561327"/>
    <w:rsid w:val="005621EF"/>
    <w:rsid w:val="00564209"/>
    <w:rsid w:val="00566B9C"/>
    <w:rsid w:val="00571382"/>
    <w:rsid w:val="005751F1"/>
    <w:rsid w:val="005803E2"/>
    <w:rsid w:val="00583FD8"/>
    <w:rsid w:val="0058440A"/>
    <w:rsid w:val="00584BF4"/>
    <w:rsid w:val="005900CE"/>
    <w:rsid w:val="00591983"/>
    <w:rsid w:val="00594197"/>
    <w:rsid w:val="00595B84"/>
    <w:rsid w:val="005A4AFB"/>
    <w:rsid w:val="005A7B59"/>
    <w:rsid w:val="005B1F3B"/>
    <w:rsid w:val="005B2360"/>
    <w:rsid w:val="005C0092"/>
    <w:rsid w:val="005C186D"/>
    <w:rsid w:val="005C5CB9"/>
    <w:rsid w:val="005C6157"/>
    <w:rsid w:val="005D7961"/>
    <w:rsid w:val="005D7ADC"/>
    <w:rsid w:val="005D7B3A"/>
    <w:rsid w:val="005E1B19"/>
    <w:rsid w:val="005E41FC"/>
    <w:rsid w:val="005E4A71"/>
    <w:rsid w:val="005E5B4E"/>
    <w:rsid w:val="005F1FEC"/>
    <w:rsid w:val="005F2480"/>
    <w:rsid w:val="005F2F3A"/>
    <w:rsid w:val="005F45C3"/>
    <w:rsid w:val="005F45F8"/>
    <w:rsid w:val="005F66BB"/>
    <w:rsid w:val="005F797D"/>
    <w:rsid w:val="00601E50"/>
    <w:rsid w:val="006050C4"/>
    <w:rsid w:val="006066C9"/>
    <w:rsid w:val="006132B8"/>
    <w:rsid w:val="0061341A"/>
    <w:rsid w:val="0061620E"/>
    <w:rsid w:val="006170AE"/>
    <w:rsid w:val="0061731D"/>
    <w:rsid w:val="0062221F"/>
    <w:rsid w:val="00622A59"/>
    <w:rsid w:val="00624A42"/>
    <w:rsid w:val="00624CAE"/>
    <w:rsid w:val="00625CCD"/>
    <w:rsid w:val="00626D3A"/>
    <w:rsid w:val="00626FF6"/>
    <w:rsid w:val="00632510"/>
    <w:rsid w:val="00634D6C"/>
    <w:rsid w:val="00636E51"/>
    <w:rsid w:val="006370C8"/>
    <w:rsid w:val="0063713C"/>
    <w:rsid w:val="00640528"/>
    <w:rsid w:val="00641589"/>
    <w:rsid w:val="006423CB"/>
    <w:rsid w:val="00642736"/>
    <w:rsid w:val="00642923"/>
    <w:rsid w:val="006429BC"/>
    <w:rsid w:val="00647474"/>
    <w:rsid w:val="0065068D"/>
    <w:rsid w:val="00653F59"/>
    <w:rsid w:val="0065522F"/>
    <w:rsid w:val="006564B2"/>
    <w:rsid w:val="00660F9F"/>
    <w:rsid w:val="006616AE"/>
    <w:rsid w:val="00671DB3"/>
    <w:rsid w:val="00674A95"/>
    <w:rsid w:val="00675CDA"/>
    <w:rsid w:val="006765DA"/>
    <w:rsid w:val="00677987"/>
    <w:rsid w:val="00683B2A"/>
    <w:rsid w:val="00685B2E"/>
    <w:rsid w:val="00686019"/>
    <w:rsid w:val="006902FF"/>
    <w:rsid w:val="00691202"/>
    <w:rsid w:val="0069637D"/>
    <w:rsid w:val="006967B2"/>
    <w:rsid w:val="00696DB0"/>
    <w:rsid w:val="00697CFC"/>
    <w:rsid w:val="006A30F7"/>
    <w:rsid w:val="006B2B97"/>
    <w:rsid w:val="006B76B1"/>
    <w:rsid w:val="006C1856"/>
    <w:rsid w:val="006C42AD"/>
    <w:rsid w:val="006C4796"/>
    <w:rsid w:val="006C4E16"/>
    <w:rsid w:val="006C4F9D"/>
    <w:rsid w:val="006C7080"/>
    <w:rsid w:val="006D0090"/>
    <w:rsid w:val="006D2052"/>
    <w:rsid w:val="006D23E2"/>
    <w:rsid w:val="006D3364"/>
    <w:rsid w:val="006D35F0"/>
    <w:rsid w:val="006D7CEF"/>
    <w:rsid w:val="006D7CFD"/>
    <w:rsid w:val="006E0C60"/>
    <w:rsid w:val="006E5E1A"/>
    <w:rsid w:val="006E7901"/>
    <w:rsid w:val="006F2DB3"/>
    <w:rsid w:val="006F4612"/>
    <w:rsid w:val="006F60EF"/>
    <w:rsid w:val="006F61CF"/>
    <w:rsid w:val="006F7D08"/>
    <w:rsid w:val="007040A8"/>
    <w:rsid w:val="007059EC"/>
    <w:rsid w:val="00707836"/>
    <w:rsid w:val="00721A82"/>
    <w:rsid w:val="00722E90"/>
    <w:rsid w:val="00722F26"/>
    <w:rsid w:val="00724653"/>
    <w:rsid w:val="00725345"/>
    <w:rsid w:val="00725EC8"/>
    <w:rsid w:val="007266F7"/>
    <w:rsid w:val="00732446"/>
    <w:rsid w:val="00733BE2"/>
    <w:rsid w:val="007363AE"/>
    <w:rsid w:val="0074027C"/>
    <w:rsid w:val="00741CC0"/>
    <w:rsid w:val="00743B51"/>
    <w:rsid w:val="007456DE"/>
    <w:rsid w:val="0074656A"/>
    <w:rsid w:val="0075190E"/>
    <w:rsid w:val="00753031"/>
    <w:rsid w:val="007535DD"/>
    <w:rsid w:val="00754A49"/>
    <w:rsid w:val="0075770F"/>
    <w:rsid w:val="00762A73"/>
    <w:rsid w:val="00767AB0"/>
    <w:rsid w:val="00767B13"/>
    <w:rsid w:val="00772979"/>
    <w:rsid w:val="00773932"/>
    <w:rsid w:val="00773E6A"/>
    <w:rsid w:val="0077511A"/>
    <w:rsid w:val="00775451"/>
    <w:rsid w:val="007756D6"/>
    <w:rsid w:val="00775B53"/>
    <w:rsid w:val="007767DA"/>
    <w:rsid w:val="007779FE"/>
    <w:rsid w:val="00781CB9"/>
    <w:rsid w:val="0078201E"/>
    <w:rsid w:val="00785315"/>
    <w:rsid w:val="00787176"/>
    <w:rsid w:val="007917E6"/>
    <w:rsid w:val="007A1BB8"/>
    <w:rsid w:val="007A38DE"/>
    <w:rsid w:val="007A3A26"/>
    <w:rsid w:val="007A3EC9"/>
    <w:rsid w:val="007A6083"/>
    <w:rsid w:val="007B308A"/>
    <w:rsid w:val="007B512F"/>
    <w:rsid w:val="007B6947"/>
    <w:rsid w:val="007D2C35"/>
    <w:rsid w:val="007D6167"/>
    <w:rsid w:val="007D6A46"/>
    <w:rsid w:val="007E0520"/>
    <w:rsid w:val="007E1085"/>
    <w:rsid w:val="007E44DA"/>
    <w:rsid w:val="007E4914"/>
    <w:rsid w:val="007E77E8"/>
    <w:rsid w:val="007F05A5"/>
    <w:rsid w:val="007F2D97"/>
    <w:rsid w:val="007F2F53"/>
    <w:rsid w:val="007F5441"/>
    <w:rsid w:val="007F7512"/>
    <w:rsid w:val="00802253"/>
    <w:rsid w:val="00810894"/>
    <w:rsid w:val="00810A28"/>
    <w:rsid w:val="00812270"/>
    <w:rsid w:val="008143AB"/>
    <w:rsid w:val="00817A03"/>
    <w:rsid w:val="00817BD8"/>
    <w:rsid w:val="008213F0"/>
    <w:rsid w:val="00824654"/>
    <w:rsid w:val="00826F2C"/>
    <w:rsid w:val="00826FC0"/>
    <w:rsid w:val="0083345F"/>
    <w:rsid w:val="00833A23"/>
    <w:rsid w:val="008348F9"/>
    <w:rsid w:val="00835F80"/>
    <w:rsid w:val="00836667"/>
    <w:rsid w:val="00843E0F"/>
    <w:rsid w:val="00850D41"/>
    <w:rsid w:val="008616F3"/>
    <w:rsid w:val="00862F29"/>
    <w:rsid w:val="00866D0F"/>
    <w:rsid w:val="0087094B"/>
    <w:rsid w:val="00871C76"/>
    <w:rsid w:val="0087773C"/>
    <w:rsid w:val="00882AF1"/>
    <w:rsid w:val="00883F5F"/>
    <w:rsid w:val="00890268"/>
    <w:rsid w:val="008903C5"/>
    <w:rsid w:val="0089116D"/>
    <w:rsid w:val="0089209B"/>
    <w:rsid w:val="0089732A"/>
    <w:rsid w:val="00897597"/>
    <w:rsid w:val="008A1C66"/>
    <w:rsid w:val="008A322E"/>
    <w:rsid w:val="008A7FC8"/>
    <w:rsid w:val="008B0804"/>
    <w:rsid w:val="008B194B"/>
    <w:rsid w:val="008B36C2"/>
    <w:rsid w:val="008B37E9"/>
    <w:rsid w:val="008B4959"/>
    <w:rsid w:val="008B6639"/>
    <w:rsid w:val="008B7235"/>
    <w:rsid w:val="008C2F11"/>
    <w:rsid w:val="008C38B7"/>
    <w:rsid w:val="008D40CA"/>
    <w:rsid w:val="008D5084"/>
    <w:rsid w:val="008D78B9"/>
    <w:rsid w:val="008E0FE7"/>
    <w:rsid w:val="008E2E5D"/>
    <w:rsid w:val="008E3F85"/>
    <w:rsid w:val="008E7F67"/>
    <w:rsid w:val="008F038C"/>
    <w:rsid w:val="008F1A96"/>
    <w:rsid w:val="008F5F6C"/>
    <w:rsid w:val="008F6FC3"/>
    <w:rsid w:val="009037CB"/>
    <w:rsid w:val="009051E8"/>
    <w:rsid w:val="00907545"/>
    <w:rsid w:val="00910077"/>
    <w:rsid w:val="00910A57"/>
    <w:rsid w:val="009125C0"/>
    <w:rsid w:val="00914156"/>
    <w:rsid w:val="00916259"/>
    <w:rsid w:val="00916D36"/>
    <w:rsid w:val="00916E9A"/>
    <w:rsid w:val="00916ED1"/>
    <w:rsid w:val="00916FF8"/>
    <w:rsid w:val="009173A9"/>
    <w:rsid w:val="0092019E"/>
    <w:rsid w:val="00921A62"/>
    <w:rsid w:val="00922093"/>
    <w:rsid w:val="00930C85"/>
    <w:rsid w:val="00931A69"/>
    <w:rsid w:val="0093453B"/>
    <w:rsid w:val="00940AA4"/>
    <w:rsid w:val="00940B36"/>
    <w:rsid w:val="00941388"/>
    <w:rsid w:val="00942A84"/>
    <w:rsid w:val="0094474D"/>
    <w:rsid w:val="009459EC"/>
    <w:rsid w:val="00962C9C"/>
    <w:rsid w:val="00964253"/>
    <w:rsid w:val="00965F93"/>
    <w:rsid w:val="00967267"/>
    <w:rsid w:val="009708E9"/>
    <w:rsid w:val="00971E0F"/>
    <w:rsid w:val="00973CC8"/>
    <w:rsid w:val="00981061"/>
    <w:rsid w:val="0098667E"/>
    <w:rsid w:val="009866BB"/>
    <w:rsid w:val="00987EBA"/>
    <w:rsid w:val="0099094E"/>
    <w:rsid w:val="0099222A"/>
    <w:rsid w:val="0099280E"/>
    <w:rsid w:val="00993C1D"/>
    <w:rsid w:val="0099698C"/>
    <w:rsid w:val="009A3CA5"/>
    <w:rsid w:val="009A4CF0"/>
    <w:rsid w:val="009A6520"/>
    <w:rsid w:val="009A777C"/>
    <w:rsid w:val="009A7BF7"/>
    <w:rsid w:val="009B0E13"/>
    <w:rsid w:val="009B38DA"/>
    <w:rsid w:val="009B3D25"/>
    <w:rsid w:val="009B6BFE"/>
    <w:rsid w:val="009B6DCB"/>
    <w:rsid w:val="009C166F"/>
    <w:rsid w:val="009C2F03"/>
    <w:rsid w:val="009C52FE"/>
    <w:rsid w:val="009C59D2"/>
    <w:rsid w:val="009C7F90"/>
    <w:rsid w:val="009C7FFA"/>
    <w:rsid w:val="009D18F9"/>
    <w:rsid w:val="009D1CE8"/>
    <w:rsid w:val="009E4D6E"/>
    <w:rsid w:val="009E559E"/>
    <w:rsid w:val="009F010D"/>
    <w:rsid w:val="009F0529"/>
    <w:rsid w:val="009F2F53"/>
    <w:rsid w:val="009F4187"/>
    <w:rsid w:val="009F783A"/>
    <w:rsid w:val="00A01CC9"/>
    <w:rsid w:val="00A01CF6"/>
    <w:rsid w:val="00A02CDD"/>
    <w:rsid w:val="00A034CF"/>
    <w:rsid w:val="00A05A5F"/>
    <w:rsid w:val="00A12E0F"/>
    <w:rsid w:val="00A15302"/>
    <w:rsid w:val="00A179D9"/>
    <w:rsid w:val="00A22FE8"/>
    <w:rsid w:val="00A26915"/>
    <w:rsid w:val="00A26A1E"/>
    <w:rsid w:val="00A272F2"/>
    <w:rsid w:val="00A3042E"/>
    <w:rsid w:val="00A3220F"/>
    <w:rsid w:val="00A35BE6"/>
    <w:rsid w:val="00A366FC"/>
    <w:rsid w:val="00A37F2D"/>
    <w:rsid w:val="00A405DB"/>
    <w:rsid w:val="00A44C96"/>
    <w:rsid w:val="00A47F3D"/>
    <w:rsid w:val="00A51C9D"/>
    <w:rsid w:val="00A51FAE"/>
    <w:rsid w:val="00A53A9E"/>
    <w:rsid w:val="00A55EE6"/>
    <w:rsid w:val="00A5692E"/>
    <w:rsid w:val="00A57C1F"/>
    <w:rsid w:val="00A60C93"/>
    <w:rsid w:val="00A6259E"/>
    <w:rsid w:val="00A63375"/>
    <w:rsid w:val="00A64302"/>
    <w:rsid w:val="00A66BE9"/>
    <w:rsid w:val="00A705AD"/>
    <w:rsid w:val="00A72DA6"/>
    <w:rsid w:val="00A80845"/>
    <w:rsid w:val="00A81A9E"/>
    <w:rsid w:val="00A85F10"/>
    <w:rsid w:val="00A87483"/>
    <w:rsid w:val="00A87772"/>
    <w:rsid w:val="00A93F10"/>
    <w:rsid w:val="00A945B9"/>
    <w:rsid w:val="00A975AD"/>
    <w:rsid w:val="00AA6714"/>
    <w:rsid w:val="00AB5A1E"/>
    <w:rsid w:val="00AB69F7"/>
    <w:rsid w:val="00AC0170"/>
    <w:rsid w:val="00AC1AC8"/>
    <w:rsid w:val="00AC5321"/>
    <w:rsid w:val="00AD097B"/>
    <w:rsid w:val="00AD1ACD"/>
    <w:rsid w:val="00AD2630"/>
    <w:rsid w:val="00AD2E67"/>
    <w:rsid w:val="00AD3A31"/>
    <w:rsid w:val="00AD64B9"/>
    <w:rsid w:val="00AD662D"/>
    <w:rsid w:val="00AE022B"/>
    <w:rsid w:val="00AE3E2C"/>
    <w:rsid w:val="00AE56A0"/>
    <w:rsid w:val="00AE5E71"/>
    <w:rsid w:val="00AF174C"/>
    <w:rsid w:val="00AF4677"/>
    <w:rsid w:val="00AF75A4"/>
    <w:rsid w:val="00AF7D48"/>
    <w:rsid w:val="00B001E2"/>
    <w:rsid w:val="00B00721"/>
    <w:rsid w:val="00B009CC"/>
    <w:rsid w:val="00B0155B"/>
    <w:rsid w:val="00B07736"/>
    <w:rsid w:val="00B0782A"/>
    <w:rsid w:val="00B16CEB"/>
    <w:rsid w:val="00B21BA9"/>
    <w:rsid w:val="00B22996"/>
    <w:rsid w:val="00B24164"/>
    <w:rsid w:val="00B31448"/>
    <w:rsid w:val="00B31E17"/>
    <w:rsid w:val="00B31F2F"/>
    <w:rsid w:val="00B34052"/>
    <w:rsid w:val="00B36825"/>
    <w:rsid w:val="00B36AC9"/>
    <w:rsid w:val="00B411B8"/>
    <w:rsid w:val="00B472B7"/>
    <w:rsid w:val="00B5150C"/>
    <w:rsid w:val="00B52056"/>
    <w:rsid w:val="00B536FD"/>
    <w:rsid w:val="00B548E8"/>
    <w:rsid w:val="00B5527A"/>
    <w:rsid w:val="00B55608"/>
    <w:rsid w:val="00B57504"/>
    <w:rsid w:val="00B6025D"/>
    <w:rsid w:val="00B60E38"/>
    <w:rsid w:val="00B62B8C"/>
    <w:rsid w:val="00B62FB0"/>
    <w:rsid w:val="00B63343"/>
    <w:rsid w:val="00B65677"/>
    <w:rsid w:val="00B66AA9"/>
    <w:rsid w:val="00B70D25"/>
    <w:rsid w:val="00B727AA"/>
    <w:rsid w:val="00B73A23"/>
    <w:rsid w:val="00B74164"/>
    <w:rsid w:val="00B758F9"/>
    <w:rsid w:val="00B87AE0"/>
    <w:rsid w:val="00B87FF7"/>
    <w:rsid w:val="00B9100B"/>
    <w:rsid w:val="00B914F6"/>
    <w:rsid w:val="00B9268D"/>
    <w:rsid w:val="00B96E5A"/>
    <w:rsid w:val="00B979D0"/>
    <w:rsid w:val="00BA0B08"/>
    <w:rsid w:val="00BA2ED2"/>
    <w:rsid w:val="00BA72D0"/>
    <w:rsid w:val="00BB042F"/>
    <w:rsid w:val="00BB0A55"/>
    <w:rsid w:val="00BB1431"/>
    <w:rsid w:val="00BB15B2"/>
    <w:rsid w:val="00BB58D7"/>
    <w:rsid w:val="00BB6B87"/>
    <w:rsid w:val="00BC0E82"/>
    <w:rsid w:val="00BC3CB0"/>
    <w:rsid w:val="00BC3F4B"/>
    <w:rsid w:val="00BC49AC"/>
    <w:rsid w:val="00BD08FF"/>
    <w:rsid w:val="00BD2454"/>
    <w:rsid w:val="00BD40F9"/>
    <w:rsid w:val="00BD412C"/>
    <w:rsid w:val="00BD4199"/>
    <w:rsid w:val="00BD5FBF"/>
    <w:rsid w:val="00BD6EA5"/>
    <w:rsid w:val="00BE14CB"/>
    <w:rsid w:val="00BE2F0D"/>
    <w:rsid w:val="00BE4B6D"/>
    <w:rsid w:val="00BF0188"/>
    <w:rsid w:val="00BF0CC8"/>
    <w:rsid w:val="00BF1EEA"/>
    <w:rsid w:val="00BF5418"/>
    <w:rsid w:val="00C03F0C"/>
    <w:rsid w:val="00C1271D"/>
    <w:rsid w:val="00C23F6C"/>
    <w:rsid w:val="00C25DF5"/>
    <w:rsid w:val="00C270ED"/>
    <w:rsid w:val="00C33769"/>
    <w:rsid w:val="00C33D0A"/>
    <w:rsid w:val="00C36817"/>
    <w:rsid w:val="00C37866"/>
    <w:rsid w:val="00C41C86"/>
    <w:rsid w:val="00C421A6"/>
    <w:rsid w:val="00C47EB2"/>
    <w:rsid w:val="00C50C38"/>
    <w:rsid w:val="00C5387B"/>
    <w:rsid w:val="00C55249"/>
    <w:rsid w:val="00C55DFF"/>
    <w:rsid w:val="00C62CE2"/>
    <w:rsid w:val="00C63A6C"/>
    <w:rsid w:val="00C73F1B"/>
    <w:rsid w:val="00C77A44"/>
    <w:rsid w:val="00C81D47"/>
    <w:rsid w:val="00C820E9"/>
    <w:rsid w:val="00C82C58"/>
    <w:rsid w:val="00C838D5"/>
    <w:rsid w:val="00C86A37"/>
    <w:rsid w:val="00C938C2"/>
    <w:rsid w:val="00C95618"/>
    <w:rsid w:val="00C96A5C"/>
    <w:rsid w:val="00C97AC3"/>
    <w:rsid w:val="00CA13AF"/>
    <w:rsid w:val="00CA1444"/>
    <w:rsid w:val="00CA1F57"/>
    <w:rsid w:val="00CA2144"/>
    <w:rsid w:val="00CA2913"/>
    <w:rsid w:val="00CA29B3"/>
    <w:rsid w:val="00CA2AF8"/>
    <w:rsid w:val="00CA6AA5"/>
    <w:rsid w:val="00CA7D7F"/>
    <w:rsid w:val="00CB1590"/>
    <w:rsid w:val="00CB29C2"/>
    <w:rsid w:val="00CB6B02"/>
    <w:rsid w:val="00CB7600"/>
    <w:rsid w:val="00CC0E9D"/>
    <w:rsid w:val="00CC3639"/>
    <w:rsid w:val="00CD5816"/>
    <w:rsid w:val="00CE47EB"/>
    <w:rsid w:val="00CF39AA"/>
    <w:rsid w:val="00D00B1D"/>
    <w:rsid w:val="00D00CB7"/>
    <w:rsid w:val="00D03E5F"/>
    <w:rsid w:val="00D05738"/>
    <w:rsid w:val="00D05E85"/>
    <w:rsid w:val="00D10A59"/>
    <w:rsid w:val="00D12D18"/>
    <w:rsid w:val="00D131F6"/>
    <w:rsid w:val="00D14C35"/>
    <w:rsid w:val="00D15A23"/>
    <w:rsid w:val="00D209CE"/>
    <w:rsid w:val="00D21106"/>
    <w:rsid w:val="00D22C0A"/>
    <w:rsid w:val="00D24251"/>
    <w:rsid w:val="00D25B92"/>
    <w:rsid w:val="00D25F16"/>
    <w:rsid w:val="00D31F29"/>
    <w:rsid w:val="00D37008"/>
    <w:rsid w:val="00D37676"/>
    <w:rsid w:val="00D378D0"/>
    <w:rsid w:val="00D40051"/>
    <w:rsid w:val="00D41CA9"/>
    <w:rsid w:val="00D4255E"/>
    <w:rsid w:val="00D445BC"/>
    <w:rsid w:val="00D466FC"/>
    <w:rsid w:val="00D506AF"/>
    <w:rsid w:val="00D50E07"/>
    <w:rsid w:val="00D52B19"/>
    <w:rsid w:val="00D61797"/>
    <w:rsid w:val="00D61F3D"/>
    <w:rsid w:val="00D62BFF"/>
    <w:rsid w:val="00D63500"/>
    <w:rsid w:val="00D64951"/>
    <w:rsid w:val="00D67121"/>
    <w:rsid w:val="00D71D4B"/>
    <w:rsid w:val="00D71FB0"/>
    <w:rsid w:val="00D80270"/>
    <w:rsid w:val="00D87C39"/>
    <w:rsid w:val="00D87F41"/>
    <w:rsid w:val="00D91594"/>
    <w:rsid w:val="00D949BA"/>
    <w:rsid w:val="00D962D1"/>
    <w:rsid w:val="00D973F2"/>
    <w:rsid w:val="00D977E2"/>
    <w:rsid w:val="00DA23AA"/>
    <w:rsid w:val="00DA2D27"/>
    <w:rsid w:val="00DA40CE"/>
    <w:rsid w:val="00DB1BDE"/>
    <w:rsid w:val="00DB2714"/>
    <w:rsid w:val="00DB413A"/>
    <w:rsid w:val="00DB5941"/>
    <w:rsid w:val="00DB6296"/>
    <w:rsid w:val="00DB6A52"/>
    <w:rsid w:val="00DC3F5A"/>
    <w:rsid w:val="00DC4B5F"/>
    <w:rsid w:val="00DC5D5B"/>
    <w:rsid w:val="00DC6008"/>
    <w:rsid w:val="00DC65FE"/>
    <w:rsid w:val="00DD2618"/>
    <w:rsid w:val="00DD4A42"/>
    <w:rsid w:val="00DE2AC1"/>
    <w:rsid w:val="00DE36BF"/>
    <w:rsid w:val="00DE3C41"/>
    <w:rsid w:val="00DE4234"/>
    <w:rsid w:val="00DE4873"/>
    <w:rsid w:val="00DF1429"/>
    <w:rsid w:val="00DF25C0"/>
    <w:rsid w:val="00DF2FA4"/>
    <w:rsid w:val="00DF57E2"/>
    <w:rsid w:val="00E02419"/>
    <w:rsid w:val="00E0280C"/>
    <w:rsid w:val="00E0315D"/>
    <w:rsid w:val="00E07D55"/>
    <w:rsid w:val="00E1411F"/>
    <w:rsid w:val="00E15E6D"/>
    <w:rsid w:val="00E16478"/>
    <w:rsid w:val="00E16809"/>
    <w:rsid w:val="00E16CF7"/>
    <w:rsid w:val="00E16DFE"/>
    <w:rsid w:val="00E20E9C"/>
    <w:rsid w:val="00E21CA9"/>
    <w:rsid w:val="00E240E6"/>
    <w:rsid w:val="00E27A5C"/>
    <w:rsid w:val="00E27FB9"/>
    <w:rsid w:val="00E30CE0"/>
    <w:rsid w:val="00E31063"/>
    <w:rsid w:val="00E320C0"/>
    <w:rsid w:val="00E346C7"/>
    <w:rsid w:val="00E36FE9"/>
    <w:rsid w:val="00E37C67"/>
    <w:rsid w:val="00E4040F"/>
    <w:rsid w:val="00E412A1"/>
    <w:rsid w:val="00E43585"/>
    <w:rsid w:val="00E50F31"/>
    <w:rsid w:val="00E61EDA"/>
    <w:rsid w:val="00E62651"/>
    <w:rsid w:val="00E63276"/>
    <w:rsid w:val="00E64850"/>
    <w:rsid w:val="00E672DA"/>
    <w:rsid w:val="00E73041"/>
    <w:rsid w:val="00E73E98"/>
    <w:rsid w:val="00E740C2"/>
    <w:rsid w:val="00E75223"/>
    <w:rsid w:val="00E77DE9"/>
    <w:rsid w:val="00E80795"/>
    <w:rsid w:val="00E859F7"/>
    <w:rsid w:val="00E86D85"/>
    <w:rsid w:val="00E9010E"/>
    <w:rsid w:val="00E907C5"/>
    <w:rsid w:val="00E90D72"/>
    <w:rsid w:val="00E937BF"/>
    <w:rsid w:val="00E937CE"/>
    <w:rsid w:val="00E94D02"/>
    <w:rsid w:val="00E95DD5"/>
    <w:rsid w:val="00EA0BE1"/>
    <w:rsid w:val="00EB48A3"/>
    <w:rsid w:val="00EC23AC"/>
    <w:rsid w:val="00EC2992"/>
    <w:rsid w:val="00EC663A"/>
    <w:rsid w:val="00EC7E11"/>
    <w:rsid w:val="00ED0B0F"/>
    <w:rsid w:val="00ED217C"/>
    <w:rsid w:val="00ED46A4"/>
    <w:rsid w:val="00ED5CD4"/>
    <w:rsid w:val="00ED6EF3"/>
    <w:rsid w:val="00ED6FD9"/>
    <w:rsid w:val="00EE0028"/>
    <w:rsid w:val="00EE22F0"/>
    <w:rsid w:val="00EE3810"/>
    <w:rsid w:val="00EF019C"/>
    <w:rsid w:val="00EF02D2"/>
    <w:rsid w:val="00EF12B2"/>
    <w:rsid w:val="00EF4DD2"/>
    <w:rsid w:val="00EF5675"/>
    <w:rsid w:val="00EF5C5C"/>
    <w:rsid w:val="00EF5DE8"/>
    <w:rsid w:val="00EF6F51"/>
    <w:rsid w:val="00F04219"/>
    <w:rsid w:val="00F05138"/>
    <w:rsid w:val="00F05835"/>
    <w:rsid w:val="00F05A24"/>
    <w:rsid w:val="00F061BB"/>
    <w:rsid w:val="00F06344"/>
    <w:rsid w:val="00F06F48"/>
    <w:rsid w:val="00F100A3"/>
    <w:rsid w:val="00F14F38"/>
    <w:rsid w:val="00F20469"/>
    <w:rsid w:val="00F21742"/>
    <w:rsid w:val="00F23860"/>
    <w:rsid w:val="00F2752D"/>
    <w:rsid w:val="00F3388F"/>
    <w:rsid w:val="00F33E0E"/>
    <w:rsid w:val="00F33F7F"/>
    <w:rsid w:val="00F34A71"/>
    <w:rsid w:val="00F37CC3"/>
    <w:rsid w:val="00F41910"/>
    <w:rsid w:val="00F4248E"/>
    <w:rsid w:val="00F53A40"/>
    <w:rsid w:val="00F548C6"/>
    <w:rsid w:val="00F5680A"/>
    <w:rsid w:val="00F56C55"/>
    <w:rsid w:val="00F617B8"/>
    <w:rsid w:val="00F618D0"/>
    <w:rsid w:val="00F62D1F"/>
    <w:rsid w:val="00F63C3B"/>
    <w:rsid w:val="00F65CDD"/>
    <w:rsid w:val="00F7484A"/>
    <w:rsid w:val="00F774FA"/>
    <w:rsid w:val="00F933CA"/>
    <w:rsid w:val="00F959DB"/>
    <w:rsid w:val="00F975B1"/>
    <w:rsid w:val="00FA0081"/>
    <w:rsid w:val="00FA29D6"/>
    <w:rsid w:val="00FA2CF1"/>
    <w:rsid w:val="00FA561A"/>
    <w:rsid w:val="00FA5F28"/>
    <w:rsid w:val="00FA70FC"/>
    <w:rsid w:val="00FA754C"/>
    <w:rsid w:val="00FB0318"/>
    <w:rsid w:val="00FB04DD"/>
    <w:rsid w:val="00FB18FA"/>
    <w:rsid w:val="00FB1C69"/>
    <w:rsid w:val="00FB1C7C"/>
    <w:rsid w:val="00FB3C81"/>
    <w:rsid w:val="00FB503C"/>
    <w:rsid w:val="00FB775B"/>
    <w:rsid w:val="00FC0252"/>
    <w:rsid w:val="00FC3144"/>
    <w:rsid w:val="00FC6F0F"/>
    <w:rsid w:val="00FC7421"/>
    <w:rsid w:val="00FD1838"/>
    <w:rsid w:val="00FD337F"/>
    <w:rsid w:val="00FD6CF4"/>
    <w:rsid w:val="00FD6FC0"/>
    <w:rsid w:val="00FD713A"/>
    <w:rsid w:val="00FE152C"/>
    <w:rsid w:val="00FE4D0B"/>
    <w:rsid w:val="00FE4F7F"/>
    <w:rsid w:val="00FE5C8C"/>
    <w:rsid w:val="00FE60ED"/>
    <w:rsid w:val="00FF0CEB"/>
    <w:rsid w:val="00FF33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BE183B"/>
  <w15:chartTrackingRefBased/>
  <w15:docId w15:val="{7F3C5D24-6518-4D28-BDA2-61A8D902E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bidi/>
      <w:adjustRightInd w:val="0"/>
      <w:textAlignment w:val="baseline"/>
    </w:pPr>
    <w:rPr>
      <w:rFonts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uller3">
    <w:name w:val="Ruller 3"/>
    <w:basedOn w:val="a"/>
    <w:rsid w:val="00A51FAE"/>
    <w:pPr>
      <w:tabs>
        <w:tab w:val="left" w:pos="3210"/>
        <w:tab w:val="left" w:pos="6753"/>
      </w:tabs>
      <w:spacing w:line="360" w:lineRule="auto"/>
    </w:pPr>
    <w:rPr>
      <w:rFonts w:cs="FrankRuehl"/>
      <w:spacing w:val="10"/>
      <w:sz w:val="22"/>
      <w:szCs w:val="28"/>
    </w:rPr>
  </w:style>
  <w:style w:type="paragraph" w:customStyle="1" w:styleId="Pskdinhead">
    <w:name w:val="Pskdin head"/>
    <w:basedOn w:val="a"/>
    <w:pPr>
      <w:spacing w:line="360" w:lineRule="auto"/>
    </w:pPr>
    <w:rPr>
      <w:b/>
      <w:bCs/>
      <w:u w:val="single"/>
    </w:rPr>
  </w:style>
  <w:style w:type="paragraph" w:customStyle="1" w:styleId="FileNumber">
    <w:name w:val="File Number"/>
    <w:basedOn w:val="a"/>
    <w:pPr>
      <w:spacing w:line="360" w:lineRule="auto"/>
      <w:jc w:val="right"/>
    </w:pPr>
    <w:rPr>
      <w:bCs/>
    </w:rPr>
  </w:style>
  <w:style w:type="paragraph" w:customStyle="1" w:styleId="FirstpagestylePsakdin">
    <w:name w:val="First page style Psak din"/>
    <w:basedOn w:val="Ruller3"/>
    <w:pPr>
      <w:tabs>
        <w:tab w:val="clear" w:pos="3210"/>
        <w:tab w:val="left" w:pos="3209"/>
      </w:tabs>
    </w:pPr>
    <w:rPr>
      <w:bCs/>
    </w:rPr>
  </w:style>
  <w:style w:type="paragraph" w:customStyle="1" w:styleId="TyutaDate">
    <w:name w:val="Tyuta Date"/>
    <w:basedOn w:val="a"/>
    <w:pPr>
      <w:jc w:val="center"/>
    </w:pPr>
    <w:rPr>
      <w:b/>
      <w:bCs/>
      <w:i/>
      <w:iCs/>
      <w:sz w:val="28"/>
      <w:szCs w:val="28"/>
    </w:rPr>
  </w:style>
  <w:style w:type="paragraph" w:customStyle="1" w:styleId="DocumentHead">
    <w:name w:val="Document Head"/>
    <w:basedOn w:val="a"/>
    <w:pPr>
      <w:spacing w:line="360" w:lineRule="auto"/>
      <w:jc w:val="center"/>
    </w:pPr>
    <w:rPr>
      <w:bCs/>
      <w:spacing w:val="30"/>
      <w:szCs w:val="28"/>
      <w:u w:val="single"/>
    </w:rPr>
  </w:style>
  <w:style w:type="paragraph" w:customStyle="1" w:styleId="TfutzaList">
    <w:name w:val="Tfutza List"/>
    <w:basedOn w:val="a"/>
    <w:rPr>
      <w:i/>
      <w:iCs/>
    </w:rPr>
  </w:style>
  <w:style w:type="paragraph" w:customStyle="1" w:styleId="Ruller41">
    <w:name w:val="Ruller4"/>
    <w:basedOn w:val="a"/>
    <w:link w:val="Ruller42"/>
    <w:rsid w:val="00A51FAE"/>
    <w:pPr>
      <w:tabs>
        <w:tab w:val="left" w:pos="800"/>
      </w:tabs>
      <w:spacing w:line="360" w:lineRule="auto"/>
      <w:jc w:val="both"/>
    </w:pPr>
    <w:rPr>
      <w:rFonts w:ascii="Arial TUR" w:hAnsi="Arial TUR" w:cs="FrankRuehl"/>
      <w:spacing w:val="10"/>
      <w:sz w:val="22"/>
      <w:szCs w:val="28"/>
    </w:rPr>
  </w:style>
  <w:style w:type="paragraph" w:customStyle="1" w:styleId="Ruller5">
    <w:name w:val="Ruller5"/>
    <w:basedOn w:val="a"/>
    <w:rsid w:val="00A51FAE"/>
    <w:pPr>
      <w:ind w:left="1642" w:right="1282"/>
      <w:jc w:val="both"/>
    </w:pPr>
    <w:rPr>
      <w:rFonts w:ascii="Arial TUR" w:hAnsi="Arial TUR" w:cs="FrankRuehl"/>
      <w:spacing w:val="10"/>
      <w:sz w:val="22"/>
      <w:szCs w:val="28"/>
    </w:rPr>
  </w:style>
  <w:style w:type="paragraph" w:customStyle="1" w:styleId="Ruller6">
    <w:name w:val="Ruller6"/>
    <w:basedOn w:val="a"/>
    <w:rsid w:val="00A51FAE"/>
    <w:pPr>
      <w:tabs>
        <w:tab w:val="left" w:pos="794"/>
        <w:tab w:val="left" w:pos="2268"/>
        <w:tab w:val="left" w:pos="5783"/>
        <w:tab w:val="left" w:pos="7371"/>
      </w:tabs>
    </w:pPr>
    <w:rPr>
      <w:rFonts w:ascii="Arial TUR" w:hAnsi="Arial TUR" w:cs="DavidFix"/>
      <w:spacing w:val="10"/>
      <w:sz w:val="22"/>
      <w:szCs w:val="20"/>
    </w:rPr>
  </w:style>
  <w:style w:type="character" w:customStyle="1" w:styleId="Delete">
    <w:name w:val="Delete"/>
    <w:rPr>
      <w:strike/>
    </w:rPr>
  </w:style>
  <w:style w:type="paragraph" w:customStyle="1" w:styleId="WriterName">
    <w:name w:val="Writer Name"/>
    <w:basedOn w:val="Ruller41"/>
    <w:next w:val="Ruller41"/>
    <w:rPr>
      <w:rFonts w:cs="David"/>
      <w:b/>
      <w:bCs/>
      <w:u w:val="single"/>
    </w:rPr>
  </w:style>
  <w:style w:type="character" w:customStyle="1" w:styleId="Hand">
    <w:name w:val="Hand"/>
    <w:rPr>
      <w:rFonts w:cs="Guttman Yad"/>
    </w:rPr>
  </w:style>
  <w:style w:type="paragraph" w:styleId="a3">
    <w:name w:val="footer"/>
    <w:basedOn w:val="a"/>
    <w:pPr>
      <w:tabs>
        <w:tab w:val="center" w:pos="4153"/>
        <w:tab w:val="right" w:pos="8306"/>
      </w:tabs>
    </w:pPr>
  </w:style>
  <w:style w:type="character" w:styleId="a4">
    <w:name w:val="page number"/>
    <w:basedOn w:val="a0"/>
  </w:style>
  <w:style w:type="paragraph" w:styleId="a5">
    <w:name w:val="header"/>
    <w:basedOn w:val="a"/>
    <w:pPr>
      <w:tabs>
        <w:tab w:val="center" w:pos="4153"/>
        <w:tab w:val="right" w:pos="8306"/>
      </w:tabs>
    </w:pPr>
  </w:style>
  <w:style w:type="paragraph" w:customStyle="1" w:styleId="2">
    <w:name w:val="ñâðåï2"/>
    <w:basedOn w:val="a"/>
    <w:pPr>
      <w:overflowPunct/>
      <w:textAlignment w:val="auto"/>
    </w:pPr>
    <w:rPr>
      <w:rFonts w:cs="Times New Roman"/>
    </w:rPr>
  </w:style>
  <w:style w:type="paragraph" w:customStyle="1" w:styleId="Casenameintextbody">
    <w:name w:val="Case name in text body"/>
    <w:basedOn w:val="a"/>
    <w:pPr>
      <w:overflowPunct/>
      <w:jc w:val="right"/>
      <w:textAlignment w:val="auto"/>
    </w:pPr>
    <w:rPr>
      <w:rFonts w:cs="Times New Roman"/>
      <w:b/>
      <w:bCs/>
      <w:u w:val="single"/>
    </w:rPr>
  </w:style>
  <w:style w:type="paragraph" w:customStyle="1" w:styleId="precasestyle">
    <w:name w:val="pre_case style"/>
    <w:basedOn w:val="a"/>
    <w:pPr>
      <w:tabs>
        <w:tab w:val="left" w:pos="2552"/>
      </w:tabs>
      <w:overflowPunct/>
      <w:ind w:right="2549"/>
      <w:textAlignment w:val="auto"/>
    </w:pPr>
    <w:rPr>
      <w:rFonts w:cs="Times New Roman"/>
    </w:rPr>
  </w:style>
  <w:style w:type="paragraph" w:customStyle="1" w:styleId="BodyRuller">
    <w:name w:val="Body Ruller"/>
    <w:basedOn w:val="a"/>
    <w:rPr>
      <w:sz w:val="22"/>
      <w:szCs w:val="28"/>
    </w:rPr>
  </w:style>
  <w:style w:type="paragraph" w:customStyle="1" w:styleId="Ruller38">
    <w:name w:val="סגנון Ruller 3 + (מורכב) ‏8 נק"/>
    <w:basedOn w:val="BodyRuller"/>
    <w:rPr>
      <w:szCs w:val="16"/>
    </w:rPr>
  </w:style>
  <w:style w:type="character" w:customStyle="1" w:styleId="Ruller30">
    <w:name w:val="Ruller 3 תו"/>
    <w:rPr>
      <w:rFonts w:cs="FrankRuehl"/>
      <w:sz w:val="22"/>
      <w:szCs w:val="28"/>
      <w:lang w:val="en-US" w:eastAsia="en-US" w:bidi="he-IL"/>
    </w:rPr>
  </w:style>
  <w:style w:type="character" w:customStyle="1" w:styleId="BodyRuller0">
    <w:name w:val="Body Ruller תו"/>
    <w:rPr>
      <w:rFonts w:cs="David"/>
      <w:sz w:val="22"/>
      <w:szCs w:val="28"/>
      <w:lang w:val="en-US" w:eastAsia="en-US" w:bidi="he-IL"/>
    </w:rPr>
  </w:style>
  <w:style w:type="character" w:customStyle="1" w:styleId="Ruller380">
    <w:name w:val="סגנון Ruller 3 + (מורכב) ‏8 נק תו"/>
    <w:rPr>
      <w:rFonts w:cs="David"/>
      <w:sz w:val="22"/>
      <w:szCs w:val="16"/>
      <w:lang w:val="en-US" w:eastAsia="en-US" w:bidi="he-IL"/>
    </w:rPr>
  </w:style>
  <w:style w:type="paragraph" w:customStyle="1" w:styleId="FileNumber0">
    <w:name w:val="סגנון File Number + ימין"/>
    <w:basedOn w:val="FileNumber"/>
    <w:rsid w:val="004C7868"/>
    <w:pPr>
      <w:jc w:val="left"/>
    </w:pPr>
    <w:rPr>
      <w:szCs w:val="28"/>
    </w:rPr>
  </w:style>
  <w:style w:type="paragraph" w:customStyle="1" w:styleId="BODYVERDICT">
    <w:name w:val="BODY VERDICT"/>
    <w:basedOn w:val="a"/>
    <w:rsid w:val="00036227"/>
    <w:rPr>
      <w:rFonts w:cs="FrankRuehl"/>
      <w:spacing w:val="10"/>
      <w:sz w:val="22"/>
      <w:szCs w:val="28"/>
    </w:rPr>
  </w:style>
  <w:style w:type="character" w:styleId="Hyperlink">
    <w:name w:val="Hyperlink"/>
    <w:rsid w:val="003F1F97"/>
    <w:rPr>
      <w:color w:val="0000FF"/>
      <w:u w:val="single"/>
    </w:rPr>
  </w:style>
  <w:style w:type="table" w:styleId="a6">
    <w:name w:val="Table Grid"/>
    <w:basedOn w:val="a1"/>
    <w:rsid w:val="003F1F97"/>
    <w:pPr>
      <w:overflowPunct w:val="0"/>
      <w:autoSpaceDE w:val="0"/>
      <w:autoSpaceDN w:val="0"/>
      <w:bidi/>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a0"/>
    <w:rsid w:val="0058440A"/>
    <w:rPr>
      <w:color w:val="954F72" w:themeColor="followedHyperlink"/>
      <w:u w:val="single"/>
    </w:rPr>
  </w:style>
  <w:style w:type="character" w:styleId="a7">
    <w:name w:val="annotation reference"/>
    <w:basedOn w:val="a0"/>
    <w:rsid w:val="00D00B1D"/>
    <w:rPr>
      <w:sz w:val="16"/>
      <w:szCs w:val="16"/>
    </w:rPr>
  </w:style>
  <w:style w:type="paragraph" w:styleId="a8">
    <w:name w:val="annotation text"/>
    <w:basedOn w:val="a"/>
    <w:link w:val="a9"/>
    <w:rsid w:val="00D00B1D"/>
    <w:rPr>
      <w:szCs w:val="20"/>
    </w:rPr>
  </w:style>
  <w:style w:type="character" w:customStyle="1" w:styleId="a9">
    <w:name w:val="טקסט הערה תו"/>
    <w:basedOn w:val="a0"/>
    <w:link w:val="a8"/>
    <w:rsid w:val="00D00B1D"/>
    <w:rPr>
      <w:rFonts w:cs="David"/>
    </w:rPr>
  </w:style>
  <w:style w:type="paragraph" w:styleId="aa">
    <w:name w:val="annotation subject"/>
    <w:basedOn w:val="a8"/>
    <w:next w:val="a8"/>
    <w:link w:val="ab"/>
    <w:rsid w:val="00D00B1D"/>
    <w:rPr>
      <w:b/>
      <w:bCs/>
    </w:rPr>
  </w:style>
  <w:style w:type="character" w:customStyle="1" w:styleId="ab">
    <w:name w:val="נושא הערה תו"/>
    <w:basedOn w:val="a9"/>
    <w:link w:val="aa"/>
    <w:rsid w:val="00D00B1D"/>
    <w:rPr>
      <w:rFonts w:cs="David"/>
      <w:b/>
      <w:bCs/>
    </w:rPr>
  </w:style>
  <w:style w:type="paragraph" w:styleId="ac">
    <w:name w:val="Balloon Text"/>
    <w:basedOn w:val="a"/>
    <w:link w:val="ad"/>
    <w:rsid w:val="00D00B1D"/>
    <w:rPr>
      <w:rFonts w:ascii="Tahoma" w:hAnsi="Tahoma" w:cs="Tahoma"/>
      <w:sz w:val="18"/>
      <w:szCs w:val="18"/>
    </w:rPr>
  </w:style>
  <w:style w:type="character" w:customStyle="1" w:styleId="ad">
    <w:name w:val="טקסט בלונים תו"/>
    <w:basedOn w:val="a0"/>
    <w:link w:val="ac"/>
    <w:rsid w:val="00D00B1D"/>
    <w:rPr>
      <w:rFonts w:ascii="Tahoma" w:hAnsi="Tahoma" w:cs="Tahoma"/>
      <w:sz w:val="18"/>
      <w:szCs w:val="18"/>
    </w:rPr>
  </w:style>
  <w:style w:type="paragraph" w:customStyle="1" w:styleId="Ruller4">
    <w:name w:val="Ruller 4 ממוספר"/>
    <w:basedOn w:val="Ruller41"/>
    <w:next w:val="Ruller41"/>
    <w:rsid w:val="007D6167"/>
    <w:pPr>
      <w:numPr>
        <w:numId w:val="11"/>
      </w:numPr>
    </w:pPr>
    <w:rPr>
      <w:rFonts w:ascii="Garamond" w:hAnsi="Garamond"/>
      <w:sz w:val="24"/>
    </w:rPr>
  </w:style>
  <w:style w:type="paragraph" w:customStyle="1" w:styleId="Ruller40">
    <w:name w:val="Ruller4 אלפביתי"/>
    <w:basedOn w:val="Ruller41"/>
    <w:next w:val="Ruller41"/>
    <w:rsid w:val="007D6167"/>
    <w:pPr>
      <w:numPr>
        <w:numId w:val="12"/>
      </w:numPr>
    </w:pPr>
  </w:style>
  <w:style w:type="paragraph" w:customStyle="1" w:styleId="p00">
    <w:name w:val="p00"/>
    <w:basedOn w:val="a"/>
    <w:rsid w:val="007D6167"/>
    <w:pPr>
      <w:overflowPunct/>
      <w:autoSpaceDE/>
      <w:autoSpaceDN/>
      <w:bidi w:val="0"/>
      <w:adjustRightInd/>
      <w:spacing w:before="100" w:beforeAutospacing="1" w:after="100" w:afterAutospacing="1"/>
      <w:textAlignment w:val="auto"/>
    </w:pPr>
    <w:rPr>
      <w:rFonts w:cs="Times New Roman"/>
      <w:sz w:val="24"/>
    </w:rPr>
  </w:style>
  <w:style w:type="character" w:customStyle="1" w:styleId="big-number">
    <w:name w:val="big-number"/>
    <w:basedOn w:val="a0"/>
    <w:rsid w:val="007D6167"/>
  </w:style>
  <w:style w:type="character" w:customStyle="1" w:styleId="default">
    <w:name w:val="default"/>
    <w:basedOn w:val="a0"/>
    <w:rsid w:val="007D6167"/>
  </w:style>
  <w:style w:type="paragraph" w:customStyle="1" w:styleId="p22">
    <w:name w:val="p22"/>
    <w:basedOn w:val="a"/>
    <w:rsid w:val="007D6167"/>
    <w:pPr>
      <w:overflowPunct/>
      <w:autoSpaceDE/>
      <w:autoSpaceDN/>
      <w:bidi w:val="0"/>
      <w:adjustRightInd/>
      <w:spacing w:before="100" w:beforeAutospacing="1" w:after="100" w:afterAutospacing="1"/>
      <w:textAlignment w:val="auto"/>
    </w:pPr>
    <w:rPr>
      <w:rFonts w:cs="Times New Roman"/>
      <w:sz w:val="24"/>
    </w:rPr>
  </w:style>
  <w:style w:type="character" w:customStyle="1" w:styleId="Ruller42">
    <w:name w:val="Ruller4 תו"/>
    <w:basedOn w:val="a0"/>
    <w:link w:val="Ruller41"/>
    <w:locked/>
    <w:rsid w:val="007D6167"/>
    <w:rPr>
      <w:rFonts w:ascii="Arial TUR" w:hAnsi="Arial TUR" w:cs="FrankRuehl"/>
      <w:spacing w:val="10"/>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996773">
      <w:bodyDiv w:val="1"/>
      <w:marLeft w:val="0"/>
      <w:marRight w:val="0"/>
      <w:marTop w:val="0"/>
      <w:marBottom w:val="0"/>
      <w:divBdr>
        <w:top w:val="none" w:sz="0" w:space="0" w:color="auto"/>
        <w:left w:val="none" w:sz="0" w:space="0" w:color="auto"/>
        <w:bottom w:val="none" w:sz="0" w:space="0" w:color="auto"/>
        <w:right w:val="none" w:sz="0" w:space="0" w:color="auto"/>
      </w:divBdr>
    </w:div>
    <w:div w:id="96851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supreme.court.gov.il/"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5DED7-8010-4D84-9529-287722A95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8131</Words>
  <Characters>38043</Characters>
  <Application>Microsoft Office Word</Application>
  <DocSecurity>0</DocSecurity>
  <Lines>905</Lines>
  <Paragraphs>174</Paragraphs>
  <ScaleCrop>false</ScaleCrop>
  <HeadingPairs>
    <vt:vector size="2" baseType="variant">
      <vt:variant>
        <vt:lpstr>שם</vt:lpstr>
      </vt:variant>
      <vt:variant>
        <vt:i4>1</vt:i4>
      </vt:variant>
    </vt:vector>
  </HeadingPairs>
  <TitlesOfParts>
    <vt:vector size="1" baseType="lpstr">
      <vt:lpstr>פסק-דין בתיק ע"א  3454/21</vt:lpstr>
    </vt:vector>
  </TitlesOfParts>
  <Company/>
  <LinksUpToDate>false</LinksUpToDate>
  <CharactersWithSpaces>46000</CharactersWithSpaces>
  <SharedDoc>false</SharedDoc>
  <HLinks>
    <vt:vector size="6" baseType="variant">
      <vt:variant>
        <vt:i4>1966158</vt:i4>
      </vt:variant>
      <vt:variant>
        <vt:i4>12</vt:i4>
      </vt:variant>
      <vt:variant>
        <vt:i4>0</vt:i4>
      </vt:variant>
      <vt:variant>
        <vt:i4>5</vt:i4>
      </vt:variant>
      <vt:variant>
        <vt:lpwstr>http://www.court.gov.il/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
  <cp:lastPrinted>2023-07-12T09:48:18Z</cp:lastPrinted>
  <dcterms:created xsi:type="dcterms:W3CDTF">2023-07-12T09:48:18Z</dcterms:created>
  <dcterms:modified xsi:type="dcterms:W3CDTF">2023-07-12T09:48:18Z</dcterms:modified>
</cp:coreProperties>
</file>