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F8" w:rsidRPr="00377102" w:rsidRDefault="00916FF8">
      <w:pPr>
        <w:jc w:val="right"/>
        <w:rPr>
          <w:rFonts w:cs="Miriam"/>
          <w:b/>
          <w:bCs/>
          <w:sz w:val="16"/>
          <w:szCs w:val="16"/>
          <w:u w:val="single"/>
        </w:rPr>
      </w:pPr>
    </w:p>
    <w:p w:rsidR="00916FF8" w:rsidRPr="00377102" w:rsidRDefault="00916FF8">
      <w:pPr>
        <w:jc w:val="right"/>
        <w:rPr>
          <w:rFonts w:cs="Miriam"/>
          <w:b/>
          <w:bCs/>
          <w:sz w:val="16"/>
          <w:szCs w:val="16"/>
          <w:u w:val="single"/>
        </w:rPr>
      </w:pPr>
    </w:p>
    <w:tbl>
      <w:tblPr>
        <w:bidiVisual/>
        <w:tblW w:w="8363" w:type="dxa"/>
        <w:tblInd w:w="9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c>
          <w:tcPr>
            <w:tcW w:w="7848" w:type="dxa"/>
          </w:tcPr>
          <w:p w:rsidR="00916FF8" w:rsidRPr="00624A42" w:rsidRDefault="008F4F99" w:rsidP="004C7868"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 בשבתו כבית משפט לערעורים אזרחיים</w:t>
            </w:r>
          </w:p>
        </w:tc>
      </w:tr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rPr>
          <w:trHeight w:val="342"/>
        </w:trPr>
        <w:tc>
          <w:tcPr>
            <w:tcW w:w="9828" w:type="dxa"/>
          </w:tcPr>
          <w:p w:rsidR="00916FF8" w:rsidRPr="00810894" w:rsidRDefault="008F4F99"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ע"א  6074/21</w:t>
            </w:r>
          </w:p>
        </w:tc>
      </w:tr>
      <w:tr w:rsidR="008F4F99" w:rsidTr="0039709B">
        <w:trPr>
          <w:trHeight w:val="342"/>
        </w:trPr>
        <w:tc>
          <w:tcPr>
            <w:tcW w:w="9828" w:type="dxa"/>
          </w:tcPr>
          <w:p w:rsidR="008F4F99" w:rsidRPr="00810894" w:rsidRDefault="008F4F99">
            <w:pPr>
              <w:pStyle w:val="FileNumb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ע"א  6882/21</w:t>
            </w:r>
          </w:p>
        </w:tc>
      </w:tr>
      <w:bookmarkEnd w:id="0"/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36227" w:rsidTr="00EC23AC">
        <w:trPr>
          <w:trHeight w:val="287"/>
        </w:trPr>
        <w:tc>
          <w:tcPr>
            <w:tcW w:w="3261" w:type="dxa"/>
          </w:tcPr>
          <w:p w:rsidR="00036227" w:rsidRDefault="00CB7600"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 w:rsidR="00036227">
              <w:rPr>
                <w:rtl/>
              </w:rPr>
              <w:t>פני:</w:t>
            </w:r>
            <w:r w:rsidR="00036227">
              <w:rPr>
                <w:rtl/>
              </w:rPr>
              <w:tab/>
            </w:r>
          </w:p>
        </w:tc>
        <w:tc>
          <w:tcPr>
            <w:tcW w:w="5239" w:type="dxa"/>
          </w:tcPr>
          <w:p w:rsidR="00036227" w:rsidRDefault="008F4F99">
            <w:pPr>
              <w:pStyle w:val="BodyRuller"/>
            </w:pPr>
            <w:r>
              <w:rPr>
                <w:rtl/>
              </w:rPr>
              <w:t>כבוד השופט ד' מינץ</w:t>
            </w:r>
          </w:p>
        </w:tc>
      </w:tr>
      <w:tr w:rsidR="008F4F99" w:rsidTr="00EC23AC">
        <w:trPr>
          <w:trHeight w:val="287"/>
        </w:trPr>
        <w:tc>
          <w:tcPr>
            <w:tcW w:w="3261" w:type="dxa"/>
          </w:tcPr>
          <w:p w:rsidR="008F4F99" w:rsidRDefault="008F4F99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8F4F99" w:rsidRDefault="008F4F99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כבוד השופטת י' </w:t>
            </w:r>
            <w:proofErr w:type="spellStart"/>
            <w:r>
              <w:rPr>
                <w:rtl/>
              </w:rPr>
              <w:t>וילנר</w:t>
            </w:r>
            <w:proofErr w:type="spellEnd"/>
          </w:p>
        </w:tc>
      </w:tr>
      <w:tr w:rsidR="008F4F99" w:rsidTr="00EC23AC">
        <w:trPr>
          <w:trHeight w:val="287"/>
        </w:trPr>
        <w:tc>
          <w:tcPr>
            <w:tcW w:w="3261" w:type="dxa"/>
          </w:tcPr>
          <w:p w:rsidR="008F4F99" w:rsidRDefault="008F4F99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8F4F99" w:rsidRDefault="008F4F99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 ח' כבוב</w:t>
            </w:r>
          </w:p>
        </w:tc>
      </w:tr>
    </w:tbl>
    <w:p w:rsidR="00916FF8" w:rsidRDefault="00916FF8"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D00CB7" w:rsidTr="00DD6306">
        <w:trPr>
          <w:trHeight w:val="287"/>
        </w:trPr>
        <w:tc>
          <w:tcPr>
            <w:tcW w:w="3261" w:type="dxa"/>
          </w:tcPr>
          <w:p w:rsidR="00D00CB7" w:rsidRPr="00E75223" w:rsidRDefault="008F4F99" w:rsidP="00DD6306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המערער</w:t>
            </w:r>
            <w:r w:rsidR="009E7A04">
              <w:rPr>
                <w:rFonts w:ascii="David" w:hAnsi="David" w:hint="cs"/>
                <w:rtl/>
              </w:rPr>
              <w:t xml:space="preserve"> </w:t>
            </w:r>
            <w:r w:rsidR="009E7A04">
              <w:rPr>
                <w:rFonts w:hint="cs"/>
                <w:sz w:val="26"/>
                <w:szCs w:val="26"/>
                <w:rtl/>
              </w:rPr>
              <w:t>בע"א 6074/21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239" w:type="dxa"/>
          </w:tcPr>
          <w:p w:rsidR="00D00CB7" w:rsidRDefault="008F4F99" w:rsidP="009E7A04">
            <w:pPr>
              <w:pStyle w:val="BodyRuller"/>
              <w:jc w:val="both"/>
            </w:pPr>
            <w:r>
              <w:rPr>
                <w:rtl/>
              </w:rPr>
              <w:t>בן זכאי, מושב עובדים</w:t>
            </w:r>
            <w:r w:rsidR="009E7A04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של הפועל המזרחי להתיישבות שי</w:t>
            </w:r>
            <w:r w:rsidR="009E7A04">
              <w:rPr>
                <w:rFonts w:hint="cs"/>
                <w:rtl/>
              </w:rPr>
              <w:t>תופית</w:t>
            </w:r>
          </w:p>
        </w:tc>
      </w:tr>
    </w:tbl>
    <w:p w:rsidR="00D00CB7" w:rsidRDefault="00D00CB7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9E7A04" w:rsidTr="009E7A04">
        <w:trPr>
          <w:trHeight w:val="287"/>
        </w:trPr>
        <w:tc>
          <w:tcPr>
            <w:tcW w:w="3210" w:type="dxa"/>
          </w:tcPr>
          <w:p w:rsidR="009E7A04" w:rsidRPr="00E75223" w:rsidRDefault="009E7A04" w:rsidP="00702B75">
            <w:pPr>
              <w:pStyle w:val="BodyRuller"/>
              <w:rPr>
                <w:rFonts w:ascii="David" w:hAnsi="David"/>
                <w:rtl/>
              </w:rPr>
            </w:pPr>
            <w:r w:rsidRPr="009E7A04">
              <w:rPr>
                <w:rFonts w:ascii="David" w:hAnsi="David"/>
                <w:rtl/>
              </w:rPr>
              <w:t>המערערים בע"א 6882/21:</w:t>
            </w: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</w:pPr>
            <w:r>
              <w:rPr>
                <w:rtl/>
              </w:rPr>
              <w:t>1.</w:t>
            </w:r>
            <w:r>
              <w:rPr>
                <w:rFonts w:hint="cs"/>
                <w:rtl/>
              </w:rPr>
              <w:t xml:space="preserve"> </w:t>
            </w:r>
            <w:r w:rsidRPr="009E7A04">
              <w:rPr>
                <w:rFonts w:hint="cs"/>
                <w:rtl/>
              </w:rPr>
              <w:t xml:space="preserve">בית נחמיה </w:t>
            </w:r>
            <w:r w:rsidRPr="009E7A04">
              <w:rPr>
                <w:rFonts w:hint="eastAsia"/>
                <w:rtl/>
              </w:rPr>
              <w:t>–</w:t>
            </w:r>
            <w:r w:rsidRPr="009E7A04">
              <w:rPr>
                <w:rFonts w:hint="cs"/>
                <w:rtl/>
              </w:rPr>
              <w:t xml:space="preserve"> מושב עובדים של העובד הציוני להתיישבות</w:t>
            </w:r>
          </w:p>
        </w:tc>
      </w:tr>
      <w:tr w:rsidR="009E7A04" w:rsidTr="009E7A04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2. </w:t>
            </w:r>
            <w:r w:rsidRPr="009E7A04">
              <w:rPr>
                <w:rFonts w:hint="cs"/>
                <w:rtl/>
              </w:rPr>
              <w:t>קיבוץ נצר סרני</w:t>
            </w:r>
          </w:p>
        </w:tc>
      </w:tr>
      <w:tr w:rsidR="009E7A04" w:rsidTr="009E7A04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P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3. </w:t>
            </w:r>
            <w:r w:rsidRPr="009E7A04">
              <w:rPr>
                <w:rFonts w:hint="cs"/>
                <w:rtl/>
              </w:rPr>
              <w:t>החקלאי באר יעקב אגודה שיתופית חקלאית</w:t>
            </w:r>
          </w:p>
        </w:tc>
      </w:tr>
      <w:tr w:rsidR="009E7A04" w:rsidTr="009E7A04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4. </w:t>
            </w:r>
            <w:r w:rsidRPr="009E7A04">
              <w:rPr>
                <w:rFonts w:hint="cs"/>
                <w:rtl/>
              </w:rPr>
              <w:t xml:space="preserve">פרי אור </w:t>
            </w:r>
            <w:proofErr w:type="spellStart"/>
            <w:r w:rsidRPr="009E7A04">
              <w:rPr>
                <w:rFonts w:hint="cs"/>
                <w:rtl/>
              </w:rPr>
              <w:t>בע</w:t>
            </w:r>
            <w:proofErr w:type="spellEnd"/>
            <w:r w:rsidRPr="009E7A04">
              <w:rPr>
                <w:rFonts w:hint="cs"/>
                <w:rtl/>
              </w:rPr>
              <w:t>''מ</w:t>
            </w:r>
          </w:p>
        </w:tc>
      </w:tr>
      <w:tr w:rsidR="009E7A04" w:rsidTr="009E7A04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5. </w:t>
            </w:r>
            <w:r w:rsidRPr="009E7A04">
              <w:rPr>
                <w:rFonts w:hint="cs"/>
                <w:rtl/>
              </w:rPr>
              <w:t xml:space="preserve">מהדרין </w:t>
            </w:r>
            <w:proofErr w:type="spellStart"/>
            <w:r w:rsidRPr="009E7A04">
              <w:rPr>
                <w:rFonts w:hint="cs"/>
                <w:rtl/>
              </w:rPr>
              <w:t>בע</w:t>
            </w:r>
            <w:proofErr w:type="spellEnd"/>
            <w:r w:rsidRPr="009E7A04">
              <w:rPr>
                <w:rFonts w:hint="cs"/>
                <w:rtl/>
              </w:rPr>
              <w:t>''מ</w:t>
            </w:r>
          </w:p>
        </w:tc>
      </w:tr>
    </w:tbl>
    <w:p w:rsidR="009E7A04" w:rsidRDefault="009E7A04"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 w:rsidR="00036227" w:rsidTr="0039709B">
        <w:tc>
          <w:tcPr>
            <w:tcW w:w="3284" w:type="dxa"/>
          </w:tcPr>
          <w:p w:rsidR="00036227" w:rsidRDefault="00036227">
            <w:pPr>
              <w:pStyle w:val="BodyRuller"/>
            </w:pPr>
          </w:p>
        </w:tc>
        <w:tc>
          <w:tcPr>
            <w:tcW w:w="5238" w:type="dxa"/>
          </w:tcPr>
          <w:p w:rsidR="00036227" w:rsidRDefault="00036227"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83345F" w:rsidTr="00DD6306">
        <w:trPr>
          <w:trHeight w:val="287"/>
        </w:trPr>
        <w:tc>
          <w:tcPr>
            <w:tcW w:w="3261" w:type="dxa"/>
          </w:tcPr>
          <w:p w:rsidR="0083345F" w:rsidRPr="00E75223" w:rsidRDefault="008F4F99" w:rsidP="009E7A04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המשיבים</w:t>
            </w:r>
            <w:r w:rsidR="009E7A04">
              <w:rPr>
                <w:rFonts w:ascii="David" w:hAnsi="David" w:hint="cs"/>
                <w:rtl/>
              </w:rPr>
              <w:t xml:space="preserve"> </w:t>
            </w:r>
            <w:r w:rsidR="009E7A04" w:rsidRPr="009E7A04">
              <w:rPr>
                <w:rFonts w:ascii="David" w:hAnsi="David"/>
                <w:rtl/>
              </w:rPr>
              <w:t>בע"א 6074/21</w:t>
            </w:r>
            <w:r w:rsidR="009E7A04">
              <w:rPr>
                <w:rFonts w:ascii="David" w:hAnsi="David" w:hint="cs"/>
                <w:rtl/>
              </w:rPr>
              <w:t>:</w:t>
            </w:r>
          </w:p>
        </w:tc>
        <w:tc>
          <w:tcPr>
            <w:tcW w:w="5239" w:type="dxa"/>
          </w:tcPr>
          <w:p w:rsidR="0083345F" w:rsidRDefault="008F4F99" w:rsidP="009E7A04">
            <w:pPr>
              <w:pStyle w:val="BodyRuller"/>
              <w:jc w:val="both"/>
            </w:pPr>
            <w:r>
              <w:rPr>
                <w:rtl/>
              </w:rPr>
              <w:t>1. מדינת ישראל</w:t>
            </w:r>
            <w:r w:rsidR="009E7A04">
              <w:rPr>
                <w:rFonts w:hint="cs"/>
                <w:rtl/>
              </w:rPr>
              <w:t xml:space="preserve"> –</w:t>
            </w:r>
            <w:r>
              <w:rPr>
                <w:rtl/>
              </w:rPr>
              <w:t xml:space="preserve"> מנהל מיסוי מקרקעין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2. יבנה דר</w:t>
            </w:r>
            <w:r w:rsidR="009E7A04">
              <w:rPr>
                <w:rFonts w:hint="cs"/>
                <w:rtl/>
              </w:rPr>
              <w:t xml:space="preserve"> –</w:t>
            </w:r>
            <w:r w:rsidR="009E7A04">
              <w:rPr>
                <w:rtl/>
              </w:rPr>
              <w:t xml:space="preserve"> אגודה שיתופית ח</w:t>
            </w:r>
            <w:r>
              <w:rPr>
                <w:rtl/>
              </w:rPr>
              <w:t>קלאית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3. בית נחמיה</w:t>
            </w:r>
            <w:r w:rsidR="009E7A04">
              <w:rPr>
                <w:rFonts w:hint="cs"/>
                <w:rtl/>
              </w:rPr>
              <w:t xml:space="preserve"> –</w:t>
            </w:r>
            <w:r>
              <w:rPr>
                <w:rtl/>
              </w:rPr>
              <w:t xml:space="preserve"> מושב עובדים של העובד הציוני להתיישבות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4. קיבוץ נצר סרני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5. החקלאי באר יעקב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6. פרי אור בע"מ ומהדרין בע"מ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C87592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>7. ירחיב מושב עובדים להתיישבות שיתופית</w:t>
            </w:r>
          </w:p>
        </w:tc>
      </w:tr>
      <w:tr w:rsidR="008F4F99" w:rsidTr="00DD6306">
        <w:trPr>
          <w:trHeight w:val="287"/>
        </w:trPr>
        <w:tc>
          <w:tcPr>
            <w:tcW w:w="3261" w:type="dxa"/>
          </w:tcPr>
          <w:p w:rsidR="008F4F99" w:rsidRDefault="008F4F99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8F4F99" w:rsidRDefault="008F4F99" w:rsidP="00C87592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8. </w:t>
            </w:r>
            <w:proofErr w:type="spellStart"/>
            <w:r>
              <w:rPr>
                <w:rtl/>
              </w:rPr>
              <w:t>פיבלוביץ</w:t>
            </w:r>
            <w:proofErr w:type="spellEnd"/>
            <w:r>
              <w:rPr>
                <w:rtl/>
              </w:rPr>
              <w:t xml:space="preserve"> ואח'</w:t>
            </w:r>
          </w:p>
        </w:tc>
      </w:tr>
    </w:tbl>
    <w:p w:rsidR="0083345F" w:rsidRDefault="0083345F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9E7A04" w:rsidTr="00702B75">
        <w:trPr>
          <w:trHeight w:val="287"/>
        </w:trPr>
        <w:tc>
          <w:tcPr>
            <w:tcW w:w="3210" w:type="dxa"/>
          </w:tcPr>
          <w:p w:rsidR="009E7A04" w:rsidRPr="00E75223" w:rsidRDefault="009E7A04" w:rsidP="009E7A04">
            <w:pPr>
              <w:pStyle w:val="BodyRull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המשיבים</w:t>
            </w:r>
            <w:r w:rsidRPr="009E7A04">
              <w:rPr>
                <w:rFonts w:ascii="David" w:hAnsi="David"/>
                <w:rtl/>
              </w:rPr>
              <w:t xml:space="preserve"> בע"א 6882/21:</w:t>
            </w: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</w:pPr>
            <w:r>
              <w:rPr>
                <w:rtl/>
              </w:rPr>
              <w:t>1. מדינת ישראל</w:t>
            </w:r>
            <w:r>
              <w:rPr>
                <w:rFonts w:hint="cs"/>
                <w:rtl/>
              </w:rPr>
              <w:t xml:space="preserve"> –</w:t>
            </w:r>
            <w:r>
              <w:rPr>
                <w:rtl/>
              </w:rPr>
              <w:t xml:space="preserve"> מנהל מיסוי מקרקעין</w:t>
            </w:r>
          </w:p>
        </w:tc>
      </w:tr>
      <w:tr w:rsidR="009E7A04" w:rsidTr="00702B75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2. </w:t>
            </w:r>
            <w:r w:rsidR="00C87592" w:rsidRPr="00C87592">
              <w:rPr>
                <w:rtl/>
              </w:rPr>
              <w:t>בן זכאי, מושב עובדים של הפועל המזרחי להתיישבות שיתופית</w:t>
            </w:r>
          </w:p>
        </w:tc>
      </w:tr>
      <w:tr w:rsidR="009E7A04" w:rsidTr="00702B75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P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3. </w:t>
            </w:r>
            <w:r w:rsidR="00C87592" w:rsidRPr="00C87592">
              <w:rPr>
                <w:rtl/>
              </w:rPr>
              <w:t xml:space="preserve">ירחיב מושב עובדים להתיישבות שיתופית </w:t>
            </w:r>
            <w:proofErr w:type="spellStart"/>
            <w:r w:rsidR="00C87592" w:rsidRPr="00C87592">
              <w:rPr>
                <w:rtl/>
              </w:rPr>
              <w:t>בע</w:t>
            </w:r>
            <w:proofErr w:type="spellEnd"/>
            <w:r w:rsidR="00C87592" w:rsidRPr="00C87592">
              <w:rPr>
                <w:rtl/>
              </w:rPr>
              <w:t>''מ</w:t>
            </w:r>
          </w:p>
        </w:tc>
      </w:tr>
      <w:tr w:rsidR="009E7A04" w:rsidTr="00702B75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4. </w:t>
            </w:r>
            <w:r w:rsidR="00C87592" w:rsidRPr="00C87592">
              <w:rPr>
                <w:rtl/>
              </w:rPr>
              <w:t xml:space="preserve">יבנה דר – אגודה שיתופית חקלאית ברחובות </w:t>
            </w:r>
            <w:proofErr w:type="spellStart"/>
            <w:r w:rsidR="00C87592" w:rsidRPr="00C87592">
              <w:rPr>
                <w:rtl/>
              </w:rPr>
              <w:t>בע</w:t>
            </w:r>
            <w:proofErr w:type="spellEnd"/>
            <w:r w:rsidR="00C87592" w:rsidRPr="00C87592">
              <w:rPr>
                <w:rtl/>
              </w:rPr>
              <w:t>''מ</w:t>
            </w:r>
          </w:p>
        </w:tc>
      </w:tr>
      <w:tr w:rsidR="009E7A04" w:rsidTr="00702B75">
        <w:trPr>
          <w:trHeight w:val="287"/>
        </w:trPr>
        <w:tc>
          <w:tcPr>
            <w:tcW w:w="3210" w:type="dxa"/>
          </w:tcPr>
          <w:p w:rsidR="009E7A04" w:rsidRDefault="009E7A04" w:rsidP="00702B75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154" w:type="dxa"/>
          </w:tcPr>
          <w:p w:rsidR="009E7A04" w:rsidRDefault="009E7A04" w:rsidP="009E7A04">
            <w:pPr>
              <w:pStyle w:val="BodyRuller"/>
              <w:jc w:val="both"/>
              <w:rPr>
                <w:rtl/>
              </w:rPr>
            </w:pPr>
            <w:r>
              <w:rPr>
                <w:rtl/>
              </w:rPr>
              <w:t xml:space="preserve">5. </w:t>
            </w:r>
            <w:proofErr w:type="spellStart"/>
            <w:r w:rsidR="00C87592" w:rsidRPr="00C87592">
              <w:rPr>
                <w:rtl/>
              </w:rPr>
              <w:t>פיבלוביץ</w:t>
            </w:r>
            <w:proofErr w:type="spellEnd"/>
            <w:r w:rsidR="00C87592" w:rsidRPr="00C87592">
              <w:rPr>
                <w:rtl/>
              </w:rPr>
              <w:t xml:space="preserve"> ואח'</w:t>
            </w:r>
          </w:p>
        </w:tc>
      </w:tr>
    </w:tbl>
    <w:p w:rsidR="009E7A04" w:rsidRDefault="009E7A04">
      <w:pPr>
        <w:pStyle w:val="Ruller3"/>
      </w:pP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 w:rsidR="00036227" w:rsidTr="00CA1444">
        <w:tc>
          <w:tcPr>
            <w:tcW w:w="5103" w:type="dxa"/>
          </w:tcPr>
          <w:p w:rsidR="00916FF8" w:rsidRPr="00265F6E" w:rsidRDefault="00C87592" w:rsidP="00C87592">
            <w:pPr>
              <w:pStyle w:val="BodyRuller"/>
              <w:jc w:val="both"/>
              <w:rPr>
                <w:sz w:val="24"/>
                <w:szCs w:val="24"/>
              </w:rPr>
            </w:pPr>
            <w:r w:rsidRPr="00C87592">
              <w:rPr>
                <w:sz w:val="24"/>
                <w:szCs w:val="24"/>
                <w:rtl/>
              </w:rPr>
              <w:t xml:space="preserve">ערעור על פסק דינה של וועדת הערר שליד בית המשפט המחוזי מרכז-לוד הפועלת מכוח חוק מיסוי מקרקעין (שבח ורכישה), התשכ''ג-1963 מיום 15.6.2021 </w:t>
            </w:r>
            <w:proofErr w:type="spellStart"/>
            <w:r w:rsidRPr="00C87592">
              <w:rPr>
                <w:sz w:val="24"/>
                <w:szCs w:val="24"/>
                <w:rtl/>
              </w:rPr>
              <w:t>בו"ע</w:t>
            </w:r>
            <w:proofErr w:type="spellEnd"/>
            <w:r w:rsidRPr="00C87592">
              <w:rPr>
                <w:sz w:val="24"/>
                <w:szCs w:val="24"/>
                <w:rtl/>
              </w:rPr>
              <w:t xml:space="preserve"> 11661-01-18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2423"/>
        <w:gridCol w:w="2710"/>
      </w:tblGrid>
      <w:tr w:rsidR="008C2F11" w:rsidTr="00D00B1D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8C2F11" w:rsidRPr="00265F6E" w:rsidRDefault="008C2F11">
            <w:pPr>
              <w:pStyle w:val="BodyRuller"/>
              <w:rPr>
                <w:sz w:val="24"/>
                <w:szCs w:val="24"/>
              </w:rPr>
            </w:pPr>
            <w:r w:rsidRPr="00265F6E">
              <w:rPr>
                <w:sz w:val="24"/>
                <w:szCs w:val="24"/>
                <w:rtl/>
              </w:rPr>
              <w:t>תאריך הישיבה: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C87592">
            <w:pPr>
              <w:pStyle w:val="BodyRuller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כ"ד</w:t>
            </w:r>
            <w:r w:rsidR="008F4F99">
              <w:rPr>
                <w:sz w:val="24"/>
                <w:szCs w:val="24"/>
                <w:rtl/>
              </w:rPr>
              <w:t xml:space="preserve"> ב</w:t>
            </w:r>
            <w:r>
              <w:rPr>
                <w:rFonts w:hint="cs"/>
                <w:sz w:val="24"/>
                <w:szCs w:val="24"/>
                <w:rtl/>
              </w:rPr>
              <w:t>אייר</w:t>
            </w:r>
            <w:r w:rsidR="008F4F99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="008F4F99">
              <w:rPr>
                <w:sz w:val="24"/>
                <w:szCs w:val="24"/>
                <w:rtl/>
              </w:rPr>
              <w:t>ה</w:t>
            </w:r>
            <w:r>
              <w:rPr>
                <w:rFonts w:hint="cs"/>
                <w:sz w:val="24"/>
                <w:szCs w:val="24"/>
                <w:rtl/>
              </w:rPr>
              <w:t>תשפ</w:t>
            </w:r>
            <w:r w:rsidR="008F4F99">
              <w:rPr>
                <w:sz w:val="24"/>
                <w:szCs w:val="24"/>
                <w:rtl/>
              </w:rPr>
              <w:t>"</w:t>
            </w:r>
            <w:r>
              <w:rPr>
                <w:rFonts w:hint="cs"/>
                <w:sz w:val="24"/>
                <w:szCs w:val="24"/>
                <w:rtl/>
              </w:rPr>
              <w:t>ג</w:t>
            </w:r>
            <w:proofErr w:type="spellEnd"/>
            <w:r w:rsidR="008C2F11">
              <w:t xml:space="preserve">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8F4F99" w:rsidP="00C87592">
            <w:pPr>
              <w:pStyle w:val="BodyRuller"/>
              <w:rPr>
                <w:sz w:val="24"/>
                <w:szCs w:val="24"/>
                <w:rtl/>
              </w:rPr>
            </w:pPr>
            <w:r>
              <w:t>(</w:t>
            </w:r>
            <w:r w:rsidR="00C87592">
              <w:t>15</w:t>
            </w:r>
            <w:r>
              <w:t>.</w:t>
            </w:r>
            <w:r w:rsidR="00C87592">
              <w:t>5</w:t>
            </w:r>
            <w:r>
              <w:t>.</w:t>
            </w:r>
            <w:r w:rsidR="00C87592">
              <w:t>2023</w:t>
            </w:r>
            <w:r>
              <w:t>)</w:t>
            </w:r>
            <w:r w:rsidR="00200D6B">
              <w:t xml:space="preserve"> </w:t>
            </w:r>
          </w:p>
        </w:tc>
      </w:tr>
    </w:tbl>
    <w:p w:rsidR="00916FF8" w:rsidRDefault="00916FF8">
      <w:pPr>
        <w:pStyle w:val="Ruller3"/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149"/>
      </w:tblGrid>
      <w:tr w:rsidR="00036227" w:rsidTr="00D00B1D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8F4F99" w:rsidP="00C87592">
            <w:pPr>
              <w:pStyle w:val="BodyRuller"/>
              <w:jc w:val="both"/>
            </w:pPr>
            <w:r>
              <w:rPr>
                <w:rtl/>
              </w:rPr>
              <w:t xml:space="preserve">בשם </w:t>
            </w:r>
            <w:r w:rsidR="00C87592" w:rsidRPr="00C87592">
              <w:rPr>
                <w:rtl/>
              </w:rPr>
              <w:t>המערער בע"א 6074/21 ומשיב 2 בע"א 6882/21: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87592" w:rsidRDefault="00C87592">
            <w:pPr>
              <w:pStyle w:val="BodyRuller"/>
              <w:rPr>
                <w:rtl/>
              </w:rPr>
            </w:pPr>
          </w:p>
          <w:p w:rsidR="00036227" w:rsidRDefault="008F4F99" w:rsidP="00F20D3C">
            <w:pPr>
              <w:pStyle w:val="BodyRuller"/>
            </w:pPr>
            <w:r>
              <w:rPr>
                <w:rtl/>
              </w:rPr>
              <w:t xml:space="preserve">עו"ד </w:t>
            </w:r>
            <w:r w:rsidR="00F20D3C">
              <w:rPr>
                <w:rtl/>
              </w:rPr>
              <w:t>ליאור</w:t>
            </w:r>
            <w:r w:rsidR="00F20D3C">
              <w:rPr>
                <w:rtl/>
              </w:rPr>
              <w:t xml:space="preserve"> </w:t>
            </w:r>
            <w:r>
              <w:rPr>
                <w:rtl/>
              </w:rPr>
              <w:t>ר</w:t>
            </w:r>
            <w:bookmarkStart w:id="1" w:name="_GoBack"/>
            <w:bookmarkEnd w:id="1"/>
            <w:r>
              <w:rPr>
                <w:rtl/>
              </w:rPr>
              <w:t>וב</w:t>
            </w:r>
            <w:r w:rsidR="00C87592">
              <w:rPr>
                <w:rFonts w:hint="cs"/>
                <w:rtl/>
              </w:rPr>
              <w:t>; עו"ד מרדכי מלול</w:t>
            </w:r>
          </w:p>
        </w:tc>
      </w:tr>
    </w:tbl>
    <w:p w:rsidR="00916FF8" w:rsidRDefault="00916FF8" w:rsidP="00C87592">
      <w:pPr>
        <w:pStyle w:val="BodyRuller"/>
        <w:rPr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5147"/>
      </w:tblGrid>
      <w:tr w:rsidR="00C87592" w:rsidTr="00702B75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C87592" w:rsidRDefault="00C87592" w:rsidP="00C87592">
            <w:pPr>
              <w:pStyle w:val="BodyRuller"/>
              <w:jc w:val="both"/>
            </w:pPr>
            <w:r w:rsidRPr="00C87592">
              <w:rPr>
                <w:rtl/>
              </w:rPr>
              <w:t>בשם המ</w:t>
            </w:r>
            <w:r w:rsidRPr="00C87592">
              <w:rPr>
                <w:rFonts w:hint="cs"/>
                <w:rtl/>
              </w:rPr>
              <w:t xml:space="preserve">ערערים בע"א 6882/21 ומשיבים 6-3 </w:t>
            </w:r>
            <w:proofErr w:type="spellStart"/>
            <w:r w:rsidRPr="00C87592">
              <w:rPr>
                <w:rFonts w:hint="cs"/>
                <w:rtl/>
              </w:rPr>
              <w:t>בע</w:t>
            </w:r>
            <w:proofErr w:type="spellEnd"/>
            <w:r w:rsidRPr="00C87592">
              <w:rPr>
                <w:rFonts w:hint="cs"/>
                <w:rtl/>
              </w:rPr>
              <w:t>''א 6074/21: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87592" w:rsidRDefault="00C87592" w:rsidP="00702B75">
            <w:pPr>
              <w:pStyle w:val="BodyRuller"/>
              <w:rPr>
                <w:rtl/>
              </w:rPr>
            </w:pPr>
          </w:p>
          <w:p w:rsidR="00C87592" w:rsidRDefault="00C87592" w:rsidP="00C87592">
            <w:pPr>
              <w:pStyle w:val="BodyRuller"/>
              <w:rPr>
                <w:rtl/>
              </w:rPr>
            </w:pPr>
          </w:p>
          <w:p w:rsidR="00C87592" w:rsidRDefault="00C87592" w:rsidP="00C87592">
            <w:pPr>
              <w:pStyle w:val="BodyRuller"/>
            </w:pPr>
            <w:r w:rsidRPr="00C87592">
              <w:rPr>
                <w:rtl/>
              </w:rPr>
              <w:t xml:space="preserve">עו"ד אורית קוך; </w:t>
            </w:r>
            <w:proofErr w:type="spellStart"/>
            <w:r w:rsidRPr="00C87592">
              <w:rPr>
                <w:rtl/>
              </w:rPr>
              <w:t>עו</w:t>
            </w:r>
            <w:proofErr w:type="spellEnd"/>
            <w:r w:rsidRPr="00C87592">
              <w:rPr>
                <w:rtl/>
              </w:rPr>
              <w:t>''ד שרון זיו; עו"ד חן שחרור</w:t>
            </w:r>
          </w:p>
        </w:tc>
      </w:tr>
    </w:tbl>
    <w:p w:rsidR="00C87592" w:rsidRDefault="00C87592" w:rsidP="00C87592">
      <w:pPr>
        <w:pStyle w:val="BodyRuller"/>
        <w:rPr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149"/>
      </w:tblGrid>
      <w:tr w:rsidR="00C87592" w:rsidTr="00702B75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C87592" w:rsidRDefault="00C87592" w:rsidP="00C87592">
            <w:pPr>
              <w:pStyle w:val="BodyRuller"/>
              <w:jc w:val="both"/>
            </w:pPr>
            <w:r w:rsidRPr="00C87592">
              <w:rPr>
                <w:rtl/>
              </w:rPr>
              <w:t xml:space="preserve">בשם </w:t>
            </w:r>
            <w:r w:rsidRPr="00C87592">
              <w:rPr>
                <w:rFonts w:hint="cs"/>
                <w:rtl/>
              </w:rPr>
              <w:t xml:space="preserve">משיבה 1 </w:t>
            </w:r>
            <w:proofErr w:type="spellStart"/>
            <w:r w:rsidRPr="00C87592">
              <w:rPr>
                <w:rFonts w:hint="cs"/>
                <w:rtl/>
              </w:rPr>
              <w:t>בע</w:t>
            </w:r>
            <w:proofErr w:type="spellEnd"/>
            <w:r w:rsidRPr="00C87592">
              <w:rPr>
                <w:rFonts w:hint="cs"/>
                <w:rtl/>
              </w:rPr>
              <w:t>''א 6074/21 ומשיבה 1 בע"א 6882/21: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C87592" w:rsidRDefault="00C87592" w:rsidP="00702B75">
            <w:pPr>
              <w:pStyle w:val="BodyRuller"/>
              <w:rPr>
                <w:rtl/>
              </w:rPr>
            </w:pPr>
          </w:p>
          <w:p w:rsidR="00C87592" w:rsidRDefault="00C87592" w:rsidP="00702B75">
            <w:pPr>
              <w:pStyle w:val="BodyRuller"/>
            </w:pPr>
            <w:r w:rsidRPr="00C87592">
              <w:rPr>
                <w:rFonts w:hint="cs"/>
                <w:rtl/>
              </w:rPr>
              <w:t xml:space="preserve">עו"ד עמנואל </w:t>
            </w:r>
            <w:proofErr w:type="spellStart"/>
            <w:r w:rsidRPr="00C87592">
              <w:rPr>
                <w:rFonts w:hint="cs"/>
                <w:rtl/>
              </w:rPr>
              <w:t>לינדר</w:t>
            </w:r>
            <w:proofErr w:type="spellEnd"/>
          </w:p>
        </w:tc>
      </w:tr>
    </w:tbl>
    <w:p w:rsidR="00916FF8" w:rsidRDefault="00916FF8">
      <w:pPr>
        <w:tabs>
          <w:tab w:val="left" w:pos="2552"/>
        </w:tabs>
        <w:rPr>
          <w:rFonts w:cs="FrankRuehl"/>
          <w:spacing w:val="10"/>
          <w:sz w:val="22"/>
          <w:szCs w:val="28"/>
          <w:rtl/>
        </w:rPr>
      </w:pPr>
    </w:p>
    <w:p w:rsidR="00C87592" w:rsidRDefault="00C87592">
      <w:pPr>
        <w:tabs>
          <w:tab w:val="left" w:pos="2552"/>
        </w:tabs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D00B1D">
        <w:tc>
          <w:tcPr>
            <w:tcW w:w="9837" w:type="dxa"/>
          </w:tcPr>
          <w:p w:rsidR="00916FF8" w:rsidRDefault="008F4F99">
            <w:pPr>
              <w:pStyle w:val="DocumentHead"/>
            </w:pPr>
            <w:bookmarkStart w:id="2" w:name="secretary"/>
            <w:bookmarkStart w:id="3" w:name="BeginProtocol"/>
            <w:bookmarkEnd w:id="2"/>
            <w:bookmarkEnd w:id="3"/>
            <w:r>
              <w:rPr>
                <w:rtl/>
              </w:rPr>
              <w:t>פסק-דין</w:t>
            </w:r>
          </w:p>
        </w:tc>
      </w:tr>
    </w:tbl>
    <w:p w:rsidR="0065522F" w:rsidRDefault="0065522F" w:rsidP="00C87592">
      <w:pPr>
        <w:pStyle w:val="Ruller4"/>
      </w:pPr>
    </w:p>
    <w:p w:rsidR="00016EF1" w:rsidRDefault="00C87592" w:rsidP="00C87592">
      <w:pPr>
        <w:pStyle w:val="Ruller4"/>
        <w:rPr>
          <w:rtl/>
        </w:rPr>
      </w:pPr>
      <w:bookmarkStart w:id="4" w:name="Writer_Name"/>
      <w:bookmarkEnd w:id="4"/>
      <w:r>
        <w:rPr>
          <w:rtl/>
        </w:rPr>
        <w:tab/>
      </w:r>
      <w:r w:rsidRPr="00C87592">
        <w:rPr>
          <w:rtl/>
        </w:rPr>
        <w:t>לא ראינו כל מקום להתערב בממצאי בית המשפט, לא לעניין המערער בע"א 6074/21 ולא לעניין המערערים בע"א 6882/21;</w:t>
      </w:r>
      <w:r>
        <w:rPr>
          <w:rtl/>
        </w:rPr>
        <w:t xml:space="preserve"> ואנו בוחרים להשתמש ב</w:t>
      </w:r>
      <w:r w:rsidRPr="00C87592">
        <w:rPr>
          <w:rtl/>
        </w:rPr>
        <w:t>ס</w:t>
      </w:r>
      <w:r>
        <w:rPr>
          <w:rFonts w:hint="cs"/>
          <w:rtl/>
        </w:rPr>
        <w:t>מ</w:t>
      </w:r>
      <w:r w:rsidRPr="00C87592">
        <w:rPr>
          <w:rtl/>
        </w:rPr>
        <w:t>כות הנתונה לנו בתקנה 148(ב) לתקנות סדר הדין האזרחי, התשע"ט-2018 ומורים על דחיית שני הערעורים. המערער בע"א 60</w:t>
      </w:r>
      <w:r>
        <w:rPr>
          <w:rFonts w:hint="cs"/>
          <w:rtl/>
        </w:rPr>
        <w:t>7</w:t>
      </w:r>
      <w:r w:rsidRPr="00C87592">
        <w:rPr>
          <w:rtl/>
        </w:rPr>
        <w:t>4/21 והמערערים בע"א 6882/21 (יחדיו) יישאו כל אחד מהם</w:t>
      </w:r>
      <w:r>
        <w:rPr>
          <w:rtl/>
        </w:rPr>
        <w:t xml:space="preserve"> בהוצאות המדינה בסך של 15,000 </w:t>
      </w:r>
      <w:r>
        <w:rPr>
          <w:rFonts w:hint="cs"/>
          <w:rtl/>
        </w:rPr>
        <w:t xml:space="preserve">ש"ח. </w:t>
      </w:r>
    </w:p>
    <w:p w:rsidR="00C87592" w:rsidRDefault="00C87592" w:rsidP="00C87592">
      <w:pPr>
        <w:pStyle w:val="Ruller4"/>
        <w:rPr>
          <w:rtl/>
        </w:rPr>
      </w:pPr>
    </w:p>
    <w:p w:rsidR="00C87592" w:rsidRDefault="00C87592" w:rsidP="00C87592">
      <w:pPr>
        <w:pStyle w:val="Ruller4"/>
        <w:rPr>
          <w:rtl/>
        </w:rPr>
      </w:pPr>
      <w:r>
        <w:rPr>
          <w:rtl/>
        </w:rPr>
        <w:tab/>
        <w:t xml:space="preserve">ניתן היום, </w:t>
      </w:r>
      <w:r>
        <w:rPr>
          <w:rFonts w:hint="eastAsia"/>
          <w:rtl/>
        </w:rPr>
        <w:t>‏כ</w:t>
      </w:r>
      <w:r>
        <w:rPr>
          <w:rtl/>
        </w:rPr>
        <w:t xml:space="preserve">"ד באייר </w:t>
      </w:r>
      <w:proofErr w:type="spellStart"/>
      <w:r>
        <w:rPr>
          <w:rtl/>
        </w:rPr>
        <w:t>התשפ"ג</w:t>
      </w:r>
      <w:proofErr w:type="spellEnd"/>
      <w:r>
        <w:rPr>
          <w:rtl/>
        </w:rPr>
        <w:t xml:space="preserve"> (</w:t>
      </w:r>
      <w:r>
        <w:rPr>
          <w:rFonts w:hint="eastAsia"/>
          <w:rtl/>
        </w:rPr>
        <w:t>‏</w:t>
      </w:r>
      <w:r>
        <w:rPr>
          <w:rtl/>
        </w:rPr>
        <w:t>15.5.2023).</w:t>
      </w:r>
    </w:p>
    <w:p w:rsidR="00C87592" w:rsidRDefault="00C87592" w:rsidP="00C87592">
      <w:pPr>
        <w:pStyle w:val="Ruller4"/>
        <w:rPr>
          <w:rtl/>
        </w:rPr>
      </w:pPr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87"/>
        <w:gridCol w:w="2788"/>
        <w:gridCol w:w="2788"/>
      </w:tblGrid>
      <w:tr w:rsidR="001A0164" w:rsidTr="00D00B1D">
        <w:tc>
          <w:tcPr>
            <w:tcW w:w="2842" w:type="dxa"/>
            <w:shd w:val="clear" w:color="auto" w:fill="auto"/>
          </w:tcPr>
          <w:p w:rsidR="00016EF1" w:rsidRDefault="008F4F99" w:rsidP="00A51FAE">
            <w:pPr>
              <w:pStyle w:val="Ruller4"/>
              <w:rPr>
                <w:rtl/>
              </w:rPr>
            </w:pPr>
            <w:r>
              <w:rPr>
                <w:rtl/>
              </w:rPr>
              <w:t>ש ו פ ט</w:t>
            </w:r>
          </w:p>
        </w:tc>
        <w:tc>
          <w:tcPr>
            <w:tcW w:w="2843" w:type="dxa"/>
            <w:shd w:val="clear" w:color="auto" w:fill="auto"/>
          </w:tcPr>
          <w:p w:rsidR="001A0164" w:rsidRDefault="008F4F99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 ת</w:t>
            </w:r>
          </w:p>
        </w:tc>
        <w:tc>
          <w:tcPr>
            <w:tcW w:w="2843" w:type="dxa"/>
            <w:shd w:val="clear" w:color="auto" w:fill="auto"/>
          </w:tcPr>
          <w:p w:rsidR="001A0164" w:rsidRDefault="008F4F99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</w:tr>
    </w:tbl>
    <w:p w:rsidR="00044953" w:rsidRDefault="00044953" w:rsidP="00A51FAE">
      <w:pPr>
        <w:pStyle w:val="Ruller4"/>
        <w:rPr>
          <w:rtl/>
        </w:rPr>
      </w:pPr>
    </w:p>
    <w:p w:rsidR="00916FF8" w:rsidRDefault="00916FF8">
      <w:pPr>
        <w:rPr>
          <w:szCs w:val="16"/>
          <w:rtl/>
        </w:rPr>
      </w:pPr>
      <w:r>
        <w:rPr>
          <w:szCs w:val="16"/>
          <w:rtl/>
        </w:rPr>
        <w:t>_________________</w:t>
      </w:r>
      <w:r w:rsidR="00A12E0F">
        <w:rPr>
          <w:rFonts w:hint="cs"/>
          <w:szCs w:val="16"/>
          <w:rtl/>
        </w:rPr>
        <w:t>________</w:t>
      </w:r>
    </w:p>
    <w:p w:rsidR="00916FF8" w:rsidRDefault="00591983" w:rsidP="00B009CC">
      <w:pPr>
        <w:pStyle w:val="Ruller38"/>
        <w:rPr>
          <w:rtl/>
        </w:rPr>
      </w:pPr>
      <w:r>
        <w:rPr>
          <w:sz w:val="16"/>
        </w:rPr>
        <w:t xml:space="preserve"> </w:t>
      </w:r>
      <w:r w:rsidR="00A12E0F">
        <w:rPr>
          <w:sz w:val="16"/>
        </w:rPr>
        <w:t xml:space="preserve">  </w:t>
      </w:r>
      <w:r w:rsidR="008F4F99">
        <w:rPr>
          <w:sz w:val="16"/>
        </w:rPr>
        <w:t xml:space="preserve">21060740_N20.docx   </w:t>
      </w:r>
      <w:proofErr w:type="spellStart"/>
      <w:r w:rsidR="008F4F99">
        <w:rPr>
          <w:sz w:val="16"/>
          <w:rtl/>
        </w:rPr>
        <w:t>מע</w:t>
      </w:r>
      <w:proofErr w:type="spellEnd"/>
    </w:p>
    <w:p w:rsidR="00591983" w:rsidRPr="00FC0252" w:rsidRDefault="00591983" w:rsidP="00FC0252"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</w:t>
      </w:r>
      <w:r w:rsidR="00B63343">
        <w:rPr>
          <w:rFonts w:hint="cs"/>
          <w:rtl/>
        </w:rPr>
        <w:t>077</w:t>
      </w:r>
      <w:r>
        <w:rPr>
          <w:rFonts w:hint="cs"/>
          <w:rtl/>
        </w:rPr>
        <w:t>-</w:t>
      </w:r>
      <w:r w:rsidR="00B63343">
        <w:rPr>
          <w:rFonts w:hint="cs"/>
          <w:rtl/>
        </w:rPr>
        <w:t>270</w:t>
      </w:r>
      <w:r w:rsidR="00E21CA9">
        <w:rPr>
          <w:rFonts w:hint="cs"/>
          <w:rtl/>
        </w:rPr>
        <w:t>3</w:t>
      </w:r>
      <w:r w:rsidR="009B38DA">
        <w:rPr>
          <w:rFonts w:hint="cs"/>
          <w:rtl/>
        </w:rPr>
        <w:t>333</w:t>
      </w:r>
      <w:r w:rsidR="00866D0F">
        <w:rPr>
          <w:rFonts w:hint="cs"/>
          <w:rtl/>
        </w:rPr>
        <w:t>, 3852*</w:t>
      </w:r>
      <w:r>
        <w:rPr>
          <w:rFonts w:hint="cs"/>
          <w:rtl/>
        </w:rPr>
        <w:t xml:space="preserve"> ; אתר אינטרנט,  </w:t>
      </w:r>
      <w:hyperlink r:id="rId8" w:history="1">
        <w:r w:rsidR="00FC0252" w:rsidRPr="00BB4C68">
          <w:rPr>
            <w:rStyle w:val="Hyperlink"/>
            <w:sz w:val="16"/>
          </w:rPr>
          <w:t>https://supreme.court.gov.il</w:t>
        </w:r>
      </w:hyperlink>
    </w:p>
    <w:p w:rsidR="003F1F97" w:rsidRDefault="003F1F97" w:rsidP="00591983">
      <w:pPr>
        <w:pStyle w:val="Ruller38"/>
        <w:rPr>
          <w:rtl/>
        </w:rPr>
      </w:pPr>
    </w:p>
    <w:sectPr w:rsidR="003F1F97" w:rsidSect="0059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134" w:right="1797" w:bottom="1440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12" w:rsidRDefault="007F7512">
      <w:r>
        <w:separator/>
      </w:r>
    </w:p>
  </w:endnote>
  <w:endnote w:type="continuationSeparator" w:id="0">
    <w:p w:rsidR="007F7512" w:rsidRDefault="007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altName w:val="Arial"/>
    <w:charset w:val="00"/>
    <w:family w:val="swiss"/>
    <w:pitch w:val="variable"/>
    <w:sig w:usb0="E0002EFF" w:usb1="C000785B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3"/>
      <w:rPr>
        <w:rtl/>
      </w:rPr>
    </w:pPr>
  </w:p>
  <w:p w:rsidR="00377102" w:rsidRDefault="003771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99" w:rsidRDefault="008F4F9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4D" w:rsidRPr="00F959DB" w:rsidRDefault="00045B4D" w:rsidP="00914156">
    <w:pPr>
      <w:pStyle w:val="a3"/>
      <w:bidi w:val="0"/>
      <w:jc w:val="right"/>
      <w:rPr>
        <w:sz w:val="16"/>
        <w:szCs w:val="16"/>
      </w:rPr>
    </w:pPr>
    <w:bookmarkStart w:id="5" w:name="footer_line"/>
    <w:bookmarkEnd w:id="5"/>
  </w:p>
  <w:p w:rsidR="00045B4D" w:rsidRDefault="00045B4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12" w:rsidRDefault="007F7512">
      <w:r>
        <w:separator/>
      </w:r>
    </w:p>
  </w:footnote>
  <w:footnote w:type="continuationSeparator" w:id="0">
    <w:p w:rsidR="007F7512" w:rsidRDefault="007F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20D3C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 w:rsidR="00045B4D" w:rsidTr="00EC23AC">
      <w:trPr>
        <w:trHeight w:val="342"/>
      </w:trPr>
      <w:tc>
        <w:tcPr>
          <w:tcW w:w="9828" w:type="dxa"/>
        </w:tcPr>
        <w:p w:rsidR="00377102" w:rsidRPr="002F7BB6" w:rsidRDefault="00EE3810" w:rsidP="00045B4D">
          <w:pPr>
            <w:pStyle w:val="Casenameintextbody"/>
            <w:jc w:val="center"/>
            <w:rPr>
              <w:u w:val="none"/>
              <w:rtl/>
            </w:rPr>
          </w:pPr>
          <w:r w:rsidRPr="002F7BB6"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B4D" w:rsidRDefault="00045B4D" w:rsidP="00045B4D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7"/>
    <w:rsid w:val="00016EF1"/>
    <w:rsid w:val="00032036"/>
    <w:rsid w:val="00036227"/>
    <w:rsid w:val="00044953"/>
    <w:rsid w:val="00045B4D"/>
    <w:rsid w:val="000725F5"/>
    <w:rsid w:val="00072AD2"/>
    <w:rsid w:val="000B1478"/>
    <w:rsid w:val="000C4690"/>
    <w:rsid w:val="000D25C4"/>
    <w:rsid w:val="00134A67"/>
    <w:rsid w:val="001A0164"/>
    <w:rsid w:val="00200D6B"/>
    <w:rsid w:val="00265F6E"/>
    <w:rsid w:val="002876BF"/>
    <w:rsid w:val="002A4A7A"/>
    <w:rsid w:val="002A4BF3"/>
    <w:rsid w:val="002F7BB6"/>
    <w:rsid w:val="003448B2"/>
    <w:rsid w:val="00361DB2"/>
    <w:rsid w:val="0037622E"/>
    <w:rsid w:val="00377102"/>
    <w:rsid w:val="0039709B"/>
    <w:rsid w:val="003D72DA"/>
    <w:rsid w:val="003F1F97"/>
    <w:rsid w:val="0041048F"/>
    <w:rsid w:val="00437D59"/>
    <w:rsid w:val="004610A4"/>
    <w:rsid w:val="004B29FF"/>
    <w:rsid w:val="004C7868"/>
    <w:rsid w:val="00503A3E"/>
    <w:rsid w:val="00527F02"/>
    <w:rsid w:val="005803E2"/>
    <w:rsid w:val="0058440A"/>
    <w:rsid w:val="00591983"/>
    <w:rsid w:val="00624A42"/>
    <w:rsid w:val="0065522F"/>
    <w:rsid w:val="006A30F7"/>
    <w:rsid w:val="006C42AD"/>
    <w:rsid w:val="00725345"/>
    <w:rsid w:val="00741CC0"/>
    <w:rsid w:val="007B512F"/>
    <w:rsid w:val="007F7512"/>
    <w:rsid w:val="00810894"/>
    <w:rsid w:val="008143AB"/>
    <w:rsid w:val="0083345F"/>
    <w:rsid w:val="00836667"/>
    <w:rsid w:val="00866D0F"/>
    <w:rsid w:val="008C2F11"/>
    <w:rsid w:val="008D78B9"/>
    <w:rsid w:val="008E3F85"/>
    <w:rsid w:val="008F4F99"/>
    <w:rsid w:val="009051E8"/>
    <w:rsid w:val="00914156"/>
    <w:rsid w:val="00916FF8"/>
    <w:rsid w:val="00922093"/>
    <w:rsid w:val="00930C85"/>
    <w:rsid w:val="009B38DA"/>
    <w:rsid w:val="009E7A04"/>
    <w:rsid w:val="009F2F53"/>
    <w:rsid w:val="009F4187"/>
    <w:rsid w:val="00A12E0F"/>
    <w:rsid w:val="00A51FAE"/>
    <w:rsid w:val="00A80845"/>
    <w:rsid w:val="00AB69F7"/>
    <w:rsid w:val="00AD097B"/>
    <w:rsid w:val="00AD64B9"/>
    <w:rsid w:val="00AE022B"/>
    <w:rsid w:val="00B009CC"/>
    <w:rsid w:val="00B0782A"/>
    <w:rsid w:val="00B62B8C"/>
    <w:rsid w:val="00B63343"/>
    <w:rsid w:val="00B87FF7"/>
    <w:rsid w:val="00BA0B08"/>
    <w:rsid w:val="00BA7B80"/>
    <w:rsid w:val="00BC0E82"/>
    <w:rsid w:val="00BD40F9"/>
    <w:rsid w:val="00C41C86"/>
    <w:rsid w:val="00C63A6C"/>
    <w:rsid w:val="00C87592"/>
    <w:rsid w:val="00CA13AF"/>
    <w:rsid w:val="00CA1444"/>
    <w:rsid w:val="00CB1590"/>
    <w:rsid w:val="00CB7600"/>
    <w:rsid w:val="00CC0E9D"/>
    <w:rsid w:val="00CC3639"/>
    <w:rsid w:val="00D00B1D"/>
    <w:rsid w:val="00D00CB7"/>
    <w:rsid w:val="00D20B6D"/>
    <w:rsid w:val="00D25F16"/>
    <w:rsid w:val="00E21CA9"/>
    <w:rsid w:val="00E31063"/>
    <w:rsid w:val="00E36FE9"/>
    <w:rsid w:val="00E6527A"/>
    <w:rsid w:val="00E73E98"/>
    <w:rsid w:val="00E75223"/>
    <w:rsid w:val="00E90D72"/>
    <w:rsid w:val="00EA0BE1"/>
    <w:rsid w:val="00EC23AC"/>
    <w:rsid w:val="00EC2992"/>
    <w:rsid w:val="00ED46A4"/>
    <w:rsid w:val="00ED6FD9"/>
    <w:rsid w:val="00EE3810"/>
    <w:rsid w:val="00F20D3C"/>
    <w:rsid w:val="00F63C3B"/>
    <w:rsid w:val="00F959DB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9D202-969E-41B9-AFF5-CA7D0310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rsid w:val="00A51FAE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rsid w:val="00A51FAE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rsid w:val="00A51FAE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rsid w:val="00A51FAE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rsid w:val="004C7868"/>
    <w:pPr>
      <w:jc w:val="left"/>
    </w:pPr>
    <w:rPr>
      <w:szCs w:val="28"/>
    </w:rPr>
  </w:style>
  <w:style w:type="paragraph" w:customStyle="1" w:styleId="BODYVERDICT">
    <w:name w:val="BODY VERDICT"/>
    <w:basedOn w:val="a"/>
    <w:rsid w:val="00036227"/>
    <w:rPr>
      <w:rFonts w:cs="FrankRuehl"/>
      <w:spacing w:val="10"/>
      <w:sz w:val="22"/>
      <w:szCs w:val="28"/>
    </w:rPr>
  </w:style>
  <w:style w:type="character" w:styleId="Hyperlink">
    <w:name w:val="Hyperlink"/>
    <w:rsid w:val="003F1F97"/>
    <w:rPr>
      <w:color w:val="0000FF"/>
      <w:u w:val="single"/>
    </w:rPr>
  </w:style>
  <w:style w:type="table" w:styleId="a6">
    <w:name w:val="Table Grid"/>
    <w:basedOn w:val="a1"/>
    <w:rsid w:val="003F1F9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58440A"/>
    <w:rPr>
      <w:color w:val="954F72" w:themeColor="followedHyperlink"/>
      <w:u w:val="single"/>
    </w:rPr>
  </w:style>
  <w:style w:type="character" w:styleId="a7">
    <w:name w:val="annotation reference"/>
    <w:basedOn w:val="a0"/>
    <w:rsid w:val="00D00B1D"/>
    <w:rPr>
      <w:sz w:val="16"/>
      <w:szCs w:val="16"/>
    </w:rPr>
  </w:style>
  <w:style w:type="paragraph" w:styleId="a8">
    <w:name w:val="annotation text"/>
    <w:basedOn w:val="a"/>
    <w:link w:val="a9"/>
    <w:rsid w:val="00D00B1D"/>
    <w:rPr>
      <w:szCs w:val="20"/>
    </w:rPr>
  </w:style>
  <w:style w:type="character" w:customStyle="1" w:styleId="a9">
    <w:name w:val="טקסט הערה תו"/>
    <w:basedOn w:val="a0"/>
    <w:link w:val="a8"/>
    <w:rsid w:val="00D00B1D"/>
    <w:rPr>
      <w:rFonts w:cs="David"/>
    </w:rPr>
  </w:style>
  <w:style w:type="paragraph" w:styleId="aa">
    <w:name w:val="annotation subject"/>
    <w:basedOn w:val="a8"/>
    <w:next w:val="a8"/>
    <w:link w:val="ab"/>
    <w:rsid w:val="00D00B1D"/>
    <w:rPr>
      <w:b/>
      <w:bCs/>
    </w:rPr>
  </w:style>
  <w:style w:type="character" w:customStyle="1" w:styleId="ab">
    <w:name w:val="נושא הערה תו"/>
    <w:basedOn w:val="a9"/>
    <w:link w:val="aa"/>
    <w:rsid w:val="00D00B1D"/>
    <w:rPr>
      <w:rFonts w:cs="David"/>
      <w:b/>
      <w:bCs/>
    </w:rPr>
  </w:style>
  <w:style w:type="paragraph" w:styleId="ac">
    <w:name w:val="Balloon Text"/>
    <w:basedOn w:val="a"/>
    <w:link w:val="ad"/>
    <w:rsid w:val="00D00B1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sid w:val="00D00B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1679</Characters>
  <Application>Microsoft Office Word</Application>
  <DocSecurity>0</DocSecurity>
  <Lines>119</Lines>
  <Paragraphs>64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2023-05-15T07:48:14Z</cp:lastPrinted>
  <dcterms:created xsi:type="dcterms:W3CDTF">2023-05-15T07:48:14Z</dcterms:created>
  <dcterms:modified xsi:type="dcterms:W3CDTF">2023-05-15T07:48:14Z</dcterms:modified>
</cp:coreProperties>
</file>