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3C1978"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3C1978">
            <w:pPr>
              <w:pStyle w:val="FileNumber"/>
              <w:rPr>
                <w:sz w:val="28"/>
                <w:szCs w:val="28"/>
              </w:rPr>
            </w:pPr>
            <w:bookmarkStart w:id="0" w:name="casename_body"/>
            <w:r>
              <w:rPr>
                <w:sz w:val="28"/>
                <w:szCs w:val="28"/>
                <w:rtl/>
              </w:rPr>
              <w:t>ע"א  7719/21</w:t>
            </w:r>
          </w:p>
        </w:tc>
      </w:tr>
      <w:tr w:rsidR="003C1978" w:rsidTr="0039709B">
        <w:trPr>
          <w:trHeight w:val="342"/>
        </w:trPr>
        <w:tc>
          <w:tcPr>
            <w:tcW w:w="9828" w:type="dxa"/>
          </w:tcPr>
          <w:p w:rsidR="003C1978" w:rsidRPr="00810894" w:rsidRDefault="003C1978">
            <w:pPr>
              <w:pStyle w:val="FileNumber"/>
              <w:rPr>
                <w:sz w:val="28"/>
                <w:szCs w:val="28"/>
              </w:rPr>
            </w:pPr>
            <w:r>
              <w:rPr>
                <w:sz w:val="28"/>
                <w:szCs w:val="28"/>
                <w:rtl/>
              </w:rPr>
              <w:t>ע"א  7722/21</w:t>
            </w:r>
          </w:p>
        </w:tc>
      </w:tr>
      <w:tr w:rsidR="003C1978" w:rsidTr="0039709B">
        <w:trPr>
          <w:trHeight w:val="342"/>
        </w:trPr>
        <w:tc>
          <w:tcPr>
            <w:tcW w:w="9828" w:type="dxa"/>
          </w:tcPr>
          <w:p w:rsidR="003C1978" w:rsidRDefault="003C1978">
            <w:pPr>
              <w:pStyle w:val="FileNumber"/>
              <w:rPr>
                <w:sz w:val="28"/>
                <w:szCs w:val="28"/>
                <w:rtl/>
              </w:rPr>
            </w:pPr>
            <w:r>
              <w:rPr>
                <w:sz w:val="28"/>
                <w:szCs w:val="28"/>
                <w:rtl/>
              </w:rPr>
              <w:t>ע"א  7730/21</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3C1978">
            <w:pPr>
              <w:pStyle w:val="BodyRuller"/>
            </w:pPr>
            <w:r>
              <w:rPr>
                <w:rtl/>
              </w:rPr>
              <w:t>כבוד השופט י' עמית</w:t>
            </w:r>
          </w:p>
        </w:tc>
      </w:tr>
      <w:tr w:rsidR="003C1978" w:rsidTr="00EC23AC">
        <w:trPr>
          <w:trHeight w:val="287"/>
        </w:trPr>
        <w:tc>
          <w:tcPr>
            <w:tcW w:w="3261" w:type="dxa"/>
          </w:tcPr>
          <w:p w:rsidR="003C1978" w:rsidRDefault="003C1978">
            <w:pPr>
              <w:pStyle w:val="BodyRuller"/>
              <w:rPr>
                <w:rtl/>
              </w:rPr>
            </w:pPr>
          </w:p>
        </w:tc>
        <w:tc>
          <w:tcPr>
            <w:tcW w:w="5239" w:type="dxa"/>
          </w:tcPr>
          <w:p w:rsidR="003C1978" w:rsidRDefault="003C1978">
            <w:pPr>
              <w:pStyle w:val="BodyRuller"/>
              <w:rPr>
                <w:rtl/>
              </w:rPr>
            </w:pPr>
            <w:r>
              <w:rPr>
                <w:rtl/>
              </w:rPr>
              <w:t>כבוד השופט א' שטיין</w:t>
            </w:r>
          </w:p>
        </w:tc>
      </w:tr>
      <w:tr w:rsidR="003C1978" w:rsidTr="00EC23AC">
        <w:trPr>
          <w:trHeight w:val="287"/>
        </w:trPr>
        <w:tc>
          <w:tcPr>
            <w:tcW w:w="3261" w:type="dxa"/>
          </w:tcPr>
          <w:p w:rsidR="003C1978" w:rsidRDefault="003C1978">
            <w:pPr>
              <w:pStyle w:val="BodyRuller"/>
              <w:rPr>
                <w:rtl/>
              </w:rPr>
            </w:pPr>
          </w:p>
        </w:tc>
        <w:tc>
          <w:tcPr>
            <w:tcW w:w="5239" w:type="dxa"/>
          </w:tcPr>
          <w:p w:rsidR="003C1978" w:rsidRDefault="003C1978">
            <w:pPr>
              <w:pStyle w:val="BodyRuller"/>
              <w:rPr>
                <w:rtl/>
              </w:rPr>
            </w:pPr>
            <w:r>
              <w:rPr>
                <w:rtl/>
              </w:rPr>
              <w:t>כבוד השופט ח' כבוב</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F9692E" w:rsidTr="00F9692E">
        <w:trPr>
          <w:trHeight w:val="287"/>
        </w:trPr>
        <w:tc>
          <w:tcPr>
            <w:tcW w:w="3210" w:type="dxa"/>
          </w:tcPr>
          <w:p w:rsidR="00F9692E" w:rsidRPr="00E75223" w:rsidRDefault="00F9692E" w:rsidP="00F00127">
            <w:pPr>
              <w:pStyle w:val="BodyRuller"/>
              <w:rPr>
                <w:rFonts w:ascii="David" w:hAnsi="David"/>
              </w:rPr>
            </w:pPr>
            <w:r>
              <w:rPr>
                <w:rFonts w:ascii="David" w:hAnsi="David"/>
                <w:rtl/>
              </w:rPr>
              <w:t>המערער</w:t>
            </w:r>
            <w:r>
              <w:rPr>
                <w:rFonts w:ascii="David" w:hAnsi="David" w:hint="cs"/>
                <w:rtl/>
              </w:rPr>
              <w:t xml:space="preserve"> בע"א 7719/21</w:t>
            </w:r>
            <w:r>
              <w:rPr>
                <w:rFonts w:ascii="David" w:hAnsi="David"/>
                <w:rtl/>
              </w:rPr>
              <w:t>:</w:t>
            </w:r>
          </w:p>
        </w:tc>
        <w:tc>
          <w:tcPr>
            <w:tcW w:w="5154" w:type="dxa"/>
          </w:tcPr>
          <w:p w:rsidR="00F9692E" w:rsidRDefault="00F9692E" w:rsidP="00F00127">
            <w:pPr>
              <w:pStyle w:val="BodyRuller"/>
              <w:rPr>
                <w:rtl/>
              </w:rPr>
            </w:pPr>
            <w:r>
              <w:rPr>
                <w:rtl/>
              </w:rPr>
              <w:t xml:space="preserve">סאלח </w:t>
            </w:r>
            <w:proofErr w:type="spellStart"/>
            <w:r>
              <w:rPr>
                <w:rtl/>
              </w:rPr>
              <w:t>חסארמה</w:t>
            </w:r>
            <w:proofErr w:type="spellEnd"/>
          </w:p>
          <w:p w:rsidR="00F9692E" w:rsidRDefault="00F9692E" w:rsidP="00F00127">
            <w:pPr>
              <w:pStyle w:val="BodyRuller"/>
            </w:pPr>
          </w:p>
        </w:tc>
      </w:tr>
      <w:tr w:rsidR="00D00CB7" w:rsidTr="00F9692E">
        <w:trPr>
          <w:trHeight w:val="287"/>
        </w:trPr>
        <w:tc>
          <w:tcPr>
            <w:tcW w:w="3210" w:type="dxa"/>
          </w:tcPr>
          <w:p w:rsidR="00D00CB7" w:rsidRPr="00E75223" w:rsidRDefault="003C1978" w:rsidP="00F00127">
            <w:pPr>
              <w:pStyle w:val="BodyRuller"/>
              <w:rPr>
                <w:rFonts w:ascii="David" w:hAnsi="David"/>
              </w:rPr>
            </w:pPr>
            <w:r>
              <w:rPr>
                <w:rFonts w:ascii="David" w:hAnsi="David"/>
                <w:rtl/>
              </w:rPr>
              <w:t>המערער</w:t>
            </w:r>
            <w:r w:rsidR="00F9692E">
              <w:rPr>
                <w:rFonts w:ascii="David" w:hAnsi="David" w:hint="cs"/>
                <w:rtl/>
              </w:rPr>
              <w:t>ת בע"א 7722/21</w:t>
            </w:r>
            <w:r>
              <w:rPr>
                <w:rFonts w:ascii="David" w:hAnsi="David"/>
                <w:rtl/>
              </w:rPr>
              <w:t>:</w:t>
            </w:r>
          </w:p>
        </w:tc>
        <w:tc>
          <w:tcPr>
            <w:tcW w:w="5154" w:type="dxa"/>
          </w:tcPr>
          <w:p w:rsidR="00F9692E" w:rsidRDefault="00F9692E" w:rsidP="00F00127">
            <w:pPr>
              <w:pStyle w:val="BodyRuller"/>
            </w:pPr>
            <w:r>
              <w:rPr>
                <w:rFonts w:hint="cs"/>
                <w:rtl/>
              </w:rPr>
              <w:t xml:space="preserve">איתוראן ספורט </w:t>
            </w:r>
            <w:proofErr w:type="spellStart"/>
            <w:r>
              <w:rPr>
                <w:rFonts w:hint="cs"/>
                <w:rtl/>
              </w:rPr>
              <w:t>קרית</w:t>
            </w:r>
            <w:proofErr w:type="spellEnd"/>
            <w:r>
              <w:rPr>
                <w:rFonts w:hint="cs"/>
                <w:rtl/>
              </w:rPr>
              <w:t xml:space="preserve"> שמונה (2001) בע"מ</w:t>
            </w:r>
          </w:p>
        </w:tc>
      </w:tr>
    </w:tbl>
    <w:p w:rsidR="00D00CB7" w:rsidRPr="00F9692E" w:rsidRDefault="00D00CB7" w:rsidP="00F00127">
      <w:pPr>
        <w:pStyle w:val="Ruller3"/>
        <w:spacing w:line="240" w:lineRule="auto"/>
        <w:rPr>
          <w:rtl/>
        </w:rPr>
      </w:pPr>
    </w:p>
    <w:tbl>
      <w:tblPr>
        <w:bidiVisual/>
        <w:tblW w:w="8364" w:type="dxa"/>
        <w:tblLook w:val="0000" w:firstRow="0" w:lastRow="0" w:firstColumn="0" w:lastColumn="0" w:noHBand="0" w:noVBand="0"/>
      </w:tblPr>
      <w:tblGrid>
        <w:gridCol w:w="3210"/>
        <w:gridCol w:w="12"/>
        <w:gridCol w:w="5142"/>
      </w:tblGrid>
      <w:tr w:rsidR="00F9692E" w:rsidTr="00F9692E">
        <w:tc>
          <w:tcPr>
            <w:tcW w:w="3222" w:type="dxa"/>
            <w:gridSpan w:val="2"/>
          </w:tcPr>
          <w:p w:rsidR="00F9692E" w:rsidRPr="00F9692E" w:rsidRDefault="00F9692E" w:rsidP="00F00127">
            <w:pPr>
              <w:pStyle w:val="BodyRuller"/>
            </w:pPr>
            <w:r w:rsidRPr="00F9692E">
              <w:rPr>
                <w:rtl/>
              </w:rPr>
              <w:t>המערער</w:t>
            </w:r>
            <w:r w:rsidRPr="00F9692E">
              <w:rPr>
                <w:rFonts w:hint="cs"/>
                <w:rtl/>
              </w:rPr>
              <w:t xml:space="preserve"> בע"א 77</w:t>
            </w:r>
            <w:r>
              <w:rPr>
                <w:rFonts w:hint="cs"/>
                <w:rtl/>
              </w:rPr>
              <w:t>30</w:t>
            </w:r>
            <w:r w:rsidRPr="00F9692E">
              <w:rPr>
                <w:rFonts w:hint="cs"/>
                <w:rtl/>
              </w:rPr>
              <w:t>/21</w:t>
            </w:r>
            <w:r w:rsidRPr="00F9692E">
              <w:rPr>
                <w:rtl/>
              </w:rPr>
              <w:t>:</w:t>
            </w:r>
          </w:p>
        </w:tc>
        <w:tc>
          <w:tcPr>
            <w:tcW w:w="5141" w:type="dxa"/>
          </w:tcPr>
          <w:p w:rsidR="00F9692E" w:rsidRDefault="00F9692E" w:rsidP="00F00127">
            <w:pPr>
              <w:pStyle w:val="BodyRuller"/>
              <w:rPr>
                <w:rtl/>
              </w:rPr>
            </w:pPr>
            <w:r>
              <w:rPr>
                <w:rFonts w:hint="cs"/>
                <w:rtl/>
              </w:rPr>
              <w:t xml:space="preserve">אחמד </w:t>
            </w:r>
            <w:proofErr w:type="spellStart"/>
            <w:r>
              <w:rPr>
                <w:rFonts w:hint="cs"/>
                <w:rtl/>
              </w:rPr>
              <w:t>עאבד</w:t>
            </w:r>
            <w:proofErr w:type="spellEnd"/>
          </w:p>
          <w:p w:rsidR="00F9692E" w:rsidRDefault="00F9692E" w:rsidP="00F00127">
            <w:pPr>
              <w:pStyle w:val="BodyRuller"/>
            </w:pPr>
          </w:p>
        </w:tc>
      </w:tr>
      <w:tr w:rsidR="00036227" w:rsidTr="00F9692E">
        <w:tc>
          <w:tcPr>
            <w:tcW w:w="3222" w:type="dxa"/>
            <w:gridSpan w:val="2"/>
          </w:tcPr>
          <w:p w:rsidR="00036227" w:rsidRDefault="00036227" w:rsidP="00F00127">
            <w:pPr>
              <w:pStyle w:val="BodyRuller"/>
              <w:rPr>
                <w:rtl/>
              </w:rPr>
            </w:pPr>
          </w:p>
          <w:p w:rsidR="00F9692E" w:rsidRDefault="00F9692E" w:rsidP="00F00127">
            <w:pPr>
              <w:pStyle w:val="BodyRuller"/>
              <w:rPr>
                <w:rtl/>
              </w:rPr>
            </w:pPr>
          </w:p>
          <w:p w:rsidR="00F9692E" w:rsidRDefault="00F9692E" w:rsidP="00F00127">
            <w:pPr>
              <w:pStyle w:val="BodyRuller"/>
            </w:pPr>
          </w:p>
        </w:tc>
        <w:tc>
          <w:tcPr>
            <w:tcW w:w="5141" w:type="dxa"/>
          </w:tcPr>
          <w:p w:rsidR="00036227" w:rsidRDefault="00036227" w:rsidP="00F00127">
            <w:pPr>
              <w:pStyle w:val="BodyRuller"/>
            </w:pPr>
            <w:r>
              <w:rPr>
                <w:rFonts w:hint="cs"/>
                <w:rtl/>
              </w:rPr>
              <w:t>נ</w:t>
            </w:r>
            <w:r>
              <w:t xml:space="preserve">  </w:t>
            </w:r>
            <w:r>
              <w:rPr>
                <w:rFonts w:hint="cs"/>
                <w:rtl/>
              </w:rPr>
              <w:t>ג</w:t>
            </w:r>
            <w:r>
              <w:t xml:space="preserve">  </w:t>
            </w:r>
            <w:r>
              <w:rPr>
                <w:rFonts w:hint="cs"/>
                <w:rtl/>
              </w:rPr>
              <w:t>ד</w:t>
            </w:r>
          </w:p>
        </w:tc>
      </w:tr>
      <w:tr w:rsidR="0083345F" w:rsidTr="00F9692E">
        <w:trPr>
          <w:trHeight w:val="287"/>
        </w:trPr>
        <w:tc>
          <w:tcPr>
            <w:tcW w:w="3210" w:type="dxa"/>
          </w:tcPr>
          <w:p w:rsidR="0083345F" w:rsidRPr="00E75223" w:rsidRDefault="003C1978" w:rsidP="00F00127">
            <w:pPr>
              <w:pStyle w:val="BodyRuller"/>
              <w:rPr>
                <w:rFonts w:ascii="David" w:hAnsi="David"/>
              </w:rPr>
            </w:pPr>
            <w:r>
              <w:rPr>
                <w:rFonts w:ascii="David" w:hAnsi="David"/>
                <w:rtl/>
              </w:rPr>
              <w:t>המשיב</w:t>
            </w:r>
            <w:r w:rsidR="00F9692E">
              <w:rPr>
                <w:rFonts w:ascii="David" w:hAnsi="David" w:hint="cs"/>
                <w:rtl/>
              </w:rPr>
              <w:t xml:space="preserve"> בע"א 7719/21 ובע"א 7730/21</w:t>
            </w:r>
            <w:r>
              <w:rPr>
                <w:rFonts w:ascii="David" w:hAnsi="David"/>
                <w:rtl/>
              </w:rPr>
              <w:t>:</w:t>
            </w:r>
          </w:p>
        </w:tc>
        <w:tc>
          <w:tcPr>
            <w:tcW w:w="5154" w:type="dxa"/>
            <w:gridSpan w:val="2"/>
          </w:tcPr>
          <w:p w:rsidR="0083345F" w:rsidRDefault="003C1978" w:rsidP="00F00127">
            <w:pPr>
              <w:pStyle w:val="BodyRuller"/>
            </w:pPr>
            <w:r>
              <w:rPr>
                <w:rtl/>
              </w:rPr>
              <w:t>פקיד שומה חיפה</w:t>
            </w:r>
          </w:p>
        </w:tc>
      </w:tr>
    </w:tbl>
    <w:p w:rsidR="0083345F" w:rsidRDefault="0083345F" w:rsidP="00F00127">
      <w:pPr>
        <w:pStyle w:val="Ruller3"/>
        <w:spacing w:line="240" w:lineRule="auto"/>
        <w:rPr>
          <w:rtl/>
        </w:rPr>
      </w:pPr>
    </w:p>
    <w:tbl>
      <w:tblPr>
        <w:bidiVisual/>
        <w:tblW w:w="8364" w:type="dxa"/>
        <w:tblLook w:val="0000" w:firstRow="0" w:lastRow="0" w:firstColumn="0" w:lastColumn="0" w:noHBand="0" w:noVBand="0"/>
      </w:tblPr>
      <w:tblGrid>
        <w:gridCol w:w="3210"/>
        <w:gridCol w:w="5154"/>
      </w:tblGrid>
      <w:tr w:rsidR="00F9692E" w:rsidTr="00C240E6">
        <w:trPr>
          <w:trHeight w:val="287"/>
        </w:trPr>
        <w:tc>
          <w:tcPr>
            <w:tcW w:w="3210" w:type="dxa"/>
          </w:tcPr>
          <w:p w:rsidR="00F9692E" w:rsidRPr="00E75223" w:rsidRDefault="00F9692E" w:rsidP="00F00127">
            <w:pPr>
              <w:pStyle w:val="BodyRuller"/>
              <w:rPr>
                <w:rFonts w:ascii="David" w:hAnsi="David"/>
              </w:rPr>
            </w:pPr>
            <w:r>
              <w:rPr>
                <w:rFonts w:ascii="David" w:hAnsi="David"/>
                <w:rtl/>
              </w:rPr>
              <w:t>המשיב</w:t>
            </w:r>
            <w:r>
              <w:rPr>
                <w:rFonts w:ascii="David" w:hAnsi="David" w:hint="cs"/>
                <w:rtl/>
              </w:rPr>
              <w:t xml:space="preserve"> בע"א 7722/21:</w:t>
            </w:r>
          </w:p>
        </w:tc>
        <w:tc>
          <w:tcPr>
            <w:tcW w:w="5154" w:type="dxa"/>
          </w:tcPr>
          <w:p w:rsidR="00F9692E" w:rsidRDefault="00F9692E" w:rsidP="00F00127">
            <w:pPr>
              <w:pStyle w:val="BodyRuller"/>
            </w:pPr>
            <w:r>
              <w:rPr>
                <w:rtl/>
              </w:rPr>
              <w:t xml:space="preserve">פקיד שומה </w:t>
            </w:r>
            <w:r>
              <w:rPr>
                <w:rFonts w:hint="cs"/>
                <w:rtl/>
              </w:rPr>
              <w:t>צפת</w:t>
            </w:r>
          </w:p>
        </w:tc>
      </w:tr>
    </w:tbl>
    <w:p w:rsidR="00F9692E" w:rsidRDefault="00F9692E">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3C1978" w:rsidP="00341076">
            <w:pPr>
              <w:pStyle w:val="BodyRuller"/>
              <w:jc w:val="both"/>
              <w:rPr>
                <w:sz w:val="24"/>
                <w:szCs w:val="24"/>
              </w:rPr>
            </w:pPr>
            <w:r>
              <w:rPr>
                <w:sz w:val="24"/>
                <w:szCs w:val="24"/>
                <w:rtl/>
              </w:rPr>
              <w:t>ערעור</w:t>
            </w:r>
            <w:r w:rsidR="00F9692E">
              <w:rPr>
                <w:rFonts w:hint="cs"/>
                <w:sz w:val="24"/>
                <w:szCs w:val="24"/>
                <w:rtl/>
              </w:rPr>
              <w:t>ים</w:t>
            </w:r>
            <w:r>
              <w:rPr>
                <w:sz w:val="24"/>
                <w:szCs w:val="24"/>
                <w:rtl/>
              </w:rPr>
              <w:t xml:space="preserve"> על פסק</w:t>
            </w:r>
            <w:r w:rsidR="00F9692E">
              <w:rPr>
                <w:rFonts w:hint="cs"/>
                <w:sz w:val="24"/>
                <w:szCs w:val="24"/>
                <w:rtl/>
              </w:rPr>
              <w:t>י ה</w:t>
            </w:r>
            <w:r>
              <w:rPr>
                <w:sz w:val="24"/>
                <w:szCs w:val="24"/>
                <w:rtl/>
              </w:rPr>
              <w:t>די</w:t>
            </w:r>
            <w:r w:rsidR="00F9692E">
              <w:rPr>
                <w:rFonts w:hint="cs"/>
                <w:sz w:val="24"/>
                <w:szCs w:val="24"/>
                <w:rtl/>
              </w:rPr>
              <w:t>ן</w:t>
            </w:r>
            <w:r>
              <w:rPr>
                <w:sz w:val="24"/>
                <w:szCs w:val="24"/>
                <w:rtl/>
              </w:rPr>
              <w:t xml:space="preserve"> של בית המשפט </w:t>
            </w:r>
            <w:r w:rsidR="00F9692E">
              <w:rPr>
                <w:rFonts w:hint="cs"/>
                <w:sz w:val="24"/>
                <w:szCs w:val="24"/>
                <w:rtl/>
              </w:rPr>
              <w:t xml:space="preserve">המחוזי </w:t>
            </w:r>
            <w:r>
              <w:rPr>
                <w:sz w:val="24"/>
                <w:szCs w:val="24"/>
                <w:rtl/>
              </w:rPr>
              <w:t xml:space="preserve">נצרת </w:t>
            </w:r>
            <w:r w:rsidR="00F9692E">
              <w:rPr>
                <w:rFonts w:hint="cs"/>
                <w:sz w:val="24"/>
                <w:szCs w:val="24"/>
                <w:rtl/>
              </w:rPr>
              <w:t>(השופטת ע' הוד) שניתנו ב</w:t>
            </w:r>
            <w:r>
              <w:rPr>
                <w:sz w:val="24"/>
                <w:szCs w:val="24"/>
                <w:rtl/>
              </w:rPr>
              <w:t>יום 16.8.2021 בע</w:t>
            </w:r>
            <w:r w:rsidR="00F9692E">
              <w:rPr>
                <w:rFonts w:hint="cs"/>
                <w:sz w:val="24"/>
                <w:szCs w:val="24"/>
                <w:rtl/>
              </w:rPr>
              <w:t>"מ</w:t>
            </w:r>
            <w:r>
              <w:rPr>
                <w:sz w:val="24"/>
                <w:szCs w:val="24"/>
                <w:rtl/>
              </w:rPr>
              <w:t xml:space="preserve"> </w:t>
            </w:r>
            <w:r w:rsidR="00F9692E">
              <w:rPr>
                <w:rFonts w:hint="cs"/>
                <w:sz w:val="24"/>
                <w:szCs w:val="24"/>
                <w:rtl/>
              </w:rPr>
              <w:t xml:space="preserve">          </w:t>
            </w:r>
            <w:r>
              <w:rPr>
                <w:sz w:val="24"/>
                <w:szCs w:val="24"/>
                <w:rtl/>
              </w:rPr>
              <w:t>53405-02-17</w:t>
            </w:r>
            <w:r w:rsidR="00341076">
              <w:rPr>
                <w:rFonts w:hint="cs"/>
                <w:sz w:val="24"/>
                <w:szCs w:val="24"/>
                <w:rtl/>
              </w:rPr>
              <w:t>,</w:t>
            </w:r>
            <w:r w:rsidR="00F9692E">
              <w:rPr>
                <w:rFonts w:hint="cs"/>
                <w:sz w:val="24"/>
                <w:szCs w:val="24"/>
                <w:rtl/>
              </w:rPr>
              <w:t xml:space="preserve"> בע"מ 12510-02-15 ובע"מ 35539-12-17</w:t>
            </w:r>
          </w:p>
        </w:tc>
      </w:tr>
    </w:tbl>
    <w:p w:rsidR="00916FF8" w:rsidRPr="00341076"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rsidP="00F00127">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F9692E" w:rsidP="00F00127">
            <w:pPr>
              <w:pStyle w:val="BodyRuller"/>
              <w:rPr>
                <w:rtl/>
              </w:rPr>
            </w:pPr>
            <w:r>
              <w:rPr>
                <w:rFonts w:hint="cs"/>
                <w:sz w:val="24"/>
                <w:szCs w:val="24"/>
                <w:rtl/>
              </w:rPr>
              <w:t xml:space="preserve">כ"ז בחשון </w:t>
            </w:r>
            <w:proofErr w:type="spellStart"/>
            <w:r>
              <w:rPr>
                <w:rFonts w:hint="cs"/>
                <w:sz w:val="24"/>
                <w:szCs w:val="24"/>
                <w:rtl/>
              </w:rPr>
              <w:t>התשפ"ג</w:t>
            </w:r>
            <w:proofErr w:type="spellEnd"/>
            <w:r w:rsidR="008C2F11">
              <w:t xml:space="preserve">       </w:t>
            </w:r>
          </w:p>
        </w:tc>
        <w:tc>
          <w:tcPr>
            <w:tcW w:w="2694" w:type="dxa"/>
            <w:tcBorders>
              <w:top w:val="nil"/>
              <w:left w:val="nil"/>
              <w:bottom w:val="nil"/>
              <w:right w:val="nil"/>
            </w:tcBorders>
          </w:tcPr>
          <w:p w:rsidR="008C2F11" w:rsidRDefault="003C1978" w:rsidP="00F00127">
            <w:pPr>
              <w:pStyle w:val="BodyRuller"/>
              <w:rPr>
                <w:sz w:val="24"/>
                <w:szCs w:val="24"/>
              </w:rPr>
            </w:pPr>
            <w:r>
              <w:t>(</w:t>
            </w:r>
            <w:r w:rsidR="00F9692E">
              <w:t>21</w:t>
            </w:r>
            <w:r>
              <w:t>.</w:t>
            </w:r>
            <w:r w:rsidR="00F9692E">
              <w:t>11</w:t>
            </w:r>
            <w:r>
              <w:t>.</w:t>
            </w:r>
            <w:r w:rsidR="00F9692E">
              <w:t>2</w:t>
            </w:r>
            <w:r>
              <w:t>0</w:t>
            </w:r>
            <w:r w:rsidR="00F9692E">
              <w:t>22</w:t>
            </w:r>
            <w:r>
              <w:t>)</w:t>
            </w:r>
            <w:r w:rsidR="00200D6B">
              <w:t xml:space="preserve"> </w:t>
            </w:r>
          </w:p>
        </w:tc>
      </w:tr>
    </w:tbl>
    <w:p w:rsidR="00916FF8" w:rsidRDefault="00916FF8" w:rsidP="00F00127">
      <w:pPr>
        <w:pStyle w:val="Ruller3"/>
        <w:spacing w:line="240" w:lineRule="auto"/>
        <w:rPr>
          <w:rtl/>
        </w:rPr>
      </w:pPr>
    </w:p>
    <w:tbl>
      <w:tblPr>
        <w:bidiVisual/>
        <w:tblW w:w="8364" w:type="dxa"/>
        <w:tblLayout w:type="fixed"/>
        <w:tblLook w:val="0000" w:firstRow="0" w:lastRow="0" w:firstColumn="0" w:lastColumn="0" w:noHBand="0" w:noVBand="0"/>
      </w:tblPr>
      <w:tblGrid>
        <w:gridCol w:w="3210"/>
        <w:gridCol w:w="5154"/>
      </w:tblGrid>
      <w:tr w:rsidR="00F9692E" w:rsidTr="00C240E6">
        <w:trPr>
          <w:trHeight w:val="287"/>
        </w:trPr>
        <w:tc>
          <w:tcPr>
            <w:tcW w:w="3210" w:type="dxa"/>
          </w:tcPr>
          <w:p w:rsidR="00F9692E" w:rsidRPr="00E75223" w:rsidRDefault="00F9692E" w:rsidP="00F00127">
            <w:pPr>
              <w:pStyle w:val="BodyRuller"/>
              <w:rPr>
                <w:rFonts w:ascii="David" w:hAnsi="David"/>
              </w:rPr>
            </w:pPr>
            <w:r>
              <w:rPr>
                <w:rFonts w:ascii="David" w:hAnsi="David" w:hint="cs"/>
                <w:rtl/>
              </w:rPr>
              <w:t xml:space="preserve">בשם </w:t>
            </w:r>
            <w:r>
              <w:rPr>
                <w:rFonts w:ascii="David" w:hAnsi="David"/>
                <w:rtl/>
              </w:rPr>
              <w:t>המערער</w:t>
            </w:r>
            <w:r>
              <w:rPr>
                <w:rFonts w:ascii="David" w:hAnsi="David" w:hint="cs"/>
                <w:rtl/>
              </w:rPr>
              <w:t>ים:</w:t>
            </w:r>
          </w:p>
        </w:tc>
        <w:tc>
          <w:tcPr>
            <w:tcW w:w="5154" w:type="dxa"/>
          </w:tcPr>
          <w:p w:rsidR="00F9692E" w:rsidRDefault="00F9692E" w:rsidP="00F00127">
            <w:pPr>
              <w:pStyle w:val="BodyRuller"/>
              <w:rPr>
                <w:rtl/>
              </w:rPr>
            </w:pPr>
            <w:r>
              <w:rPr>
                <w:rFonts w:hint="cs"/>
                <w:rtl/>
              </w:rPr>
              <w:t xml:space="preserve">עו"ד טלי ירון-אלדר; עו"ד אושר הרוש; עו"ד רוני ענבר </w:t>
            </w:r>
          </w:p>
          <w:p w:rsidR="00F9692E" w:rsidRDefault="00F9692E" w:rsidP="00F00127">
            <w:pPr>
              <w:pStyle w:val="BodyRuller"/>
            </w:pPr>
          </w:p>
        </w:tc>
      </w:tr>
      <w:tr w:rsidR="00F9692E" w:rsidTr="00C240E6">
        <w:trPr>
          <w:trHeight w:val="287"/>
        </w:trPr>
        <w:tc>
          <w:tcPr>
            <w:tcW w:w="3210" w:type="dxa"/>
          </w:tcPr>
          <w:p w:rsidR="00F9692E" w:rsidRPr="00E75223" w:rsidRDefault="00F9692E" w:rsidP="00F00127">
            <w:pPr>
              <w:pStyle w:val="BodyRuller"/>
              <w:rPr>
                <w:rFonts w:ascii="David" w:hAnsi="David"/>
              </w:rPr>
            </w:pPr>
            <w:r>
              <w:rPr>
                <w:rFonts w:ascii="David" w:hAnsi="David" w:hint="cs"/>
                <w:rtl/>
              </w:rPr>
              <w:t xml:space="preserve">בשם </w:t>
            </w:r>
            <w:r>
              <w:rPr>
                <w:rFonts w:ascii="David" w:hAnsi="David"/>
                <w:rtl/>
              </w:rPr>
              <w:t>המשיב</w:t>
            </w:r>
            <w:r w:rsidR="001062E3">
              <w:rPr>
                <w:rFonts w:ascii="David" w:hAnsi="David" w:hint="cs"/>
                <w:rtl/>
              </w:rPr>
              <w:t>ים</w:t>
            </w:r>
            <w:r>
              <w:rPr>
                <w:rFonts w:ascii="David" w:hAnsi="David"/>
                <w:rtl/>
              </w:rPr>
              <w:t>:</w:t>
            </w:r>
          </w:p>
        </w:tc>
        <w:tc>
          <w:tcPr>
            <w:tcW w:w="5154" w:type="dxa"/>
          </w:tcPr>
          <w:p w:rsidR="00F9692E" w:rsidRDefault="00F9692E" w:rsidP="00F00127">
            <w:pPr>
              <w:pStyle w:val="BodyRuller"/>
            </w:pPr>
            <w:r>
              <w:rPr>
                <w:rFonts w:hint="cs"/>
                <w:rtl/>
              </w:rPr>
              <w:t xml:space="preserve">עו"ד חן </w:t>
            </w:r>
            <w:proofErr w:type="spellStart"/>
            <w:r>
              <w:rPr>
                <w:rFonts w:hint="cs"/>
                <w:rtl/>
              </w:rPr>
              <w:t>אבידוב</w:t>
            </w:r>
            <w:proofErr w:type="spellEnd"/>
          </w:p>
        </w:tc>
      </w:tr>
    </w:tbl>
    <w:p w:rsidR="00916FF8" w:rsidRPr="00F9692E" w:rsidRDefault="00916FF8" w:rsidP="00F00127">
      <w:pPr>
        <w:tabs>
          <w:tab w:val="left" w:pos="2552"/>
        </w:tabs>
        <w:rPr>
          <w:rtl/>
        </w:rPr>
      </w:pPr>
    </w:p>
    <w:p w:rsidR="00F9692E" w:rsidRDefault="00F9692E">
      <w:pPr>
        <w:tabs>
          <w:tab w:val="left" w:pos="2552"/>
        </w:tabs>
        <w:rPr>
          <w:rtl/>
        </w:rPr>
      </w:pPr>
    </w:p>
    <w:tbl>
      <w:tblPr>
        <w:bidiVisual/>
        <w:tblW w:w="8363" w:type="dxa"/>
        <w:tblLook w:val="0000" w:firstRow="0" w:lastRow="0" w:firstColumn="0" w:lastColumn="0" w:noHBand="0" w:noVBand="0"/>
      </w:tblPr>
      <w:tblGrid>
        <w:gridCol w:w="8363"/>
      </w:tblGrid>
      <w:tr w:rsidR="00036227" w:rsidTr="00F9692E">
        <w:tc>
          <w:tcPr>
            <w:tcW w:w="8363" w:type="dxa"/>
          </w:tcPr>
          <w:p w:rsidR="00916FF8" w:rsidRDefault="003C1978">
            <w:pPr>
              <w:pStyle w:val="DocumentHead"/>
            </w:pPr>
            <w:bookmarkStart w:id="1" w:name="secretary"/>
            <w:bookmarkStart w:id="2" w:name="BeginProtocol"/>
            <w:bookmarkEnd w:id="1"/>
            <w:bookmarkEnd w:id="2"/>
            <w:r>
              <w:rPr>
                <w:rtl/>
              </w:rPr>
              <w:t>פסק-דין</w:t>
            </w:r>
          </w:p>
        </w:tc>
      </w:tr>
    </w:tbl>
    <w:p w:rsidR="00245254" w:rsidRPr="00503A3E" w:rsidRDefault="00245254" w:rsidP="00245254">
      <w:pPr>
        <w:pStyle w:val="BODYVERDICT"/>
        <w:spacing w:before="240" w:after="100" w:afterAutospacing="1"/>
        <w:rPr>
          <w:rFonts w:cs="Miriam"/>
          <w:sz w:val="24"/>
          <w:szCs w:val="24"/>
          <w:u w:val="single"/>
          <w:rtl/>
        </w:rPr>
      </w:pPr>
      <w:bookmarkStart w:id="3" w:name="Writer_Name"/>
      <w:bookmarkEnd w:id="3"/>
      <w:r>
        <w:rPr>
          <w:rFonts w:cs="Miriam"/>
          <w:sz w:val="24"/>
          <w:szCs w:val="24"/>
          <w:u w:val="single"/>
          <w:rtl/>
        </w:rPr>
        <w:t>השופט א' שטיין:</w:t>
      </w:r>
    </w:p>
    <w:p w:rsidR="00245254" w:rsidRPr="006A49C7" w:rsidRDefault="00245254" w:rsidP="00245254">
      <w:pPr>
        <w:pStyle w:val="Ruller41"/>
        <w:spacing w:before="240" w:after="100" w:afterAutospacing="1"/>
        <w:rPr>
          <w:rFonts w:ascii="Century" w:hAnsi="Century" w:cs="Miriam"/>
          <w:b/>
          <w:spacing w:val="0"/>
          <w:szCs w:val="24"/>
          <w:rtl/>
        </w:rPr>
      </w:pPr>
      <w:r w:rsidRPr="006A49C7">
        <w:rPr>
          <w:rFonts w:ascii="Century" w:hAnsi="Century" w:cs="Miriam" w:hint="cs"/>
          <w:b/>
          <w:spacing w:val="0"/>
          <w:szCs w:val="24"/>
          <w:rtl/>
        </w:rPr>
        <w:t>הערעורים ומתווה הדיון</w:t>
      </w:r>
    </w:p>
    <w:p w:rsidR="00245254" w:rsidRDefault="00245254" w:rsidP="00245254">
      <w:pPr>
        <w:pStyle w:val="Ruller4"/>
        <w:spacing w:before="240" w:after="100" w:afterAutospacing="1"/>
      </w:pPr>
      <w:r>
        <w:rPr>
          <w:rFonts w:hint="cs"/>
          <w:rtl/>
        </w:rPr>
        <w:t xml:space="preserve">לפנינו שלושה ערעורים שהדיון בהם אוחד: </w:t>
      </w:r>
    </w:p>
    <w:p w:rsidR="00245254" w:rsidRDefault="00245254" w:rsidP="00245254">
      <w:pPr>
        <w:pStyle w:val="Ruller41"/>
        <w:numPr>
          <w:ilvl w:val="0"/>
          <w:numId w:val="13"/>
        </w:numPr>
        <w:spacing w:before="240" w:after="100" w:afterAutospacing="1"/>
      </w:pPr>
      <w:r w:rsidRPr="00E42776">
        <w:rPr>
          <w:rFonts w:ascii="Century" w:hAnsi="Century" w:cs="Miriam" w:hint="cs"/>
          <w:b/>
          <w:spacing w:val="0"/>
          <w:szCs w:val="24"/>
          <w:u w:val="single"/>
          <w:rtl/>
        </w:rPr>
        <w:lastRenderedPageBreak/>
        <w:t>ע"א 7722/21:</w:t>
      </w:r>
      <w:r>
        <w:rPr>
          <w:rFonts w:hint="cs"/>
          <w:rtl/>
        </w:rPr>
        <w:t xml:space="preserve"> ערעורה של איתורן ספורט קריית שמונה (2001) בע"מ (להלן: </w:t>
      </w:r>
      <w:r w:rsidRPr="00AB572E">
        <w:rPr>
          <w:rFonts w:ascii="Century" w:hAnsi="Century" w:cs="Miriam" w:hint="cs"/>
          <w:b/>
          <w:spacing w:val="0"/>
          <w:szCs w:val="24"/>
          <w:rtl/>
        </w:rPr>
        <w:t>חברת איתורן</w:t>
      </w:r>
      <w:r>
        <w:rPr>
          <w:rFonts w:hint="cs"/>
          <w:rtl/>
        </w:rPr>
        <w:t xml:space="preserve">), חברה שמאגדת בתוכה קבוצת כדורגל מקצוענית מליגת העל, עירוני קריית שמונה (להלן: </w:t>
      </w:r>
      <w:r w:rsidRPr="00E42776">
        <w:rPr>
          <w:rFonts w:ascii="Century" w:hAnsi="Century" w:cs="Miriam" w:hint="cs"/>
          <w:b/>
          <w:spacing w:val="0"/>
          <w:szCs w:val="24"/>
          <w:rtl/>
        </w:rPr>
        <w:t>עירוני קריית שמונה</w:t>
      </w:r>
      <w:r>
        <w:rPr>
          <w:rFonts w:hint="cs"/>
          <w:rtl/>
        </w:rPr>
        <w:t xml:space="preserve"> או </w:t>
      </w:r>
      <w:r w:rsidRPr="00E42776">
        <w:rPr>
          <w:rFonts w:ascii="Century" w:hAnsi="Century" w:cs="Miriam" w:hint="cs"/>
          <w:b/>
          <w:spacing w:val="0"/>
          <w:szCs w:val="24"/>
          <w:rtl/>
        </w:rPr>
        <w:t>הקבוצה</w:t>
      </w:r>
      <w:r>
        <w:rPr>
          <w:rFonts w:hint="cs"/>
          <w:rtl/>
        </w:rPr>
        <w:t xml:space="preserve">). ערעור זה תוקף את פסק דינו של בית המשפט המחוזי נצרת (השופטת </w:t>
      </w:r>
      <w:r w:rsidRPr="00E42776">
        <w:rPr>
          <w:rFonts w:ascii="Century" w:hAnsi="Century" w:cs="Miriam" w:hint="cs"/>
          <w:b/>
          <w:spacing w:val="0"/>
          <w:szCs w:val="24"/>
          <w:rtl/>
        </w:rPr>
        <w:t>ע' הוד</w:t>
      </w:r>
      <w:r>
        <w:rPr>
          <w:rFonts w:hint="cs"/>
          <w:rtl/>
        </w:rPr>
        <w:t xml:space="preserve">) אשר ניתן ביום 16.8.2021 בע"מ 12510-02-15 ובגדרו דחה בית המשפט את ערעור הקבוצה על שומות מס הכנסה שהוצאו לה עבור השנים 2012-2009, באמצו את עמדת המשיב, פקיד השומה צפת (להלן: </w:t>
      </w:r>
      <w:r w:rsidRPr="00E42776">
        <w:rPr>
          <w:rFonts w:ascii="Century" w:hAnsi="Century" w:cs="Miriam" w:hint="cs"/>
          <w:b/>
          <w:spacing w:val="0"/>
          <w:szCs w:val="24"/>
          <w:rtl/>
        </w:rPr>
        <w:t>רשות המסים</w:t>
      </w:r>
      <w:r>
        <w:rPr>
          <w:rFonts w:hint="cs"/>
          <w:rtl/>
        </w:rPr>
        <w:t xml:space="preserve">), בשני נושאים: (1) עובדי הקבוצה אינם זכאים להטבת יישוב מוּטב לפי סעיף 11 לפקודת מס הכנסה [נוסח חדש], התשכ"א-1961 (להלן, לפי העניין: </w:t>
      </w:r>
      <w:r w:rsidRPr="00E42776">
        <w:rPr>
          <w:rFonts w:ascii="Century" w:hAnsi="Century" w:cs="Miriam" w:hint="cs"/>
          <w:b/>
          <w:spacing w:val="0"/>
          <w:szCs w:val="24"/>
          <w:rtl/>
        </w:rPr>
        <w:t>פקודת מס הכנסה</w:t>
      </w:r>
      <w:r>
        <w:rPr>
          <w:rFonts w:hint="cs"/>
          <w:rtl/>
        </w:rPr>
        <w:t xml:space="preserve"> או </w:t>
      </w:r>
      <w:r w:rsidRPr="00E42776">
        <w:rPr>
          <w:rFonts w:ascii="Century" w:hAnsi="Century" w:cs="Miriam" w:hint="cs"/>
          <w:b/>
          <w:spacing w:val="0"/>
          <w:szCs w:val="24"/>
          <w:rtl/>
        </w:rPr>
        <w:t>הפקודה</w:t>
      </w:r>
      <w:r>
        <w:rPr>
          <w:rFonts w:hint="cs"/>
          <w:rtl/>
        </w:rPr>
        <w:t xml:space="preserve"> ו</w:t>
      </w:r>
      <w:r w:rsidRPr="00E42776">
        <w:rPr>
          <w:rFonts w:ascii="Century" w:hAnsi="Century" w:cs="Miriam" w:hint="cs"/>
          <w:b/>
          <w:spacing w:val="0"/>
          <w:szCs w:val="24"/>
          <w:rtl/>
        </w:rPr>
        <w:t xml:space="preserve">הטבת יישוב </w:t>
      </w:r>
      <w:r>
        <w:rPr>
          <w:rFonts w:ascii="Century" w:hAnsi="Century" w:cs="Miriam" w:hint="cs"/>
          <w:b/>
          <w:spacing w:val="0"/>
          <w:szCs w:val="24"/>
          <w:rtl/>
        </w:rPr>
        <w:t>מוטב</w:t>
      </w:r>
      <w:r>
        <w:rPr>
          <w:rFonts w:hint="cs"/>
          <w:rtl/>
        </w:rPr>
        <w:t xml:space="preserve">); וכן (2) דיור, לינה, תזונה, טלפונים ניידים, ואירועי גיבוש של השחקנים, אשר מומנו על ידי הקבוצה, מהווים "טובת הנאה [...] ממעביד" שקיבלו השחקנים במסגרת העסקתם בקבוצה, שאותה יש למסות כחלק משכרם כאמור בסעיף 2(2)(א) לפקודה. </w:t>
      </w:r>
    </w:p>
    <w:p w:rsidR="00245254" w:rsidRDefault="00245254" w:rsidP="00245254">
      <w:pPr>
        <w:pStyle w:val="Ruller41"/>
        <w:spacing w:before="240" w:after="100" w:afterAutospacing="1"/>
        <w:ind w:left="720"/>
      </w:pPr>
      <w:r>
        <w:rPr>
          <w:rFonts w:hint="cs"/>
          <w:rtl/>
        </w:rPr>
        <w:t xml:space="preserve">למען נוחותם של קוראי פסק דיני, בדיון אשר יבוא בהמשך: חברת איתורן וקבוצת כדורגל עירוני קריית שמונה </w:t>
      </w:r>
      <w:r>
        <w:rPr>
          <w:rtl/>
        </w:rPr>
        <w:t>–</w:t>
      </w:r>
      <w:r>
        <w:rPr>
          <w:rFonts w:hint="cs"/>
          <w:rtl/>
        </w:rPr>
        <w:t xml:space="preserve"> חד הן. </w:t>
      </w:r>
    </w:p>
    <w:p w:rsidR="00245254" w:rsidRDefault="00245254" w:rsidP="00245254">
      <w:pPr>
        <w:pStyle w:val="Ruller41"/>
        <w:numPr>
          <w:ilvl w:val="0"/>
          <w:numId w:val="13"/>
        </w:numPr>
        <w:spacing w:before="240" w:after="100" w:afterAutospacing="1"/>
      </w:pPr>
      <w:r w:rsidRPr="006A49C7">
        <w:rPr>
          <w:rFonts w:ascii="Century" w:hAnsi="Century" w:cs="Miriam" w:hint="cs"/>
          <w:b/>
          <w:spacing w:val="0"/>
          <w:szCs w:val="24"/>
          <w:u w:val="single"/>
          <w:rtl/>
        </w:rPr>
        <w:t>ע"א 7719/21:</w:t>
      </w:r>
      <w:r>
        <w:rPr>
          <w:rFonts w:hint="cs"/>
          <w:rtl/>
        </w:rPr>
        <w:t xml:space="preserve"> ערעורו של מי שהיה שחקן הקבוצה בשנות המס הרלבנטיות, מר סאלח </w:t>
      </w:r>
      <w:proofErr w:type="spellStart"/>
      <w:r>
        <w:rPr>
          <w:rFonts w:hint="cs"/>
          <w:rtl/>
        </w:rPr>
        <w:t>חסארמה</w:t>
      </w:r>
      <w:proofErr w:type="spellEnd"/>
      <w:r>
        <w:rPr>
          <w:rFonts w:hint="cs"/>
          <w:rtl/>
        </w:rPr>
        <w:t xml:space="preserve"> (להלן: </w:t>
      </w:r>
      <w:proofErr w:type="spellStart"/>
      <w:r w:rsidRPr="006A49C7">
        <w:rPr>
          <w:rFonts w:ascii="Century" w:hAnsi="Century" w:cs="Miriam" w:hint="cs"/>
          <w:b/>
          <w:spacing w:val="0"/>
          <w:szCs w:val="24"/>
          <w:rtl/>
        </w:rPr>
        <w:t>חסארמה</w:t>
      </w:r>
      <w:proofErr w:type="spellEnd"/>
      <w:r>
        <w:rPr>
          <w:rFonts w:hint="cs"/>
          <w:rtl/>
        </w:rPr>
        <w:t xml:space="preserve">). </w:t>
      </w:r>
      <w:proofErr w:type="spellStart"/>
      <w:r>
        <w:rPr>
          <w:rFonts w:hint="cs"/>
          <w:rtl/>
        </w:rPr>
        <w:t>חסארמה</w:t>
      </w:r>
      <w:proofErr w:type="spellEnd"/>
      <w:r>
        <w:rPr>
          <w:rFonts w:hint="cs"/>
          <w:rtl/>
        </w:rPr>
        <w:t xml:space="preserve">, יליד כפר </w:t>
      </w:r>
      <w:proofErr w:type="spellStart"/>
      <w:r>
        <w:rPr>
          <w:rFonts w:hint="cs"/>
          <w:rtl/>
        </w:rPr>
        <w:t>בענה</w:t>
      </w:r>
      <w:proofErr w:type="spellEnd"/>
      <w:r>
        <w:rPr>
          <w:rFonts w:hint="cs"/>
          <w:rtl/>
        </w:rPr>
        <w:t xml:space="preserve">, התגורר בכפר זה בתקופת ילדותו ונעוריו. בין השנים 2013-2006 שיחק </w:t>
      </w:r>
      <w:proofErr w:type="spellStart"/>
      <w:r>
        <w:rPr>
          <w:rFonts w:hint="cs"/>
          <w:rtl/>
        </w:rPr>
        <w:t>חסארמה</w:t>
      </w:r>
      <w:proofErr w:type="spellEnd"/>
      <w:r>
        <w:rPr>
          <w:rFonts w:hint="cs"/>
          <w:rtl/>
        </w:rPr>
        <w:t xml:space="preserve"> בעירוני קריית שמונה, ובהתאם לנהליה התגורר בתקופה זו בעיר קריית שמונה בגפו בדירה שכורה (דמי השכירות מומנו על-ידי הקבוצה). במהלך אותה תקופה, בת זוגו של </w:t>
      </w:r>
      <w:proofErr w:type="spellStart"/>
      <w:r>
        <w:rPr>
          <w:rFonts w:hint="cs"/>
          <w:rtl/>
        </w:rPr>
        <w:t>חסארמה</w:t>
      </w:r>
      <w:proofErr w:type="spellEnd"/>
      <w:r>
        <w:rPr>
          <w:rFonts w:hint="cs"/>
          <w:rtl/>
        </w:rPr>
        <w:t xml:space="preserve"> וארבעת ילדיהם התגוררו בכפר </w:t>
      </w:r>
      <w:proofErr w:type="spellStart"/>
      <w:r>
        <w:rPr>
          <w:rFonts w:hint="cs"/>
          <w:rtl/>
        </w:rPr>
        <w:t>בענה</w:t>
      </w:r>
      <w:proofErr w:type="spellEnd"/>
      <w:r>
        <w:rPr>
          <w:rFonts w:hint="cs"/>
          <w:rtl/>
        </w:rPr>
        <w:t xml:space="preserve">. ערעור זה תוקף את פסק דינו של בית המשפט המחוזי נצרת (השופטת </w:t>
      </w:r>
      <w:r w:rsidRPr="006A49C7">
        <w:rPr>
          <w:rFonts w:ascii="Century" w:hAnsi="Century" w:cs="Miriam" w:hint="cs"/>
          <w:b/>
          <w:spacing w:val="0"/>
          <w:szCs w:val="24"/>
          <w:rtl/>
        </w:rPr>
        <w:t>ע' הוד</w:t>
      </w:r>
      <w:r>
        <w:rPr>
          <w:rFonts w:hint="cs"/>
          <w:rtl/>
        </w:rPr>
        <w:t xml:space="preserve">) אשר ניתן ביום 16.8.2021 בע"מ 53405-02-17 ובגדרו דחה בית המשפט את ערעורו של </w:t>
      </w:r>
      <w:proofErr w:type="spellStart"/>
      <w:r>
        <w:rPr>
          <w:rFonts w:hint="cs"/>
          <w:rtl/>
        </w:rPr>
        <w:t>חסארמה</w:t>
      </w:r>
      <w:proofErr w:type="spellEnd"/>
      <w:r>
        <w:rPr>
          <w:rFonts w:hint="cs"/>
          <w:rtl/>
        </w:rPr>
        <w:t xml:space="preserve"> על שומות מס הכנסה שהוצאו לו עבור השנים 2012-2011, באמצו את עמדתו של המשיב, פקיד השומה חיפה (להלן: </w:t>
      </w:r>
      <w:r w:rsidRPr="00095016">
        <w:rPr>
          <w:rFonts w:ascii="Century" w:hAnsi="Century" w:cs="Miriam" w:hint="cs"/>
          <w:b/>
          <w:spacing w:val="0"/>
          <w:szCs w:val="24"/>
          <w:rtl/>
        </w:rPr>
        <w:t>רשות המסים</w:t>
      </w:r>
      <w:r>
        <w:rPr>
          <w:rFonts w:hint="cs"/>
          <w:rtl/>
        </w:rPr>
        <w:t xml:space="preserve">), אשר קבע כי על-אף </w:t>
      </w:r>
      <w:proofErr w:type="spellStart"/>
      <w:r>
        <w:rPr>
          <w:rFonts w:hint="cs"/>
          <w:rtl/>
        </w:rPr>
        <w:t>שחסארמה</w:t>
      </w:r>
      <w:proofErr w:type="spellEnd"/>
      <w:r>
        <w:rPr>
          <w:rFonts w:hint="cs"/>
          <w:rtl/>
        </w:rPr>
        <w:t xml:space="preserve"> התגורר בשנים הרלבנטיות בקריית שמונה, הוא אינו זכאי להטבת יישוב מוטב בגין השנים האמורות. </w:t>
      </w:r>
    </w:p>
    <w:p w:rsidR="00245254" w:rsidRDefault="00245254" w:rsidP="00245254">
      <w:pPr>
        <w:pStyle w:val="Ruller41"/>
        <w:numPr>
          <w:ilvl w:val="0"/>
          <w:numId w:val="13"/>
        </w:numPr>
        <w:spacing w:before="240" w:after="100" w:afterAutospacing="1"/>
      </w:pPr>
      <w:r w:rsidRPr="006A49C7">
        <w:rPr>
          <w:rFonts w:ascii="Century" w:hAnsi="Century" w:cs="Miriam" w:hint="cs"/>
          <w:b/>
          <w:spacing w:val="0"/>
          <w:szCs w:val="24"/>
          <w:u w:val="single"/>
          <w:rtl/>
        </w:rPr>
        <w:t>ע"א 7730/21:</w:t>
      </w:r>
      <w:r w:rsidRPr="006A49C7">
        <w:rPr>
          <w:rFonts w:ascii="Century" w:hAnsi="Century" w:hint="cs"/>
          <w:rtl/>
        </w:rPr>
        <w:t xml:space="preserve"> </w:t>
      </w:r>
      <w:r>
        <w:rPr>
          <w:rFonts w:hint="cs"/>
          <w:rtl/>
        </w:rPr>
        <w:t xml:space="preserve">ערעורו של מי שהיה שחקן הקבוצה בשנות המס הרלבנטיות, מר אחמד </w:t>
      </w:r>
      <w:proofErr w:type="spellStart"/>
      <w:r>
        <w:rPr>
          <w:rFonts w:hint="cs"/>
          <w:rtl/>
        </w:rPr>
        <w:t>עאבד</w:t>
      </w:r>
      <w:proofErr w:type="spellEnd"/>
      <w:r>
        <w:rPr>
          <w:rFonts w:hint="cs"/>
          <w:rtl/>
        </w:rPr>
        <w:t xml:space="preserve"> (להלן: </w:t>
      </w:r>
      <w:proofErr w:type="spellStart"/>
      <w:r w:rsidRPr="006A49C7">
        <w:rPr>
          <w:rFonts w:ascii="Century" w:hAnsi="Century" w:cs="Miriam" w:hint="cs"/>
          <w:b/>
          <w:spacing w:val="0"/>
          <w:szCs w:val="24"/>
          <w:rtl/>
        </w:rPr>
        <w:t>עאבד</w:t>
      </w:r>
      <w:proofErr w:type="spellEnd"/>
      <w:r>
        <w:rPr>
          <w:rFonts w:hint="cs"/>
          <w:rtl/>
        </w:rPr>
        <w:t xml:space="preserve">). </w:t>
      </w:r>
      <w:proofErr w:type="spellStart"/>
      <w:r>
        <w:rPr>
          <w:rFonts w:hint="cs"/>
          <w:rtl/>
        </w:rPr>
        <w:t>עאבד</w:t>
      </w:r>
      <w:proofErr w:type="spellEnd"/>
      <w:r>
        <w:rPr>
          <w:rFonts w:hint="cs"/>
          <w:rtl/>
        </w:rPr>
        <w:t xml:space="preserve">, יליד העיר נצרת, התגורר בעיר זו בתקופת ילדותו ונעוריו. בשנים 2018-2011, ולאחר מכן במשך שבעה חודשים בשנת 2020, שיחק </w:t>
      </w:r>
      <w:proofErr w:type="spellStart"/>
      <w:r>
        <w:rPr>
          <w:rFonts w:hint="cs"/>
          <w:rtl/>
        </w:rPr>
        <w:t>עאבד</w:t>
      </w:r>
      <w:proofErr w:type="spellEnd"/>
      <w:r>
        <w:rPr>
          <w:rFonts w:hint="cs"/>
          <w:rtl/>
        </w:rPr>
        <w:t xml:space="preserve"> בעירוני קריית שמונה, ובהתאם לנהליה התגורר בתקופה זו בעיר קריית שמונה בגפו בדירה שכורה (דמי השכירות מומנו על-ידי הקבוצה). </w:t>
      </w:r>
      <w:r>
        <w:rPr>
          <w:rFonts w:hint="cs"/>
          <w:rtl/>
        </w:rPr>
        <w:lastRenderedPageBreak/>
        <w:t xml:space="preserve">ערעור זה תוקף את פסק דינו של בית המשפט המחוזי נצרת (השופטת </w:t>
      </w:r>
      <w:r w:rsidRPr="006A49C7">
        <w:rPr>
          <w:rFonts w:ascii="Century" w:hAnsi="Century" w:cs="Miriam" w:hint="cs"/>
          <w:b/>
          <w:spacing w:val="0"/>
          <w:szCs w:val="24"/>
          <w:rtl/>
        </w:rPr>
        <w:t>ע' הוד</w:t>
      </w:r>
      <w:r>
        <w:rPr>
          <w:rFonts w:hint="cs"/>
          <w:rtl/>
        </w:rPr>
        <w:t xml:space="preserve">) אשר ניתן ביום 16.8.2021 בע"מ 35539-12-17 ובגדרו דחה בית המשפט את ערעורו של </w:t>
      </w:r>
      <w:proofErr w:type="spellStart"/>
      <w:r>
        <w:rPr>
          <w:rFonts w:hint="cs"/>
          <w:rtl/>
        </w:rPr>
        <w:t>עאבד</w:t>
      </w:r>
      <w:proofErr w:type="spellEnd"/>
      <w:r>
        <w:rPr>
          <w:rFonts w:hint="cs"/>
          <w:rtl/>
        </w:rPr>
        <w:t xml:space="preserve"> על שומות מס הכנסה עבור השנים 2013-2011, באמצו את עמדתו של המשיב, פקיד השומה חיפה (להלן: </w:t>
      </w:r>
      <w:r w:rsidRPr="00095016">
        <w:rPr>
          <w:rFonts w:ascii="Century" w:hAnsi="Century" w:cs="Miriam" w:hint="cs"/>
          <w:b/>
          <w:spacing w:val="0"/>
          <w:szCs w:val="24"/>
          <w:rtl/>
        </w:rPr>
        <w:t>רשות המסים</w:t>
      </w:r>
      <w:r>
        <w:rPr>
          <w:rFonts w:hint="cs"/>
          <w:rtl/>
        </w:rPr>
        <w:t xml:space="preserve">), אשר קבע כי על-אף </w:t>
      </w:r>
      <w:proofErr w:type="spellStart"/>
      <w:r>
        <w:rPr>
          <w:rFonts w:hint="cs"/>
          <w:rtl/>
        </w:rPr>
        <w:t>שעאבד</w:t>
      </w:r>
      <w:proofErr w:type="spellEnd"/>
      <w:r>
        <w:rPr>
          <w:rFonts w:hint="cs"/>
          <w:rtl/>
        </w:rPr>
        <w:t xml:space="preserve"> התגורר בשנים הרלבנטיות בקריית שמונה, הוא אינו זכאי להטבת יישוב מוטב בגין השנים האמורות. </w:t>
      </w:r>
    </w:p>
    <w:p w:rsidR="00245254" w:rsidRDefault="00245254" w:rsidP="00245254">
      <w:pPr>
        <w:pStyle w:val="Ruller4"/>
        <w:spacing w:before="240" w:after="100" w:afterAutospacing="1"/>
        <w:rPr>
          <w:rtl/>
        </w:rPr>
      </w:pPr>
      <w:r>
        <w:rPr>
          <w:rFonts w:hint="cs"/>
          <w:rtl/>
        </w:rPr>
        <w:t xml:space="preserve">בערעורים אלה אדון ואבקש להכריע באופן הבא: </w:t>
      </w:r>
    </w:p>
    <w:p w:rsidR="00245254" w:rsidRDefault="00245254" w:rsidP="00245254">
      <w:pPr>
        <w:pStyle w:val="Ruller4"/>
        <w:numPr>
          <w:ilvl w:val="0"/>
          <w:numId w:val="14"/>
        </w:numPr>
        <w:spacing w:before="240" w:after="100" w:afterAutospacing="1"/>
      </w:pPr>
      <w:r>
        <w:rPr>
          <w:rFonts w:hint="cs"/>
          <w:rtl/>
        </w:rPr>
        <w:t xml:space="preserve">תחילה, אדון בהגדרת "תושב ביישוב מסוים" אשר נקבעה בסעיף 11 לפקודת מס הכנסה. בדיוני זה אתייחס גם למאפייניה הייחודיים של קבוצת ספורט מקצועני בכל הנוגע למרכז חייו של הספורטאי המקצועני אשר משחק בה. הדיון הכללי בזכאות זו יקדים את הדיון וההכרעה בענייניהם של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hint="cs"/>
          <w:rtl/>
        </w:rPr>
        <w:t xml:space="preserve">. </w:t>
      </w:r>
    </w:p>
    <w:p w:rsidR="00245254" w:rsidRDefault="00245254" w:rsidP="00245254">
      <w:pPr>
        <w:pStyle w:val="Ruller4"/>
        <w:numPr>
          <w:ilvl w:val="0"/>
          <w:numId w:val="14"/>
        </w:numPr>
        <w:spacing w:before="240" w:after="100" w:afterAutospacing="1"/>
      </w:pPr>
      <w:r>
        <w:rPr>
          <w:rFonts w:hint="cs"/>
          <w:rtl/>
        </w:rPr>
        <w:t xml:space="preserve">לאחר מכן, אדון ואכריע בשאלה האם מימונם של דיור, לינה, תזונה ואירועי גיבוש, אשר ניתן על ידי הקבוצה לשחקניה, מהווה "טובת הנאה [...] ממעביד", כמשמעה בסעיף 2(2)(א) לפקודה, שאותה יש למסות כחלק משכרו של כל שחקן שקיבל אותה. במסגרת זו, אדון תחילה במימון הדיור והלינה, מאחר שמימון זה קשור קשר הדוק לזכאות השחקנים להטבת יישוב מוטב </w:t>
      </w:r>
      <w:r>
        <w:rPr>
          <w:rtl/>
        </w:rPr>
        <w:t>–</w:t>
      </w:r>
      <w:r>
        <w:rPr>
          <w:rFonts w:hint="cs"/>
          <w:rtl/>
        </w:rPr>
        <w:t xml:space="preserve"> כפי שיוסבר להלן. לאחר מכן, אדון במימון של תזונה ואירועי גיבוש לשחקני הקבוצה. </w:t>
      </w:r>
    </w:p>
    <w:p w:rsidR="00245254" w:rsidRDefault="00245254" w:rsidP="00245254">
      <w:pPr>
        <w:pStyle w:val="Ruller4"/>
        <w:numPr>
          <w:ilvl w:val="0"/>
          <w:numId w:val="0"/>
        </w:numPr>
        <w:spacing w:before="240" w:after="100" w:afterAutospacing="1"/>
        <w:ind w:left="720"/>
      </w:pPr>
      <w:r>
        <w:rPr>
          <w:rFonts w:hint="cs"/>
          <w:rtl/>
        </w:rPr>
        <w:t xml:space="preserve">לא אקיים דיון בעניין הטלפונים הניידים שהקבוצה סיפקה לשחקניה. זאת, מאחר שהקבוצה זנחה בסיכומים שהגישה לבית משפט קמא את השגתה על קביעתו של פקיד השומה בעניין הטלפונים וקיבלה את עמדתו, לפיה מדובר בהטבת מעביד שאת שוויה </w:t>
      </w:r>
      <w:r>
        <w:rPr>
          <w:rtl/>
        </w:rPr>
        <w:t>–</w:t>
      </w:r>
      <w:r>
        <w:rPr>
          <w:rFonts w:hint="cs"/>
          <w:rtl/>
        </w:rPr>
        <w:t xml:space="preserve"> כפי שנקבע על ידו </w:t>
      </w:r>
      <w:r>
        <w:rPr>
          <w:rtl/>
        </w:rPr>
        <w:t>–</w:t>
      </w:r>
      <w:r>
        <w:rPr>
          <w:rFonts w:hint="cs"/>
          <w:rtl/>
        </w:rPr>
        <w:t xml:space="preserve"> יש לזקוף לשכרם של שחקני הקבוצה </w:t>
      </w:r>
      <w:proofErr w:type="spellStart"/>
      <w:r>
        <w:rPr>
          <w:rFonts w:hint="cs"/>
          <w:rtl/>
        </w:rPr>
        <w:t>ולמסותה</w:t>
      </w:r>
      <w:proofErr w:type="spellEnd"/>
      <w:r>
        <w:rPr>
          <w:rFonts w:hint="cs"/>
          <w:rtl/>
        </w:rPr>
        <w:t xml:space="preserve"> בהתאם כחלק מהשכר (ראו: פסקאות 126-125 לפסק הדין קמא בע"מ 12510-02-15). חברת איתורן גם לא ערערה לפנינו על רכיב זה של השומה, ועל כן הוא יעמוד בעינו. </w:t>
      </w:r>
    </w:p>
    <w:p w:rsidR="00245254" w:rsidRPr="009E6A20" w:rsidRDefault="00245254" w:rsidP="00245254">
      <w:pPr>
        <w:pStyle w:val="Ruller4"/>
        <w:numPr>
          <w:ilvl w:val="0"/>
          <w:numId w:val="14"/>
        </w:numPr>
        <w:spacing w:before="240" w:after="100" w:afterAutospacing="1"/>
        <w:rPr>
          <w:rtl/>
        </w:rPr>
      </w:pPr>
      <w:r w:rsidRPr="009E6A20">
        <w:rPr>
          <w:rFonts w:hint="cs"/>
          <w:rtl/>
        </w:rPr>
        <w:t>לבסוף, אדון ואכריע בקנסות שרשות המס</w:t>
      </w:r>
      <w:r>
        <w:rPr>
          <w:rFonts w:hint="cs"/>
          <w:rtl/>
        </w:rPr>
        <w:t>ים</w:t>
      </w:r>
      <w:r w:rsidRPr="009E6A20">
        <w:rPr>
          <w:rFonts w:hint="cs"/>
          <w:rtl/>
        </w:rPr>
        <w:t xml:space="preserve"> השיתה על הקבוצה ובבקשת הקבוצה לפטרה מקנסות אלה.</w:t>
      </w:r>
    </w:p>
    <w:p w:rsidR="00245254" w:rsidRDefault="00245254" w:rsidP="00245254">
      <w:pPr>
        <w:pStyle w:val="Ruller4"/>
        <w:spacing w:before="240" w:after="100" w:afterAutospacing="1"/>
      </w:pPr>
      <w:r>
        <w:rPr>
          <w:rFonts w:hint="cs"/>
          <w:rtl/>
        </w:rPr>
        <w:t xml:space="preserve">בטרם אעשה כן, אציין כי לאחר שעיינו בכתובים שבעלי הדין הניחו לפנינו, ואחרי ששמענו באריכות את טענותיהם בדיון אשר נערך לפנינו ביום 21.11.2022, המלצנו להם לקיים הידברות במטרה להגיע, ככל שניתן, להסכמות בשאלות שבמחלוקת. </w:t>
      </w:r>
      <w:r>
        <w:rPr>
          <w:rFonts w:hint="cs"/>
          <w:rtl/>
        </w:rPr>
        <w:lastRenderedPageBreak/>
        <w:t xml:space="preserve">ביום 10.1.2023, הודיעה רשות המסים כי בעלי הדין לא הגיעו לשום הסכמות וביקשתנו </w:t>
      </w:r>
      <w:proofErr w:type="spellStart"/>
      <w:r>
        <w:rPr>
          <w:rFonts w:hint="cs"/>
          <w:rtl/>
        </w:rPr>
        <w:t>ליתן</w:t>
      </w:r>
      <w:proofErr w:type="spellEnd"/>
      <w:r>
        <w:rPr>
          <w:rFonts w:hint="cs"/>
          <w:rtl/>
        </w:rPr>
        <w:t xml:space="preserve"> פסק דין בשלושת הערעורים. </w:t>
      </w:r>
    </w:p>
    <w:p w:rsidR="00245254" w:rsidRDefault="00245254" w:rsidP="00245254">
      <w:pPr>
        <w:pStyle w:val="Ruller4"/>
        <w:spacing w:before="240" w:after="100" w:afterAutospacing="1"/>
      </w:pPr>
      <w:r>
        <w:rPr>
          <w:rFonts w:hint="cs"/>
          <w:rtl/>
        </w:rPr>
        <w:t xml:space="preserve">כמו כן נתבקשנו על ידי רשות המסים להתיר לה להגיש השלמת טיעון בעניינו של מימון הוצאות לינה של השחקנים, חרף התנגדות המערערים. לבקשה זו לא נוכל להיענות, והיא נדחית בזאת. בעלי הדין קיבלו וניצלו את ההזדמנות לפרוש לפנינו את כל טענותיהם בנושאי הערעורים, וטענות אלה כללו התייחסות למימון הוצאות הלינה על ידי הקבוצה ולהשלכותיו על מיסוי שכרם של השחקנים. </w:t>
      </w:r>
    </w:p>
    <w:p w:rsidR="00245254" w:rsidRDefault="00245254" w:rsidP="00245254">
      <w:pPr>
        <w:pStyle w:val="Ruller4"/>
        <w:spacing w:before="240" w:after="100" w:afterAutospacing="1"/>
        <w:rPr>
          <w:rtl/>
        </w:rPr>
      </w:pPr>
      <w:r>
        <w:rPr>
          <w:rFonts w:hint="cs"/>
          <w:rtl/>
        </w:rPr>
        <w:t xml:space="preserve">יתרה מכך: כפי שאסביר בהמשך דבריי, לאור התוצאה אליה הגעתי בעניין זכאות שחקני הקבוצה להטבת יישוב מוטב, הנושא של מימון הוצאות לינתם בקריית שמונה ממילא מתייתר. זאת, מאחר שמגורי השחקנים בקריית שמונה ולינתם בעיר מהווים חלק מהזיקות לעיר שעל בסיסן החלטתי להכיר בשחקנים כמי שהעתיקו את מרכז חייהם לקריית שמונה וכמי שזכאים עקב כך להטבת יישוב מוטב </w:t>
      </w:r>
      <w:r>
        <w:rPr>
          <w:rtl/>
        </w:rPr>
        <w:t>–</w:t>
      </w:r>
      <w:r>
        <w:rPr>
          <w:rFonts w:hint="cs"/>
          <w:rtl/>
        </w:rPr>
        <w:t xml:space="preserve"> כל אימת שהם משחקים בקבוצת עירוני קריית שמונה ומתגוררים בקריית שמונה במהלך תקופת האימונים והמשחקים. כפועל יוצא מכך, עלויות הדיור והלינה בקריית שמונה </w:t>
      </w:r>
      <w:r>
        <w:rPr>
          <w:rtl/>
        </w:rPr>
        <w:t>–</w:t>
      </w:r>
      <w:r>
        <w:rPr>
          <w:rFonts w:hint="cs"/>
          <w:rtl/>
        </w:rPr>
        <w:t xml:space="preserve"> בהן נשאה הקבוצה עבור שחקניה על-מנת להבטיח כי אלו יגורו בעיר בתקופה בה מתקיימים משחקים ואימונים </w:t>
      </w:r>
      <w:r>
        <w:rPr>
          <w:rtl/>
        </w:rPr>
        <w:t>–</w:t>
      </w:r>
      <w:r>
        <w:rPr>
          <w:rFonts w:hint="cs"/>
          <w:rtl/>
        </w:rPr>
        <w:t xml:space="preserve"> הן בגדר הטבת מעביד אשר מיטיבה עם העובד. כמצווה בסעיף 2(2)(א) לפקודת מס הכנסה, הטבה זו יש להוסיף לשכרו של כל שחקן שקיבל אותה </w:t>
      </w:r>
      <w:proofErr w:type="spellStart"/>
      <w:r>
        <w:rPr>
          <w:rFonts w:hint="cs"/>
          <w:rtl/>
        </w:rPr>
        <w:t>ולמסותה</w:t>
      </w:r>
      <w:proofErr w:type="spellEnd"/>
      <w:r>
        <w:rPr>
          <w:rFonts w:hint="cs"/>
          <w:rtl/>
        </w:rPr>
        <w:t xml:space="preserve"> בהתאם. </w:t>
      </w:r>
    </w:p>
    <w:p w:rsidR="00245254" w:rsidRDefault="00245254" w:rsidP="00245254">
      <w:pPr>
        <w:pStyle w:val="Ruller41"/>
        <w:spacing w:before="240" w:after="100" w:afterAutospacing="1"/>
        <w:rPr>
          <w:rFonts w:ascii="Century" w:hAnsi="Century" w:cs="Miriam"/>
          <w:b/>
          <w:spacing w:val="0"/>
          <w:szCs w:val="24"/>
          <w:rtl/>
        </w:rPr>
      </w:pPr>
      <w:r w:rsidRPr="00E7017A">
        <w:rPr>
          <w:rFonts w:ascii="Century" w:hAnsi="Century" w:cs="Miriam" w:hint="cs"/>
          <w:b/>
          <w:spacing w:val="0"/>
          <w:szCs w:val="24"/>
          <w:rtl/>
        </w:rPr>
        <w:t xml:space="preserve">הפן הדיוני: </w:t>
      </w:r>
    </w:p>
    <w:p w:rsidR="00245254" w:rsidRPr="00E7017A" w:rsidRDefault="00245254" w:rsidP="00245254">
      <w:pPr>
        <w:pStyle w:val="Ruller41"/>
        <w:spacing w:before="240" w:after="100" w:afterAutospacing="1"/>
        <w:rPr>
          <w:rFonts w:ascii="Century" w:hAnsi="Century" w:cs="Miriam"/>
          <w:b/>
          <w:spacing w:val="0"/>
          <w:szCs w:val="24"/>
        </w:rPr>
      </w:pPr>
      <w:r w:rsidRPr="00E7017A">
        <w:rPr>
          <w:rFonts w:ascii="Century" w:hAnsi="Century" w:cs="Miriam" w:hint="cs"/>
          <w:b/>
          <w:spacing w:val="0"/>
          <w:szCs w:val="24"/>
          <w:rtl/>
        </w:rPr>
        <w:t>בקשה מ</w:t>
      </w:r>
      <w:r>
        <w:rPr>
          <w:rFonts w:ascii="Century" w:hAnsi="Century" w:cs="Miriam" w:hint="cs"/>
          <w:b/>
          <w:spacing w:val="0"/>
          <w:szCs w:val="24"/>
          <w:rtl/>
        </w:rPr>
        <w:t xml:space="preserve">וסכמת לדחיית המועד להגשת ראיות, אשר </w:t>
      </w:r>
      <w:r w:rsidRPr="00E7017A">
        <w:rPr>
          <w:rFonts w:ascii="Century" w:hAnsi="Century" w:cs="Miriam" w:hint="cs"/>
          <w:b/>
          <w:spacing w:val="0"/>
          <w:szCs w:val="24"/>
          <w:rtl/>
        </w:rPr>
        <w:t>נדחתה על ידי בית משפט קמא</w:t>
      </w:r>
    </w:p>
    <w:p w:rsidR="00245254" w:rsidRDefault="00245254" w:rsidP="00245254">
      <w:pPr>
        <w:pStyle w:val="Ruller4"/>
        <w:spacing w:before="240" w:after="100" w:afterAutospacing="1"/>
      </w:pPr>
      <w:r>
        <w:rPr>
          <w:rFonts w:hint="cs"/>
          <w:rtl/>
        </w:rPr>
        <w:t xml:space="preserve">במסגרת הדיון בערעור, עלתה טענה דיונית שקשורה להחלפת הייצוג של המערערים בהליך קמא ולבקשה להגשת תצהירי עדות ראשית מתוקנים, אשר באה בעקבות חילופי המייצגים. בקשה זו הוגשה על ידי באי-כוח המערערים אחרי שאלו החליפו את קודמיהם, ובמסגרתה נתבקש בית משפט קמא לשנות את מועד ההוכחות שנקבע לפני-כן. רשות המסים, באדיבותה כי רבה, הסכימה לבקשה זו, אולם בית המשפט דחה את הבקשה </w:t>
      </w:r>
      <w:r>
        <w:rPr>
          <w:rtl/>
        </w:rPr>
        <w:t>–</w:t>
      </w:r>
      <w:r>
        <w:rPr>
          <w:rFonts w:hint="cs"/>
          <w:rtl/>
        </w:rPr>
        <w:t xml:space="preserve"> חרף הסכמת הצדדים </w:t>
      </w:r>
      <w:r>
        <w:rPr>
          <w:rtl/>
        </w:rPr>
        <w:t>–</w:t>
      </w:r>
      <w:r>
        <w:rPr>
          <w:rFonts w:hint="cs"/>
          <w:rtl/>
        </w:rPr>
        <w:t xml:space="preserve"> מאחר שמדובר בתיק ישן וכן בשל דחיות של דיונים שאושרו על ידו בעבר על-מנת לאפשר לבעלי הדין להגיש תצהירי עדות ראשית ולהתכונן להוכחות. הקבוצה תוקפת החלטה זו בערעורה שמונח לפנינו, לצד טענות משפטיות אשר נשמעו מפיה במסגרת הערעור.</w:t>
      </w:r>
    </w:p>
    <w:p w:rsidR="00245254" w:rsidRDefault="00245254" w:rsidP="00245254">
      <w:pPr>
        <w:pStyle w:val="Ruller4"/>
        <w:spacing w:before="240" w:after="100" w:afterAutospacing="1"/>
        <w:rPr>
          <w:rtl/>
        </w:rPr>
      </w:pPr>
      <w:r>
        <w:rPr>
          <w:rFonts w:hint="cs"/>
          <w:rtl/>
        </w:rPr>
        <w:lastRenderedPageBreak/>
        <w:t xml:space="preserve">לאחר לבטים, ולנוכח התוצאה המשפטית אליה הגעתי בעניינן של הטבת יישוב מוטב וההוצאות אשר הוצאו על ידי הקבוצה על גיבוש שחקני הקבוצה </w:t>
      </w:r>
      <w:r>
        <w:rPr>
          <w:rtl/>
        </w:rPr>
        <w:t>–</w:t>
      </w:r>
      <w:r>
        <w:rPr>
          <w:rFonts w:hint="cs"/>
          <w:rtl/>
        </w:rPr>
        <w:t xml:space="preserve"> הגעתי למסקנה כי עלינו לדחות טענה זו. </w:t>
      </w:r>
    </w:p>
    <w:p w:rsidR="00245254" w:rsidRDefault="00245254" w:rsidP="00245254">
      <w:pPr>
        <w:pStyle w:val="Ruller4"/>
        <w:spacing w:before="240" w:after="100" w:afterAutospacing="1"/>
      </w:pPr>
      <w:r>
        <w:rPr>
          <w:rFonts w:hint="cs"/>
          <w:rtl/>
        </w:rPr>
        <w:t xml:space="preserve">בהקשר זה, אציין תחילה את המובן מאליו: דחיית מועדים שנקבעו על ידי הערכאה הדיונית כדי לקדם את בירור המחלוקות במסגרת ההליך אשר מתנהל לפניה </w:t>
      </w:r>
      <w:r w:rsidRPr="007F4F68">
        <w:rPr>
          <w:rFonts w:hint="cs"/>
          <w:rtl/>
        </w:rPr>
        <w:t xml:space="preserve">נתונה לשיקול דעתה. מדובר בשיקול דעת רחב, שבו אין בידינו להתערב כל אימת שהוא מופעל מטעמים ענייניים (ראו: </w:t>
      </w:r>
      <w:r w:rsidRPr="007F4F68">
        <w:rPr>
          <w:rFonts w:hint="eastAsia"/>
          <w:rtl/>
        </w:rPr>
        <w:t>רע</w:t>
      </w:r>
      <w:r w:rsidRPr="007F4F68">
        <w:rPr>
          <w:rtl/>
        </w:rPr>
        <w:t>"</w:t>
      </w:r>
      <w:r w:rsidRPr="007F4F68">
        <w:rPr>
          <w:rFonts w:hint="eastAsia"/>
          <w:rtl/>
        </w:rPr>
        <w:t>א</w:t>
      </w:r>
      <w:r w:rsidRPr="007F4F68">
        <w:rPr>
          <w:rtl/>
        </w:rPr>
        <w:t xml:space="preserve"> 6827/98 </w:t>
      </w:r>
      <w:r w:rsidRPr="007F4F68">
        <w:rPr>
          <w:rFonts w:ascii="Century" w:hAnsi="Century" w:cs="Miriam" w:hint="eastAsia"/>
          <w:b/>
          <w:spacing w:val="0"/>
          <w:sz w:val="22"/>
          <w:szCs w:val="24"/>
          <w:rtl/>
        </w:rPr>
        <w:t>מחצבות</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כנרת</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נ</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הוועדה</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המקומית</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לתכנון</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ובניה</w:t>
      </w:r>
      <w:r w:rsidRPr="007F4F68">
        <w:rPr>
          <w:rtl/>
        </w:rPr>
        <w:t xml:space="preserve">, </w:t>
      </w:r>
      <w:r w:rsidRPr="007F4F68">
        <w:rPr>
          <w:rFonts w:hint="eastAsia"/>
          <w:rtl/>
        </w:rPr>
        <w:t>פסקה</w:t>
      </w:r>
      <w:r w:rsidRPr="007F4F68">
        <w:rPr>
          <w:rtl/>
        </w:rPr>
        <w:t xml:space="preserve"> 3 (14.7.1999); </w:t>
      </w:r>
      <w:r w:rsidRPr="007F4F68">
        <w:rPr>
          <w:rFonts w:hint="eastAsia"/>
          <w:rtl/>
        </w:rPr>
        <w:t>רע</w:t>
      </w:r>
      <w:r w:rsidRPr="007F4F68">
        <w:rPr>
          <w:rtl/>
        </w:rPr>
        <w:t>"</w:t>
      </w:r>
      <w:r w:rsidRPr="007F4F68">
        <w:rPr>
          <w:rFonts w:hint="eastAsia"/>
          <w:rtl/>
        </w:rPr>
        <w:t>א</w:t>
      </w:r>
      <w:r w:rsidRPr="007F4F68">
        <w:rPr>
          <w:rtl/>
        </w:rPr>
        <w:t xml:space="preserve"> 5899/03 </w:t>
      </w:r>
      <w:r w:rsidRPr="007F4F68">
        <w:rPr>
          <w:rFonts w:ascii="Century" w:hAnsi="Century" w:cs="Miriam" w:hint="eastAsia"/>
          <w:b/>
          <w:spacing w:val="0"/>
          <w:sz w:val="22"/>
          <w:szCs w:val="24"/>
          <w:rtl/>
        </w:rPr>
        <w:t>נאור</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נ</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פקיד</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שומה</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כפר</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סבא</w:t>
      </w:r>
      <w:r w:rsidRPr="007F4F68">
        <w:rPr>
          <w:rtl/>
        </w:rPr>
        <w:t xml:space="preserve">, </w:t>
      </w:r>
      <w:r w:rsidRPr="007F4F68">
        <w:rPr>
          <w:rFonts w:hint="eastAsia"/>
          <w:rtl/>
        </w:rPr>
        <w:t>פסקה</w:t>
      </w:r>
      <w:r w:rsidRPr="007F4F68">
        <w:rPr>
          <w:rtl/>
        </w:rPr>
        <w:t xml:space="preserve"> 3 (14.3.2004); </w:t>
      </w:r>
      <w:r w:rsidRPr="007F4F68">
        <w:rPr>
          <w:rFonts w:hint="eastAsia"/>
          <w:rtl/>
        </w:rPr>
        <w:t>רע</w:t>
      </w:r>
      <w:r w:rsidRPr="007F4F68">
        <w:rPr>
          <w:rtl/>
        </w:rPr>
        <w:t>"</w:t>
      </w:r>
      <w:r w:rsidRPr="007F4F68">
        <w:rPr>
          <w:rFonts w:hint="eastAsia"/>
          <w:rtl/>
        </w:rPr>
        <w:t>א</w:t>
      </w:r>
      <w:r w:rsidRPr="007F4F68">
        <w:rPr>
          <w:rtl/>
        </w:rPr>
        <w:t xml:space="preserve"> 8722/03 </w:t>
      </w:r>
      <w:r w:rsidRPr="007F4F68">
        <w:rPr>
          <w:rFonts w:ascii="Century" w:hAnsi="Century" w:cs="Miriam" w:hint="eastAsia"/>
          <w:b/>
          <w:spacing w:val="0"/>
          <w:sz w:val="22"/>
          <w:szCs w:val="24"/>
          <w:rtl/>
        </w:rPr>
        <w:t>וולקן</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מצברים</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בע</w:t>
      </w:r>
      <w:r w:rsidRPr="007F4F68">
        <w:rPr>
          <w:rFonts w:ascii="Century" w:hAnsi="Century" w:cs="Miriam"/>
          <w:b/>
          <w:spacing w:val="0"/>
          <w:sz w:val="22"/>
          <w:szCs w:val="24"/>
          <w:rtl/>
        </w:rPr>
        <w:t>"</w:t>
      </w:r>
      <w:r w:rsidRPr="007F4F68">
        <w:rPr>
          <w:rFonts w:ascii="Century" w:hAnsi="Century" w:cs="Miriam" w:hint="eastAsia"/>
          <w:b/>
          <w:spacing w:val="0"/>
          <w:sz w:val="22"/>
          <w:szCs w:val="24"/>
          <w:rtl/>
        </w:rPr>
        <w:t>מ</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נ</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מנהל</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המכס</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מס</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קנייה</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ומע</w:t>
      </w:r>
      <w:r w:rsidRPr="007F4F68">
        <w:rPr>
          <w:rFonts w:ascii="Century" w:hAnsi="Century" w:cs="Miriam"/>
          <w:b/>
          <w:spacing w:val="0"/>
          <w:sz w:val="22"/>
          <w:szCs w:val="24"/>
          <w:rtl/>
        </w:rPr>
        <w:t>"</w:t>
      </w:r>
      <w:r w:rsidRPr="007F4F68">
        <w:rPr>
          <w:rFonts w:ascii="Century" w:hAnsi="Century" w:cs="Miriam" w:hint="eastAsia"/>
          <w:b/>
          <w:spacing w:val="0"/>
          <w:sz w:val="22"/>
          <w:szCs w:val="24"/>
          <w:rtl/>
        </w:rPr>
        <w:t>מ</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חיפה</w:t>
      </w:r>
      <w:r w:rsidRPr="007F4F68">
        <w:rPr>
          <w:rtl/>
        </w:rPr>
        <w:t xml:space="preserve">, </w:t>
      </w:r>
      <w:r w:rsidRPr="007F4F68">
        <w:rPr>
          <w:rFonts w:hint="eastAsia"/>
          <w:rtl/>
        </w:rPr>
        <w:t>פ</w:t>
      </w:r>
      <w:r w:rsidRPr="007F4F68">
        <w:rPr>
          <w:rtl/>
        </w:rPr>
        <w:t>"</w:t>
      </w:r>
      <w:r w:rsidRPr="007F4F68">
        <w:rPr>
          <w:rFonts w:hint="eastAsia"/>
          <w:rtl/>
        </w:rPr>
        <w:t>ד</w:t>
      </w:r>
      <w:r w:rsidRPr="007F4F68">
        <w:rPr>
          <w:rtl/>
        </w:rPr>
        <w:t xml:space="preserve"> </w:t>
      </w:r>
      <w:r w:rsidRPr="007F4F68">
        <w:rPr>
          <w:rFonts w:hint="eastAsia"/>
          <w:rtl/>
        </w:rPr>
        <w:t>נט</w:t>
      </w:r>
      <w:r w:rsidRPr="007F4F68">
        <w:rPr>
          <w:rtl/>
        </w:rPr>
        <w:t xml:space="preserve">(1) 769, 774 (2004); </w:t>
      </w:r>
      <w:r w:rsidRPr="007F4F68">
        <w:rPr>
          <w:rFonts w:hint="eastAsia"/>
          <w:rtl/>
        </w:rPr>
        <w:t>ע</w:t>
      </w:r>
      <w:r w:rsidRPr="007F4F68">
        <w:rPr>
          <w:rtl/>
        </w:rPr>
        <w:t>"</w:t>
      </w:r>
      <w:r w:rsidRPr="007F4F68">
        <w:rPr>
          <w:rFonts w:hint="eastAsia"/>
          <w:rtl/>
        </w:rPr>
        <w:t>א</w:t>
      </w:r>
      <w:r w:rsidRPr="007F4F68">
        <w:rPr>
          <w:rtl/>
        </w:rPr>
        <w:t xml:space="preserve"> 607/70 </w:t>
      </w:r>
      <w:proofErr w:type="spellStart"/>
      <w:r w:rsidRPr="007F4F68">
        <w:rPr>
          <w:rFonts w:ascii="Century" w:hAnsi="Century" w:cs="Miriam" w:hint="eastAsia"/>
          <w:b/>
          <w:spacing w:val="0"/>
          <w:sz w:val="22"/>
          <w:szCs w:val="24"/>
          <w:rtl/>
        </w:rPr>
        <w:t>אלקטרוניק</w:t>
      </w:r>
      <w:proofErr w:type="spellEnd"/>
      <w:r w:rsidRPr="007F4F68">
        <w:rPr>
          <w:rFonts w:ascii="Century" w:hAnsi="Century" w:cs="Miriam"/>
          <w:b/>
          <w:spacing w:val="0"/>
          <w:sz w:val="22"/>
          <w:szCs w:val="24"/>
          <w:rtl/>
        </w:rPr>
        <w:t xml:space="preserve"> </w:t>
      </w:r>
      <w:proofErr w:type="spellStart"/>
      <w:r w:rsidRPr="007F4F68">
        <w:rPr>
          <w:rFonts w:ascii="Century" w:hAnsi="Century" w:cs="Miriam" w:hint="eastAsia"/>
          <w:b/>
          <w:spacing w:val="0"/>
          <w:sz w:val="22"/>
          <w:szCs w:val="24"/>
          <w:rtl/>
        </w:rPr>
        <w:t>אפלינסס</w:t>
      </w:r>
      <w:proofErr w:type="spellEnd"/>
      <w:r w:rsidRPr="007F4F68">
        <w:rPr>
          <w:rFonts w:ascii="Century" w:hAnsi="Century" w:cs="Miriam"/>
          <w:b/>
          <w:spacing w:val="0"/>
          <w:sz w:val="22"/>
          <w:szCs w:val="24"/>
          <w:rtl/>
        </w:rPr>
        <w:t xml:space="preserve"> </w:t>
      </w:r>
      <w:proofErr w:type="spellStart"/>
      <w:r w:rsidRPr="007F4F68">
        <w:rPr>
          <w:rFonts w:ascii="Century" w:hAnsi="Century" w:cs="Miriam" w:hint="eastAsia"/>
          <w:b/>
          <w:spacing w:val="0"/>
          <w:sz w:val="22"/>
          <w:szCs w:val="24"/>
          <w:rtl/>
        </w:rPr>
        <w:t>קורפורישאן</w:t>
      </w:r>
      <w:proofErr w:type="spellEnd"/>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ירדן</w:t>
      </w:r>
      <w:r w:rsidRPr="007F4F68">
        <w:rPr>
          <w:rFonts w:ascii="Century" w:hAnsi="Century" w:cs="Miriam"/>
          <w:b/>
          <w:spacing w:val="0"/>
          <w:sz w:val="22"/>
          <w:szCs w:val="24"/>
          <w:rtl/>
        </w:rPr>
        <w:t xml:space="preserve"> </w:t>
      </w:r>
      <w:r w:rsidRPr="007F4F68">
        <w:rPr>
          <w:rFonts w:ascii="Century" w:hAnsi="Century" w:cs="Miriam" w:hint="eastAsia"/>
          <w:b/>
          <w:spacing w:val="0"/>
          <w:sz w:val="22"/>
          <w:szCs w:val="24"/>
          <w:rtl/>
        </w:rPr>
        <w:t>נ</w:t>
      </w:r>
      <w:r w:rsidRPr="007F4F68">
        <w:rPr>
          <w:rFonts w:ascii="Century" w:hAnsi="Century" w:cs="Miriam"/>
          <w:b/>
          <w:spacing w:val="0"/>
          <w:sz w:val="22"/>
          <w:szCs w:val="24"/>
          <w:rtl/>
        </w:rPr>
        <w:t xml:space="preserve">' </w:t>
      </w:r>
      <w:proofErr w:type="spellStart"/>
      <w:r w:rsidRPr="007F4F68">
        <w:rPr>
          <w:rFonts w:ascii="Century" w:hAnsi="Century" w:cs="Miriam" w:hint="eastAsia"/>
          <w:b/>
          <w:spacing w:val="0"/>
          <w:sz w:val="22"/>
          <w:szCs w:val="24"/>
          <w:rtl/>
        </w:rPr>
        <w:t>גרץ</w:t>
      </w:r>
      <w:proofErr w:type="spellEnd"/>
      <w:r w:rsidRPr="007F4F68">
        <w:rPr>
          <w:rFonts w:ascii="Century" w:hAnsi="Century" w:cs="Miriam"/>
          <w:b/>
          <w:spacing w:val="0"/>
          <w:sz w:val="22"/>
          <w:szCs w:val="24"/>
          <w:rtl/>
        </w:rPr>
        <w:t xml:space="preserve"> </w:t>
      </w:r>
      <w:proofErr w:type="spellStart"/>
      <w:r w:rsidRPr="007F4F68">
        <w:rPr>
          <w:rFonts w:ascii="Century" w:hAnsi="Century" w:cs="Miriam" w:hint="eastAsia"/>
          <w:b/>
          <w:spacing w:val="0"/>
          <w:sz w:val="22"/>
          <w:szCs w:val="24"/>
          <w:rtl/>
        </w:rPr>
        <w:t>פרטרבסגזלשפט</w:t>
      </w:r>
      <w:proofErr w:type="spellEnd"/>
      <w:r w:rsidRPr="007F4F68">
        <w:rPr>
          <w:rtl/>
        </w:rPr>
        <w:t xml:space="preserve">, </w:t>
      </w:r>
      <w:r w:rsidRPr="007F4F68">
        <w:rPr>
          <w:rFonts w:hint="eastAsia"/>
          <w:rtl/>
        </w:rPr>
        <w:t>פ</w:t>
      </w:r>
      <w:r w:rsidRPr="007F4F68">
        <w:rPr>
          <w:rtl/>
        </w:rPr>
        <w:t>"</w:t>
      </w:r>
      <w:r w:rsidRPr="007F4F68">
        <w:rPr>
          <w:rFonts w:hint="eastAsia"/>
          <w:rtl/>
        </w:rPr>
        <w:t>ד</w:t>
      </w:r>
      <w:r w:rsidRPr="007F4F68">
        <w:rPr>
          <w:rtl/>
        </w:rPr>
        <w:t xml:space="preserve"> </w:t>
      </w:r>
      <w:r w:rsidRPr="007F4F68">
        <w:rPr>
          <w:rFonts w:hint="eastAsia"/>
          <w:rtl/>
        </w:rPr>
        <w:t>כה</w:t>
      </w:r>
      <w:r w:rsidRPr="007F4F68">
        <w:rPr>
          <w:rtl/>
        </w:rPr>
        <w:t>(2) 441, 443 (1971)</w:t>
      </w:r>
      <w:r w:rsidRPr="007F4F68">
        <w:rPr>
          <w:rFonts w:hint="cs"/>
          <w:rtl/>
        </w:rPr>
        <w:t xml:space="preserve">) </w:t>
      </w:r>
      <w:r w:rsidRPr="007F4F68">
        <w:rPr>
          <w:rtl/>
        </w:rPr>
        <w:t>–</w:t>
      </w:r>
      <w:r w:rsidRPr="007F4F68">
        <w:rPr>
          <w:rFonts w:hint="cs"/>
          <w:rtl/>
        </w:rPr>
        <w:t xml:space="preserve"> כפי שקרה במקרה דנן. הסכמת בעלי הדין לדחיית מועדים כאמור מהווה אמנם שיקול אשר תומך בהיענות לבקשת הדחייה, אולם אין מדובר בשיקול מכריע (ראו:</w:t>
      </w:r>
      <w:r>
        <w:rPr>
          <w:rFonts w:hint="cs"/>
          <w:rtl/>
        </w:rPr>
        <w:t xml:space="preserve"> </w:t>
      </w:r>
      <w:r w:rsidRPr="00C85502">
        <w:rPr>
          <w:rFonts w:hint="eastAsia"/>
          <w:rtl/>
        </w:rPr>
        <w:t>רע</w:t>
      </w:r>
      <w:r w:rsidRPr="00C85502">
        <w:rPr>
          <w:rtl/>
        </w:rPr>
        <w:t>"</w:t>
      </w:r>
      <w:r w:rsidRPr="00C85502">
        <w:rPr>
          <w:rFonts w:hint="eastAsia"/>
          <w:rtl/>
        </w:rPr>
        <w:t>א</w:t>
      </w:r>
      <w:r w:rsidRPr="00C85502">
        <w:rPr>
          <w:rtl/>
        </w:rPr>
        <w:t xml:space="preserve"> 425/98 </w:t>
      </w:r>
      <w:r w:rsidRPr="00C85502">
        <w:rPr>
          <w:rFonts w:ascii="Century" w:hAnsi="Century" w:cs="Miriam" w:hint="eastAsia"/>
          <w:b/>
          <w:spacing w:val="0"/>
          <w:sz w:val="22"/>
          <w:szCs w:val="24"/>
          <w:rtl/>
        </w:rPr>
        <w:t>נקי</w:t>
      </w:r>
      <w:r w:rsidRPr="00C85502">
        <w:rPr>
          <w:rFonts w:ascii="Century" w:hAnsi="Century" w:cs="Miriam"/>
          <w:b/>
          <w:spacing w:val="0"/>
          <w:sz w:val="22"/>
          <w:szCs w:val="24"/>
          <w:rtl/>
        </w:rPr>
        <w:t xml:space="preserve"> </w:t>
      </w:r>
      <w:r w:rsidRPr="00C85502">
        <w:rPr>
          <w:rFonts w:ascii="Century" w:hAnsi="Century" w:cs="Miriam" w:hint="eastAsia"/>
          <w:b/>
          <w:spacing w:val="0"/>
          <w:sz w:val="22"/>
          <w:szCs w:val="24"/>
          <w:rtl/>
        </w:rPr>
        <w:t>נ</w:t>
      </w:r>
      <w:r w:rsidRPr="00C85502">
        <w:rPr>
          <w:rFonts w:ascii="Century" w:hAnsi="Century" w:cs="Miriam"/>
          <w:b/>
          <w:spacing w:val="0"/>
          <w:sz w:val="22"/>
          <w:szCs w:val="24"/>
          <w:rtl/>
        </w:rPr>
        <w:t xml:space="preserve">' </w:t>
      </w:r>
      <w:r w:rsidRPr="00C85502">
        <w:rPr>
          <w:rFonts w:ascii="Century" w:hAnsi="Century" w:cs="Miriam" w:hint="eastAsia"/>
          <w:b/>
          <w:spacing w:val="0"/>
          <w:sz w:val="22"/>
          <w:szCs w:val="24"/>
          <w:rtl/>
        </w:rPr>
        <w:t>פרוש</w:t>
      </w:r>
      <w:r w:rsidRPr="00C85502">
        <w:rPr>
          <w:rtl/>
        </w:rPr>
        <w:t xml:space="preserve">, </w:t>
      </w:r>
      <w:r w:rsidRPr="00C85502">
        <w:rPr>
          <w:rFonts w:hint="eastAsia"/>
          <w:rtl/>
        </w:rPr>
        <w:t>פסקה</w:t>
      </w:r>
      <w:r w:rsidRPr="00C85502">
        <w:rPr>
          <w:rtl/>
        </w:rPr>
        <w:t xml:space="preserve"> 3 (29.1.1998); </w:t>
      </w:r>
      <w:r w:rsidRPr="00C85502">
        <w:rPr>
          <w:rFonts w:hint="eastAsia"/>
          <w:rtl/>
        </w:rPr>
        <w:t>רע</w:t>
      </w:r>
      <w:r w:rsidRPr="00C85502">
        <w:rPr>
          <w:rtl/>
        </w:rPr>
        <w:t>"</w:t>
      </w:r>
      <w:r w:rsidRPr="00C85502">
        <w:rPr>
          <w:rFonts w:hint="eastAsia"/>
          <w:rtl/>
        </w:rPr>
        <w:t>א</w:t>
      </w:r>
      <w:r w:rsidRPr="00C85502">
        <w:rPr>
          <w:rtl/>
        </w:rPr>
        <w:t xml:space="preserve"> 3136/00 </w:t>
      </w:r>
      <w:proofErr w:type="spellStart"/>
      <w:r w:rsidRPr="00C85502">
        <w:rPr>
          <w:rFonts w:ascii="Century" w:hAnsi="Century" w:cs="Miriam" w:hint="eastAsia"/>
          <w:b/>
          <w:spacing w:val="0"/>
          <w:sz w:val="22"/>
          <w:szCs w:val="24"/>
          <w:rtl/>
        </w:rPr>
        <w:t>סלמאן</w:t>
      </w:r>
      <w:proofErr w:type="spellEnd"/>
      <w:r w:rsidRPr="00C85502">
        <w:rPr>
          <w:rFonts w:ascii="Century" w:hAnsi="Century" w:cs="Miriam"/>
          <w:b/>
          <w:spacing w:val="0"/>
          <w:sz w:val="22"/>
          <w:szCs w:val="24"/>
          <w:rtl/>
        </w:rPr>
        <w:t xml:space="preserve"> </w:t>
      </w:r>
      <w:r w:rsidRPr="00C85502">
        <w:rPr>
          <w:rFonts w:ascii="Century" w:hAnsi="Century" w:cs="Miriam" w:hint="eastAsia"/>
          <w:b/>
          <w:spacing w:val="0"/>
          <w:sz w:val="22"/>
          <w:szCs w:val="24"/>
          <w:rtl/>
        </w:rPr>
        <w:t>נ</w:t>
      </w:r>
      <w:r w:rsidRPr="00C85502">
        <w:rPr>
          <w:rFonts w:ascii="Century" w:hAnsi="Century" w:cs="Miriam"/>
          <w:b/>
          <w:spacing w:val="0"/>
          <w:sz w:val="22"/>
          <w:szCs w:val="24"/>
          <w:rtl/>
        </w:rPr>
        <w:t xml:space="preserve">' </w:t>
      </w:r>
      <w:proofErr w:type="spellStart"/>
      <w:r w:rsidRPr="00C85502">
        <w:rPr>
          <w:rFonts w:ascii="Century" w:hAnsi="Century" w:cs="Miriam" w:hint="eastAsia"/>
          <w:b/>
          <w:spacing w:val="0"/>
          <w:sz w:val="22"/>
          <w:szCs w:val="24"/>
          <w:rtl/>
        </w:rPr>
        <w:t>שוקייר</w:t>
      </w:r>
      <w:proofErr w:type="spellEnd"/>
      <w:r w:rsidRPr="00C85502">
        <w:rPr>
          <w:rtl/>
        </w:rPr>
        <w:t xml:space="preserve">, </w:t>
      </w:r>
      <w:r w:rsidRPr="00C85502">
        <w:rPr>
          <w:rFonts w:hint="eastAsia"/>
          <w:rtl/>
        </w:rPr>
        <w:t>פ</w:t>
      </w:r>
      <w:r w:rsidRPr="00C85502">
        <w:rPr>
          <w:rtl/>
        </w:rPr>
        <w:t>"</w:t>
      </w:r>
      <w:r w:rsidRPr="00C85502">
        <w:rPr>
          <w:rFonts w:hint="eastAsia"/>
          <w:rtl/>
        </w:rPr>
        <w:t>ד</w:t>
      </w:r>
      <w:r w:rsidRPr="00C85502">
        <w:rPr>
          <w:rtl/>
        </w:rPr>
        <w:t xml:space="preserve"> </w:t>
      </w:r>
      <w:proofErr w:type="spellStart"/>
      <w:r w:rsidRPr="00C85502">
        <w:rPr>
          <w:rFonts w:hint="eastAsia"/>
          <w:rtl/>
        </w:rPr>
        <w:t>נה</w:t>
      </w:r>
      <w:proofErr w:type="spellEnd"/>
      <w:r w:rsidRPr="00C85502">
        <w:rPr>
          <w:rtl/>
        </w:rPr>
        <w:t>(2) 97, 101 (2000)</w:t>
      </w:r>
      <w:r w:rsidRPr="007F4F68">
        <w:rPr>
          <w:rFonts w:hint="cs"/>
          <w:rtl/>
        </w:rPr>
        <w:t xml:space="preserve">). בסופו של יום, הערכאה הדיונית היא זאת שמנהלת את יומנה כשלנגד עיניה חובתה הציבורית לספק שירות משפטי הוגן ויעיל </w:t>
      </w:r>
      <w:r w:rsidRPr="007F4F68">
        <w:rPr>
          <w:rFonts w:ascii="Century" w:hAnsi="Century" w:cs="Miriam" w:hint="cs"/>
          <w:b/>
          <w:spacing w:val="0"/>
          <w:sz w:val="22"/>
          <w:szCs w:val="24"/>
          <w:rtl/>
        </w:rPr>
        <w:t>לכלל המתדיינים</w:t>
      </w:r>
      <w:r w:rsidRPr="007F4F68">
        <w:rPr>
          <w:rFonts w:hint="cs"/>
          <w:rtl/>
        </w:rPr>
        <w:t>, ולא רק לבעלי הדין אשר ניצבים לפניה (ראו:</w:t>
      </w:r>
      <w:r>
        <w:rPr>
          <w:rFonts w:hint="cs"/>
          <w:rtl/>
        </w:rPr>
        <w:t xml:space="preserve"> </w:t>
      </w:r>
      <w:r w:rsidRPr="00BF32C8">
        <w:rPr>
          <w:rFonts w:hint="eastAsia"/>
          <w:rtl/>
        </w:rPr>
        <w:t>רע</w:t>
      </w:r>
      <w:r w:rsidRPr="00BF32C8">
        <w:rPr>
          <w:rtl/>
        </w:rPr>
        <w:t>"</w:t>
      </w:r>
      <w:r w:rsidRPr="00BF32C8">
        <w:rPr>
          <w:rFonts w:hint="eastAsia"/>
          <w:rtl/>
        </w:rPr>
        <w:t>א</w:t>
      </w:r>
      <w:r w:rsidRPr="00BF32C8">
        <w:rPr>
          <w:rtl/>
        </w:rPr>
        <w:t xml:space="preserve"> 8327/05 </w:t>
      </w:r>
      <w:r w:rsidRPr="00BF32C8">
        <w:rPr>
          <w:rFonts w:ascii="Century" w:hAnsi="Century" w:cs="Miriam" w:hint="eastAsia"/>
          <w:b/>
          <w:spacing w:val="0"/>
          <w:sz w:val="22"/>
          <w:szCs w:val="24"/>
          <w:rtl/>
        </w:rPr>
        <w:t>צדיק</w:t>
      </w:r>
      <w:r w:rsidRPr="00BF32C8">
        <w:rPr>
          <w:rFonts w:ascii="Century" w:hAnsi="Century" w:cs="Miriam"/>
          <w:b/>
          <w:spacing w:val="0"/>
          <w:sz w:val="22"/>
          <w:szCs w:val="24"/>
          <w:rtl/>
        </w:rPr>
        <w:t xml:space="preserve"> </w:t>
      </w:r>
      <w:r w:rsidRPr="00BF32C8">
        <w:rPr>
          <w:rFonts w:ascii="Century" w:hAnsi="Century" w:cs="Miriam" w:hint="eastAsia"/>
          <w:b/>
          <w:spacing w:val="0"/>
          <w:sz w:val="22"/>
          <w:szCs w:val="24"/>
          <w:rtl/>
        </w:rPr>
        <w:t>נ</w:t>
      </w:r>
      <w:r w:rsidRPr="00BF32C8">
        <w:rPr>
          <w:rFonts w:ascii="Century" w:hAnsi="Century" w:cs="Miriam"/>
          <w:b/>
          <w:spacing w:val="0"/>
          <w:sz w:val="22"/>
          <w:szCs w:val="24"/>
          <w:rtl/>
        </w:rPr>
        <w:t xml:space="preserve">' </w:t>
      </w:r>
      <w:r w:rsidRPr="00BF32C8">
        <w:rPr>
          <w:rFonts w:ascii="Century" w:hAnsi="Century" w:cs="Miriam" w:hint="eastAsia"/>
          <w:b/>
          <w:spacing w:val="0"/>
          <w:sz w:val="22"/>
          <w:szCs w:val="24"/>
          <w:rtl/>
        </w:rPr>
        <w:t>פנימי</w:t>
      </w:r>
      <w:r>
        <w:rPr>
          <w:rFonts w:hint="cs"/>
          <w:rtl/>
        </w:rPr>
        <w:t>, פסקה 4 והאסמכתאות שם</w:t>
      </w:r>
      <w:r w:rsidRPr="00BF32C8">
        <w:rPr>
          <w:rtl/>
        </w:rPr>
        <w:t xml:space="preserve"> (14.</w:t>
      </w:r>
      <w:r>
        <w:rPr>
          <w:rFonts w:hint="cs"/>
          <w:rtl/>
        </w:rPr>
        <w:t>9</w:t>
      </w:r>
      <w:r w:rsidRPr="00BF32C8">
        <w:rPr>
          <w:rtl/>
        </w:rPr>
        <w:t>.2005)</w:t>
      </w:r>
      <w:r w:rsidRPr="007F4F68">
        <w:rPr>
          <w:rFonts w:hint="cs"/>
          <w:rtl/>
        </w:rPr>
        <w:t>).</w:t>
      </w:r>
      <w:r>
        <w:rPr>
          <w:rFonts w:hint="cs"/>
          <w:rtl/>
        </w:rPr>
        <w:t xml:space="preserve"> מטעמים אלו, כבר הזדמן לי להעיר כי "פרוצדורה אזרחית איננה '</w:t>
      </w:r>
      <w:proofErr w:type="spellStart"/>
      <w:r>
        <w:rPr>
          <w:rFonts w:hint="cs"/>
          <w:rtl/>
        </w:rPr>
        <w:t>תוכנית</w:t>
      </w:r>
      <w:proofErr w:type="spellEnd"/>
      <w:r>
        <w:rPr>
          <w:rFonts w:hint="cs"/>
          <w:rtl/>
        </w:rPr>
        <w:t xml:space="preserve"> כבקשתך'" (ראו: </w:t>
      </w:r>
      <w:r w:rsidRPr="00AA6069">
        <w:rPr>
          <w:rFonts w:hint="eastAsia"/>
          <w:rtl/>
        </w:rPr>
        <w:t>ע</w:t>
      </w:r>
      <w:r w:rsidRPr="00AA6069">
        <w:rPr>
          <w:rtl/>
        </w:rPr>
        <w:t>"</w:t>
      </w:r>
      <w:r w:rsidRPr="00AA6069">
        <w:rPr>
          <w:rFonts w:hint="eastAsia"/>
          <w:rtl/>
        </w:rPr>
        <w:t>א</w:t>
      </w:r>
      <w:r w:rsidRPr="00AA6069">
        <w:rPr>
          <w:rtl/>
        </w:rPr>
        <w:t xml:space="preserve"> 5400/18 </w:t>
      </w:r>
      <w:proofErr w:type="spellStart"/>
      <w:r w:rsidRPr="00AA6069">
        <w:rPr>
          <w:rFonts w:ascii="Century" w:hAnsi="Century" w:cs="Miriam" w:hint="eastAsia"/>
          <w:b/>
          <w:spacing w:val="0"/>
          <w:sz w:val="22"/>
          <w:szCs w:val="24"/>
          <w:rtl/>
        </w:rPr>
        <w:t>מיר</w:t>
      </w:r>
      <w:proofErr w:type="spellEnd"/>
      <w:r w:rsidRPr="00AA6069">
        <w:rPr>
          <w:rFonts w:ascii="Century" w:hAnsi="Century" w:cs="Miriam"/>
          <w:b/>
          <w:spacing w:val="0"/>
          <w:sz w:val="22"/>
          <w:szCs w:val="24"/>
          <w:rtl/>
        </w:rPr>
        <w:t xml:space="preserve"> </w:t>
      </w:r>
      <w:r w:rsidRPr="00AA6069">
        <w:rPr>
          <w:rFonts w:ascii="Century" w:hAnsi="Century" w:cs="Miriam" w:hint="eastAsia"/>
          <w:b/>
          <w:spacing w:val="0"/>
          <w:sz w:val="22"/>
          <w:szCs w:val="24"/>
          <w:rtl/>
        </w:rPr>
        <w:t>נ</w:t>
      </w:r>
      <w:r w:rsidRPr="00AA6069">
        <w:rPr>
          <w:rFonts w:ascii="Century" w:hAnsi="Century" w:cs="Miriam"/>
          <w:b/>
          <w:spacing w:val="0"/>
          <w:sz w:val="22"/>
          <w:szCs w:val="24"/>
          <w:rtl/>
        </w:rPr>
        <w:t xml:space="preserve">' </w:t>
      </w:r>
      <w:r w:rsidRPr="00AA6069">
        <w:rPr>
          <w:rFonts w:ascii="Century" w:hAnsi="Century" w:cs="Miriam" w:hint="eastAsia"/>
          <w:b/>
          <w:spacing w:val="0"/>
          <w:sz w:val="22"/>
          <w:szCs w:val="24"/>
          <w:rtl/>
        </w:rPr>
        <w:t>מירון</w:t>
      </w:r>
      <w:r>
        <w:rPr>
          <w:rFonts w:hint="cs"/>
          <w:rtl/>
        </w:rPr>
        <w:t xml:space="preserve">, פסקה 1 לפסק דיני </w:t>
      </w:r>
      <w:r w:rsidRPr="00AA6069">
        <w:rPr>
          <w:rtl/>
        </w:rPr>
        <w:t>(28.</w:t>
      </w:r>
      <w:r>
        <w:rPr>
          <w:rFonts w:hint="cs"/>
          <w:rtl/>
        </w:rPr>
        <w:t>1</w:t>
      </w:r>
      <w:r w:rsidRPr="00AA6069">
        <w:rPr>
          <w:rtl/>
        </w:rPr>
        <w:t>.2019)</w:t>
      </w:r>
      <w:r>
        <w:rPr>
          <w:rFonts w:hint="cs"/>
          <w:rtl/>
        </w:rPr>
        <w:t xml:space="preserve">). לזאת אוסיף כי לבקשת הדחייה לא </w:t>
      </w:r>
      <w:proofErr w:type="spellStart"/>
      <w:r>
        <w:rPr>
          <w:rFonts w:hint="cs"/>
          <w:rtl/>
        </w:rPr>
        <w:t>היתה</w:t>
      </w:r>
      <w:proofErr w:type="spellEnd"/>
      <w:r>
        <w:rPr>
          <w:rFonts w:hint="cs"/>
          <w:rtl/>
        </w:rPr>
        <w:t xml:space="preserve"> כל הצדקה בהקשרו של מימון אשר ניתן על ידי עירוני קריית שמונה כדי לספק לשחקניה תזונה, טלפונים ניידים ואירועי גיבוש. מדובר בנושאים פשוטים למדי ובשדה משפטי מוכר וחרוש לאורך ולרוחב. מייצגי הקבוצה יכלו אפוא להכין את התצהירים והתיעוד הדרושים ללא כל קושי בזמנים שהוקצבו להם על ידי בית משפט קמא.</w:t>
      </w:r>
    </w:p>
    <w:p w:rsidR="00245254" w:rsidRDefault="00245254" w:rsidP="00245254">
      <w:pPr>
        <w:pStyle w:val="Ruller4"/>
        <w:spacing w:before="240" w:after="100" w:afterAutospacing="1"/>
      </w:pPr>
      <w:r>
        <w:rPr>
          <w:rFonts w:hint="cs"/>
          <w:rtl/>
        </w:rPr>
        <w:t xml:space="preserve">באשר לזכאות להטבת יישוב מוטב ובכל הקשור למימון הדיור והלינה בקריית שמונה, שהקבוצה העניקה לשחקניה </w:t>
      </w:r>
      <w:r>
        <w:rPr>
          <w:rtl/>
        </w:rPr>
        <w:t>–</w:t>
      </w:r>
      <w:r>
        <w:rPr>
          <w:rFonts w:hint="cs"/>
          <w:rtl/>
        </w:rPr>
        <w:t xml:space="preserve"> נושאים אלה העלו לדיון שאלות מורכבות יותר אשר טרם הוכרעו בפסיקתנו בהקשרו של ספורט מקצועני בכלל וכדורגל מקצועני בפרט. מסיבה זו, ייתכן והיה מקום להיעתר לבקשת הדחייה בהקשרם של שני נושאים אלו כדי לאפשר לקבוצה להניח תשתית עובדתית רחבה יותר מזו שעמדה לנגד עיניו של בית משפט קמא. </w:t>
      </w:r>
    </w:p>
    <w:p w:rsidR="00245254" w:rsidRDefault="00245254" w:rsidP="00245254">
      <w:pPr>
        <w:pStyle w:val="Ruller4"/>
        <w:numPr>
          <w:ilvl w:val="0"/>
          <w:numId w:val="0"/>
        </w:numPr>
        <w:spacing w:before="240" w:after="100" w:afterAutospacing="1"/>
        <w:rPr>
          <w:rtl/>
        </w:rPr>
      </w:pPr>
      <w:r>
        <w:rPr>
          <w:rtl/>
        </w:rPr>
        <w:tab/>
      </w:r>
      <w:r>
        <w:rPr>
          <w:rFonts w:hint="cs"/>
          <w:rtl/>
        </w:rPr>
        <w:t xml:space="preserve">בהקשר זה חובה עלינו לזכור את דבריו של השופט </w:t>
      </w:r>
      <w:r w:rsidRPr="00015070">
        <w:rPr>
          <w:rFonts w:ascii="Century" w:hAnsi="Century" w:cs="Miriam" w:hint="cs"/>
          <w:b/>
          <w:spacing w:val="0"/>
          <w:sz w:val="22"/>
          <w:szCs w:val="24"/>
          <w:rtl/>
        </w:rPr>
        <w:t xml:space="preserve">מ' </w:t>
      </w:r>
      <w:proofErr w:type="spellStart"/>
      <w:r w:rsidRPr="00015070">
        <w:rPr>
          <w:rFonts w:ascii="Century" w:hAnsi="Century" w:cs="Miriam" w:hint="cs"/>
          <w:b/>
          <w:spacing w:val="0"/>
          <w:sz w:val="22"/>
          <w:szCs w:val="24"/>
          <w:rtl/>
        </w:rPr>
        <w:t>לנדוי</w:t>
      </w:r>
      <w:proofErr w:type="spellEnd"/>
      <w:r>
        <w:rPr>
          <w:rFonts w:hint="cs"/>
          <w:rtl/>
        </w:rPr>
        <w:t xml:space="preserve"> כי </w:t>
      </w:r>
      <w:r>
        <w:rPr>
          <w:rtl/>
        </w:rPr>
        <w:t>–</w:t>
      </w:r>
    </w:p>
    <w:p w:rsidR="00245254" w:rsidRPr="00222E1B" w:rsidRDefault="00245254" w:rsidP="00245254">
      <w:pPr>
        <w:pStyle w:val="Ruller5"/>
        <w:spacing w:before="240" w:after="100" w:afterAutospacing="1"/>
        <w:rPr>
          <w:rtl/>
        </w:rPr>
      </w:pPr>
      <w:r>
        <w:rPr>
          <w:rFonts w:hint="cs"/>
          <w:rtl/>
        </w:rPr>
        <w:lastRenderedPageBreak/>
        <w:t>"</w:t>
      </w:r>
      <w:r>
        <w:rPr>
          <w:rtl/>
        </w:rPr>
        <w:t>בדונו בערעור מס הכנסה יושב בית</w:t>
      </w:r>
      <w:r>
        <w:rPr>
          <w:rFonts w:hint="cs"/>
          <w:rtl/>
        </w:rPr>
        <w:t>-</w:t>
      </w:r>
      <w:r>
        <w:rPr>
          <w:rtl/>
        </w:rPr>
        <w:t>המשפט לא רק כפוסק בין שני בעלי</w:t>
      </w:r>
      <w:r>
        <w:rPr>
          <w:rFonts w:hint="cs"/>
          <w:rtl/>
        </w:rPr>
        <w:t>-</w:t>
      </w:r>
      <w:r>
        <w:rPr>
          <w:rtl/>
        </w:rPr>
        <w:t>הדין כמו בערעור אזרחי, אלא על</w:t>
      </w:r>
      <w:r>
        <w:rPr>
          <w:rFonts w:hint="cs"/>
          <w:rtl/>
        </w:rPr>
        <w:t>-</w:t>
      </w:r>
      <w:r>
        <w:rPr>
          <w:rtl/>
        </w:rPr>
        <w:t>ידי הגשת הערעור נפתח פתח לעיון נוסף בשומה שנעשתה על</w:t>
      </w:r>
      <w:r>
        <w:rPr>
          <w:rFonts w:hint="cs"/>
          <w:rtl/>
        </w:rPr>
        <w:t>-</w:t>
      </w:r>
      <w:r>
        <w:rPr>
          <w:rtl/>
        </w:rPr>
        <w:t>ידי פקיד השומה, ומוטלת חובה על בית</w:t>
      </w:r>
      <w:r>
        <w:rPr>
          <w:rFonts w:hint="cs"/>
          <w:rtl/>
        </w:rPr>
        <w:t>-</w:t>
      </w:r>
      <w:r>
        <w:rPr>
          <w:rtl/>
        </w:rPr>
        <w:t xml:space="preserve">המשפט לא רק כלפי </w:t>
      </w:r>
      <w:proofErr w:type="spellStart"/>
      <w:r>
        <w:rPr>
          <w:rtl/>
        </w:rPr>
        <w:t>הנשום</w:t>
      </w:r>
      <w:proofErr w:type="spellEnd"/>
      <w:r>
        <w:rPr>
          <w:rtl/>
        </w:rPr>
        <w:t xml:space="preserve"> המערער, אלא גם כלפי הציבור כולו, שלו ענין בכך שהשומה תהיה</w:t>
      </w:r>
      <w:r>
        <w:rPr>
          <w:rFonts w:hint="cs"/>
          <w:rtl/>
        </w:rPr>
        <w:t xml:space="preserve"> שומת אמת." (ראו: </w:t>
      </w:r>
      <w:r w:rsidRPr="00222E1B">
        <w:rPr>
          <w:rFonts w:hint="eastAsia"/>
          <w:rtl/>
        </w:rPr>
        <w:t>ע</w:t>
      </w:r>
      <w:r w:rsidRPr="00222E1B">
        <w:rPr>
          <w:rtl/>
        </w:rPr>
        <w:t>"</w:t>
      </w:r>
      <w:r w:rsidRPr="00222E1B">
        <w:rPr>
          <w:rFonts w:hint="eastAsia"/>
          <w:rtl/>
        </w:rPr>
        <w:t>א</w:t>
      </w:r>
      <w:r w:rsidRPr="00222E1B">
        <w:rPr>
          <w:rtl/>
        </w:rPr>
        <w:t xml:space="preserve"> 495/63 </w:t>
      </w:r>
      <w:proofErr w:type="spellStart"/>
      <w:r w:rsidRPr="00015070">
        <w:rPr>
          <w:rFonts w:ascii="Century" w:hAnsi="Century" w:cs="Miriam" w:hint="eastAsia"/>
          <w:b/>
          <w:spacing w:val="0"/>
          <w:szCs w:val="24"/>
          <w:rtl/>
        </w:rPr>
        <w:t>מלכוב</w:t>
      </w:r>
      <w:proofErr w:type="spellEnd"/>
      <w:r w:rsidRPr="00015070">
        <w:rPr>
          <w:rFonts w:ascii="Century" w:hAnsi="Century" w:cs="Miriam"/>
          <w:b/>
          <w:spacing w:val="0"/>
          <w:szCs w:val="24"/>
          <w:rtl/>
        </w:rPr>
        <w:t xml:space="preserve"> </w:t>
      </w:r>
      <w:r w:rsidRPr="00015070">
        <w:rPr>
          <w:rFonts w:ascii="Century" w:hAnsi="Century" w:cs="Miriam" w:hint="eastAsia"/>
          <w:b/>
          <w:spacing w:val="0"/>
          <w:szCs w:val="24"/>
          <w:rtl/>
        </w:rPr>
        <w:t>נ</w:t>
      </w:r>
      <w:r w:rsidRPr="00015070">
        <w:rPr>
          <w:rFonts w:ascii="Century" w:hAnsi="Century" w:cs="Miriam"/>
          <w:b/>
          <w:spacing w:val="0"/>
          <w:szCs w:val="24"/>
          <w:rtl/>
        </w:rPr>
        <w:t xml:space="preserve">' </w:t>
      </w:r>
      <w:r w:rsidRPr="00015070">
        <w:rPr>
          <w:rFonts w:ascii="Century" w:hAnsi="Century" w:cs="Miriam" w:hint="eastAsia"/>
          <w:b/>
          <w:spacing w:val="0"/>
          <w:szCs w:val="24"/>
          <w:rtl/>
        </w:rPr>
        <w:t>פקיד</w:t>
      </w:r>
      <w:r w:rsidRPr="00015070">
        <w:rPr>
          <w:rFonts w:ascii="Century" w:hAnsi="Century" w:cs="Miriam"/>
          <w:b/>
          <w:spacing w:val="0"/>
          <w:szCs w:val="24"/>
          <w:rtl/>
        </w:rPr>
        <w:t xml:space="preserve"> </w:t>
      </w:r>
      <w:r w:rsidRPr="00015070">
        <w:rPr>
          <w:rFonts w:ascii="Century" w:hAnsi="Century" w:cs="Miriam" w:hint="eastAsia"/>
          <w:b/>
          <w:spacing w:val="0"/>
          <w:szCs w:val="24"/>
          <w:rtl/>
        </w:rPr>
        <w:t>השומה</w:t>
      </w:r>
      <w:r w:rsidRPr="00015070">
        <w:rPr>
          <w:rFonts w:ascii="Century" w:hAnsi="Century" w:cs="Miriam"/>
          <w:b/>
          <w:spacing w:val="0"/>
          <w:szCs w:val="24"/>
          <w:rtl/>
        </w:rPr>
        <w:t xml:space="preserve">, </w:t>
      </w:r>
      <w:r w:rsidRPr="00015070">
        <w:rPr>
          <w:rFonts w:ascii="Century" w:hAnsi="Century" w:cs="Miriam" w:hint="eastAsia"/>
          <w:b/>
          <w:spacing w:val="0"/>
          <w:szCs w:val="24"/>
          <w:rtl/>
        </w:rPr>
        <w:t>תל</w:t>
      </w:r>
      <w:r w:rsidRPr="00015070">
        <w:rPr>
          <w:rFonts w:ascii="Century" w:hAnsi="Century" w:cs="Miriam" w:hint="cs"/>
          <w:b/>
          <w:spacing w:val="0"/>
          <w:szCs w:val="24"/>
          <w:rtl/>
        </w:rPr>
        <w:t>-</w:t>
      </w:r>
      <w:r w:rsidRPr="00015070">
        <w:rPr>
          <w:rFonts w:ascii="Century" w:hAnsi="Century" w:cs="Miriam" w:hint="eastAsia"/>
          <w:b/>
          <w:spacing w:val="0"/>
          <w:szCs w:val="24"/>
          <w:rtl/>
        </w:rPr>
        <w:t>אביב</w:t>
      </w:r>
      <w:r w:rsidRPr="00222E1B">
        <w:rPr>
          <w:rtl/>
        </w:rPr>
        <w:t xml:space="preserve">, </w:t>
      </w:r>
      <w:r>
        <w:rPr>
          <w:rFonts w:hint="cs"/>
          <w:rtl/>
        </w:rPr>
        <w:t xml:space="preserve">פ"ד </w:t>
      </w:r>
      <w:proofErr w:type="spellStart"/>
      <w:r w:rsidRPr="00222E1B">
        <w:rPr>
          <w:rFonts w:hint="eastAsia"/>
          <w:rtl/>
        </w:rPr>
        <w:t>יח</w:t>
      </w:r>
      <w:proofErr w:type="spellEnd"/>
      <w:r w:rsidRPr="00222E1B">
        <w:rPr>
          <w:rtl/>
        </w:rPr>
        <w:t>(2) 683</w:t>
      </w:r>
      <w:r>
        <w:rPr>
          <w:rFonts w:hint="cs"/>
          <w:rtl/>
        </w:rPr>
        <w:t>, 686ד</w:t>
      </w:r>
      <w:r w:rsidRPr="00222E1B">
        <w:rPr>
          <w:rtl/>
        </w:rPr>
        <w:t xml:space="preserve"> (1964)</w:t>
      </w:r>
      <w:r>
        <w:rPr>
          <w:rFonts w:hint="cs"/>
          <w:rtl/>
        </w:rPr>
        <w:t xml:space="preserve"> (להלן: עניין </w:t>
      </w:r>
      <w:proofErr w:type="spellStart"/>
      <w:r w:rsidRPr="00015070">
        <w:rPr>
          <w:rFonts w:ascii="Century" w:hAnsi="Century" w:cs="Miriam" w:hint="cs"/>
          <w:b/>
          <w:spacing w:val="0"/>
          <w:szCs w:val="24"/>
          <w:rtl/>
        </w:rPr>
        <w:t>מלכוב</w:t>
      </w:r>
      <w:proofErr w:type="spellEnd"/>
      <w:r>
        <w:rPr>
          <w:rFonts w:hint="cs"/>
          <w:rtl/>
        </w:rPr>
        <w:t>)).</w:t>
      </w:r>
    </w:p>
    <w:p w:rsidR="00245254" w:rsidRDefault="00245254" w:rsidP="00245254">
      <w:pPr>
        <w:pStyle w:val="Ruller4"/>
        <w:spacing w:before="240" w:after="100" w:afterAutospacing="1"/>
      </w:pPr>
      <w:r>
        <w:rPr>
          <w:rFonts w:hint="cs"/>
          <w:rtl/>
        </w:rPr>
        <w:t xml:space="preserve">ברם, שיקול הדעת שניתן </w:t>
      </w:r>
      <w:proofErr w:type="spellStart"/>
      <w:r>
        <w:rPr>
          <w:rFonts w:hint="cs"/>
          <w:rtl/>
        </w:rPr>
        <w:t>בכגון</w:t>
      </w:r>
      <w:proofErr w:type="spellEnd"/>
      <w:r>
        <w:rPr>
          <w:rFonts w:hint="cs"/>
          <w:rtl/>
        </w:rPr>
        <w:t xml:space="preserve"> דא לבית משפט קמא הוא שלו, ולא שלי. בית משפט קמא הפעיל שיקול דעת זה באופן ענייני ועל כן </w:t>
      </w:r>
      <w:r>
        <w:rPr>
          <w:rtl/>
        </w:rPr>
        <w:t>–</w:t>
      </w:r>
      <w:r>
        <w:rPr>
          <w:rFonts w:hint="cs"/>
          <w:rtl/>
        </w:rPr>
        <w:t xml:space="preserve"> חרף הספק שהעליתי </w:t>
      </w:r>
      <w:r>
        <w:rPr>
          <w:rtl/>
        </w:rPr>
        <w:t>–</w:t>
      </w:r>
      <w:r>
        <w:rPr>
          <w:rFonts w:hint="cs"/>
          <w:rtl/>
        </w:rPr>
        <w:t xml:space="preserve"> לא אכנס לנעליו. </w:t>
      </w:r>
    </w:p>
    <w:p w:rsidR="00245254" w:rsidRPr="0057572F" w:rsidRDefault="00245254" w:rsidP="00245254">
      <w:pPr>
        <w:pStyle w:val="Ruller4"/>
        <w:spacing w:before="240" w:after="100" w:afterAutospacing="1"/>
      </w:pPr>
      <w:r>
        <w:rPr>
          <w:rFonts w:hint="cs"/>
          <w:rtl/>
        </w:rPr>
        <w:t xml:space="preserve">לא זו אף זו: במבחן התוצאה, המסקנה אליה הגעתי בעניינה של זכאות שחקני עירוני קריית שמונה להטבת יישוב מוטב ממילא מייתרת את טרוניית הקבוצה בהקשר זה. הדיון בטרוניית הקבוצה באשר לאי-מתן הארכה המוסכמת בהקשרו של מימון הדיור והלינה כהטבה שהמעביד נותן לעובדיו, מתייתר אף הוא. כפי שכבר ציינתי, אחרי שידענו כי שחקני עירוני קריית שמונה קבעו את מרכז חייהם בעיר זו, ועל ידי כך נמצאו זכאים להטבת יישוב מוטב, בין היתר, בזכות הדיור והלינה בעיר אשר מומנו מכספי הקבוצה </w:t>
      </w:r>
      <w:r>
        <w:rPr>
          <w:rtl/>
        </w:rPr>
        <w:t>–</w:t>
      </w:r>
      <w:r>
        <w:rPr>
          <w:rFonts w:hint="cs"/>
          <w:rtl/>
        </w:rPr>
        <w:t xml:space="preserve"> על-כורחנו מגיעים אנו למסקנה כי מימון זה הוא בגדר "טובת הנאה ממעביד", שבגינה יש למסות את השחקנים כמצווה בסעיף 2(2)(א) לפקודת מס הכנסה.</w:t>
      </w:r>
    </w:p>
    <w:p w:rsidR="00245254" w:rsidRPr="001836FB" w:rsidRDefault="00245254" w:rsidP="00245254">
      <w:pPr>
        <w:pStyle w:val="Ruller41"/>
        <w:spacing w:before="240" w:after="100" w:afterAutospacing="1"/>
        <w:rPr>
          <w:rFonts w:ascii="Century" w:hAnsi="Century" w:cs="Miriam"/>
          <w:b/>
          <w:spacing w:val="0"/>
          <w:szCs w:val="24"/>
          <w:rtl/>
        </w:rPr>
      </w:pPr>
      <w:r>
        <w:rPr>
          <w:rFonts w:ascii="Century" w:hAnsi="Century" w:cs="Miriam" w:hint="cs"/>
          <w:b/>
          <w:spacing w:val="0"/>
          <w:szCs w:val="24"/>
          <w:rtl/>
        </w:rPr>
        <w:t>הטבת יישוב מוטב</w:t>
      </w:r>
    </w:p>
    <w:p w:rsidR="00245254" w:rsidRPr="00F17F48" w:rsidRDefault="00245254" w:rsidP="00245254">
      <w:pPr>
        <w:pStyle w:val="Ruller41"/>
        <w:spacing w:before="240" w:after="100" w:afterAutospacing="1"/>
        <w:rPr>
          <w:rFonts w:ascii="Century" w:hAnsi="Century" w:cs="Miriam"/>
          <w:b/>
          <w:spacing w:val="0"/>
          <w:szCs w:val="24"/>
          <w:rtl/>
        </w:rPr>
      </w:pPr>
      <w:r>
        <w:rPr>
          <w:rFonts w:ascii="Century" w:hAnsi="Century" w:cs="Miriam" w:hint="cs"/>
          <w:b/>
          <w:spacing w:val="0"/>
          <w:szCs w:val="24"/>
          <w:rtl/>
        </w:rPr>
        <w:t xml:space="preserve">משמעות המונח "מרכז חייו" לעניין </w:t>
      </w:r>
      <w:r w:rsidRPr="00F17F48">
        <w:rPr>
          <w:rFonts w:ascii="Century" w:hAnsi="Century" w:cs="Miriam" w:hint="cs"/>
          <w:b/>
          <w:spacing w:val="0"/>
          <w:szCs w:val="24"/>
          <w:rtl/>
        </w:rPr>
        <w:t>סעיף 11 לפקודת מס הכנסה</w:t>
      </w:r>
    </w:p>
    <w:p w:rsidR="00245254" w:rsidRDefault="00245254" w:rsidP="00245254">
      <w:pPr>
        <w:pStyle w:val="Ruller4"/>
        <w:spacing w:before="240" w:after="100" w:afterAutospacing="1"/>
      </w:pPr>
      <w:r>
        <w:rPr>
          <w:rFonts w:hint="cs"/>
          <w:rtl/>
        </w:rPr>
        <w:t>סעיף 11 לפקודת מס הכנסה, שכותרתו "הטבות מס ביישובים" מעניק הטבות מס שונות לתושבי היישובים הזכאים לכך, אשר כוללים יישובי סְפָר כדוגמת העיר קריית שמונה. לפי הוראת הסעיף, "</w:t>
      </w:r>
      <w:r w:rsidRPr="005616BD">
        <w:rPr>
          <w:rFonts w:hint="eastAsia"/>
          <w:rtl/>
        </w:rPr>
        <w:t>תושב</w:t>
      </w:r>
      <w:r>
        <w:rPr>
          <w:rFonts w:hint="cs"/>
          <w:rtl/>
        </w:rPr>
        <w:t xml:space="preserve"> ...</w:t>
      </w:r>
      <w:r w:rsidRPr="005616BD">
        <w:rPr>
          <w:rtl/>
        </w:rPr>
        <w:t xml:space="preserve"> </w:t>
      </w:r>
      <w:r w:rsidRPr="005616BD">
        <w:rPr>
          <w:rFonts w:hint="eastAsia"/>
          <w:rtl/>
        </w:rPr>
        <w:t>ביישוב</w:t>
      </w:r>
      <w:r w:rsidRPr="005616BD">
        <w:rPr>
          <w:rtl/>
        </w:rPr>
        <w:t xml:space="preserve"> </w:t>
      </w:r>
      <w:r w:rsidRPr="005616BD">
        <w:rPr>
          <w:rFonts w:hint="eastAsia"/>
          <w:rtl/>
        </w:rPr>
        <w:t>מסוים</w:t>
      </w:r>
      <w:r>
        <w:rPr>
          <w:rFonts w:hint="cs"/>
          <w:rtl/>
        </w:rPr>
        <w:t>" הוא "</w:t>
      </w:r>
      <w:r w:rsidRPr="005616BD">
        <w:rPr>
          <w:rFonts w:hint="eastAsia"/>
          <w:rtl/>
        </w:rPr>
        <w:t>יחיד</w:t>
      </w:r>
      <w:r w:rsidRPr="005616BD">
        <w:rPr>
          <w:rtl/>
        </w:rPr>
        <w:t xml:space="preserve"> </w:t>
      </w:r>
      <w:r w:rsidRPr="005616BD">
        <w:rPr>
          <w:rFonts w:hint="eastAsia"/>
          <w:rtl/>
        </w:rPr>
        <w:t>שמרכז</w:t>
      </w:r>
      <w:r w:rsidRPr="005616BD">
        <w:rPr>
          <w:rtl/>
        </w:rPr>
        <w:t xml:space="preserve"> </w:t>
      </w:r>
      <w:r w:rsidRPr="005616BD">
        <w:rPr>
          <w:rFonts w:hint="eastAsia"/>
          <w:rtl/>
        </w:rPr>
        <w:t>חייו</w:t>
      </w:r>
      <w:r w:rsidRPr="005616BD">
        <w:rPr>
          <w:rtl/>
        </w:rPr>
        <w:t xml:space="preserve"> </w:t>
      </w:r>
      <w:r w:rsidRPr="005616BD">
        <w:rPr>
          <w:rFonts w:hint="eastAsia"/>
          <w:rtl/>
        </w:rPr>
        <w:t>באותו</w:t>
      </w:r>
      <w:r w:rsidRPr="005616BD">
        <w:rPr>
          <w:rtl/>
        </w:rPr>
        <w:t xml:space="preserve"> </w:t>
      </w:r>
      <w:r w:rsidRPr="005616BD">
        <w:rPr>
          <w:rFonts w:hint="eastAsia"/>
          <w:rtl/>
        </w:rPr>
        <w:t>יישוב</w:t>
      </w:r>
      <w:r>
        <w:rPr>
          <w:rFonts w:hint="cs"/>
          <w:rtl/>
        </w:rPr>
        <w:t>" (ראו: סעיף 11(א) לפקודה)</w:t>
      </w:r>
      <w:r w:rsidRPr="005616BD">
        <w:rPr>
          <w:rtl/>
        </w:rPr>
        <w:t>.</w:t>
      </w:r>
      <w:r>
        <w:rPr>
          <w:rFonts w:hint="cs"/>
          <w:rtl/>
        </w:rPr>
        <w:t xml:space="preserve"> השאלה בה עלינו לדון ולהכריע היא זאת: כיצד נבחן היכן נמצא "מרכז חייו" של אדם לעניין סעיף 11(א) לפקודה? בהמשך לשאלה זו, אדון בשאלת היחס בין הגדרת "תושב ביישוב מסוים" </w:t>
      </w:r>
      <w:r>
        <w:rPr>
          <w:rtl/>
        </w:rPr>
        <w:t>–</w:t>
      </w:r>
      <w:r>
        <w:rPr>
          <w:rFonts w:hint="cs"/>
          <w:rtl/>
        </w:rPr>
        <w:t xml:space="preserve"> שכאמור נקבעה בסעיף 11(א) לפקודה </w:t>
      </w:r>
      <w:r>
        <w:rPr>
          <w:rtl/>
        </w:rPr>
        <w:t>–</w:t>
      </w:r>
      <w:r>
        <w:rPr>
          <w:rFonts w:hint="cs"/>
          <w:rtl/>
        </w:rPr>
        <w:t xml:space="preserve"> לבין הגדרת "תושב או תושב ישראל" שבסעיף 1 לפקודה אשר משמשת הגדרה כללית של תושבוּת.</w:t>
      </w:r>
    </w:p>
    <w:p w:rsidR="00245254" w:rsidRDefault="00245254" w:rsidP="00245254">
      <w:pPr>
        <w:pStyle w:val="Ruller4"/>
        <w:spacing w:before="240" w:after="100" w:afterAutospacing="1"/>
      </w:pPr>
      <w:r>
        <w:rPr>
          <w:rFonts w:hint="cs"/>
          <w:rtl/>
        </w:rPr>
        <w:t xml:space="preserve">בדומה להגדרת "תושב ביישוב מסוים" שבסעיף 11(א) לפקודת מס הכנסה, סעיף 1 לפקודה </w:t>
      </w:r>
      <w:r>
        <w:rPr>
          <w:rtl/>
        </w:rPr>
        <w:t>–</w:t>
      </w:r>
      <w:r>
        <w:rPr>
          <w:rFonts w:hint="cs"/>
          <w:rtl/>
        </w:rPr>
        <w:t xml:space="preserve"> הוא סעיף ההגדרות הכללי </w:t>
      </w:r>
      <w:r>
        <w:rPr>
          <w:rtl/>
        </w:rPr>
        <w:t>–</w:t>
      </w:r>
      <w:r>
        <w:rPr>
          <w:rFonts w:hint="cs"/>
          <w:rtl/>
        </w:rPr>
        <w:t xml:space="preserve"> מגדיר "תושב ישראל" או "תושב" כ"מי שמרכז חייו בישראל". לנוכח דמיון זה, בחן השופט </w:t>
      </w:r>
      <w:r>
        <w:rPr>
          <w:rFonts w:ascii="Century" w:hAnsi="Century" w:cs="Miriam" w:hint="cs"/>
          <w:b/>
          <w:spacing w:val="0"/>
          <w:sz w:val="22"/>
          <w:szCs w:val="24"/>
          <w:rtl/>
        </w:rPr>
        <w:t xml:space="preserve">ס' ג'ובראן </w:t>
      </w:r>
      <w:r>
        <w:rPr>
          <w:rFonts w:hint="cs"/>
          <w:rtl/>
        </w:rPr>
        <w:t>ב</w:t>
      </w:r>
      <w:r w:rsidRPr="002709D7">
        <w:rPr>
          <w:rFonts w:hint="eastAsia"/>
          <w:rtl/>
        </w:rPr>
        <w:t>ע</w:t>
      </w:r>
      <w:r w:rsidRPr="002709D7">
        <w:rPr>
          <w:rtl/>
        </w:rPr>
        <w:t>"</w:t>
      </w:r>
      <w:r w:rsidRPr="002709D7">
        <w:rPr>
          <w:rFonts w:hint="eastAsia"/>
          <w:rtl/>
        </w:rPr>
        <w:t>א</w:t>
      </w:r>
      <w:r>
        <w:rPr>
          <w:rFonts w:hint="cs"/>
          <w:rtl/>
        </w:rPr>
        <w:t xml:space="preserve"> </w:t>
      </w:r>
      <w:r w:rsidRPr="002709D7">
        <w:rPr>
          <w:rtl/>
        </w:rPr>
        <w:t>8234/11</w:t>
      </w:r>
      <w:r>
        <w:rPr>
          <w:rFonts w:hint="cs"/>
          <w:rtl/>
        </w:rPr>
        <w:t xml:space="preserve"> </w:t>
      </w:r>
      <w:proofErr w:type="spellStart"/>
      <w:r w:rsidRPr="00C0460B">
        <w:rPr>
          <w:rFonts w:ascii="Century" w:hAnsi="Century" w:cs="Miriam" w:hint="cs"/>
          <w:b/>
          <w:spacing w:val="0"/>
          <w:szCs w:val="24"/>
          <w:rtl/>
        </w:rPr>
        <w:t>בלטינסקי</w:t>
      </w:r>
      <w:proofErr w:type="spellEnd"/>
      <w:r w:rsidRPr="00C0460B">
        <w:rPr>
          <w:rFonts w:ascii="Century" w:hAnsi="Century" w:cs="Miriam" w:hint="cs"/>
          <w:b/>
          <w:spacing w:val="0"/>
          <w:szCs w:val="24"/>
          <w:rtl/>
        </w:rPr>
        <w:t xml:space="preserve"> נ' פקיד שומה עכו</w:t>
      </w:r>
      <w:r>
        <w:rPr>
          <w:rFonts w:hint="cs"/>
          <w:rtl/>
        </w:rPr>
        <w:t xml:space="preserve"> </w:t>
      </w:r>
      <w:r>
        <w:rPr>
          <w:rtl/>
        </w:rPr>
        <w:t>(6.2.2014)</w:t>
      </w:r>
      <w:r>
        <w:rPr>
          <w:rFonts w:hint="cs"/>
          <w:rtl/>
        </w:rPr>
        <w:t xml:space="preserve"> (להלן: עניין </w:t>
      </w:r>
      <w:proofErr w:type="spellStart"/>
      <w:r w:rsidRPr="00C0460B">
        <w:rPr>
          <w:rFonts w:ascii="Century" w:hAnsi="Century" w:cs="Miriam" w:hint="cs"/>
          <w:b/>
          <w:spacing w:val="0"/>
          <w:szCs w:val="24"/>
          <w:rtl/>
        </w:rPr>
        <w:t>בלטינסקי</w:t>
      </w:r>
      <w:proofErr w:type="spellEnd"/>
      <w:r>
        <w:rPr>
          <w:rFonts w:hint="cs"/>
          <w:rtl/>
        </w:rPr>
        <w:t xml:space="preserve">) את שאלת התושבות לעניין סעיף </w:t>
      </w:r>
      <w:r>
        <w:rPr>
          <w:rFonts w:hint="cs"/>
          <w:rtl/>
        </w:rPr>
        <w:lastRenderedPageBreak/>
        <w:t xml:space="preserve">11 לפקודה, בהתאם להגדרת "תושב ישראל" האמורה בסעיף 1 לפקודה (אעיר כי בעניין </w:t>
      </w:r>
      <w:proofErr w:type="spellStart"/>
      <w:r>
        <w:rPr>
          <w:rFonts w:ascii="Century" w:hAnsi="Century" w:cs="Miriam" w:hint="cs"/>
          <w:b/>
          <w:spacing w:val="0"/>
          <w:sz w:val="22"/>
          <w:szCs w:val="24"/>
          <w:rtl/>
        </w:rPr>
        <w:t>בלטינסקי</w:t>
      </w:r>
      <w:proofErr w:type="spellEnd"/>
      <w:r>
        <w:rPr>
          <w:rFonts w:hint="cs"/>
          <w:rtl/>
        </w:rPr>
        <w:t xml:space="preserve"> לא נערך דיון בשאלת היחס בין הגדרת "תושב ביישוב מסוים" להגדרת "תושב ישראל" (ראו: שם, פסקה 15)). </w:t>
      </w:r>
    </w:p>
    <w:p w:rsidR="00245254" w:rsidRPr="00074250" w:rsidRDefault="00245254" w:rsidP="00245254">
      <w:pPr>
        <w:pStyle w:val="Ruller4"/>
        <w:spacing w:before="240" w:after="100" w:afterAutospacing="1"/>
      </w:pPr>
      <w:r>
        <w:rPr>
          <w:rFonts w:hint="cs"/>
          <w:rtl/>
        </w:rPr>
        <w:t xml:space="preserve">סעיפים 1 ו-11 לפקודת מס הכנסה משתמשים באותו ביטוי של "תושב". ברם, לדעתי, ה"תושבים" עליהם מדבר סעיף 1 לפקודה אינם זהים ל"תושבים" אליהם מכוון סעיף 11. בהקשר זה, יפים דבריה של השופטת </w:t>
      </w:r>
      <w:r w:rsidRPr="00CB764F">
        <w:rPr>
          <w:rFonts w:ascii="Century" w:hAnsi="Century" w:cs="Miriam" w:hint="cs"/>
          <w:b/>
          <w:spacing w:val="0"/>
          <w:sz w:val="22"/>
          <w:szCs w:val="24"/>
          <w:rtl/>
        </w:rPr>
        <w:t>א' חיות</w:t>
      </w:r>
      <w:r w:rsidRPr="00E10384">
        <w:rPr>
          <w:rFonts w:ascii="Century" w:hAnsi="Century" w:hint="cs"/>
          <w:sz w:val="22"/>
          <w:rtl/>
        </w:rPr>
        <w:t xml:space="preserve"> </w:t>
      </w:r>
      <w:r w:rsidRPr="00CB764F">
        <w:rPr>
          <w:rFonts w:ascii="Century" w:hAnsi="Century" w:hint="cs"/>
          <w:sz w:val="22"/>
          <w:rtl/>
        </w:rPr>
        <w:t xml:space="preserve">אשר </w:t>
      </w:r>
      <w:r>
        <w:rPr>
          <w:rFonts w:ascii="Century" w:hAnsi="Century" w:hint="cs"/>
          <w:sz w:val="22"/>
          <w:rtl/>
        </w:rPr>
        <w:t xml:space="preserve">נאמרו </w:t>
      </w:r>
      <w:r>
        <w:rPr>
          <w:rFonts w:hint="cs"/>
          <w:rtl/>
        </w:rPr>
        <w:t xml:space="preserve">בע"א 477/02 </w:t>
      </w:r>
      <w:r w:rsidRPr="00CB764F">
        <w:rPr>
          <w:rFonts w:ascii="Century" w:hAnsi="Century" w:cs="Miriam" w:hint="cs"/>
          <w:b/>
          <w:spacing w:val="0"/>
          <w:sz w:val="22"/>
          <w:szCs w:val="24"/>
          <w:rtl/>
        </w:rPr>
        <w:t>גונן נ' פקיד שומה חיפה</w:t>
      </w:r>
      <w:r>
        <w:rPr>
          <w:rFonts w:ascii="Century" w:hAnsi="Century" w:hint="cs"/>
          <w:sz w:val="22"/>
          <w:rtl/>
        </w:rPr>
        <w:t xml:space="preserve"> (29.12.2005)</w:t>
      </w:r>
      <w:r w:rsidRPr="00CB764F">
        <w:rPr>
          <w:rFonts w:ascii="Century" w:hAnsi="Century" w:hint="cs"/>
          <w:sz w:val="22"/>
          <w:rtl/>
        </w:rPr>
        <w:t xml:space="preserve"> </w:t>
      </w:r>
      <w:r>
        <w:rPr>
          <w:rFonts w:ascii="Century" w:hAnsi="Century" w:hint="cs"/>
          <w:sz w:val="22"/>
          <w:rtl/>
        </w:rPr>
        <w:t>בעניינו</w:t>
      </w:r>
      <w:r w:rsidRPr="00CB764F">
        <w:rPr>
          <w:rFonts w:ascii="Century" w:hAnsi="Century" w:hint="cs"/>
          <w:sz w:val="22"/>
          <w:rtl/>
        </w:rPr>
        <w:t xml:space="preserve"> של המונח "תושב" ב</w:t>
      </w:r>
      <w:r>
        <w:rPr>
          <w:rFonts w:ascii="Century" w:hAnsi="Century" w:hint="cs"/>
          <w:sz w:val="22"/>
          <w:rtl/>
        </w:rPr>
        <w:t>חקיקה פיסקאלית</w:t>
      </w:r>
      <w:r w:rsidRPr="00CB764F">
        <w:rPr>
          <w:rFonts w:ascii="Century" w:hAnsi="Century" w:hint="cs"/>
          <w:sz w:val="22"/>
          <w:rtl/>
        </w:rPr>
        <w:t>:</w:t>
      </w:r>
    </w:p>
    <w:p w:rsidR="00245254" w:rsidRDefault="00245254" w:rsidP="00245254">
      <w:pPr>
        <w:pStyle w:val="Ruller5"/>
        <w:rPr>
          <w:rtl/>
        </w:rPr>
      </w:pPr>
      <w:r>
        <w:rPr>
          <w:rFonts w:hint="cs"/>
          <w:shd w:val="clear" w:color="auto" w:fill="FFFFFF"/>
          <w:rtl/>
        </w:rPr>
        <w:t>"</w:t>
      </w:r>
      <w:r>
        <w:rPr>
          <w:shd w:val="clear" w:color="auto" w:fill="FFFFFF"/>
          <w:rtl/>
        </w:rPr>
        <w:t>הגדרות אלה הנוגעות לתושבות פיסקאלית אינן מתפרשות בהכרח בהתאמה לפירוש הניתן למונח "תושב" ככל שהוא מופיע בדינים אחרים ובהקשרים אחרים</w:t>
      </w:r>
      <w:r>
        <w:rPr>
          <w:rFonts w:hint="cs"/>
          <w:shd w:val="clear" w:color="auto" w:fill="FFFFFF"/>
          <w:rtl/>
        </w:rPr>
        <w:t xml:space="preserve">. </w:t>
      </w:r>
      <w:r w:rsidRPr="00AE2813">
        <w:rPr>
          <w:rFonts w:ascii="Century" w:hAnsi="Century" w:cs="Miriam" w:hint="cs"/>
          <w:b/>
          <w:spacing w:val="0"/>
          <w:szCs w:val="24"/>
          <w:shd w:val="clear" w:color="auto" w:fill="FFFFFF"/>
          <w:rtl/>
        </w:rPr>
        <w:t>הכ</w:t>
      </w:r>
      <w:r w:rsidRPr="00AE2813">
        <w:rPr>
          <w:rFonts w:ascii="Century" w:hAnsi="Century" w:cs="Miriam"/>
          <w:b/>
          <w:spacing w:val="0"/>
          <w:szCs w:val="24"/>
          <w:rtl/>
        </w:rPr>
        <w:t>לל בעניין זה הינו כי אף שיש לשאוף להרמוניה תחיקתית, אין לפרש מונח המופיע בחיקוקים שונים באחידות "עיוורת" אלא בהתחשב בתוכנו של החוק ובמגמתו</w:t>
      </w:r>
      <w:r w:rsidRPr="00AE2813">
        <w:rPr>
          <w:rFonts w:ascii="Century" w:hAnsi="Century" w:cs="Miriam" w:hint="cs"/>
          <w:b/>
          <w:spacing w:val="0"/>
          <w:szCs w:val="24"/>
          <w:rtl/>
        </w:rPr>
        <w:t xml:space="preserve"> </w:t>
      </w:r>
      <w:r w:rsidRPr="00AE2813">
        <w:rPr>
          <w:rFonts w:ascii="Century" w:hAnsi="Century" w:cs="Miriam"/>
          <w:b/>
          <w:spacing w:val="0"/>
          <w:szCs w:val="24"/>
          <w:rtl/>
        </w:rPr>
        <w:t>הכללית, והדבר עשוי להוביל לפירושים שונים ולמשמעויות שונות שי</w:t>
      </w:r>
      <w:r w:rsidRPr="00AE2813">
        <w:rPr>
          <w:rFonts w:ascii="Century" w:hAnsi="Century" w:cs="Miriam" w:hint="cs"/>
          <w:b/>
          <w:spacing w:val="0"/>
          <w:szCs w:val="24"/>
          <w:rtl/>
        </w:rPr>
        <w:t>י</w:t>
      </w:r>
      <w:r w:rsidRPr="00AE2813">
        <w:rPr>
          <w:rFonts w:ascii="Century" w:hAnsi="Century" w:cs="Miriam"/>
          <w:b/>
          <w:spacing w:val="0"/>
          <w:szCs w:val="24"/>
          <w:rtl/>
        </w:rPr>
        <w:t>נתנו לאותו מונח עצמו בכל אחד מאותם חיקוקים</w:t>
      </w:r>
      <w:r>
        <w:rPr>
          <w:rFonts w:hint="cs"/>
          <w:rtl/>
        </w:rPr>
        <w:t>" (ראו שם</w:t>
      </w:r>
      <w:r w:rsidRPr="00E10384">
        <w:rPr>
          <w:rFonts w:hint="cs"/>
          <w:rtl/>
        </w:rPr>
        <w:t xml:space="preserve">, </w:t>
      </w:r>
      <w:r>
        <w:rPr>
          <w:rFonts w:ascii="Century" w:hAnsi="Century" w:hint="cs"/>
          <w:rtl/>
        </w:rPr>
        <w:t xml:space="preserve">פסקה 8; כמו כן ראו האסמכתאות </w:t>
      </w:r>
      <w:proofErr w:type="spellStart"/>
      <w:r>
        <w:rPr>
          <w:rFonts w:ascii="Century" w:hAnsi="Century" w:hint="cs"/>
          <w:rtl/>
        </w:rPr>
        <w:t>דשם</w:t>
      </w:r>
      <w:proofErr w:type="spellEnd"/>
      <w:r>
        <w:rPr>
          <w:rFonts w:ascii="Century" w:hAnsi="Century" w:hint="cs"/>
          <w:rtl/>
        </w:rPr>
        <w:t xml:space="preserve">; ההדגשה הוספה </w:t>
      </w:r>
      <w:r>
        <w:rPr>
          <w:rFonts w:ascii="Century" w:hAnsi="Century"/>
          <w:rtl/>
        </w:rPr>
        <w:t>–</w:t>
      </w:r>
      <w:r>
        <w:rPr>
          <w:rFonts w:ascii="Century" w:hAnsi="Century" w:hint="cs"/>
          <w:rtl/>
        </w:rPr>
        <w:t xml:space="preserve"> א.ש.).</w:t>
      </w:r>
    </w:p>
    <w:p w:rsidR="008674E3" w:rsidRDefault="008674E3" w:rsidP="00245254">
      <w:pPr>
        <w:pStyle w:val="Ruller5"/>
      </w:pPr>
    </w:p>
    <w:p w:rsidR="00245254" w:rsidRDefault="00245254" w:rsidP="00245254">
      <w:pPr>
        <w:pStyle w:val="Ruller4"/>
        <w:spacing w:before="240" w:after="100" w:afterAutospacing="1"/>
        <w:rPr>
          <w:rtl/>
        </w:rPr>
      </w:pPr>
      <w:r>
        <w:rPr>
          <w:rFonts w:hint="cs"/>
          <w:rtl/>
        </w:rPr>
        <w:t xml:space="preserve">בענייננו-שלנו, האמור בהגדרת "תושב או תושב ישראל", אשר מופיעה בסעיף 1 לפקודת מס הכנסה, יכול לסייע בפרשנות ההגדרה של "תושב ביישוב מסוים" שבסעיף 11 לפקודה, אולם, כאמור, אין חפיפה בין שתי ההגדרות הללו. כוונתי לכך שהמבחן של "מרכז החיים" יוחל באופן שונה בגדרו של סעיף 1 לפקודה, מזה, ובמסגרתו של סעיף 11 לפקודה, מזה; כך שייתכן שתחת אותן נסיבות אדם מסוים יוגדר כ"תושב ישראל" למטרות מס כלליות, אולם לא כ"תושב ביישוב מסוים" לעניין ההטבה על פי סעיף 11 לפקודה </w:t>
      </w:r>
      <w:r>
        <w:rPr>
          <w:rtl/>
        </w:rPr>
        <w:t>–</w:t>
      </w:r>
      <w:r>
        <w:rPr>
          <w:rFonts w:hint="cs"/>
          <w:rtl/>
        </w:rPr>
        <w:t xml:space="preserve"> וכן להיפך. שונות זו נובעת מההבדל בין "תושב ישראל" לעניין תושבות פיסקאלית כללית של הנישום, לבין "תושב יישוב מסוים" לעניין זכאותו של אדם להטבת מס בגין מגוריו ביישוב סְפָר או ביישוב מוטב אחר.</w:t>
      </w:r>
    </w:p>
    <w:p w:rsidR="00245254" w:rsidRDefault="00245254" w:rsidP="00245254">
      <w:pPr>
        <w:pStyle w:val="Ruller4"/>
        <w:spacing w:before="240" w:after="100" w:afterAutospacing="1"/>
        <w:rPr>
          <w:rtl/>
        </w:rPr>
      </w:pPr>
      <w:r>
        <w:rPr>
          <w:rFonts w:hint="cs"/>
          <w:rtl/>
        </w:rPr>
        <w:t xml:space="preserve">אפרט את עמדתי. </w:t>
      </w:r>
    </w:p>
    <w:p w:rsidR="00245254" w:rsidRDefault="00245254" w:rsidP="00245254">
      <w:pPr>
        <w:pStyle w:val="Ruller4"/>
        <w:spacing w:before="240" w:after="100" w:afterAutospacing="1"/>
      </w:pPr>
      <w:r>
        <w:rPr>
          <w:rFonts w:hint="cs"/>
          <w:rtl/>
        </w:rPr>
        <w:t>ראשית, כדרכנו, אפנה ללשונה של פקודת מס הכנסה. סעיף 1 לפקודה מגדיר "תושב ישראל" או "תושב", כדלקמן:</w:t>
      </w:r>
    </w:p>
    <w:p w:rsidR="00245254" w:rsidRPr="009E6A20" w:rsidRDefault="00245254" w:rsidP="00245254">
      <w:pPr>
        <w:pStyle w:val="Ruller5"/>
        <w:spacing w:before="240" w:after="100" w:afterAutospacing="1"/>
        <w:rPr>
          <w:rFonts w:ascii="Times New Roman" w:hAnsi="Times New Roman" w:cs="Times New Roman"/>
          <w:spacing w:val="0"/>
          <w:sz w:val="28"/>
        </w:rPr>
      </w:pPr>
      <w:r w:rsidRPr="009E6A20">
        <w:rPr>
          <w:rStyle w:val="default"/>
          <w:rFonts w:ascii="FrankRuehl" w:hAnsi="FrankRuehl" w:hint="cs"/>
          <w:color w:val="000000"/>
          <w:sz w:val="28"/>
          <w:rtl/>
        </w:rPr>
        <w:t>"</w:t>
      </w:r>
      <w:r w:rsidRPr="009E6A20">
        <w:rPr>
          <w:rStyle w:val="default"/>
          <w:rFonts w:ascii="FrankRuehl" w:hAnsi="FrankRuehl"/>
          <w:color w:val="000000"/>
          <w:sz w:val="28"/>
          <w:rtl/>
        </w:rPr>
        <w:t xml:space="preserve">(א) לגבי יחיד – מי שמרכז חייו בישראל; </w:t>
      </w:r>
      <w:proofErr w:type="spellStart"/>
      <w:r w:rsidRPr="009E6A20">
        <w:rPr>
          <w:rStyle w:val="default"/>
          <w:rFonts w:ascii="FrankRuehl" w:hAnsi="FrankRuehl"/>
          <w:color w:val="000000"/>
          <w:sz w:val="28"/>
          <w:rtl/>
        </w:rPr>
        <w:t>ולענין</w:t>
      </w:r>
      <w:proofErr w:type="spellEnd"/>
      <w:r w:rsidRPr="009E6A20">
        <w:rPr>
          <w:rStyle w:val="default"/>
          <w:rFonts w:ascii="FrankRuehl" w:hAnsi="FrankRuehl"/>
          <w:color w:val="000000"/>
          <w:sz w:val="28"/>
          <w:rtl/>
        </w:rPr>
        <w:t xml:space="preserve"> זה יחולו הוראות אלה:</w:t>
      </w:r>
    </w:p>
    <w:p w:rsidR="00245254" w:rsidRPr="009E6A20" w:rsidRDefault="00245254" w:rsidP="00245254">
      <w:pPr>
        <w:pStyle w:val="Ruller5"/>
        <w:spacing w:before="240" w:after="100" w:afterAutospacing="1"/>
        <w:ind w:left="2160"/>
        <w:rPr>
          <w:sz w:val="28"/>
          <w:rtl/>
        </w:rPr>
      </w:pPr>
      <w:r w:rsidRPr="009E6A20">
        <w:rPr>
          <w:rStyle w:val="default"/>
          <w:rFonts w:ascii="FrankRuehl" w:hAnsi="FrankRuehl"/>
          <w:color w:val="000000"/>
          <w:sz w:val="28"/>
          <w:rtl/>
        </w:rPr>
        <w:t>(1)</w:t>
      </w:r>
      <w:r w:rsidRPr="009E6A20">
        <w:rPr>
          <w:rStyle w:val="default"/>
          <w:rFonts w:ascii="FrankRuehl" w:hAnsi="FrankRuehl" w:hint="cs"/>
          <w:color w:val="000000"/>
          <w:sz w:val="28"/>
          <w:rtl/>
        </w:rPr>
        <w:t xml:space="preserve"> </w:t>
      </w:r>
      <w:r w:rsidRPr="009E6A20">
        <w:rPr>
          <w:rStyle w:val="default"/>
          <w:rFonts w:ascii="FrankRuehl" w:hAnsi="FrankRuehl"/>
          <w:color w:val="000000"/>
          <w:sz w:val="28"/>
          <w:rtl/>
        </w:rPr>
        <w:t>לשם קביעת מקום מרכז חייו של יחיד, יובאו בחשבון</w:t>
      </w:r>
      <w:r w:rsidRPr="009E6A20">
        <w:rPr>
          <w:rStyle w:val="default"/>
          <w:rFonts w:ascii="FrankRuehl" w:hAnsi="FrankRuehl" w:hint="cs"/>
          <w:color w:val="000000"/>
          <w:sz w:val="28"/>
          <w:rtl/>
        </w:rPr>
        <w:t xml:space="preserve"> </w:t>
      </w:r>
      <w:r w:rsidRPr="009E6A20">
        <w:rPr>
          <w:rStyle w:val="default"/>
          <w:rFonts w:ascii="FrankRuehl" w:hAnsi="FrankRuehl"/>
          <w:color w:val="000000"/>
          <w:sz w:val="28"/>
          <w:rtl/>
        </w:rPr>
        <w:t>מכלול קשריו המשפחתיים, הכלכליים והחברתיים, ובהם בין השאר:</w:t>
      </w:r>
    </w:p>
    <w:p w:rsidR="00245254" w:rsidRPr="009E6A20" w:rsidRDefault="00245254" w:rsidP="00245254">
      <w:pPr>
        <w:pStyle w:val="Ruller5"/>
        <w:spacing w:before="240" w:after="100" w:afterAutospacing="1"/>
        <w:ind w:left="2364"/>
        <w:rPr>
          <w:rStyle w:val="default"/>
          <w:rFonts w:ascii="FrankRuehl" w:hAnsi="FrankRuehl"/>
          <w:color w:val="000000"/>
          <w:sz w:val="28"/>
          <w:rtl/>
        </w:rPr>
      </w:pPr>
      <w:r w:rsidRPr="009E6A20">
        <w:rPr>
          <w:rStyle w:val="default"/>
          <w:rFonts w:ascii="FrankRuehl" w:hAnsi="FrankRuehl"/>
          <w:color w:val="000000"/>
          <w:sz w:val="28"/>
          <w:rtl/>
        </w:rPr>
        <w:lastRenderedPageBreak/>
        <w:t>(א) מקום ביתו הקבוע;</w:t>
      </w:r>
    </w:p>
    <w:p w:rsidR="00245254" w:rsidRPr="009E6A20" w:rsidRDefault="00245254" w:rsidP="00245254">
      <w:pPr>
        <w:pStyle w:val="Ruller5"/>
        <w:spacing w:before="240" w:after="100" w:afterAutospacing="1"/>
        <w:ind w:left="2364"/>
        <w:rPr>
          <w:sz w:val="28"/>
          <w:rtl/>
        </w:rPr>
      </w:pPr>
      <w:r w:rsidRPr="009E6A20">
        <w:rPr>
          <w:rStyle w:val="default"/>
          <w:rFonts w:ascii="FrankRuehl" w:hAnsi="FrankRuehl"/>
          <w:color w:val="000000"/>
          <w:sz w:val="28"/>
          <w:rtl/>
        </w:rPr>
        <w:t>(ב) מקום המגורים שלו ושל בני משפחתו;</w:t>
      </w:r>
    </w:p>
    <w:p w:rsidR="00245254" w:rsidRPr="009E6A20" w:rsidRDefault="00245254" w:rsidP="00245254">
      <w:pPr>
        <w:pStyle w:val="Ruller5"/>
        <w:spacing w:before="240" w:after="100" w:afterAutospacing="1"/>
        <w:ind w:left="2364"/>
        <w:rPr>
          <w:rStyle w:val="default"/>
          <w:rFonts w:ascii="FrankRuehl" w:hAnsi="FrankRuehl"/>
          <w:color w:val="000000"/>
          <w:sz w:val="28"/>
          <w:rtl/>
        </w:rPr>
      </w:pPr>
      <w:r w:rsidRPr="009E6A20">
        <w:rPr>
          <w:rStyle w:val="default"/>
          <w:rFonts w:ascii="FrankRuehl" w:hAnsi="FrankRuehl"/>
          <w:color w:val="000000"/>
          <w:sz w:val="28"/>
          <w:rtl/>
        </w:rPr>
        <w:t>(ג) מקום עיסוקו הרגיל או הקבוע או מקום העסקתו הקבוע;</w:t>
      </w:r>
    </w:p>
    <w:p w:rsidR="00245254" w:rsidRPr="009E6A20" w:rsidRDefault="00245254" w:rsidP="00245254">
      <w:pPr>
        <w:pStyle w:val="Ruller5"/>
        <w:spacing w:before="240" w:after="100" w:afterAutospacing="1"/>
        <w:ind w:left="2364"/>
        <w:rPr>
          <w:rStyle w:val="default"/>
          <w:rFonts w:ascii="FrankRuehl" w:hAnsi="FrankRuehl"/>
          <w:color w:val="000000"/>
          <w:sz w:val="28"/>
          <w:rtl/>
        </w:rPr>
      </w:pPr>
      <w:r w:rsidRPr="009E6A20">
        <w:rPr>
          <w:rStyle w:val="default"/>
          <w:rFonts w:ascii="FrankRuehl" w:hAnsi="FrankRuehl"/>
          <w:color w:val="000000"/>
          <w:sz w:val="28"/>
          <w:rtl/>
        </w:rPr>
        <w:t>(ד) מקום האינטרסים הכלכליים הפעילים והמהותיים שלו;</w:t>
      </w:r>
    </w:p>
    <w:p w:rsidR="00245254" w:rsidRPr="009E6A20" w:rsidRDefault="00245254" w:rsidP="00245254">
      <w:pPr>
        <w:pStyle w:val="Ruller5"/>
        <w:spacing w:before="240" w:after="100" w:afterAutospacing="1"/>
        <w:ind w:left="2364"/>
        <w:rPr>
          <w:rStyle w:val="default"/>
          <w:rFonts w:ascii="FrankRuehl" w:hAnsi="FrankRuehl"/>
          <w:color w:val="000000"/>
          <w:sz w:val="28"/>
          <w:rtl/>
        </w:rPr>
      </w:pPr>
      <w:r w:rsidRPr="009E6A20">
        <w:rPr>
          <w:rStyle w:val="default"/>
          <w:rFonts w:ascii="FrankRuehl" w:hAnsi="FrankRuehl"/>
          <w:color w:val="000000"/>
          <w:sz w:val="28"/>
          <w:rtl/>
        </w:rPr>
        <w:t>(ה) מקום פעילותו בארגונים, באיגודים או במוסדות שונים;</w:t>
      </w:r>
    </w:p>
    <w:p w:rsidR="00245254" w:rsidRPr="009E6A20" w:rsidRDefault="00245254" w:rsidP="00245254">
      <w:pPr>
        <w:pStyle w:val="Ruller5"/>
        <w:spacing w:before="240" w:after="100" w:afterAutospacing="1"/>
        <w:ind w:left="2160"/>
        <w:rPr>
          <w:sz w:val="28"/>
          <w:rtl/>
        </w:rPr>
      </w:pPr>
      <w:r w:rsidRPr="009E6A20">
        <w:rPr>
          <w:rStyle w:val="default"/>
          <w:rFonts w:ascii="FrankRuehl" w:hAnsi="FrankRuehl"/>
          <w:color w:val="000000"/>
          <w:sz w:val="28"/>
          <w:rtl/>
        </w:rPr>
        <w:t>(2) חזקה היא שמרכז חייו של יחיד בשנת המס הוא בישראל-</w:t>
      </w:r>
    </w:p>
    <w:p w:rsidR="00245254" w:rsidRPr="009E6A20" w:rsidRDefault="00245254" w:rsidP="00245254">
      <w:pPr>
        <w:pStyle w:val="Ruller5"/>
        <w:spacing w:before="240" w:after="100" w:afterAutospacing="1"/>
        <w:ind w:left="2364"/>
        <w:rPr>
          <w:rStyle w:val="default"/>
          <w:rFonts w:ascii="FrankRuehl" w:hAnsi="FrankRuehl"/>
          <w:color w:val="000000"/>
          <w:sz w:val="28"/>
          <w:rtl/>
        </w:rPr>
      </w:pPr>
      <w:r w:rsidRPr="009E6A20">
        <w:rPr>
          <w:rStyle w:val="default"/>
          <w:rFonts w:ascii="FrankRuehl" w:hAnsi="FrankRuehl"/>
          <w:color w:val="000000"/>
          <w:sz w:val="28"/>
          <w:rtl/>
        </w:rPr>
        <w:t>(א) אם שהה בישראל בשנת המס 183 ימים או יותר;</w:t>
      </w:r>
    </w:p>
    <w:p w:rsidR="00245254" w:rsidRPr="009E6A20" w:rsidRDefault="00245254" w:rsidP="00245254">
      <w:pPr>
        <w:pStyle w:val="Ruller5"/>
        <w:spacing w:before="240" w:after="100" w:afterAutospacing="1"/>
        <w:ind w:left="2364"/>
        <w:rPr>
          <w:rStyle w:val="default"/>
          <w:rFonts w:ascii="FrankRuehl" w:hAnsi="FrankRuehl"/>
          <w:color w:val="000000"/>
          <w:sz w:val="28"/>
          <w:rtl/>
        </w:rPr>
      </w:pPr>
      <w:r w:rsidRPr="009E6A20">
        <w:rPr>
          <w:rStyle w:val="default"/>
          <w:rFonts w:ascii="FrankRuehl" w:hAnsi="FrankRuehl"/>
          <w:color w:val="000000"/>
          <w:sz w:val="28"/>
          <w:rtl/>
        </w:rPr>
        <w:t>(ב) אם שהה בישראל בשנת המס 30 ימים או יותר, וסך כל תקופת שהייתו בישראל בשנת המס ובשנתיים שקדמו לה הוא 425 ימים או יותר;</w:t>
      </w:r>
    </w:p>
    <w:p w:rsidR="00245254" w:rsidRPr="009E6A20" w:rsidRDefault="00245254" w:rsidP="00245254">
      <w:pPr>
        <w:pStyle w:val="Ruller5"/>
        <w:spacing w:before="240" w:after="100" w:afterAutospacing="1"/>
        <w:ind w:left="2364"/>
        <w:rPr>
          <w:rStyle w:val="default"/>
          <w:rFonts w:ascii="FrankRuehl" w:hAnsi="FrankRuehl"/>
          <w:color w:val="000000"/>
          <w:sz w:val="28"/>
          <w:rtl/>
        </w:rPr>
      </w:pPr>
      <w:proofErr w:type="spellStart"/>
      <w:r w:rsidRPr="009E6A20">
        <w:rPr>
          <w:rStyle w:val="default"/>
          <w:rFonts w:ascii="FrankRuehl" w:hAnsi="FrankRuehl"/>
          <w:color w:val="000000"/>
          <w:sz w:val="28"/>
          <w:rtl/>
        </w:rPr>
        <w:t>לענין</w:t>
      </w:r>
      <w:proofErr w:type="spellEnd"/>
      <w:r w:rsidRPr="009E6A20">
        <w:rPr>
          <w:rStyle w:val="default"/>
          <w:rFonts w:ascii="FrankRuehl" w:hAnsi="FrankRuehl"/>
          <w:color w:val="000000"/>
          <w:sz w:val="28"/>
          <w:rtl/>
        </w:rPr>
        <w:t xml:space="preserve"> פסקה זו, "יום" - לרבות חלק מיום;</w:t>
      </w:r>
    </w:p>
    <w:p w:rsidR="00245254" w:rsidRDefault="00245254" w:rsidP="00245254">
      <w:pPr>
        <w:pStyle w:val="Ruller5"/>
        <w:spacing w:before="240" w:after="100" w:afterAutospacing="1"/>
        <w:ind w:left="2160"/>
        <w:rPr>
          <w:sz w:val="20"/>
          <w:szCs w:val="20"/>
          <w:rtl/>
        </w:rPr>
      </w:pPr>
      <w:r w:rsidRPr="009E6A20">
        <w:rPr>
          <w:rStyle w:val="default"/>
          <w:rFonts w:ascii="FrankRuehl" w:hAnsi="FrankRuehl"/>
          <w:color w:val="000000"/>
          <w:sz w:val="28"/>
          <w:rtl/>
        </w:rPr>
        <w:t>(3) החזקה שבפסקה (2) ניתנת לסתירה הן על ידי היחיד והן על ידי פקיד השומה</w:t>
      </w:r>
      <w:r w:rsidRPr="009E6A20">
        <w:rPr>
          <w:rStyle w:val="default"/>
          <w:rFonts w:ascii="FrankRuehl" w:hAnsi="FrankRuehl" w:hint="cs"/>
          <w:color w:val="000000"/>
          <w:sz w:val="28"/>
          <w:rtl/>
        </w:rPr>
        <w:t>"</w:t>
      </w:r>
    </w:p>
    <w:p w:rsidR="00245254" w:rsidRDefault="00245254" w:rsidP="00245254">
      <w:pPr>
        <w:pStyle w:val="Ruller4"/>
        <w:spacing w:before="240" w:after="100" w:afterAutospacing="1"/>
        <w:rPr>
          <w:rtl/>
        </w:rPr>
      </w:pPr>
      <w:r>
        <w:rPr>
          <w:rFonts w:hint="cs"/>
          <w:rtl/>
        </w:rPr>
        <w:t xml:space="preserve"> לעומת זאת, הגדרת "תושב ביישוב מסוים" שבסעיף 11(א) לפקודה אינה מוסיפה דבר למילים הכלליות אשר מדברות על "יחיד שמרכז חייו באותו יישוב".</w:t>
      </w:r>
    </w:p>
    <w:p w:rsidR="00245254" w:rsidRDefault="00245254" w:rsidP="00245254">
      <w:pPr>
        <w:pStyle w:val="Ruller4"/>
        <w:spacing w:before="240" w:after="100" w:afterAutospacing="1"/>
        <w:rPr>
          <w:rtl/>
        </w:rPr>
      </w:pPr>
      <w:r>
        <w:rPr>
          <w:rFonts w:hint="cs"/>
          <w:rtl/>
        </w:rPr>
        <w:t xml:space="preserve">כפי שניתן לראות, ההגדרה של "תושב ישראל" זהה בבסיסה להגדרת "תושב ביישוב מסוים". שתי ההגדרות מדברות על נישום שמרכז חייו נמצא בישראל/באותו יישוב. ברם, בגדרו של סעיף 1 לפקודה המחוקק לא הסתפק בהגדרה כללית והִבְנָה את שיקול הדעת השיפוטי </w:t>
      </w:r>
      <w:r>
        <w:rPr>
          <w:rtl/>
        </w:rPr>
        <w:t>–</w:t>
      </w:r>
      <w:r>
        <w:rPr>
          <w:rFonts w:hint="cs"/>
          <w:rtl/>
        </w:rPr>
        <w:t xml:space="preserve"> ואת שיקול הדעת </w:t>
      </w:r>
      <w:proofErr w:type="spellStart"/>
      <w:r>
        <w:rPr>
          <w:rFonts w:hint="cs"/>
          <w:rtl/>
        </w:rPr>
        <w:t>המעין</w:t>
      </w:r>
      <w:proofErr w:type="spellEnd"/>
      <w:r>
        <w:rPr>
          <w:rFonts w:hint="cs"/>
          <w:rtl/>
        </w:rPr>
        <w:t xml:space="preserve">-שיפוטי של פקידי השומה </w:t>
      </w:r>
      <w:r>
        <w:rPr>
          <w:rtl/>
        </w:rPr>
        <w:t>–</w:t>
      </w:r>
      <w:r>
        <w:rPr>
          <w:rFonts w:hint="cs"/>
          <w:rtl/>
        </w:rPr>
        <w:t xml:space="preserve"> ביחס ליישומה של ההגדרה "מרכז חייו". הבנייה זו של שיקול הדעת כוללת רשימת זיקות לישראל אותן יש להביא בחשבון בקביעת מרכז חייו של הנישום ("מכלול קשריו המשפחתיים, הכלכליים והחברתיים"); וכן רשימה בלתי ממצה של זיקות שאף אותן יש חובה לשקול ("מקום ביתו", "מקום ... משפחתו", "מקום עיסוקו", "מקום האינטרסים הכלכליים", "מקום פעילותו בארגונים"). בנוסף לכך, המחוקק קבע שתי חזקות הניתנות לסתירה אשר מניחות </w:t>
      </w:r>
      <w:r>
        <w:rPr>
          <w:rtl/>
        </w:rPr>
        <w:t>–</w:t>
      </w:r>
      <w:r>
        <w:rPr>
          <w:rFonts w:hint="cs"/>
          <w:rtl/>
        </w:rPr>
        <w:t xml:space="preserve"> באופן טנטטיבי, עד אשר יוכח אחרת </w:t>
      </w:r>
      <w:r>
        <w:rPr>
          <w:rtl/>
        </w:rPr>
        <w:t>–</w:t>
      </w:r>
      <w:r>
        <w:rPr>
          <w:rFonts w:hint="cs"/>
          <w:rtl/>
        </w:rPr>
        <w:t xml:space="preserve"> כי מרכז חייו של נישום יחיד נמצא בישראל. לעומת זאת, בעניינו של "תושב ביישוב מסוים", עליו מדבר סעיף </w:t>
      </w:r>
      <w:r>
        <w:rPr>
          <w:rFonts w:hint="cs"/>
          <w:rtl/>
        </w:rPr>
        <w:lastRenderedPageBreak/>
        <w:t>11 לפקודה, הסתפק המחוקק בהגדרה הרחבה של "מרכז חייו ביישוב המסוים" ובחר שלא להבנות את שיקול דעתם של רשות המיסים ושל בתי המשפט.</w:t>
      </w:r>
    </w:p>
    <w:p w:rsidR="00245254" w:rsidRDefault="00245254" w:rsidP="00245254">
      <w:pPr>
        <w:pStyle w:val="Ruller4"/>
        <w:spacing w:before="240" w:after="100" w:afterAutospacing="1"/>
        <w:rPr>
          <w:rFonts w:ascii="Century" w:hAnsi="Century"/>
          <w:sz w:val="22"/>
        </w:rPr>
      </w:pPr>
      <w:r>
        <w:rPr>
          <w:rFonts w:hint="cs"/>
          <w:rtl/>
        </w:rPr>
        <w:t xml:space="preserve">אני סבור כי החלטת המחוקק להימנע מהבניית שיקול הדעת בהגדרת "מרכז חייו" שבסעיף 11 לפקודה צריכה להשפיע על יישומו של מבחן "מרכז החיים" בגדרי הסעיף. ביתר פירוט: סבורני כי בהפעלתו של מבחן "מרכז החיים" בגדרו של סעיף 11 לפקודה חייבת רשות המיסים </w:t>
      </w:r>
      <w:r>
        <w:rPr>
          <w:rtl/>
        </w:rPr>
        <w:t>–</w:t>
      </w:r>
      <w:r>
        <w:rPr>
          <w:rFonts w:hint="cs"/>
          <w:rtl/>
        </w:rPr>
        <w:t xml:space="preserve"> וחייבים גם אנחנו </w:t>
      </w:r>
      <w:r>
        <w:rPr>
          <w:rtl/>
        </w:rPr>
        <w:t>–</w:t>
      </w:r>
      <w:r>
        <w:rPr>
          <w:rFonts w:hint="cs"/>
          <w:rtl/>
        </w:rPr>
        <w:t xml:space="preserve"> להביא בחשבון את </w:t>
      </w:r>
      <w:r w:rsidRPr="007B74F8">
        <w:rPr>
          <w:rFonts w:ascii="Century" w:hAnsi="Century" w:cs="Miriam" w:hint="cs"/>
          <w:b/>
          <w:spacing w:val="0"/>
          <w:sz w:val="22"/>
          <w:szCs w:val="24"/>
          <w:rtl/>
        </w:rPr>
        <w:t>תכלית ההטבה</w:t>
      </w:r>
      <w:r>
        <w:rPr>
          <w:rFonts w:hint="cs"/>
          <w:rtl/>
        </w:rPr>
        <w:t xml:space="preserve"> שהסעיף מעניק לנישום כשיקול מרכזי עד-כדי-מכריע. גישה זו בעניינה של תושבות אומצה על ידי השופט </w:t>
      </w:r>
      <w:r w:rsidRPr="009661DE">
        <w:rPr>
          <w:rFonts w:ascii="Century" w:hAnsi="Century" w:cs="Miriam" w:hint="cs"/>
          <w:b/>
          <w:spacing w:val="0"/>
          <w:sz w:val="22"/>
          <w:szCs w:val="24"/>
          <w:rtl/>
        </w:rPr>
        <w:t xml:space="preserve">ח' מלצר </w:t>
      </w:r>
      <w:r>
        <w:rPr>
          <w:rFonts w:hint="cs"/>
          <w:rtl/>
        </w:rPr>
        <w:t xml:space="preserve">בבג"ץ 2123/08 </w:t>
      </w:r>
      <w:r w:rsidRPr="009661DE">
        <w:rPr>
          <w:rFonts w:ascii="Century" w:hAnsi="Century" w:cs="Miriam" w:hint="cs"/>
          <w:b/>
          <w:spacing w:val="0"/>
          <w:sz w:val="22"/>
          <w:szCs w:val="24"/>
          <w:rtl/>
        </w:rPr>
        <w:t>פלוני נ' פלונית</w:t>
      </w:r>
      <w:r w:rsidRPr="009661DE">
        <w:rPr>
          <w:rFonts w:ascii="Century" w:hAnsi="Century" w:hint="cs"/>
          <w:sz w:val="22"/>
          <w:rtl/>
        </w:rPr>
        <w:t>, פ"ד סב(4) 678, 709-708 (2008)</w:t>
      </w:r>
      <w:r>
        <w:rPr>
          <w:rFonts w:ascii="Century" w:hAnsi="Century" w:hint="cs"/>
          <w:sz w:val="22"/>
          <w:rtl/>
        </w:rPr>
        <w:t xml:space="preserve"> </w:t>
      </w:r>
      <w:r>
        <w:rPr>
          <w:rFonts w:ascii="Century" w:hAnsi="Century"/>
          <w:sz w:val="22"/>
          <w:rtl/>
        </w:rPr>
        <w:t>–</w:t>
      </w:r>
      <w:r>
        <w:rPr>
          <w:rFonts w:ascii="Century" w:hAnsi="Century" w:hint="cs"/>
          <w:sz w:val="22"/>
          <w:rtl/>
        </w:rPr>
        <w:t xml:space="preserve"> פסק הדין אשר נסוב על </w:t>
      </w:r>
      <w:r w:rsidRPr="009661DE">
        <w:rPr>
          <w:rFonts w:ascii="Century" w:hAnsi="Century" w:hint="cs"/>
          <w:sz w:val="22"/>
          <w:rtl/>
        </w:rPr>
        <w:t xml:space="preserve">פרשנות ההיגד "מרכז חייו" </w:t>
      </w:r>
      <w:r>
        <w:rPr>
          <w:rFonts w:ascii="Century" w:hAnsi="Century" w:hint="cs"/>
          <w:sz w:val="22"/>
          <w:rtl/>
        </w:rPr>
        <w:t xml:space="preserve">אשר מופיע </w:t>
      </w:r>
      <w:r w:rsidRPr="009661DE">
        <w:rPr>
          <w:rFonts w:ascii="Century" w:hAnsi="Century" w:hint="cs"/>
          <w:sz w:val="22"/>
          <w:rtl/>
        </w:rPr>
        <w:t>בסעיף 4א לחוק שיפוט בתי דין רבניים (נישואין וגירושין), התשי"ג-1953</w:t>
      </w:r>
      <w:r>
        <w:rPr>
          <w:rFonts w:ascii="Century" w:hAnsi="Century" w:hint="cs"/>
          <w:sz w:val="22"/>
          <w:rtl/>
        </w:rPr>
        <w:t xml:space="preserve">. </w:t>
      </w:r>
    </w:p>
    <w:p w:rsidR="00245254" w:rsidRPr="009661DE" w:rsidRDefault="00245254" w:rsidP="00245254">
      <w:pPr>
        <w:pStyle w:val="Ruller4"/>
        <w:numPr>
          <w:ilvl w:val="0"/>
          <w:numId w:val="0"/>
        </w:numPr>
        <w:spacing w:before="240" w:after="100" w:afterAutospacing="1"/>
        <w:rPr>
          <w:rFonts w:ascii="Century" w:hAnsi="Century"/>
          <w:sz w:val="22"/>
          <w:rtl/>
        </w:rPr>
      </w:pPr>
      <w:r>
        <w:rPr>
          <w:rFonts w:ascii="Century" w:hAnsi="Century"/>
          <w:sz w:val="22"/>
          <w:rtl/>
        </w:rPr>
        <w:tab/>
      </w:r>
      <w:r>
        <w:rPr>
          <w:rFonts w:ascii="Century" w:hAnsi="Century" w:hint="cs"/>
          <w:sz w:val="22"/>
          <w:rtl/>
        </w:rPr>
        <w:t xml:space="preserve">ואלה הם הדברים שאמר השופט </w:t>
      </w:r>
      <w:r w:rsidRPr="009661DE">
        <w:rPr>
          <w:rFonts w:ascii="Century" w:hAnsi="Century" w:cs="Miriam" w:hint="cs"/>
          <w:b/>
          <w:spacing w:val="0"/>
          <w:sz w:val="22"/>
          <w:szCs w:val="24"/>
          <w:rtl/>
        </w:rPr>
        <w:t>מלצר</w:t>
      </w:r>
      <w:r>
        <w:rPr>
          <w:rFonts w:ascii="Century" w:hAnsi="Century" w:hint="cs"/>
          <w:sz w:val="22"/>
          <w:rtl/>
        </w:rPr>
        <w:t xml:space="preserve"> באותה פרשה:</w:t>
      </w:r>
    </w:p>
    <w:p w:rsidR="00245254" w:rsidRDefault="00245254" w:rsidP="00245254">
      <w:pPr>
        <w:pStyle w:val="Ruller5"/>
        <w:spacing w:before="240" w:after="100" w:afterAutospacing="1"/>
        <w:rPr>
          <w:rtl/>
        </w:rPr>
      </w:pPr>
      <w:r>
        <w:rPr>
          <w:rFonts w:hint="cs"/>
          <w:rtl/>
        </w:rPr>
        <w:t xml:space="preserve">"הדיבור "מרכז חיים" כחלופה ל"מקום מושב" מופיע בחוקים אחדים בישראל בהקשרים חקיקתיים שונים. ביסוד המושג עומד מכלול הזיקות ומידת העוצמה של הקשרים (הסובייקטיביים והאובייקטיביים) אותם רוכש האדם ביחס למדינת ישראל ואשר מהם ניתן ללמוד כי מרכז חייו של האדם הוא בארץ. </w:t>
      </w:r>
      <w:r w:rsidRPr="00273223">
        <w:rPr>
          <w:rFonts w:ascii="Century" w:hAnsi="Century" w:cs="Miriam" w:hint="cs"/>
          <w:b/>
          <w:spacing w:val="0"/>
          <w:szCs w:val="24"/>
          <w:rtl/>
        </w:rPr>
        <w:t>כאן המקום להעיר כי במקרים אחרים המחוקק ראה לפרט רשימת זיקות בלתי ממצה בהקשר של הביטוי "מרכז חיים". כך הוא עשה, למשל, בהגדירו תושבות לצרכים מיסויים לפי פקודת מס הכנסה (בתיקון מס' 132 לפקודה מס הכנסה, משנת 2002), שם נוסף סעיף קטן במסגרת סעיף 1 לפקודה</w:t>
      </w:r>
      <w:r>
        <w:rPr>
          <w:rFonts w:hint="cs"/>
          <w:rtl/>
        </w:rPr>
        <w:t xml:space="preserve"> [...] </w:t>
      </w:r>
    </w:p>
    <w:p w:rsidR="00245254" w:rsidRDefault="00245254" w:rsidP="00245254">
      <w:pPr>
        <w:pStyle w:val="Ruller5"/>
        <w:spacing w:before="240" w:after="100" w:afterAutospacing="1"/>
        <w:rPr>
          <w:rFonts w:ascii="Times New Roman" w:hAnsi="Times New Roman"/>
          <w:rtl/>
        </w:rPr>
      </w:pPr>
      <w:r>
        <w:rPr>
          <w:rFonts w:hint="cs"/>
          <w:rtl/>
        </w:rPr>
        <w:tab/>
        <w:t xml:space="preserve">בהוראות דין אחרות </w:t>
      </w:r>
      <w:r>
        <w:rPr>
          <w:rtl/>
        </w:rPr>
        <w:t>–</w:t>
      </w:r>
      <w:r>
        <w:rPr>
          <w:rFonts w:hint="cs"/>
          <w:rtl/>
        </w:rPr>
        <w:t xml:space="preserve"> כמו בהוראת החוק שלפנינו [וכן בהוראת החוק בענייננו-שלנו </w:t>
      </w:r>
      <w:r>
        <w:rPr>
          <w:rtl/>
        </w:rPr>
        <w:t>–</w:t>
      </w:r>
      <w:r>
        <w:rPr>
          <w:rFonts w:hint="cs"/>
          <w:rtl/>
        </w:rPr>
        <w:t xml:space="preserve"> א.ש.] </w:t>
      </w:r>
      <w:r>
        <w:rPr>
          <w:rtl/>
        </w:rPr>
        <w:t>–</w:t>
      </w:r>
      <w:r>
        <w:rPr>
          <w:rFonts w:hint="cs"/>
          <w:rtl/>
        </w:rPr>
        <w:t xml:space="preserve"> לא נמצאת הגדרה של הביטוי "מרכז חיים" [...] </w:t>
      </w:r>
      <w:r w:rsidRPr="00273223">
        <w:rPr>
          <w:rFonts w:ascii="Century" w:hAnsi="Century" w:cs="Miriam" w:hint="cs"/>
          <w:b/>
          <w:spacing w:val="0"/>
          <w:szCs w:val="24"/>
          <w:rtl/>
        </w:rPr>
        <w:t>במקרים כגון אלו - בהם המחוקק סתם ולא פירש את הוראת המונח "מרכז חיים" יש לפרשו על-פי התכלית החקיקתית המונחת ביסוד ההסדר הנורמטיבי הספציפי. הזיקות הרלוונטיות להגדרת מרכז החיים ועוצמתם של הקשרים השונים ישתנו מהקשר חקיקתי אחד למשנהו</w:t>
      </w:r>
      <w:r>
        <w:rPr>
          <w:rFonts w:hint="cs"/>
          <w:rtl/>
        </w:rPr>
        <w:t xml:space="preserve">. כך לשם המחשה, בענייני התושבות </w:t>
      </w:r>
      <w:proofErr w:type="spellStart"/>
      <w:r>
        <w:rPr>
          <w:rFonts w:hint="cs"/>
          <w:rtl/>
        </w:rPr>
        <w:t>המיסויית</w:t>
      </w:r>
      <w:proofErr w:type="spellEnd"/>
      <w:r>
        <w:rPr>
          <w:rFonts w:hint="cs"/>
          <w:rtl/>
        </w:rPr>
        <w:t xml:space="preserve"> ייתכן שיינתן משקל מרכזי לקשרים העסקיים </w:t>
      </w:r>
      <w:r>
        <w:rPr>
          <w:rtl/>
        </w:rPr>
        <w:t>–</w:t>
      </w:r>
      <w:r>
        <w:rPr>
          <w:rFonts w:hint="cs"/>
          <w:rtl/>
        </w:rPr>
        <w:t xml:space="preserve"> על פני מקום מגורי משפחתו</w:t>
      </w:r>
      <w:r>
        <w:rPr>
          <w:rFonts w:ascii="Times New Roman" w:hAnsi="Times New Roman" w:hint="cs"/>
          <w:rtl/>
        </w:rPr>
        <w:t xml:space="preserve">" (ההדגשה הוספה </w:t>
      </w:r>
      <w:r>
        <w:rPr>
          <w:rFonts w:ascii="Times New Roman" w:hAnsi="Times New Roman"/>
          <w:rtl/>
        </w:rPr>
        <w:t>–</w:t>
      </w:r>
      <w:r>
        <w:rPr>
          <w:rFonts w:ascii="Times New Roman" w:hAnsi="Times New Roman" w:hint="cs"/>
          <w:rtl/>
        </w:rPr>
        <w:t xml:space="preserve"> א.ש.).</w:t>
      </w:r>
    </w:p>
    <w:p w:rsidR="008674E3" w:rsidRDefault="008674E3" w:rsidP="00245254">
      <w:pPr>
        <w:pStyle w:val="Ruller5"/>
        <w:spacing w:before="240" w:after="100" w:afterAutospacing="1"/>
        <w:rPr>
          <w:rFonts w:ascii="Times New Roman" w:hAnsi="Times New Roman"/>
          <w:rtl/>
        </w:rPr>
      </w:pPr>
    </w:p>
    <w:p w:rsidR="00245254" w:rsidRPr="00B22252" w:rsidRDefault="00245254" w:rsidP="00245254">
      <w:pPr>
        <w:pStyle w:val="Ruller4"/>
        <w:spacing w:before="240" w:after="100" w:afterAutospacing="1"/>
        <w:rPr>
          <w:rtl/>
        </w:rPr>
      </w:pPr>
      <w:r>
        <w:rPr>
          <w:rFonts w:hint="cs"/>
          <w:rtl/>
        </w:rPr>
        <w:t xml:space="preserve">דעתי, כאמור, כדעתו של השופט </w:t>
      </w:r>
      <w:r w:rsidRPr="002806E0">
        <w:rPr>
          <w:rFonts w:ascii="Century" w:hAnsi="Century" w:cs="Miriam" w:hint="cs"/>
          <w:b/>
          <w:spacing w:val="0"/>
          <w:sz w:val="22"/>
          <w:szCs w:val="24"/>
          <w:rtl/>
        </w:rPr>
        <w:t>מלצר</w:t>
      </w:r>
      <w:r>
        <w:rPr>
          <w:rFonts w:ascii="Century" w:hAnsi="Century" w:hint="cs"/>
          <w:sz w:val="22"/>
          <w:rtl/>
        </w:rPr>
        <w:t xml:space="preserve"> ואני מאמץ כאן את גישתו הפרשנית ביחס לתושבות. </w:t>
      </w:r>
      <w:r>
        <w:rPr>
          <w:rFonts w:hint="cs"/>
          <w:rtl/>
        </w:rPr>
        <w:t xml:space="preserve">כמקובל במקומותינו, </w:t>
      </w:r>
      <w:r w:rsidRPr="009661DE">
        <w:rPr>
          <w:rFonts w:ascii="Century" w:hAnsi="Century" w:hint="cs"/>
          <w:sz w:val="22"/>
          <w:rtl/>
        </w:rPr>
        <w:t xml:space="preserve">לפי גישה זו יש ללכת </w:t>
      </w:r>
      <w:r>
        <w:rPr>
          <w:rFonts w:hint="cs"/>
          <w:rtl/>
        </w:rPr>
        <w:t xml:space="preserve">כל אימת שלשון החוק אינה ברורה ואינה מספקת פתרון לסוגיה אשר ניצבת בפני בתי המשפט </w:t>
      </w:r>
      <w:r>
        <w:rPr>
          <w:rtl/>
        </w:rPr>
        <w:t>–</w:t>
      </w:r>
      <w:r>
        <w:rPr>
          <w:rFonts w:hint="cs"/>
          <w:rtl/>
        </w:rPr>
        <w:t xml:space="preserve"> זאת, בפרט בענייני מס (ראו: </w:t>
      </w:r>
      <w:r w:rsidRPr="00B22252">
        <w:rPr>
          <w:rFonts w:hint="eastAsia"/>
          <w:rtl/>
        </w:rPr>
        <w:t>ע</w:t>
      </w:r>
      <w:r w:rsidRPr="00B22252">
        <w:rPr>
          <w:rtl/>
        </w:rPr>
        <w:t>"</w:t>
      </w:r>
      <w:r w:rsidRPr="00B22252">
        <w:rPr>
          <w:rFonts w:hint="eastAsia"/>
          <w:rtl/>
        </w:rPr>
        <w:t>א</w:t>
      </w:r>
      <w:r w:rsidRPr="00B22252">
        <w:rPr>
          <w:rtl/>
        </w:rPr>
        <w:t xml:space="preserve"> 3012/18 </w:t>
      </w:r>
      <w:r w:rsidRPr="00B22252">
        <w:rPr>
          <w:rFonts w:ascii="Century" w:hAnsi="Century" w:cs="Miriam" w:hint="eastAsia"/>
          <w:b/>
          <w:spacing w:val="0"/>
          <w:sz w:val="22"/>
          <w:szCs w:val="24"/>
          <w:rtl/>
        </w:rPr>
        <w:t>מנהל</w:t>
      </w:r>
      <w:r w:rsidRPr="00B22252">
        <w:rPr>
          <w:rFonts w:ascii="Century" w:hAnsi="Century" w:cs="Miriam"/>
          <w:b/>
          <w:spacing w:val="0"/>
          <w:sz w:val="22"/>
          <w:szCs w:val="24"/>
          <w:rtl/>
        </w:rPr>
        <w:t xml:space="preserve"> </w:t>
      </w:r>
      <w:r w:rsidRPr="00B22252">
        <w:rPr>
          <w:rFonts w:ascii="Century" w:hAnsi="Century" w:cs="Miriam" w:hint="eastAsia"/>
          <w:b/>
          <w:spacing w:val="0"/>
          <w:sz w:val="22"/>
          <w:szCs w:val="24"/>
          <w:rtl/>
        </w:rPr>
        <w:t>מיסוי</w:t>
      </w:r>
      <w:r w:rsidRPr="00B22252">
        <w:rPr>
          <w:rFonts w:ascii="Century" w:hAnsi="Century" w:cs="Miriam"/>
          <w:b/>
          <w:spacing w:val="0"/>
          <w:sz w:val="22"/>
          <w:szCs w:val="24"/>
          <w:rtl/>
        </w:rPr>
        <w:t xml:space="preserve"> </w:t>
      </w:r>
      <w:r w:rsidRPr="00B22252">
        <w:rPr>
          <w:rFonts w:ascii="Century" w:hAnsi="Century" w:cs="Miriam" w:hint="eastAsia"/>
          <w:b/>
          <w:spacing w:val="0"/>
          <w:sz w:val="22"/>
          <w:szCs w:val="24"/>
          <w:rtl/>
        </w:rPr>
        <w:t>מקרקעין</w:t>
      </w:r>
      <w:r w:rsidRPr="00B22252">
        <w:rPr>
          <w:rFonts w:ascii="Century" w:hAnsi="Century" w:cs="Miriam"/>
          <w:b/>
          <w:spacing w:val="0"/>
          <w:sz w:val="22"/>
          <w:szCs w:val="24"/>
          <w:rtl/>
        </w:rPr>
        <w:t xml:space="preserve"> </w:t>
      </w:r>
      <w:r w:rsidRPr="00B22252">
        <w:rPr>
          <w:rFonts w:ascii="Century" w:hAnsi="Century" w:cs="Miriam" w:hint="eastAsia"/>
          <w:b/>
          <w:spacing w:val="0"/>
          <w:sz w:val="22"/>
          <w:szCs w:val="24"/>
          <w:rtl/>
        </w:rPr>
        <w:t>חיפה</w:t>
      </w:r>
      <w:r w:rsidRPr="00B22252">
        <w:rPr>
          <w:rFonts w:ascii="Century" w:hAnsi="Century" w:cs="Miriam"/>
          <w:b/>
          <w:spacing w:val="0"/>
          <w:sz w:val="22"/>
          <w:szCs w:val="24"/>
          <w:rtl/>
        </w:rPr>
        <w:t xml:space="preserve"> </w:t>
      </w:r>
      <w:r w:rsidRPr="00B22252">
        <w:rPr>
          <w:rFonts w:ascii="Century" w:hAnsi="Century" w:cs="Miriam" w:hint="eastAsia"/>
          <w:b/>
          <w:spacing w:val="0"/>
          <w:sz w:val="22"/>
          <w:szCs w:val="24"/>
          <w:rtl/>
        </w:rPr>
        <w:t>נ</w:t>
      </w:r>
      <w:r w:rsidRPr="00B22252">
        <w:rPr>
          <w:rFonts w:ascii="Century" w:hAnsi="Century" w:cs="Miriam"/>
          <w:b/>
          <w:spacing w:val="0"/>
          <w:sz w:val="22"/>
          <w:szCs w:val="24"/>
          <w:rtl/>
        </w:rPr>
        <w:t xml:space="preserve">' </w:t>
      </w:r>
      <w:proofErr w:type="spellStart"/>
      <w:r w:rsidRPr="00B22252">
        <w:rPr>
          <w:rFonts w:ascii="Century" w:hAnsi="Century" w:cs="Miriam" w:hint="eastAsia"/>
          <w:b/>
          <w:spacing w:val="0"/>
          <w:sz w:val="22"/>
          <w:szCs w:val="24"/>
          <w:rtl/>
        </w:rPr>
        <w:t>טוונטי</w:t>
      </w:r>
      <w:proofErr w:type="spellEnd"/>
      <w:r w:rsidRPr="00B22252">
        <w:rPr>
          <w:rFonts w:ascii="Century" w:hAnsi="Century" w:cs="Miriam"/>
          <w:b/>
          <w:spacing w:val="0"/>
          <w:sz w:val="22"/>
          <w:szCs w:val="24"/>
          <w:rtl/>
        </w:rPr>
        <w:t xml:space="preserve"> </w:t>
      </w:r>
      <w:proofErr w:type="spellStart"/>
      <w:r w:rsidRPr="00B22252">
        <w:rPr>
          <w:rFonts w:ascii="Century" w:hAnsi="Century" w:cs="Miriam" w:hint="eastAsia"/>
          <w:b/>
          <w:spacing w:val="0"/>
          <w:sz w:val="22"/>
          <w:szCs w:val="24"/>
          <w:rtl/>
        </w:rPr>
        <w:t>האנדרד</w:t>
      </w:r>
      <w:proofErr w:type="spellEnd"/>
      <w:r w:rsidRPr="00B22252">
        <w:rPr>
          <w:rFonts w:ascii="Century" w:hAnsi="Century" w:cs="Miriam"/>
          <w:b/>
          <w:spacing w:val="0"/>
          <w:sz w:val="22"/>
          <w:szCs w:val="24"/>
          <w:rtl/>
        </w:rPr>
        <w:t xml:space="preserve"> </w:t>
      </w:r>
      <w:r w:rsidRPr="00B22252">
        <w:rPr>
          <w:rFonts w:ascii="Century" w:hAnsi="Century" w:cs="Miriam" w:hint="eastAsia"/>
          <w:b/>
          <w:spacing w:val="0"/>
          <w:sz w:val="22"/>
          <w:szCs w:val="24"/>
          <w:rtl/>
        </w:rPr>
        <w:t>נהריה</w:t>
      </w:r>
      <w:r w:rsidRPr="00B22252">
        <w:rPr>
          <w:rFonts w:ascii="Century" w:hAnsi="Century" w:cs="Miriam"/>
          <w:b/>
          <w:spacing w:val="0"/>
          <w:sz w:val="22"/>
          <w:szCs w:val="24"/>
          <w:rtl/>
        </w:rPr>
        <w:t xml:space="preserve"> </w:t>
      </w:r>
      <w:r w:rsidRPr="00B22252">
        <w:rPr>
          <w:rFonts w:ascii="Century" w:hAnsi="Century" w:cs="Miriam" w:hint="eastAsia"/>
          <w:b/>
          <w:spacing w:val="0"/>
          <w:sz w:val="22"/>
          <w:szCs w:val="24"/>
          <w:rtl/>
        </w:rPr>
        <w:t>בע</w:t>
      </w:r>
      <w:r w:rsidRPr="00B22252">
        <w:rPr>
          <w:rFonts w:ascii="Century" w:hAnsi="Century" w:cs="Miriam"/>
          <w:b/>
          <w:spacing w:val="0"/>
          <w:sz w:val="22"/>
          <w:szCs w:val="24"/>
          <w:rtl/>
        </w:rPr>
        <w:t>"</w:t>
      </w:r>
      <w:r w:rsidRPr="00B22252">
        <w:rPr>
          <w:rFonts w:ascii="Century" w:hAnsi="Century" w:cs="Miriam" w:hint="eastAsia"/>
          <w:b/>
          <w:spacing w:val="0"/>
          <w:sz w:val="22"/>
          <w:szCs w:val="24"/>
          <w:rtl/>
        </w:rPr>
        <w:t>מ</w:t>
      </w:r>
      <w:r w:rsidRPr="00B22252">
        <w:rPr>
          <w:rtl/>
        </w:rPr>
        <w:t xml:space="preserve">, </w:t>
      </w:r>
      <w:r w:rsidRPr="00B22252">
        <w:rPr>
          <w:rFonts w:hint="eastAsia"/>
          <w:rtl/>
        </w:rPr>
        <w:t>פסקאות</w:t>
      </w:r>
      <w:r>
        <w:rPr>
          <w:rFonts w:hint="cs"/>
          <w:rtl/>
        </w:rPr>
        <w:t xml:space="preserve"> </w:t>
      </w:r>
      <w:r>
        <w:rPr>
          <w:rFonts w:hint="cs"/>
          <w:rtl/>
        </w:rPr>
        <w:lastRenderedPageBreak/>
        <w:t xml:space="preserve">36-29 לפסק דיני, ואסמכתאות שם; וכן פסקאות 6-5 לפסק דינו של המשנה לנשיאה </w:t>
      </w:r>
      <w:r w:rsidRPr="00B22252">
        <w:rPr>
          <w:rFonts w:ascii="Century" w:hAnsi="Century" w:cs="Miriam" w:hint="cs"/>
          <w:b/>
          <w:spacing w:val="0"/>
          <w:sz w:val="22"/>
          <w:szCs w:val="24"/>
          <w:rtl/>
        </w:rPr>
        <w:t>ח' מלצר</w:t>
      </w:r>
      <w:r>
        <w:rPr>
          <w:rFonts w:hint="cs"/>
          <w:rtl/>
        </w:rPr>
        <w:t xml:space="preserve">; ופסקאות 2-1 לפסק דינה של הנשיאה </w:t>
      </w:r>
      <w:r w:rsidRPr="00B22252">
        <w:rPr>
          <w:rFonts w:ascii="Century" w:hAnsi="Century" w:cs="Miriam" w:hint="cs"/>
          <w:b/>
          <w:spacing w:val="0"/>
          <w:sz w:val="22"/>
          <w:szCs w:val="24"/>
          <w:rtl/>
        </w:rPr>
        <w:t>א' חיות</w:t>
      </w:r>
      <w:r>
        <w:rPr>
          <w:rFonts w:hint="cs"/>
          <w:rtl/>
        </w:rPr>
        <w:t xml:space="preserve">) </w:t>
      </w:r>
      <w:r w:rsidRPr="00B22252">
        <w:rPr>
          <w:rtl/>
        </w:rPr>
        <w:t>(4.7.2019)</w:t>
      </w:r>
      <w:r>
        <w:rPr>
          <w:rFonts w:hint="cs"/>
          <w:rtl/>
        </w:rPr>
        <w:t>).</w:t>
      </w:r>
    </w:p>
    <w:p w:rsidR="00245254" w:rsidRDefault="00245254" w:rsidP="00245254">
      <w:pPr>
        <w:pStyle w:val="Ruller4"/>
        <w:spacing w:before="240" w:after="100" w:afterAutospacing="1"/>
      </w:pPr>
      <w:r>
        <w:rPr>
          <w:rFonts w:ascii="Century" w:hAnsi="Century" w:hint="cs"/>
          <w:sz w:val="22"/>
          <w:rtl/>
        </w:rPr>
        <w:t xml:space="preserve">אפנה אפוא לתכליותיה החברתיות </w:t>
      </w:r>
      <w:r w:rsidRPr="002806E0">
        <w:rPr>
          <w:rFonts w:ascii="Century" w:hAnsi="Century" w:hint="cs"/>
          <w:sz w:val="22"/>
          <w:rtl/>
        </w:rPr>
        <w:t xml:space="preserve">של הטבת יישוב </w:t>
      </w:r>
      <w:r>
        <w:rPr>
          <w:rFonts w:ascii="Century" w:hAnsi="Century" w:hint="cs"/>
          <w:sz w:val="22"/>
          <w:rtl/>
        </w:rPr>
        <w:t>מוטב</w:t>
      </w:r>
      <w:r>
        <w:rPr>
          <w:rFonts w:hint="cs"/>
          <w:rtl/>
        </w:rPr>
        <w:t xml:space="preserve"> אשר מוענקת לנישומים בגדרו של סעיף 11 לפקודת מס הכנסה. </w:t>
      </w:r>
    </w:p>
    <w:p w:rsidR="00245254" w:rsidRDefault="00245254" w:rsidP="00245254">
      <w:pPr>
        <w:pStyle w:val="Ruller4"/>
        <w:spacing w:before="240" w:after="100" w:afterAutospacing="1"/>
      </w:pPr>
      <w:r>
        <w:rPr>
          <w:rFonts w:hint="cs"/>
          <w:rtl/>
        </w:rPr>
        <w:t xml:space="preserve">בידוע הוא, כי תכליות אלה כוללות מתן סיוע ליישובי הפריפריה, ובפרט ליישובי קו העימות הצבאי עם אויבינו, מתן תמיכה כלכלית לתושביהם של יישובים אלה, וכן משיכת אוכלוסייה אל היישובים האמורים (ראו: עניין </w:t>
      </w:r>
      <w:proofErr w:type="spellStart"/>
      <w:r w:rsidRPr="00EF62BB">
        <w:rPr>
          <w:rFonts w:ascii="Century" w:hAnsi="Century" w:cs="Miriam" w:hint="cs"/>
          <w:b/>
          <w:spacing w:val="0"/>
          <w:sz w:val="22"/>
          <w:szCs w:val="24"/>
          <w:rtl/>
        </w:rPr>
        <w:t>בלטינסקי</w:t>
      </w:r>
      <w:proofErr w:type="spellEnd"/>
      <w:r>
        <w:rPr>
          <w:rFonts w:hint="cs"/>
          <w:rtl/>
        </w:rPr>
        <w:t xml:space="preserve">, פסקה 18). </w:t>
      </w:r>
    </w:p>
    <w:p w:rsidR="00245254" w:rsidRDefault="00245254" w:rsidP="00245254">
      <w:pPr>
        <w:pStyle w:val="Ruller4"/>
        <w:numPr>
          <w:ilvl w:val="0"/>
          <w:numId w:val="0"/>
        </w:numPr>
        <w:spacing w:before="240" w:after="100" w:afterAutospacing="1"/>
        <w:rPr>
          <w:rtl/>
        </w:rPr>
      </w:pPr>
      <w:r>
        <w:rPr>
          <w:rtl/>
        </w:rPr>
        <w:tab/>
      </w:r>
      <w:r>
        <w:rPr>
          <w:rFonts w:hint="cs"/>
          <w:rtl/>
        </w:rPr>
        <w:t xml:space="preserve">כפי שסיכמה זאת השופטת </w:t>
      </w:r>
      <w:r w:rsidRPr="00EF62BB">
        <w:rPr>
          <w:rFonts w:ascii="Century" w:hAnsi="Century" w:cs="Miriam" w:hint="cs"/>
          <w:b/>
          <w:spacing w:val="0"/>
          <w:sz w:val="22"/>
          <w:szCs w:val="24"/>
          <w:rtl/>
        </w:rPr>
        <w:t xml:space="preserve">א' </w:t>
      </w:r>
      <w:proofErr w:type="spellStart"/>
      <w:r w:rsidRPr="00EF62BB">
        <w:rPr>
          <w:rFonts w:ascii="Century" w:hAnsi="Century" w:cs="Miriam" w:hint="cs"/>
          <w:b/>
          <w:spacing w:val="0"/>
          <w:sz w:val="22"/>
          <w:szCs w:val="24"/>
          <w:rtl/>
        </w:rPr>
        <w:t>וינשטיין</w:t>
      </w:r>
      <w:proofErr w:type="spellEnd"/>
      <w:r>
        <w:rPr>
          <w:rFonts w:hint="cs"/>
          <w:rtl/>
        </w:rPr>
        <w:t xml:space="preserve"> באחד מערעורי המס שנדון לפניה:</w:t>
      </w:r>
    </w:p>
    <w:p w:rsidR="00245254" w:rsidRDefault="00245254" w:rsidP="00245254">
      <w:pPr>
        <w:pStyle w:val="Ruller5"/>
        <w:spacing w:before="240" w:after="100" w:afterAutospacing="1"/>
        <w:rPr>
          <w:rtl/>
        </w:rPr>
      </w:pPr>
      <w:r>
        <w:rPr>
          <w:rFonts w:hint="cs"/>
          <w:rtl/>
        </w:rPr>
        <w:t>"</w:t>
      </w:r>
      <w:r w:rsidRPr="00C0460B">
        <w:rPr>
          <w:rFonts w:hint="eastAsia"/>
          <w:rtl/>
        </w:rPr>
        <w:t>התכלית</w:t>
      </w:r>
      <w:r w:rsidRPr="00C0460B">
        <w:rPr>
          <w:rtl/>
        </w:rPr>
        <w:t xml:space="preserve"> </w:t>
      </w:r>
      <w:r w:rsidRPr="00C0460B">
        <w:rPr>
          <w:rFonts w:hint="eastAsia"/>
          <w:rtl/>
        </w:rPr>
        <w:t>העומדת</w:t>
      </w:r>
      <w:r w:rsidRPr="00C0460B">
        <w:rPr>
          <w:rtl/>
        </w:rPr>
        <w:t xml:space="preserve"> </w:t>
      </w:r>
      <w:r w:rsidRPr="00C0460B">
        <w:rPr>
          <w:rFonts w:hint="eastAsia"/>
          <w:rtl/>
        </w:rPr>
        <w:t>בבסיס</w:t>
      </w:r>
      <w:r w:rsidRPr="00C0460B">
        <w:rPr>
          <w:rtl/>
        </w:rPr>
        <w:t xml:space="preserve"> </w:t>
      </w:r>
      <w:r w:rsidRPr="00C0460B">
        <w:rPr>
          <w:rFonts w:hint="eastAsia"/>
          <w:rtl/>
        </w:rPr>
        <w:t>החקיקה</w:t>
      </w:r>
      <w:r w:rsidRPr="00C0460B">
        <w:rPr>
          <w:rtl/>
        </w:rPr>
        <w:t xml:space="preserve"> </w:t>
      </w:r>
      <w:r w:rsidRPr="00C0460B">
        <w:rPr>
          <w:rFonts w:hint="eastAsia"/>
          <w:rtl/>
        </w:rPr>
        <w:t>של</w:t>
      </w:r>
      <w:r w:rsidRPr="00C0460B">
        <w:rPr>
          <w:rtl/>
        </w:rPr>
        <w:t xml:space="preserve"> </w:t>
      </w:r>
      <w:r w:rsidRPr="00C0460B">
        <w:rPr>
          <w:rFonts w:hint="eastAsia"/>
          <w:rtl/>
        </w:rPr>
        <w:t>סעיף</w:t>
      </w:r>
      <w:r w:rsidRPr="00C0460B">
        <w:rPr>
          <w:rtl/>
        </w:rPr>
        <w:t xml:space="preserve"> 11 </w:t>
      </w:r>
      <w:r w:rsidRPr="00C0460B">
        <w:rPr>
          <w:rFonts w:hint="eastAsia"/>
          <w:rtl/>
        </w:rPr>
        <w:t>לפקודה</w:t>
      </w:r>
      <w:r w:rsidRPr="00C0460B">
        <w:rPr>
          <w:rtl/>
        </w:rPr>
        <w:t xml:space="preserve"> </w:t>
      </w:r>
      <w:r w:rsidRPr="00C0460B">
        <w:rPr>
          <w:rFonts w:hint="eastAsia"/>
          <w:rtl/>
        </w:rPr>
        <w:t>היא</w:t>
      </w:r>
      <w:r w:rsidRPr="00C0460B">
        <w:rPr>
          <w:rtl/>
        </w:rPr>
        <w:t xml:space="preserve"> </w:t>
      </w:r>
      <w:r w:rsidRPr="00C0460B">
        <w:rPr>
          <w:rFonts w:hint="eastAsia"/>
          <w:rtl/>
        </w:rPr>
        <w:t>עידוד</w:t>
      </w:r>
      <w:r w:rsidRPr="00C0460B">
        <w:rPr>
          <w:rtl/>
        </w:rPr>
        <w:t xml:space="preserve"> </w:t>
      </w:r>
      <w:r w:rsidRPr="00C0460B">
        <w:rPr>
          <w:rFonts w:hint="eastAsia"/>
          <w:rtl/>
        </w:rPr>
        <w:t>האוכלוסייה</w:t>
      </w:r>
      <w:r w:rsidRPr="00C0460B">
        <w:rPr>
          <w:rtl/>
        </w:rPr>
        <w:t xml:space="preserve"> </w:t>
      </w:r>
      <w:r w:rsidRPr="00C0460B">
        <w:rPr>
          <w:rFonts w:hint="eastAsia"/>
          <w:rtl/>
        </w:rPr>
        <w:t>להתיישב</w:t>
      </w:r>
      <w:r w:rsidRPr="00C0460B">
        <w:rPr>
          <w:rtl/>
        </w:rPr>
        <w:t xml:space="preserve"> </w:t>
      </w:r>
      <w:r w:rsidRPr="00C0460B">
        <w:rPr>
          <w:rFonts w:hint="eastAsia"/>
          <w:rtl/>
        </w:rPr>
        <w:t>ולקבוע</w:t>
      </w:r>
      <w:r w:rsidRPr="00C0460B">
        <w:rPr>
          <w:rtl/>
        </w:rPr>
        <w:t xml:space="preserve"> </w:t>
      </w:r>
      <w:r w:rsidRPr="00C0460B">
        <w:rPr>
          <w:rFonts w:hint="eastAsia"/>
          <w:rtl/>
        </w:rPr>
        <w:t>מרכז</w:t>
      </w:r>
      <w:r w:rsidRPr="00C0460B">
        <w:rPr>
          <w:rtl/>
        </w:rPr>
        <w:t xml:space="preserve"> </w:t>
      </w:r>
      <w:r w:rsidRPr="00C0460B">
        <w:rPr>
          <w:rFonts w:hint="eastAsia"/>
          <w:rtl/>
        </w:rPr>
        <w:t>חיים</w:t>
      </w:r>
      <w:r w:rsidRPr="00C0460B">
        <w:rPr>
          <w:rtl/>
        </w:rPr>
        <w:t xml:space="preserve"> </w:t>
      </w:r>
      <w:r w:rsidRPr="00C0460B">
        <w:rPr>
          <w:rFonts w:hint="eastAsia"/>
          <w:rtl/>
        </w:rPr>
        <w:t>בישובים</w:t>
      </w:r>
      <w:r w:rsidRPr="00C0460B">
        <w:rPr>
          <w:rtl/>
        </w:rPr>
        <w:t xml:space="preserve"> </w:t>
      </w:r>
      <w:r w:rsidRPr="00C0460B">
        <w:rPr>
          <w:rFonts w:hint="eastAsia"/>
          <w:rtl/>
        </w:rPr>
        <w:t>המזכים</w:t>
      </w:r>
      <w:r w:rsidRPr="00C0460B">
        <w:rPr>
          <w:rtl/>
        </w:rPr>
        <w:t xml:space="preserve"> </w:t>
      </w:r>
      <w:r w:rsidRPr="00C0460B">
        <w:rPr>
          <w:rFonts w:hint="eastAsia"/>
          <w:rtl/>
        </w:rPr>
        <w:t>בהטבת</w:t>
      </w:r>
      <w:r w:rsidRPr="00C0460B">
        <w:rPr>
          <w:rtl/>
        </w:rPr>
        <w:t xml:space="preserve"> </w:t>
      </w:r>
      <w:r w:rsidRPr="00C0460B">
        <w:rPr>
          <w:rFonts w:hint="eastAsia"/>
          <w:rtl/>
        </w:rPr>
        <w:t>המס</w:t>
      </w:r>
      <w:r w:rsidRPr="00C0460B">
        <w:rPr>
          <w:rtl/>
        </w:rPr>
        <w:t xml:space="preserve">, </w:t>
      </w:r>
      <w:r w:rsidRPr="00C0460B">
        <w:rPr>
          <w:rFonts w:hint="eastAsia"/>
          <w:rtl/>
        </w:rPr>
        <w:t>וזאת</w:t>
      </w:r>
      <w:r w:rsidRPr="00C0460B">
        <w:rPr>
          <w:rtl/>
        </w:rPr>
        <w:t xml:space="preserve"> </w:t>
      </w:r>
      <w:r w:rsidRPr="00C0460B">
        <w:rPr>
          <w:rFonts w:hint="eastAsia"/>
          <w:rtl/>
        </w:rPr>
        <w:t>על</w:t>
      </w:r>
      <w:r w:rsidRPr="00C0460B">
        <w:rPr>
          <w:rtl/>
        </w:rPr>
        <w:t xml:space="preserve"> </w:t>
      </w:r>
      <w:r w:rsidRPr="00C0460B">
        <w:rPr>
          <w:rFonts w:hint="eastAsia"/>
          <w:rtl/>
        </w:rPr>
        <w:t>מנת</w:t>
      </w:r>
      <w:r w:rsidRPr="00C0460B">
        <w:rPr>
          <w:rtl/>
        </w:rPr>
        <w:t xml:space="preserve">, </w:t>
      </w:r>
      <w:r w:rsidRPr="00C0460B">
        <w:rPr>
          <w:rFonts w:hint="eastAsia"/>
          <w:rtl/>
        </w:rPr>
        <w:t>בין</w:t>
      </w:r>
      <w:r w:rsidRPr="00C0460B">
        <w:rPr>
          <w:rtl/>
        </w:rPr>
        <w:t xml:space="preserve"> </w:t>
      </w:r>
      <w:r w:rsidRPr="00C0460B">
        <w:rPr>
          <w:rFonts w:hint="eastAsia"/>
          <w:rtl/>
        </w:rPr>
        <w:t>היתר</w:t>
      </w:r>
      <w:r w:rsidRPr="00C0460B">
        <w:rPr>
          <w:rtl/>
        </w:rPr>
        <w:t xml:space="preserve">, </w:t>
      </w:r>
      <w:r w:rsidRPr="00C0460B">
        <w:rPr>
          <w:rFonts w:hint="eastAsia"/>
          <w:rtl/>
        </w:rPr>
        <w:t>לעבות</w:t>
      </w:r>
      <w:r w:rsidRPr="00C0460B">
        <w:rPr>
          <w:rtl/>
        </w:rPr>
        <w:t xml:space="preserve"> </w:t>
      </w:r>
      <w:r w:rsidRPr="00C0460B">
        <w:rPr>
          <w:rFonts w:hint="eastAsia"/>
          <w:rtl/>
        </w:rPr>
        <w:t>את</w:t>
      </w:r>
      <w:r w:rsidRPr="00C0460B">
        <w:rPr>
          <w:rtl/>
        </w:rPr>
        <w:t xml:space="preserve"> </w:t>
      </w:r>
      <w:r w:rsidRPr="00C0460B">
        <w:rPr>
          <w:rFonts w:hint="eastAsia"/>
          <w:rtl/>
        </w:rPr>
        <w:t>האוכלוסייה</w:t>
      </w:r>
      <w:r w:rsidRPr="00C0460B">
        <w:rPr>
          <w:rtl/>
        </w:rPr>
        <w:t xml:space="preserve"> </w:t>
      </w:r>
      <w:r w:rsidRPr="00C0460B">
        <w:rPr>
          <w:rFonts w:hint="eastAsia"/>
          <w:rtl/>
        </w:rPr>
        <w:t>באותם</w:t>
      </w:r>
      <w:r w:rsidRPr="00C0460B">
        <w:rPr>
          <w:rtl/>
        </w:rPr>
        <w:t xml:space="preserve"> </w:t>
      </w:r>
      <w:r w:rsidRPr="00C0460B">
        <w:rPr>
          <w:rFonts w:hint="eastAsia"/>
          <w:rtl/>
        </w:rPr>
        <w:t>ישובים</w:t>
      </w:r>
      <w:r w:rsidRPr="00C0460B">
        <w:rPr>
          <w:rtl/>
        </w:rPr>
        <w:t xml:space="preserve"> </w:t>
      </w:r>
      <w:r w:rsidRPr="00C0460B">
        <w:rPr>
          <w:rFonts w:hint="eastAsia"/>
          <w:rtl/>
        </w:rPr>
        <w:t>לצורך</w:t>
      </w:r>
      <w:r w:rsidRPr="00C0460B">
        <w:rPr>
          <w:rtl/>
        </w:rPr>
        <w:t xml:space="preserve"> </w:t>
      </w:r>
      <w:r w:rsidRPr="00C0460B">
        <w:rPr>
          <w:rFonts w:hint="eastAsia"/>
          <w:rtl/>
        </w:rPr>
        <w:t>מימוש</w:t>
      </w:r>
      <w:r w:rsidRPr="00C0460B">
        <w:rPr>
          <w:rtl/>
        </w:rPr>
        <w:t xml:space="preserve"> </w:t>
      </w:r>
      <w:r w:rsidRPr="00C0460B">
        <w:rPr>
          <w:rFonts w:hint="eastAsia"/>
          <w:rtl/>
        </w:rPr>
        <w:t>אינטרסים</w:t>
      </w:r>
      <w:r w:rsidRPr="00C0460B">
        <w:rPr>
          <w:rtl/>
        </w:rPr>
        <w:t xml:space="preserve"> </w:t>
      </w:r>
      <w:r w:rsidRPr="00C0460B">
        <w:rPr>
          <w:rFonts w:hint="eastAsia"/>
          <w:rtl/>
        </w:rPr>
        <w:t>ביטחוניים</w:t>
      </w:r>
      <w:r w:rsidRPr="00C0460B">
        <w:rPr>
          <w:rtl/>
        </w:rPr>
        <w:t xml:space="preserve"> </w:t>
      </w:r>
      <w:r w:rsidRPr="00C0460B">
        <w:rPr>
          <w:rFonts w:hint="eastAsia"/>
          <w:rtl/>
        </w:rPr>
        <w:t>ולאומיים</w:t>
      </w:r>
      <w:r w:rsidRPr="00C0460B">
        <w:rPr>
          <w:rtl/>
        </w:rPr>
        <w:t xml:space="preserve"> </w:t>
      </w:r>
      <w:r w:rsidRPr="00C0460B">
        <w:rPr>
          <w:rFonts w:hint="eastAsia"/>
          <w:rtl/>
        </w:rPr>
        <w:t>וכן</w:t>
      </w:r>
      <w:r w:rsidRPr="00C0460B">
        <w:rPr>
          <w:rtl/>
        </w:rPr>
        <w:t xml:space="preserve"> </w:t>
      </w:r>
      <w:r w:rsidRPr="00C0460B">
        <w:rPr>
          <w:rFonts w:hint="eastAsia"/>
          <w:rtl/>
        </w:rPr>
        <w:t>לקדם</w:t>
      </w:r>
      <w:r w:rsidRPr="00C0460B">
        <w:rPr>
          <w:rtl/>
        </w:rPr>
        <w:t xml:space="preserve"> </w:t>
      </w:r>
      <w:r w:rsidRPr="00C0460B">
        <w:rPr>
          <w:rFonts w:hint="eastAsia"/>
          <w:rtl/>
        </w:rPr>
        <w:t>את</w:t>
      </w:r>
      <w:r w:rsidRPr="00C0460B">
        <w:rPr>
          <w:rtl/>
        </w:rPr>
        <w:t xml:space="preserve"> </w:t>
      </w:r>
      <w:r w:rsidRPr="00C0460B">
        <w:rPr>
          <w:rFonts w:hint="eastAsia"/>
          <w:rtl/>
        </w:rPr>
        <w:t>פיתוחם</w:t>
      </w:r>
      <w:r w:rsidRPr="00C0460B">
        <w:rPr>
          <w:rtl/>
        </w:rPr>
        <w:t xml:space="preserve"> </w:t>
      </w:r>
      <w:r w:rsidRPr="00C0460B">
        <w:rPr>
          <w:rFonts w:hint="eastAsia"/>
          <w:rtl/>
        </w:rPr>
        <w:t>הכלכלי</w:t>
      </w:r>
      <w:r w:rsidRPr="00C0460B">
        <w:rPr>
          <w:rtl/>
        </w:rPr>
        <w:t xml:space="preserve"> </w:t>
      </w:r>
      <w:r w:rsidRPr="00C0460B">
        <w:rPr>
          <w:rFonts w:hint="eastAsia"/>
          <w:rtl/>
        </w:rPr>
        <w:t>והחברתי</w:t>
      </w:r>
      <w:r w:rsidRPr="00C0460B">
        <w:rPr>
          <w:rtl/>
        </w:rPr>
        <w:t xml:space="preserve"> </w:t>
      </w:r>
      <w:r w:rsidRPr="00C0460B">
        <w:rPr>
          <w:rFonts w:hint="eastAsia"/>
          <w:rtl/>
        </w:rPr>
        <w:t>של</w:t>
      </w:r>
      <w:r w:rsidRPr="00C0460B">
        <w:rPr>
          <w:rtl/>
        </w:rPr>
        <w:t xml:space="preserve"> </w:t>
      </w:r>
      <w:r w:rsidRPr="00C0460B">
        <w:rPr>
          <w:rFonts w:hint="eastAsia"/>
          <w:rtl/>
        </w:rPr>
        <w:t>יישובים</w:t>
      </w:r>
      <w:r w:rsidRPr="00C0460B">
        <w:rPr>
          <w:rtl/>
        </w:rPr>
        <w:t xml:space="preserve"> </w:t>
      </w:r>
      <w:r w:rsidRPr="00C0460B">
        <w:rPr>
          <w:rFonts w:hint="eastAsia"/>
          <w:rtl/>
        </w:rPr>
        <w:t>אלו</w:t>
      </w:r>
      <w:r w:rsidRPr="00C0460B">
        <w:rPr>
          <w:rtl/>
        </w:rPr>
        <w:t>.</w:t>
      </w:r>
      <w:r>
        <w:rPr>
          <w:rFonts w:hint="cs"/>
          <w:rtl/>
        </w:rPr>
        <w:t xml:space="preserve">" (ראו: </w:t>
      </w:r>
      <w:r w:rsidRPr="00C0460B">
        <w:rPr>
          <w:rFonts w:hint="eastAsia"/>
          <w:rtl/>
        </w:rPr>
        <w:t>ע</w:t>
      </w:r>
      <w:r>
        <w:rPr>
          <w:rFonts w:hint="cs"/>
          <w:rtl/>
        </w:rPr>
        <w:t>"</w:t>
      </w:r>
      <w:r w:rsidRPr="00C0460B">
        <w:rPr>
          <w:rFonts w:hint="eastAsia"/>
          <w:rtl/>
        </w:rPr>
        <w:t>מ</w:t>
      </w:r>
      <w:r w:rsidRPr="00C0460B">
        <w:rPr>
          <w:rtl/>
        </w:rPr>
        <w:t xml:space="preserve"> (</w:t>
      </w:r>
      <w:r>
        <w:rPr>
          <w:rFonts w:hint="cs"/>
          <w:rtl/>
        </w:rPr>
        <w:t>מחוזי חיפה</w:t>
      </w:r>
      <w:r w:rsidRPr="00C0460B">
        <w:rPr>
          <w:rtl/>
        </w:rPr>
        <w:t>) 21313-05-15</w:t>
      </w:r>
      <w:r>
        <w:rPr>
          <w:rFonts w:hint="cs"/>
          <w:rtl/>
        </w:rPr>
        <w:t xml:space="preserve"> </w:t>
      </w:r>
      <w:r w:rsidRPr="00F17F48">
        <w:rPr>
          <w:rFonts w:ascii="Century" w:hAnsi="Century" w:cs="Miriam" w:hint="cs"/>
          <w:b/>
          <w:spacing w:val="0"/>
          <w:szCs w:val="24"/>
          <w:rtl/>
        </w:rPr>
        <w:t>יעקב נ' פקיד השומה עכו</w:t>
      </w:r>
      <w:r>
        <w:rPr>
          <w:rFonts w:hint="cs"/>
          <w:rtl/>
        </w:rPr>
        <w:t>, פסקה 28 (25.11.2016)).</w:t>
      </w:r>
    </w:p>
    <w:p w:rsidR="00245254" w:rsidRDefault="00245254" w:rsidP="00245254">
      <w:pPr>
        <w:pStyle w:val="Ruller4"/>
        <w:spacing w:before="240" w:after="100" w:afterAutospacing="1"/>
        <w:rPr>
          <w:rtl/>
        </w:rPr>
      </w:pPr>
      <w:r>
        <w:rPr>
          <w:rFonts w:hint="cs"/>
          <w:rtl/>
        </w:rPr>
        <w:t xml:space="preserve">נמצא אפוא כי בקביעת "מרכז החיים" של נישום לעניינו של סעיף 11 לפקודה מן הראוי לתת משקל משמעותי להתנהלותו של הנישום ביישוב המוטב אשר מסייעת במימוש אינטרסים ביטחוניים ולאומיים של המדינה או מקדמת את פיתוחו הכלכלי והחברתי של היישוב. במילים אחרות: בין הזיקות האובייקטיביות אשר מכוננות את זכאות הנישום להטבת יישוב מוטב, חייב פקיד השומה להתייחס לתרומת הנישום לפיתוח היישוב, להפיכתו למקום תושבות אטרקטיבי ולצמיחתו הכלכלית-חברתית. יתרה מכך: פקיד השומה נדרש לתת לנתון זה של התרומה ליישוב משקל סגולי בהשוואה לשאר הנתונים והזיקות הרלבנטיות. ככל שתרומה כאמור קשורה לפעילות הנישום שבגינה הוא </w:t>
      </w:r>
      <w:proofErr w:type="spellStart"/>
      <w:r>
        <w:rPr>
          <w:rFonts w:hint="cs"/>
          <w:rtl/>
        </w:rPr>
        <w:t>מחוייב</w:t>
      </w:r>
      <w:proofErr w:type="spellEnd"/>
      <w:r>
        <w:rPr>
          <w:rFonts w:hint="cs"/>
          <w:rtl/>
        </w:rPr>
        <w:t xml:space="preserve"> במס הכנסה בשנות המס לגביהן הוא טוען לזכאות, נתון זה אמור לקבל משקל רב עוד יותר. ככל שתרומה זו עולה, זיקתו של הנישום ליישוב הולכת ומתהדקת עד כדי הפיכת היישוב למרכז חייו. לזיקה זו אקרא בהמשך דבריי </w:t>
      </w:r>
      <w:r w:rsidRPr="00270685">
        <w:rPr>
          <w:rFonts w:ascii="Century" w:hAnsi="Century" w:cs="Miriam" w:hint="cs"/>
          <w:b/>
          <w:spacing w:val="0"/>
          <w:sz w:val="22"/>
          <w:szCs w:val="24"/>
          <w:rtl/>
        </w:rPr>
        <w:t>זיקת התרומה</w:t>
      </w:r>
      <w:r>
        <w:rPr>
          <w:rFonts w:hint="cs"/>
          <w:rtl/>
        </w:rPr>
        <w:t xml:space="preserve"> או </w:t>
      </w:r>
      <w:r w:rsidRPr="00E10384">
        <w:rPr>
          <w:rFonts w:ascii="Century" w:hAnsi="Century" w:cs="Miriam" w:hint="cs"/>
          <w:b/>
          <w:spacing w:val="0"/>
          <w:sz w:val="22"/>
          <w:szCs w:val="24"/>
          <w:rtl/>
        </w:rPr>
        <w:t>זיקת</w:t>
      </w:r>
      <w:r>
        <w:rPr>
          <w:rFonts w:hint="cs"/>
          <w:rtl/>
        </w:rPr>
        <w:t xml:space="preserve"> </w:t>
      </w:r>
      <w:r w:rsidRPr="00270685">
        <w:rPr>
          <w:rFonts w:ascii="Century" w:hAnsi="Century" w:cs="Miriam" w:hint="cs"/>
          <w:b/>
          <w:spacing w:val="0"/>
          <w:sz w:val="22"/>
          <w:szCs w:val="24"/>
          <w:rtl/>
        </w:rPr>
        <w:t>התרומה ליישוב</w:t>
      </w:r>
      <w:r>
        <w:rPr>
          <w:rFonts w:hint="cs"/>
          <w:rtl/>
        </w:rPr>
        <w:t xml:space="preserve">. ברי הוא, כי העצמתה של זיקת התרומה מקדמת את כל תכליותיה של הטבת יישוב מוטב: מתן סיוע ליישובי הפריפריה; תמיכה כלכלית בתושביהם של יישובי הפריפריה; ומשיכת אוכלוסייה אל יישובים אלו. מכאן משקלה הסגולי </w:t>
      </w:r>
      <w:r>
        <w:rPr>
          <w:rtl/>
        </w:rPr>
        <w:t>–</w:t>
      </w:r>
      <w:r>
        <w:rPr>
          <w:rFonts w:hint="cs"/>
          <w:rtl/>
        </w:rPr>
        <w:t xml:space="preserve"> אם כי לא מכריע </w:t>
      </w:r>
      <w:r>
        <w:rPr>
          <w:rtl/>
        </w:rPr>
        <w:t>–</w:t>
      </w:r>
      <w:r>
        <w:rPr>
          <w:rFonts w:hint="cs"/>
          <w:rtl/>
        </w:rPr>
        <w:t xml:space="preserve"> של זיקת התרומה ליישוב בקביעת מרכז חייו של הנישום לצרכיו של סעיף 11 לפקודת מס הכנסה.</w:t>
      </w:r>
    </w:p>
    <w:p w:rsidR="00245254" w:rsidRDefault="00245254" w:rsidP="00245254">
      <w:pPr>
        <w:pStyle w:val="Ruller4"/>
        <w:spacing w:before="240" w:after="100" w:afterAutospacing="1"/>
      </w:pPr>
      <w:r>
        <w:rPr>
          <w:rFonts w:hint="cs"/>
          <w:rtl/>
        </w:rPr>
        <w:lastRenderedPageBreak/>
        <w:t xml:space="preserve">להבהרת הדברים אציג את הדוגמא הבאה: שני נישומים מתגוררים בעיר קריית שמונה </w:t>
      </w:r>
      <w:r>
        <w:rPr>
          <w:rtl/>
        </w:rPr>
        <w:t>–</w:t>
      </w:r>
      <w:r>
        <w:rPr>
          <w:rFonts w:hint="cs"/>
          <w:rtl/>
        </w:rPr>
        <w:t xml:space="preserve"> יישוב מוטב לפי סעיף 11 לפקודה </w:t>
      </w:r>
      <w:r>
        <w:rPr>
          <w:rtl/>
        </w:rPr>
        <w:t>–</w:t>
      </w:r>
      <w:r>
        <w:rPr>
          <w:rFonts w:hint="cs"/>
          <w:rtl/>
        </w:rPr>
        <w:t xml:space="preserve"> ומקיימים זיקות אובייקטיביות זהות לעיר זו. ההבדל היחיד בין שני הנישומים הללו הוא שאחד מהם עובד במוסד ציבורי אשר תורם תרומה משמעותית לעיר קריית שמונה, בעוד שהנישום האחר עובד מביתו אצל מעסיק שמקום מושבו בתל אביב. בנסיבות אלו, ובכפוף לשאר הזיקות לקריית שמונה, ייתכן שנגיע למסקנה כי הנישום המועסק במוסד אשר תורם לקריית שמונה יוכר כתושב העיר לעניינו של סעיף 11 לפקודה, בעוד שהנישום האחר לא יקבל הכרה זו ולא יימצא זכאי להטבת יישוב מוטב. </w:t>
      </w:r>
    </w:p>
    <w:p w:rsidR="00245254" w:rsidRDefault="00245254" w:rsidP="00245254">
      <w:pPr>
        <w:pStyle w:val="Ruller4"/>
        <w:spacing w:before="240" w:after="100" w:afterAutospacing="1"/>
      </w:pPr>
      <w:r>
        <w:rPr>
          <w:rFonts w:hint="cs"/>
          <w:rtl/>
        </w:rPr>
        <w:t xml:space="preserve">בעניין זה דעתי נבדלת מדעתו של בית משפט קמא. לשיטתו של בית משפט קמא, תכליתו של סעיף 11 לפקודה הינה לעודד "הגירה </w:t>
      </w:r>
      <w:proofErr w:type="spellStart"/>
      <w:r>
        <w:rPr>
          <w:rFonts w:hint="cs"/>
          <w:rtl/>
        </w:rPr>
        <w:t>אמיתית</w:t>
      </w:r>
      <w:proofErr w:type="spellEnd"/>
      <w:r>
        <w:rPr>
          <w:rFonts w:hint="cs"/>
          <w:rtl/>
        </w:rPr>
        <w:t xml:space="preserve">"; הווה אומר: לעודד השתקעות ארוכת טווח ביישובים המוטבים. לשיטתי שלי, כוונת הנישום להשתקע ביישוב מוטב לאורך זמן מהווה, ללא ספק, חלק ממכלול הזיקות לאותו יישוב, אולם היא אינה בגדר שיקול מכריע. לטעמי, מגורים זמניים לתקופה ממושכת </w:t>
      </w:r>
      <w:r>
        <w:rPr>
          <w:rtl/>
        </w:rPr>
        <w:t>–</w:t>
      </w:r>
      <w:r>
        <w:rPr>
          <w:rFonts w:hint="cs"/>
          <w:rtl/>
        </w:rPr>
        <w:t xml:space="preserve"> אשר נמדדת אף בחודשים, להבדיל משנים </w:t>
      </w:r>
      <w:r>
        <w:rPr>
          <w:rtl/>
        </w:rPr>
        <w:t>–</w:t>
      </w:r>
      <w:r>
        <w:rPr>
          <w:rFonts w:hint="cs"/>
          <w:rtl/>
        </w:rPr>
        <w:t xml:space="preserve"> גם הם יכולים לבסס את זכאות הנישום להטבה לפי סעיף 11 לפקודה כאשר פועלו של אותו נישום, שבגינו הוא חייב לשלם מס הכנסה, מעלה תרומה משמעותית ליישוב. לזיקת התרומה יש משקל סגולי ומקום של כבוד בגדרו של סעיף 11 לפקודה.</w:t>
      </w:r>
    </w:p>
    <w:p w:rsidR="00245254" w:rsidRDefault="00245254" w:rsidP="00245254">
      <w:pPr>
        <w:pStyle w:val="Ruller4"/>
        <w:numPr>
          <w:ilvl w:val="0"/>
          <w:numId w:val="0"/>
        </w:numPr>
        <w:spacing w:before="240" w:after="100" w:afterAutospacing="1"/>
      </w:pPr>
      <w:r>
        <w:rPr>
          <w:rFonts w:ascii="Century" w:hAnsi="Century" w:cs="Miriam" w:hint="cs"/>
          <w:b/>
          <w:spacing w:val="0"/>
          <w:sz w:val="22"/>
          <w:szCs w:val="24"/>
          <w:rtl/>
        </w:rPr>
        <w:t>מרכז חייו של ספורטאי מקצועני</w:t>
      </w:r>
      <w:r>
        <w:rPr>
          <w:rFonts w:hint="cs"/>
          <w:rtl/>
        </w:rPr>
        <w:t xml:space="preserve"> </w:t>
      </w:r>
    </w:p>
    <w:p w:rsidR="00245254" w:rsidRDefault="00245254" w:rsidP="00245254">
      <w:pPr>
        <w:pStyle w:val="Ruller4"/>
        <w:spacing w:before="240" w:after="100" w:afterAutospacing="1"/>
      </w:pPr>
      <w:r>
        <w:rPr>
          <w:rFonts w:hint="cs"/>
          <w:rtl/>
        </w:rPr>
        <w:t xml:space="preserve">בגדרי הערעורים שלפנינו, מוטל עלינו למקם את הזיקות כאמור בעולמו של ספורט מקצועני. במסגרת זו, עלינו לבחון את התקיימות הזיקות הללו ולקבוע את משקלה היחסי של כל זיקה וזיקה על רקע פועלם של שחקני ספורט מקצועניים ושל קבוצותיהם כמנגנון עסקי ייחודי. </w:t>
      </w:r>
    </w:p>
    <w:p w:rsidR="00245254" w:rsidRDefault="00245254" w:rsidP="00245254">
      <w:pPr>
        <w:pStyle w:val="Ruller4"/>
        <w:spacing w:before="240" w:after="100" w:afterAutospacing="1"/>
      </w:pPr>
      <w:r>
        <w:rPr>
          <w:rFonts w:hint="cs"/>
          <w:rtl/>
        </w:rPr>
        <w:t xml:space="preserve">בטרם אעשה כן, אסיר מסדר יומנו את טענת המדינה אשר מסרבת לראות בספורט קבוצתי תחרותי, ובכדורגל מקצועני בפרט, מנגנון עסקי ייחודי. לפי טענה זו, דינו של כדורגל מקצועני לעניין דיני המס כדין כל עסק רגיל. לשיטת המדינה, כך נפסק פה-אחד בע"א 7883/12 </w:t>
      </w:r>
      <w:r w:rsidRPr="00791942">
        <w:rPr>
          <w:rFonts w:ascii="Century" w:hAnsi="Century" w:cs="Miriam" w:hint="cs"/>
          <w:b/>
          <w:spacing w:val="0"/>
          <w:sz w:val="22"/>
          <w:szCs w:val="24"/>
          <w:rtl/>
        </w:rPr>
        <w:t xml:space="preserve">קשר ספורט בע"מ נ' האוצר </w:t>
      </w:r>
      <w:r w:rsidRPr="00791942">
        <w:rPr>
          <w:rFonts w:ascii="Century" w:hAnsi="Century" w:cs="Miriam"/>
          <w:b/>
          <w:spacing w:val="0"/>
          <w:sz w:val="22"/>
          <w:szCs w:val="24"/>
          <w:rtl/>
        </w:rPr>
        <w:t>–</w:t>
      </w:r>
      <w:r w:rsidRPr="00791942">
        <w:rPr>
          <w:rFonts w:ascii="Century" w:hAnsi="Century" w:cs="Miriam" w:hint="cs"/>
          <w:b/>
          <w:spacing w:val="0"/>
          <w:sz w:val="22"/>
          <w:szCs w:val="24"/>
          <w:rtl/>
        </w:rPr>
        <w:t xml:space="preserve"> אגף המכס ומע"מ ת"א 3</w:t>
      </w:r>
      <w:r>
        <w:rPr>
          <w:rFonts w:hint="cs"/>
          <w:rtl/>
        </w:rPr>
        <w:t xml:space="preserve"> (9.9.2015) (להלן: עניין </w:t>
      </w:r>
      <w:r w:rsidRPr="00791942">
        <w:rPr>
          <w:rFonts w:ascii="Century" w:hAnsi="Century" w:cs="Miriam" w:hint="cs"/>
          <w:b/>
          <w:spacing w:val="0"/>
          <w:sz w:val="22"/>
          <w:szCs w:val="24"/>
          <w:rtl/>
        </w:rPr>
        <w:t>קשר ספורט</w:t>
      </w:r>
      <w:r>
        <w:rPr>
          <w:rFonts w:hint="cs"/>
          <w:rtl/>
        </w:rPr>
        <w:t xml:space="preserve">). בהקשר זה, נסמכת המדינה על דבריו של השופט </w:t>
      </w:r>
      <w:r w:rsidRPr="0031159B">
        <w:rPr>
          <w:rFonts w:ascii="Century" w:hAnsi="Century" w:cs="Miriam" w:hint="cs"/>
          <w:b/>
          <w:spacing w:val="0"/>
          <w:sz w:val="22"/>
          <w:szCs w:val="24"/>
          <w:rtl/>
        </w:rPr>
        <w:t>נ' הנדל</w:t>
      </w:r>
      <w:r>
        <w:rPr>
          <w:rFonts w:hint="cs"/>
          <w:rtl/>
        </w:rPr>
        <w:t xml:space="preserve"> אשר הסבירו מדוע עלינו לראות בתשלום שמשולם על ידי קבוצת כדורגל ישראלית בעד "כרטיס שחקן" שעובר אליה מקבוצה אחרת, הנמצאת בחו"ל </w:t>
      </w:r>
      <w:r>
        <w:rPr>
          <w:rtl/>
        </w:rPr>
        <w:t>–</w:t>
      </w:r>
      <w:r>
        <w:rPr>
          <w:rFonts w:hint="cs"/>
          <w:rtl/>
        </w:rPr>
        <w:t xml:space="preserve"> תוך התרת חוזה ההעסקה שבין אותה קבוצה לשחקן המגיע ארצה </w:t>
      </w:r>
      <w:r>
        <w:rPr>
          <w:rtl/>
        </w:rPr>
        <w:t>–</w:t>
      </w:r>
      <w:r>
        <w:rPr>
          <w:rFonts w:hint="cs"/>
          <w:rtl/>
        </w:rPr>
        <w:t xml:space="preserve"> ייבוא "טובין" שבגינו חייבת הקבוצה </w:t>
      </w:r>
      <w:r>
        <w:rPr>
          <w:rFonts w:hint="cs"/>
          <w:rtl/>
        </w:rPr>
        <w:lastRenderedPageBreak/>
        <w:t xml:space="preserve">הישראלית לשלם מס ערך מוסף לפי חוק מס ערך מוסף, התשל"ו-1975 (להלן: </w:t>
      </w:r>
      <w:r>
        <w:rPr>
          <w:rFonts w:ascii="Century" w:hAnsi="Century" w:cs="Miriam" w:hint="cs"/>
          <w:b/>
          <w:spacing w:val="0"/>
          <w:szCs w:val="24"/>
          <w:rtl/>
        </w:rPr>
        <w:t>חוק מע"מ</w:t>
      </w:r>
      <w:r>
        <w:rPr>
          <w:rFonts w:hint="cs"/>
          <w:rtl/>
        </w:rPr>
        <w:t>).</w:t>
      </w:r>
    </w:p>
    <w:p w:rsidR="00245254" w:rsidRDefault="00245254" w:rsidP="00245254">
      <w:pPr>
        <w:pStyle w:val="Ruller4"/>
        <w:numPr>
          <w:ilvl w:val="0"/>
          <w:numId w:val="0"/>
        </w:numPr>
        <w:spacing w:before="240" w:after="100" w:afterAutospacing="1"/>
        <w:rPr>
          <w:rtl/>
        </w:rPr>
      </w:pPr>
      <w:r>
        <w:rPr>
          <w:rtl/>
        </w:rPr>
        <w:tab/>
      </w:r>
      <w:r>
        <w:rPr>
          <w:rFonts w:hint="cs"/>
          <w:rtl/>
        </w:rPr>
        <w:t xml:space="preserve">בפרט, מפנה אותנו המדינה לדברים הבאים: </w:t>
      </w:r>
    </w:p>
    <w:p w:rsidR="00245254" w:rsidRPr="008F3C85" w:rsidRDefault="00245254" w:rsidP="00245254">
      <w:pPr>
        <w:pStyle w:val="Ruller5"/>
        <w:spacing w:before="240" w:after="100" w:afterAutospacing="1"/>
        <w:rPr>
          <w:rFonts w:ascii="Century" w:hAnsi="Century"/>
        </w:rPr>
      </w:pPr>
      <w:r>
        <w:rPr>
          <w:rFonts w:hint="cs"/>
          <w:rtl/>
        </w:rPr>
        <w:t xml:space="preserve">"[...] </w:t>
      </w:r>
      <w:r w:rsidRPr="004C2452">
        <w:rPr>
          <w:rFonts w:hint="eastAsia"/>
          <w:rtl/>
        </w:rPr>
        <w:t>הרשת</w:t>
      </w:r>
      <w:r w:rsidRPr="004C2452">
        <w:rPr>
          <w:rtl/>
        </w:rPr>
        <w:t xml:space="preserve"> </w:t>
      </w:r>
      <w:r w:rsidRPr="004C2452">
        <w:rPr>
          <w:rFonts w:hint="eastAsia"/>
          <w:rtl/>
        </w:rPr>
        <w:t>הרחבה</w:t>
      </w:r>
      <w:r w:rsidRPr="004C2452">
        <w:rPr>
          <w:rtl/>
        </w:rPr>
        <w:t xml:space="preserve"> </w:t>
      </w:r>
      <w:r w:rsidRPr="004C2452">
        <w:rPr>
          <w:rFonts w:hint="eastAsia"/>
          <w:rtl/>
        </w:rPr>
        <w:t>של</w:t>
      </w:r>
      <w:r w:rsidRPr="004C2452">
        <w:rPr>
          <w:rtl/>
        </w:rPr>
        <w:t xml:space="preserve"> </w:t>
      </w:r>
      <w:r w:rsidRPr="004C2452">
        <w:rPr>
          <w:rFonts w:hint="eastAsia"/>
          <w:rtl/>
        </w:rPr>
        <w:t>חוק</w:t>
      </w:r>
      <w:r w:rsidRPr="004C2452">
        <w:rPr>
          <w:rtl/>
        </w:rPr>
        <w:t xml:space="preserve"> </w:t>
      </w:r>
      <w:r w:rsidRPr="004C2452">
        <w:rPr>
          <w:rFonts w:hint="eastAsia"/>
          <w:rtl/>
        </w:rPr>
        <w:t>מע</w:t>
      </w:r>
      <w:r w:rsidRPr="004C2452">
        <w:rPr>
          <w:rtl/>
        </w:rPr>
        <w:t>"</w:t>
      </w:r>
      <w:r w:rsidRPr="004C2452">
        <w:rPr>
          <w:rFonts w:hint="eastAsia"/>
          <w:rtl/>
        </w:rPr>
        <w:t>מ</w:t>
      </w:r>
      <w:r w:rsidRPr="004C2452">
        <w:rPr>
          <w:rtl/>
        </w:rPr>
        <w:t xml:space="preserve"> </w:t>
      </w:r>
      <w:r w:rsidRPr="004C2452">
        <w:rPr>
          <w:rFonts w:hint="eastAsia"/>
          <w:rtl/>
        </w:rPr>
        <w:t>חלה</w:t>
      </w:r>
      <w:r w:rsidRPr="004C2452">
        <w:rPr>
          <w:rtl/>
        </w:rPr>
        <w:t xml:space="preserve"> </w:t>
      </w:r>
      <w:r w:rsidRPr="004C2452">
        <w:rPr>
          <w:rFonts w:hint="eastAsia"/>
          <w:rtl/>
        </w:rPr>
        <w:t>על</w:t>
      </w:r>
      <w:r w:rsidRPr="004C2452">
        <w:rPr>
          <w:rtl/>
        </w:rPr>
        <w:t xml:space="preserve"> </w:t>
      </w:r>
      <w:r w:rsidRPr="004C2452">
        <w:rPr>
          <w:rFonts w:hint="eastAsia"/>
          <w:rtl/>
        </w:rPr>
        <w:t>עסקים</w:t>
      </w:r>
      <w:r w:rsidRPr="004C2452">
        <w:rPr>
          <w:rtl/>
        </w:rPr>
        <w:t xml:space="preserve">, </w:t>
      </w:r>
      <w:r w:rsidRPr="004C2452">
        <w:rPr>
          <w:rFonts w:hint="eastAsia"/>
          <w:rtl/>
        </w:rPr>
        <w:t>יחידים</w:t>
      </w:r>
      <w:r w:rsidRPr="004C2452">
        <w:rPr>
          <w:rtl/>
        </w:rPr>
        <w:t xml:space="preserve">, </w:t>
      </w:r>
      <w:r w:rsidRPr="004C2452">
        <w:rPr>
          <w:rFonts w:hint="eastAsia"/>
          <w:rtl/>
        </w:rPr>
        <w:t>פעילויות</w:t>
      </w:r>
      <w:r w:rsidRPr="004C2452">
        <w:rPr>
          <w:rtl/>
        </w:rPr>
        <w:t xml:space="preserve"> </w:t>
      </w:r>
      <w:r w:rsidRPr="004C2452">
        <w:rPr>
          <w:rFonts w:hint="eastAsia"/>
          <w:rtl/>
        </w:rPr>
        <w:t>וגופים</w:t>
      </w:r>
      <w:r w:rsidRPr="004C2452">
        <w:rPr>
          <w:rtl/>
        </w:rPr>
        <w:t xml:space="preserve"> </w:t>
      </w:r>
      <w:r w:rsidRPr="004C2452">
        <w:rPr>
          <w:rFonts w:hint="eastAsia"/>
          <w:rtl/>
        </w:rPr>
        <w:t>שונים</w:t>
      </w:r>
      <w:r w:rsidRPr="004C2452">
        <w:rPr>
          <w:rtl/>
        </w:rPr>
        <w:t xml:space="preserve"> – </w:t>
      </w:r>
      <w:r w:rsidRPr="004C2452">
        <w:rPr>
          <w:rFonts w:hint="eastAsia"/>
          <w:rtl/>
        </w:rPr>
        <w:t>קטנים</w:t>
      </w:r>
      <w:r w:rsidRPr="004C2452">
        <w:rPr>
          <w:rtl/>
        </w:rPr>
        <w:t xml:space="preserve"> </w:t>
      </w:r>
      <w:r w:rsidRPr="004C2452">
        <w:rPr>
          <w:rFonts w:hint="eastAsia"/>
          <w:rtl/>
        </w:rPr>
        <w:t>כגדולים</w:t>
      </w:r>
      <w:r w:rsidRPr="004C2452">
        <w:rPr>
          <w:rtl/>
        </w:rPr>
        <w:t xml:space="preserve"> – </w:t>
      </w:r>
      <w:r w:rsidRPr="004C2452">
        <w:rPr>
          <w:rFonts w:hint="eastAsia"/>
          <w:rtl/>
        </w:rPr>
        <w:t>בחברה</w:t>
      </w:r>
      <w:r w:rsidRPr="004C2452">
        <w:rPr>
          <w:rtl/>
        </w:rPr>
        <w:t xml:space="preserve">. </w:t>
      </w:r>
      <w:r w:rsidRPr="004C2452">
        <w:rPr>
          <w:rFonts w:hint="eastAsia"/>
          <w:rtl/>
        </w:rPr>
        <w:t>על</w:t>
      </w:r>
      <w:r w:rsidRPr="004C2452">
        <w:rPr>
          <w:rtl/>
        </w:rPr>
        <w:t xml:space="preserve"> </w:t>
      </w:r>
      <w:r w:rsidRPr="004C2452">
        <w:rPr>
          <w:rFonts w:hint="eastAsia"/>
          <w:rtl/>
        </w:rPr>
        <w:t>רקע</w:t>
      </w:r>
      <w:r w:rsidRPr="004C2452">
        <w:rPr>
          <w:rtl/>
        </w:rPr>
        <w:t xml:space="preserve"> </w:t>
      </w:r>
      <w:r w:rsidRPr="004C2452">
        <w:rPr>
          <w:rFonts w:hint="eastAsia"/>
          <w:rtl/>
        </w:rPr>
        <w:t>זה</w:t>
      </w:r>
      <w:r w:rsidRPr="004C2452">
        <w:rPr>
          <w:rtl/>
        </w:rPr>
        <w:t xml:space="preserve">, </w:t>
      </w:r>
      <w:r w:rsidRPr="004C2452">
        <w:rPr>
          <w:rFonts w:hint="eastAsia"/>
          <w:rtl/>
        </w:rPr>
        <w:t>אף</w:t>
      </w:r>
      <w:r w:rsidRPr="004C2452">
        <w:rPr>
          <w:rtl/>
        </w:rPr>
        <w:t xml:space="preserve"> </w:t>
      </w:r>
      <w:r w:rsidRPr="004C2452">
        <w:rPr>
          <w:rFonts w:hint="eastAsia"/>
          <w:rtl/>
        </w:rPr>
        <w:t>אם</w:t>
      </w:r>
      <w:r w:rsidRPr="004C2452">
        <w:rPr>
          <w:rtl/>
        </w:rPr>
        <w:t xml:space="preserve"> </w:t>
      </w:r>
      <w:r w:rsidRPr="004C2452">
        <w:rPr>
          <w:rFonts w:hint="eastAsia"/>
          <w:rtl/>
        </w:rPr>
        <w:t>כפות</w:t>
      </w:r>
      <w:r w:rsidRPr="004C2452">
        <w:rPr>
          <w:rtl/>
        </w:rPr>
        <w:t xml:space="preserve"> </w:t>
      </w:r>
      <w:r w:rsidRPr="004C2452">
        <w:rPr>
          <w:rFonts w:hint="eastAsia"/>
          <w:rtl/>
        </w:rPr>
        <w:t>המאזניים</w:t>
      </w:r>
      <w:r w:rsidRPr="004C2452">
        <w:rPr>
          <w:rtl/>
        </w:rPr>
        <w:t xml:space="preserve"> </w:t>
      </w:r>
      <w:r w:rsidRPr="004C2452">
        <w:rPr>
          <w:rFonts w:hint="eastAsia"/>
          <w:rtl/>
        </w:rPr>
        <w:t>הפרשניות</w:t>
      </w:r>
      <w:r w:rsidRPr="004C2452">
        <w:rPr>
          <w:rtl/>
        </w:rPr>
        <w:t xml:space="preserve"> </w:t>
      </w:r>
      <w:r w:rsidRPr="004C2452">
        <w:rPr>
          <w:rFonts w:hint="eastAsia"/>
          <w:rtl/>
        </w:rPr>
        <w:t>היו</w:t>
      </w:r>
      <w:r w:rsidRPr="004C2452">
        <w:rPr>
          <w:rtl/>
        </w:rPr>
        <w:t xml:space="preserve"> </w:t>
      </w:r>
      <w:r w:rsidRPr="004C2452">
        <w:rPr>
          <w:rFonts w:hint="eastAsia"/>
          <w:rtl/>
        </w:rPr>
        <w:t>מעוינות</w:t>
      </w:r>
      <w:r w:rsidRPr="004C2452">
        <w:rPr>
          <w:rtl/>
        </w:rPr>
        <w:t xml:space="preserve">, </w:t>
      </w:r>
      <w:r w:rsidRPr="004C2452">
        <w:rPr>
          <w:rFonts w:hint="eastAsia"/>
          <w:rtl/>
        </w:rPr>
        <w:t>ואין</w:t>
      </w:r>
      <w:r w:rsidRPr="004C2452">
        <w:rPr>
          <w:rtl/>
        </w:rPr>
        <w:t xml:space="preserve"> </w:t>
      </w:r>
      <w:r w:rsidRPr="004C2452">
        <w:rPr>
          <w:rFonts w:hint="eastAsia"/>
          <w:rtl/>
        </w:rPr>
        <w:t>זה</w:t>
      </w:r>
      <w:r w:rsidRPr="004C2452">
        <w:rPr>
          <w:rtl/>
        </w:rPr>
        <w:t xml:space="preserve"> </w:t>
      </w:r>
      <w:r w:rsidRPr="004C2452">
        <w:rPr>
          <w:rFonts w:hint="eastAsia"/>
          <w:rtl/>
        </w:rPr>
        <w:t>המצב</w:t>
      </w:r>
      <w:r w:rsidRPr="004C2452">
        <w:rPr>
          <w:rtl/>
        </w:rPr>
        <w:t xml:space="preserve">, </w:t>
      </w:r>
      <w:r w:rsidRPr="004C2452">
        <w:rPr>
          <w:rFonts w:hint="eastAsia"/>
          <w:rtl/>
        </w:rPr>
        <w:t>קשה</w:t>
      </w:r>
      <w:r w:rsidRPr="004C2452">
        <w:rPr>
          <w:rtl/>
        </w:rPr>
        <w:t xml:space="preserve"> </w:t>
      </w:r>
      <w:r w:rsidRPr="004C2452">
        <w:rPr>
          <w:rFonts w:hint="eastAsia"/>
          <w:rtl/>
        </w:rPr>
        <w:t>להלום</w:t>
      </w:r>
      <w:r w:rsidRPr="004C2452">
        <w:rPr>
          <w:rtl/>
        </w:rPr>
        <w:t xml:space="preserve"> </w:t>
      </w:r>
      <w:r w:rsidRPr="004C2452">
        <w:rPr>
          <w:rFonts w:hint="eastAsia"/>
          <w:rtl/>
        </w:rPr>
        <w:t>מבחינת</w:t>
      </w:r>
      <w:r w:rsidRPr="004C2452">
        <w:rPr>
          <w:rtl/>
        </w:rPr>
        <w:t xml:space="preserve"> </w:t>
      </w:r>
      <w:r w:rsidRPr="004C2452">
        <w:rPr>
          <w:rFonts w:hint="eastAsia"/>
          <w:rtl/>
        </w:rPr>
        <w:t>מדיניות</w:t>
      </w:r>
      <w:r w:rsidRPr="004C2452">
        <w:rPr>
          <w:rtl/>
        </w:rPr>
        <w:t xml:space="preserve"> </w:t>
      </w:r>
      <w:r w:rsidRPr="004C2452">
        <w:rPr>
          <w:rFonts w:hint="eastAsia"/>
          <w:rtl/>
        </w:rPr>
        <w:t>מדוע</w:t>
      </w:r>
      <w:r w:rsidRPr="004C2452">
        <w:rPr>
          <w:rtl/>
        </w:rPr>
        <w:t xml:space="preserve"> </w:t>
      </w:r>
      <w:r w:rsidRPr="004C2452">
        <w:rPr>
          <w:rFonts w:hint="eastAsia"/>
          <w:rtl/>
        </w:rPr>
        <w:t>העברת</w:t>
      </w:r>
      <w:r w:rsidRPr="004C2452">
        <w:rPr>
          <w:rtl/>
        </w:rPr>
        <w:t xml:space="preserve"> </w:t>
      </w:r>
      <w:r w:rsidRPr="004C2452">
        <w:rPr>
          <w:rFonts w:hint="eastAsia"/>
          <w:rtl/>
        </w:rPr>
        <w:t>שחקן</w:t>
      </w:r>
      <w:r w:rsidRPr="004C2452">
        <w:rPr>
          <w:rtl/>
        </w:rPr>
        <w:t xml:space="preserve"> </w:t>
      </w:r>
      <w:r w:rsidRPr="004C2452">
        <w:rPr>
          <w:rFonts w:hint="eastAsia"/>
          <w:rtl/>
        </w:rPr>
        <w:t>ספורט</w:t>
      </w:r>
      <w:r w:rsidRPr="004C2452">
        <w:rPr>
          <w:rtl/>
        </w:rPr>
        <w:t xml:space="preserve"> </w:t>
      </w:r>
      <w:r w:rsidRPr="004C2452">
        <w:rPr>
          <w:rFonts w:hint="eastAsia"/>
          <w:rtl/>
        </w:rPr>
        <w:t>מקצועי</w:t>
      </w:r>
      <w:r w:rsidRPr="004C2452">
        <w:rPr>
          <w:rtl/>
        </w:rPr>
        <w:t xml:space="preserve"> </w:t>
      </w:r>
      <w:r w:rsidRPr="004C2452">
        <w:rPr>
          <w:rFonts w:hint="eastAsia"/>
          <w:rtl/>
        </w:rPr>
        <w:t>מחוץ</w:t>
      </w:r>
      <w:r w:rsidRPr="004C2452">
        <w:rPr>
          <w:rtl/>
        </w:rPr>
        <w:t xml:space="preserve"> </w:t>
      </w:r>
      <w:r w:rsidRPr="004C2452">
        <w:rPr>
          <w:rFonts w:hint="eastAsia"/>
          <w:rtl/>
        </w:rPr>
        <w:t>לארץ</w:t>
      </w:r>
      <w:r w:rsidRPr="004C2452">
        <w:rPr>
          <w:rtl/>
        </w:rPr>
        <w:t xml:space="preserve"> </w:t>
      </w:r>
      <w:proofErr w:type="spellStart"/>
      <w:r w:rsidRPr="004C2452">
        <w:rPr>
          <w:rFonts w:hint="eastAsia"/>
          <w:rtl/>
        </w:rPr>
        <w:t>לארץ</w:t>
      </w:r>
      <w:proofErr w:type="spellEnd"/>
      <w:r w:rsidRPr="004C2452">
        <w:rPr>
          <w:rtl/>
        </w:rPr>
        <w:t xml:space="preserve"> </w:t>
      </w:r>
      <w:r w:rsidRPr="004C2452">
        <w:rPr>
          <w:rFonts w:hint="eastAsia"/>
          <w:rtl/>
        </w:rPr>
        <w:t>תהיה</w:t>
      </w:r>
      <w:r w:rsidRPr="004C2452">
        <w:rPr>
          <w:rtl/>
        </w:rPr>
        <w:t xml:space="preserve"> </w:t>
      </w:r>
      <w:r w:rsidRPr="004C2452">
        <w:rPr>
          <w:rFonts w:hint="eastAsia"/>
          <w:rtl/>
        </w:rPr>
        <w:t>בגדר</w:t>
      </w:r>
      <w:r w:rsidRPr="004C2452">
        <w:rPr>
          <w:rtl/>
        </w:rPr>
        <w:t xml:space="preserve"> </w:t>
      </w:r>
      <w:r w:rsidRPr="004C2452">
        <w:rPr>
          <w:rFonts w:hint="eastAsia"/>
          <w:rtl/>
        </w:rPr>
        <w:t>בן</w:t>
      </w:r>
      <w:r w:rsidRPr="004C2452">
        <w:rPr>
          <w:rtl/>
        </w:rPr>
        <w:t xml:space="preserve"> </w:t>
      </w:r>
      <w:r w:rsidRPr="004C2452">
        <w:rPr>
          <w:rFonts w:hint="eastAsia"/>
          <w:rtl/>
        </w:rPr>
        <w:t>חריג</w:t>
      </w:r>
      <w:r w:rsidRPr="004C2452">
        <w:rPr>
          <w:rtl/>
        </w:rPr>
        <w:t xml:space="preserve">. </w:t>
      </w:r>
      <w:r w:rsidRPr="004C2452">
        <w:rPr>
          <w:rFonts w:hint="eastAsia"/>
          <w:rtl/>
        </w:rPr>
        <w:t>בהקשר</w:t>
      </w:r>
      <w:r w:rsidRPr="004C2452">
        <w:rPr>
          <w:rtl/>
        </w:rPr>
        <w:t xml:space="preserve"> </w:t>
      </w:r>
      <w:r w:rsidRPr="004C2452">
        <w:rPr>
          <w:rFonts w:hint="eastAsia"/>
          <w:rtl/>
        </w:rPr>
        <w:t>זה</w:t>
      </w:r>
      <w:r w:rsidRPr="004C2452">
        <w:rPr>
          <w:rtl/>
        </w:rPr>
        <w:t xml:space="preserve"> </w:t>
      </w:r>
      <w:r w:rsidRPr="004C2452">
        <w:rPr>
          <w:rFonts w:hint="eastAsia"/>
          <w:rtl/>
        </w:rPr>
        <w:t>נאמר</w:t>
      </w:r>
      <w:r w:rsidRPr="004C2452">
        <w:rPr>
          <w:rtl/>
        </w:rPr>
        <w:t xml:space="preserve">, </w:t>
      </w:r>
      <w:r w:rsidRPr="004C2452">
        <w:rPr>
          <w:rFonts w:hint="eastAsia"/>
          <w:rtl/>
        </w:rPr>
        <w:t>כי</w:t>
      </w:r>
      <w:r w:rsidRPr="004C2452">
        <w:rPr>
          <w:rtl/>
        </w:rPr>
        <w:t xml:space="preserve"> </w:t>
      </w:r>
      <w:r w:rsidRPr="004C2452">
        <w:rPr>
          <w:rFonts w:asciiTheme="majorBidi" w:hAnsiTheme="majorBidi" w:cstheme="majorBidi"/>
          <w:sz w:val="24"/>
          <w:szCs w:val="24"/>
        </w:rPr>
        <w:t>Sport is a game, Spectator sport is entertainment, Professional sport is business, and usually – big business</w:t>
      </w:r>
      <w:r>
        <w:rPr>
          <w:rFonts w:hint="cs"/>
          <w:rtl/>
        </w:rPr>
        <w:t>.</w:t>
      </w:r>
      <w:r w:rsidRPr="004C2452">
        <w:t xml:space="preserve"> </w:t>
      </w:r>
      <w:r w:rsidRPr="004C2452">
        <w:rPr>
          <w:rFonts w:hint="eastAsia"/>
          <w:rtl/>
        </w:rPr>
        <w:t>עסקינן</w:t>
      </w:r>
      <w:r w:rsidRPr="004C2452">
        <w:rPr>
          <w:rtl/>
        </w:rPr>
        <w:t xml:space="preserve"> </w:t>
      </w:r>
      <w:r w:rsidRPr="004C2452">
        <w:rPr>
          <w:rFonts w:hint="eastAsia"/>
          <w:rtl/>
        </w:rPr>
        <w:t>בעסק</w:t>
      </w:r>
      <w:r w:rsidRPr="004C2452">
        <w:rPr>
          <w:rtl/>
        </w:rPr>
        <w:t xml:space="preserve"> </w:t>
      </w:r>
      <w:r w:rsidRPr="004C2452">
        <w:rPr>
          <w:rFonts w:hint="eastAsia"/>
          <w:rtl/>
        </w:rPr>
        <w:t>ואף</w:t>
      </w:r>
      <w:r w:rsidRPr="004C2452">
        <w:rPr>
          <w:rtl/>
        </w:rPr>
        <w:t xml:space="preserve"> </w:t>
      </w:r>
      <w:r w:rsidRPr="004C2452">
        <w:rPr>
          <w:rFonts w:hint="eastAsia"/>
          <w:rtl/>
        </w:rPr>
        <w:t>עסק</w:t>
      </w:r>
      <w:r w:rsidRPr="004C2452">
        <w:rPr>
          <w:rtl/>
        </w:rPr>
        <w:t xml:space="preserve"> </w:t>
      </w:r>
      <w:r w:rsidRPr="004C2452">
        <w:rPr>
          <w:rFonts w:hint="eastAsia"/>
          <w:rtl/>
        </w:rPr>
        <w:t>מורכב</w:t>
      </w:r>
      <w:r w:rsidRPr="004C2452">
        <w:rPr>
          <w:rtl/>
        </w:rPr>
        <w:t xml:space="preserve"> </w:t>
      </w:r>
      <w:r w:rsidRPr="004C2452">
        <w:rPr>
          <w:rFonts w:hint="eastAsia"/>
          <w:rtl/>
        </w:rPr>
        <w:t>וכלכלי</w:t>
      </w:r>
      <w:r w:rsidRPr="004C2452">
        <w:rPr>
          <w:rtl/>
        </w:rPr>
        <w:t xml:space="preserve">, </w:t>
      </w:r>
      <w:r w:rsidRPr="004C2452">
        <w:rPr>
          <w:rFonts w:hint="eastAsia"/>
          <w:rtl/>
        </w:rPr>
        <w:t>שמעורבים</w:t>
      </w:r>
      <w:r w:rsidRPr="004C2452">
        <w:rPr>
          <w:rtl/>
        </w:rPr>
        <w:t xml:space="preserve"> </w:t>
      </w:r>
      <w:r w:rsidRPr="004C2452">
        <w:rPr>
          <w:rFonts w:hint="eastAsia"/>
          <w:rtl/>
        </w:rPr>
        <w:t>בניהולו</w:t>
      </w:r>
      <w:r w:rsidRPr="004C2452">
        <w:rPr>
          <w:rtl/>
        </w:rPr>
        <w:t xml:space="preserve"> </w:t>
      </w:r>
      <w:r w:rsidRPr="004C2452">
        <w:rPr>
          <w:rFonts w:hint="eastAsia"/>
          <w:rtl/>
        </w:rPr>
        <w:t>כספים</w:t>
      </w:r>
      <w:r w:rsidRPr="004C2452">
        <w:rPr>
          <w:rtl/>
        </w:rPr>
        <w:t xml:space="preserve"> </w:t>
      </w:r>
      <w:r w:rsidRPr="004C2452">
        <w:rPr>
          <w:rFonts w:hint="eastAsia"/>
          <w:rtl/>
        </w:rPr>
        <w:t>רבים</w:t>
      </w:r>
      <w:r w:rsidRPr="004C2452">
        <w:rPr>
          <w:rtl/>
        </w:rPr>
        <w:t xml:space="preserve"> </w:t>
      </w:r>
      <w:r w:rsidRPr="004C2452">
        <w:rPr>
          <w:rFonts w:hint="eastAsia"/>
          <w:rtl/>
        </w:rPr>
        <w:t>בארץ</w:t>
      </w:r>
      <w:r w:rsidRPr="004C2452">
        <w:rPr>
          <w:rtl/>
        </w:rPr>
        <w:t xml:space="preserve"> </w:t>
      </w:r>
      <w:r w:rsidRPr="004C2452">
        <w:rPr>
          <w:rFonts w:hint="eastAsia"/>
          <w:rtl/>
        </w:rPr>
        <w:t>ומחוצה</w:t>
      </w:r>
      <w:r w:rsidRPr="004C2452">
        <w:rPr>
          <w:rtl/>
        </w:rPr>
        <w:t xml:space="preserve"> </w:t>
      </w:r>
      <w:r w:rsidRPr="004C2452">
        <w:rPr>
          <w:rFonts w:hint="eastAsia"/>
          <w:rtl/>
        </w:rPr>
        <w:t>לה</w:t>
      </w:r>
      <w:r w:rsidRPr="004C2452">
        <w:rPr>
          <w:rtl/>
        </w:rPr>
        <w:t xml:space="preserve">. </w:t>
      </w:r>
      <w:r w:rsidRPr="004C2452">
        <w:rPr>
          <w:rFonts w:hint="eastAsia"/>
          <w:rtl/>
        </w:rPr>
        <w:t>אמנם</w:t>
      </w:r>
      <w:r w:rsidRPr="004C2452">
        <w:rPr>
          <w:rtl/>
        </w:rPr>
        <w:t xml:space="preserve">, </w:t>
      </w:r>
      <w:r w:rsidRPr="004C2452">
        <w:rPr>
          <w:rFonts w:hint="eastAsia"/>
          <w:rtl/>
        </w:rPr>
        <w:t>המערערות</w:t>
      </w:r>
      <w:r w:rsidRPr="004C2452">
        <w:rPr>
          <w:rtl/>
        </w:rPr>
        <w:t xml:space="preserve"> </w:t>
      </w:r>
      <w:r w:rsidRPr="004C2452">
        <w:rPr>
          <w:rFonts w:hint="eastAsia"/>
          <w:rtl/>
        </w:rPr>
        <w:t>מסווגות</w:t>
      </w:r>
      <w:r w:rsidRPr="004C2452">
        <w:rPr>
          <w:rtl/>
        </w:rPr>
        <w:t xml:space="preserve"> </w:t>
      </w:r>
      <w:r w:rsidRPr="004C2452">
        <w:rPr>
          <w:rFonts w:hint="eastAsia"/>
          <w:rtl/>
        </w:rPr>
        <w:t>כמלכ</w:t>
      </w:r>
      <w:r w:rsidRPr="004C2452">
        <w:rPr>
          <w:rtl/>
        </w:rPr>
        <w:t>"</w:t>
      </w:r>
      <w:r w:rsidRPr="004C2452">
        <w:rPr>
          <w:rFonts w:hint="eastAsia"/>
          <w:rtl/>
        </w:rPr>
        <w:t>ר</w:t>
      </w:r>
      <w:r w:rsidRPr="004C2452">
        <w:rPr>
          <w:rtl/>
        </w:rPr>
        <w:t xml:space="preserve">, </w:t>
      </w:r>
      <w:r w:rsidRPr="004C2452">
        <w:rPr>
          <w:rFonts w:hint="eastAsia"/>
          <w:rtl/>
        </w:rPr>
        <w:t>ועולה</w:t>
      </w:r>
      <w:r w:rsidRPr="004C2452">
        <w:rPr>
          <w:rtl/>
        </w:rPr>
        <w:t xml:space="preserve"> </w:t>
      </w:r>
      <w:r w:rsidRPr="004C2452">
        <w:rPr>
          <w:rFonts w:hint="eastAsia"/>
          <w:rtl/>
        </w:rPr>
        <w:t>כי</w:t>
      </w:r>
      <w:r w:rsidRPr="004C2452">
        <w:rPr>
          <w:rtl/>
        </w:rPr>
        <w:t xml:space="preserve"> </w:t>
      </w:r>
      <w:r w:rsidRPr="004C2452">
        <w:rPr>
          <w:rFonts w:hint="eastAsia"/>
          <w:rtl/>
        </w:rPr>
        <w:t>זו</w:t>
      </w:r>
      <w:r w:rsidRPr="004C2452">
        <w:rPr>
          <w:rtl/>
        </w:rPr>
        <w:t xml:space="preserve"> </w:t>
      </w:r>
      <w:r w:rsidRPr="004C2452">
        <w:rPr>
          <w:rFonts w:hint="eastAsia"/>
          <w:rtl/>
        </w:rPr>
        <w:t>נחלתן</w:t>
      </w:r>
      <w:r w:rsidRPr="004C2452">
        <w:rPr>
          <w:rtl/>
        </w:rPr>
        <w:t xml:space="preserve"> </w:t>
      </w:r>
      <w:r w:rsidRPr="004C2452">
        <w:rPr>
          <w:rFonts w:hint="eastAsia"/>
          <w:rtl/>
        </w:rPr>
        <w:t>של</w:t>
      </w:r>
      <w:r w:rsidRPr="004C2452">
        <w:rPr>
          <w:rtl/>
        </w:rPr>
        <w:t xml:space="preserve"> </w:t>
      </w:r>
      <w:r w:rsidRPr="004C2452">
        <w:rPr>
          <w:rFonts w:hint="eastAsia"/>
          <w:rtl/>
        </w:rPr>
        <w:t>קבוצות</w:t>
      </w:r>
      <w:r w:rsidRPr="004C2452">
        <w:rPr>
          <w:rtl/>
        </w:rPr>
        <w:t xml:space="preserve"> </w:t>
      </w:r>
      <w:r w:rsidRPr="004C2452">
        <w:rPr>
          <w:rFonts w:hint="eastAsia"/>
          <w:rtl/>
        </w:rPr>
        <w:t>רבות</w:t>
      </w:r>
      <w:r w:rsidRPr="004C2452">
        <w:rPr>
          <w:rtl/>
        </w:rPr>
        <w:t xml:space="preserve">, </w:t>
      </w:r>
      <w:r w:rsidRPr="004C2452">
        <w:rPr>
          <w:rFonts w:hint="eastAsia"/>
          <w:rtl/>
        </w:rPr>
        <w:t>אך</w:t>
      </w:r>
      <w:r w:rsidRPr="004C2452">
        <w:rPr>
          <w:rtl/>
        </w:rPr>
        <w:t xml:space="preserve"> </w:t>
      </w:r>
      <w:r w:rsidRPr="004C2452">
        <w:rPr>
          <w:rFonts w:hint="eastAsia"/>
          <w:rtl/>
        </w:rPr>
        <w:t>אין</w:t>
      </w:r>
      <w:r w:rsidRPr="004C2452">
        <w:rPr>
          <w:rtl/>
        </w:rPr>
        <w:t xml:space="preserve"> </w:t>
      </w:r>
      <w:r w:rsidRPr="004C2452">
        <w:rPr>
          <w:rFonts w:hint="eastAsia"/>
          <w:rtl/>
        </w:rPr>
        <w:t>במעמד</w:t>
      </w:r>
      <w:r w:rsidRPr="004C2452">
        <w:rPr>
          <w:rtl/>
        </w:rPr>
        <w:t xml:space="preserve"> </w:t>
      </w:r>
      <w:r w:rsidRPr="004C2452">
        <w:rPr>
          <w:rFonts w:hint="eastAsia"/>
          <w:rtl/>
        </w:rPr>
        <w:t>זה</w:t>
      </w:r>
      <w:r w:rsidRPr="004C2452">
        <w:rPr>
          <w:rtl/>
        </w:rPr>
        <w:t xml:space="preserve"> </w:t>
      </w:r>
      <w:r w:rsidRPr="004C2452">
        <w:rPr>
          <w:rFonts w:hint="eastAsia"/>
          <w:rtl/>
        </w:rPr>
        <w:t>כשלעצמו</w:t>
      </w:r>
      <w:r w:rsidRPr="004C2452">
        <w:rPr>
          <w:rtl/>
        </w:rPr>
        <w:t xml:space="preserve"> </w:t>
      </w:r>
      <w:r w:rsidRPr="004C2452">
        <w:rPr>
          <w:rFonts w:hint="eastAsia"/>
          <w:rtl/>
        </w:rPr>
        <w:t>לפטור</w:t>
      </w:r>
      <w:r w:rsidRPr="004C2452">
        <w:rPr>
          <w:rtl/>
        </w:rPr>
        <w:t xml:space="preserve"> </w:t>
      </w:r>
      <w:r w:rsidRPr="004C2452">
        <w:rPr>
          <w:rFonts w:hint="eastAsia"/>
          <w:rtl/>
        </w:rPr>
        <w:t>אותן</w:t>
      </w:r>
      <w:r w:rsidRPr="004C2452">
        <w:rPr>
          <w:rtl/>
        </w:rPr>
        <w:t xml:space="preserve"> </w:t>
      </w:r>
      <w:r w:rsidRPr="004C2452">
        <w:rPr>
          <w:rFonts w:hint="eastAsia"/>
          <w:rtl/>
        </w:rPr>
        <w:t>מחיוב</w:t>
      </w:r>
      <w:r w:rsidRPr="004C2452">
        <w:rPr>
          <w:rtl/>
        </w:rPr>
        <w:t xml:space="preserve"> </w:t>
      </w:r>
      <w:r w:rsidRPr="004C2452">
        <w:rPr>
          <w:rFonts w:hint="eastAsia"/>
          <w:rtl/>
        </w:rPr>
        <w:t>במע</w:t>
      </w:r>
      <w:r w:rsidRPr="004C2452">
        <w:rPr>
          <w:rtl/>
        </w:rPr>
        <w:t>"</w:t>
      </w:r>
      <w:r w:rsidRPr="004C2452">
        <w:rPr>
          <w:rFonts w:hint="eastAsia"/>
          <w:rtl/>
        </w:rPr>
        <w:t>מ</w:t>
      </w:r>
      <w:r w:rsidRPr="004C2452">
        <w:rPr>
          <w:rtl/>
        </w:rPr>
        <w:t xml:space="preserve"> </w:t>
      </w:r>
      <w:r w:rsidRPr="004C2452">
        <w:rPr>
          <w:rFonts w:hint="eastAsia"/>
          <w:rtl/>
        </w:rPr>
        <w:t>כאשר</w:t>
      </w:r>
      <w:r w:rsidRPr="004C2452">
        <w:rPr>
          <w:rtl/>
        </w:rPr>
        <w:t xml:space="preserve"> </w:t>
      </w:r>
      <w:r w:rsidRPr="004C2452">
        <w:rPr>
          <w:rFonts w:hint="eastAsia"/>
          <w:rtl/>
        </w:rPr>
        <w:t>מדובר</w:t>
      </w:r>
      <w:r w:rsidRPr="004C2452">
        <w:rPr>
          <w:rtl/>
        </w:rPr>
        <w:t xml:space="preserve"> </w:t>
      </w:r>
      <w:r w:rsidRPr="004C2452">
        <w:rPr>
          <w:rFonts w:hint="eastAsia"/>
          <w:rtl/>
        </w:rPr>
        <w:t>בייבוא</w:t>
      </w:r>
      <w:r w:rsidRPr="004C2452">
        <w:rPr>
          <w:rtl/>
        </w:rPr>
        <w:t xml:space="preserve"> </w:t>
      </w:r>
      <w:r w:rsidRPr="004C2452">
        <w:rPr>
          <w:rFonts w:hint="eastAsia"/>
          <w:rtl/>
        </w:rPr>
        <w:t>טובין</w:t>
      </w:r>
      <w:r w:rsidRPr="004C2452">
        <w:rPr>
          <w:rtl/>
        </w:rPr>
        <w:t xml:space="preserve">. </w:t>
      </w:r>
      <w:r w:rsidRPr="004C2452">
        <w:rPr>
          <w:rFonts w:hint="eastAsia"/>
          <w:rtl/>
        </w:rPr>
        <w:t>ושוב</w:t>
      </w:r>
      <w:r w:rsidRPr="004C2452">
        <w:rPr>
          <w:rtl/>
        </w:rPr>
        <w:t xml:space="preserve"> </w:t>
      </w:r>
      <w:r w:rsidRPr="004C2452">
        <w:rPr>
          <w:rFonts w:hint="eastAsia"/>
          <w:rtl/>
        </w:rPr>
        <w:t>נדגיש</w:t>
      </w:r>
      <w:r w:rsidRPr="004C2452">
        <w:rPr>
          <w:rtl/>
        </w:rPr>
        <w:t xml:space="preserve"> – </w:t>
      </w:r>
      <w:r w:rsidRPr="004C2452">
        <w:rPr>
          <w:rFonts w:hint="eastAsia"/>
          <w:rtl/>
        </w:rPr>
        <w:t>במובנים</w:t>
      </w:r>
      <w:r w:rsidRPr="004C2452">
        <w:rPr>
          <w:rtl/>
        </w:rPr>
        <w:t xml:space="preserve"> </w:t>
      </w:r>
      <w:r w:rsidRPr="004C2452">
        <w:rPr>
          <w:rFonts w:hint="eastAsia"/>
          <w:rtl/>
        </w:rPr>
        <w:t>רבים</w:t>
      </w:r>
      <w:r w:rsidRPr="004C2452">
        <w:rPr>
          <w:rtl/>
        </w:rPr>
        <w:t xml:space="preserve"> </w:t>
      </w:r>
      <w:r w:rsidRPr="004C2452">
        <w:rPr>
          <w:rFonts w:hint="eastAsia"/>
          <w:rtl/>
        </w:rPr>
        <w:t>הספורט</w:t>
      </w:r>
      <w:r w:rsidRPr="004C2452">
        <w:rPr>
          <w:rtl/>
        </w:rPr>
        <w:t xml:space="preserve"> </w:t>
      </w:r>
      <w:r w:rsidRPr="004C2452">
        <w:rPr>
          <w:rFonts w:hint="eastAsia"/>
          <w:rtl/>
        </w:rPr>
        <w:t>המקצועי</w:t>
      </w:r>
      <w:r w:rsidRPr="004C2452">
        <w:rPr>
          <w:rtl/>
        </w:rPr>
        <w:t xml:space="preserve"> </w:t>
      </w:r>
      <w:r w:rsidRPr="004C2452">
        <w:rPr>
          <w:rFonts w:hint="eastAsia"/>
          <w:rtl/>
        </w:rPr>
        <w:t>הוא</w:t>
      </w:r>
      <w:r w:rsidRPr="004C2452">
        <w:rPr>
          <w:rtl/>
        </w:rPr>
        <w:t xml:space="preserve"> </w:t>
      </w:r>
      <w:r w:rsidRPr="004C2452">
        <w:rPr>
          <w:rFonts w:hint="eastAsia"/>
          <w:rtl/>
        </w:rPr>
        <w:t>עסק</w:t>
      </w:r>
      <w:r w:rsidRPr="004C2452">
        <w:rPr>
          <w:rtl/>
        </w:rPr>
        <w:t xml:space="preserve"> </w:t>
      </w:r>
      <w:r w:rsidRPr="004C2452">
        <w:rPr>
          <w:rFonts w:hint="eastAsia"/>
          <w:rtl/>
        </w:rPr>
        <w:t>לכל</w:t>
      </w:r>
      <w:r w:rsidRPr="004C2452">
        <w:rPr>
          <w:rtl/>
        </w:rPr>
        <w:t xml:space="preserve"> </w:t>
      </w:r>
      <w:r w:rsidRPr="004C2452">
        <w:rPr>
          <w:rFonts w:hint="eastAsia"/>
          <w:rtl/>
        </w:rPr>
        <w:t>דבר</w:t>
      </w:r>
      <w:r w:rsidRPr="004C2452">
        <w:rPr>
          <w:rtl/>
        </w:rPr>
        <w:t>.</w:t>
      </w:r>
      <w:r>
        <w:rPr>
          <w:rFonts w:hint="cs"/>
          <w:rtl/>
        </w:rPr>
        <w:t xml:space="preserve">" (ראו עניין </w:t>
      </w:r>
      <w:r w:rsidRPr="00791942">
        <w:rPr>
          <w:rFonts w:ascii="Century" w:hAnsi="Century" w:cs="Miriam" w:hint="cs"/>
          <w:b/>
          <w:spacing w:val="0"/>
          <w:szCs w:val="24"/>
          <w:rtl/>
        </w:rPr>
        <w:t>קשר ספורט</w:t>
      </w:r>
      <w:r>
        <w:rPr>
          <w:rFonts w:ascii="Century" w:hAnsi="Century" w:hint="cs"/>
          <w:rtl/>
        </w:rPr>
        <w:t xml:space="preserve">, פסקה 22 לפסק דינו של השופט </w:t>
      </w:r>
      <w:r w:rsidRPr="008F3C85">
        <w:rPr>
          <w:rFonts w:ascii="Century" w:hAnsi="Century" w:cs="Miriam" w:hint="cs"/>
          <w:b/>
          <w:spacing w:val="0"/>
          <w:szCs w:val="24"/>
          <w:rtl/>
        </w:rPr>
        <w:t>הנדל</w:t>
      </w:r>
      <w:r>
        <w:rPr>
          <w:rFonts w:ascii="Century" w:hAnsi="Century" w:hint="cs"/>
          <w:rtl/>
        </w:rPr>
        <w:t>).</w:t>
      </w:r>
    </w:p>
    <w:p w:rsidR="00245254" w:rsidRDefault="00245254" w:rsidP="00245254">
      <w:pPr>
        <w:pStyle w:val="Ruller4"/>
        <w:spacing w:before="240" w:after="100" w:afterAutospacing="1"/>
        <w:rPr>
          <w:rFonts w:ascii="Century" w:hAnsi="Century"/>
          <w:sz w:val="22"/>
        </w:rPr>
      </w:pPr>
      <w:r>
        <w:rPr>
          <w:rFonts w:hint="cs"/>
          <w:rtl/>
        </w:rPr>
        <w:t xml:space="preserve">דברים אלה של השופט </w:t>
      </w:r>
      <w:r w:rsidRPr="00622A5C">
        <w:rPr>
          <w:rFonts w:ascii="Century" w:hAnsi="Century" w:cs="Miriam" w:hint="cs"/>
          <w:b/>
          <w:spacing w:val="0"/>
          <w:sz w:val="22"/>
          <w:szCs w:val="24"/>
          <w:rtl/>
        </w:rPr>
        <w:t>הנדל</w:t>
      </w:r>
      <w:r>
        <w:rPr>
          <w:rFonts w:hint="cs"/>
          <w:rtl/>
        </w:rPr>
        <w:t xml:space="preserve"> הינם בלי ספק נכונים, ולטעמי אין בהם שום רבותא. זאת, מאחר שסעיף 1 לחוק מע"מ מגדיר "טובין" </w:t>
      </w:r>
      <w:r>
        <w:rPr>
          <w:rFonts w:ascii="Century" w:hAnsi="Century" w:hint="cs"/>
          <w:rtl/>
        </w:rPr>
        <w:t xml:space="preserve">ככוללים </w:t>
      </w:r>
      <w:r w:rsidRPr="00622A5C">
        <w:rPr>
          <w:rFonts w:ascii="Century" w:hAnsi="Century" w:hint="cs"/>
          <w:sz w:val="22"/>
          <w:rtl/>
        </w:rPr>
        <w:t>"זכות, טובת הנאה ונכסים בלתי מוחשיים אחרים"</w:t>
      </w:r>
      <w:r>
        <w:rPr>
          <w:rFonts w:ascii="Century" w:hAnsi="Century" w:hint="cs"/>
          <w:sz w:val="22"/>
          <w:rtl/>
        </w:rPr>
        <w:t>; ו"כרטיס שחקן", שאותו ניתן להעביר, תמורת כסף, מ</w:t>
      </w:r>
      <w:r w:rsidRPr="00622A5C">
        <w:rPr>
          <w:rFonts w:ascii="Century" w:hAnsi="Century" w:hint="cs"/>
          <w:sz w:val="22"/>
          <w:rtl/>
        </w:rPr>
        <w:t>קבוצת כדורגל מקצוענית אחת לקבוצה אחרת</w:t>
      </w:r>
      <w:r>
        <w:rPr>
          <w:rFonts w:ascii="Century" w:hAnsi="Century" w:hint="cs"/>
          <w:sz w:val="22"/>
          <w:rtl/>
        </w:rPr>
        <w:t>,</w:t>
      </w:r>
      <w:r w:rsidRPr="00622A5C">
        <w:rPr>
          <w:rFonts w:ascii="Century" w:hAnsi="Century" w:hint="cs"/>
          <w:sz w:val="22"/>
          <w:rtl/>
        </w:rPr>
        <w:t xml:space="preserve"> אינו </w:t>
      </w:r>
      <w:r>
        <w:rPr>
          <w:rFonts w:ascii="Century" w:hAnsi="Century" w:hint="cs"/>
          <w:sz w:val="22"/>
          <w:rtl/>
        </w:rPr>
        <w:t>אלא אגד של זכויות כהגדרתן בתקנונים של התאחדות הכדורגל הישראלית, של התאחדות הכדורגל האירופית (</w:t>
      </w:r>
      <w:r w:rsidRPr="007C5BBA">
        <w:rPr>
          <w:rFonts w:asciiTheme="majorBidi" w:hAnsiTheme="majorBidi" w:cstheme="majorBidi"/>
          <w:szCs w:val="32"/>
        </w:rPr>
        <w:t>UEFA</w:t>
      </w:r>
      <w:r>
        <w:rPr>
          <w:rFonts w:ascii="Century" w:hAnsi="Century" w:hint="cs"/>
          <w:sz w:val="22"/>
          <w:rtl/>
        </w:rPr>
        <w:t>) ושל התאחדות הכדורגל העולמית (</w:t>
      </w:r>
      <w:r w:rsidRPr="007C5BBA">
        <w:rPr>
          <w:rFonts w:asciiTheme="majorBidi" w:hAnsiTheme="majorBidi" w:cstheme="majorBidi"/>
          <w:szCs w:val="24"/>
        </w:rPr>
        <w:t>FIFA</w:t>
      </w:r>
      <w:r>
        <w:rPr>
          <w:rFonts w:ascii="Century" w:hAnsi="Century" w:hint="cs"/>
          <w:sz w:val="22"/>
          <w:rtl/>
        </w:rPr>
        <w:t xml:space="preserve">) </w:t>
      </w:r>
      <w:r>
        <w:rPr>
          <w:rFonts w:ascii="Century" w:hAnsi="Century"/>
          <w:sz w:val="22"/>
          <w:rtl/>
        </w:rPr>
        <w:t>–</w:t>
      </w:r>
      <w:r>
        <w:rPr>
          <w:rFonts w:ascii="Century" w:hAnsi="Century" w:hint="cs"/>
          <w:sz w:val="22"/>
          <w:rtl/>
        </w:rPr>
        <w:t xml:space="preserve"> תקנונים שדינם כדין חוזה. בהקשרם של כל אלו, ציין השופט </w:t>
      </w:r>
      <w:r w:rsidRPr="007C5BBA">
        <w:rPr>
          <w:rFonts w:ascii="Century" w:hAnsi="Century" w:cs="Miriam" w:hint="cs"/>
          <w:b/>
          <w:spacing w:val="0"/>
          <w:sz w:val="22"/>
          <w:szCs w:val="24"/>
          <w:rtl/>
        </w:rPr>
        <w:t>הנדל</w:t>
      </w:r>
      <w:r>
        <w:rPr>
          <w:rFonts w:ascii="Century" w:hAnsi="Century" w:hint="cs"/>
          <w:sz w:val="22"/>
          <w:rtl/>
        </w:rPr>
        <w:t xml:space="preserve">, בניגוד למה שצוטט לפנינו על ידי המדינה, כי כדורגל מקצועני אינו דומה לעסק רגיל כדוגמת חנות מכולת, חברת הובלה או משרד עורכי דין. </w:t>
      </w:r>
    </w:p>
    <w:p w:rsidR="00245254" w:rsidRDefault="00245254" w:rsidP="00245254">
      <w:pPr>
        <w:pStyle w:val="Ruller4"/>
        <w:numPr>
          <w:ilvl w:val="0"/>
          <w:numId w:val="0"/>
        </w:numPr>
        <w:spacing w:before="240" w:after="100" w:afterAutospacing="1"/>
        <w:rPr>
          <w:rFonts w:ascii="Century" w:hAnsi="Century"/>
          <w:sz w:val="22"/>
          <w:rtl/>
        </w:rPr>
      </w:pPr>
      <w:r>
        <w:rPr>
          <w:rFonts w:ascii="Century" w:hAnsi="Century"/>
          <w:sz w:val="22"/>
          <w:rtl/>
        </w:rPr>
        <w:tab/>
      </w:r>
      <w:r>
        <w:rPr>
          <w:rFonts w:ascii="Century" w:hAnsi="Century" w:hint="cs"/>
          <w:sz w:val="22"/>
          <w:rtl/>
        </w:rPr>
        <w:t xml:space="preserve">השופט </w:t>
      </w:r>
      <w:r w:rsidRPr="0026169A">
        <w:rPr>
          <w:rFonts w:ascii="Century" w:hAnsi="Century" w:cs="Miriam" w:hint="cs"/>
          <w:b/>
          <w:spacing w:val="0"/>
          <w:sz w:val="22"/>
          <w:szCs w:val="24"/>
          <w:rtl/>
        </w:rPr>
        <w:t>הנדל</w:t>
      </w:r>
      <w:r>
        <w:rPr>
          <w:rFonts w:ascii="Century" w:hAnsi="Century" w:hint="cs"/>
          <w:sz w:val="22"/>
          <w:rtl/>
        </w:rPr>
        <w:t xml:space="preserve"> סבר </w:t>
      </w:r>
      <w:r>
        <w:rPr>
          <w:rFonts w:ascii="Century" w:hAnsi="Century"/>
          <w:sz w:val="22"/>
          <w:rtl/>
        </w:rPr>
        <w:t>–</w:t>
      </w:r>
      <w:r>
        <w:rPr>
          <w:rFonts w:ascii="Century" w:hAnsi="Century" w:hint="cs"/>
          <w:sz w:val="22"/>
          <w:rtl/>
        </w:rPr>
        <w:t xml:space="preserve"> כפי שסבור גם אנוכי </w:t>
      </w:r>
      <w:r>
        <w:rPr>
          <w:rFonts w:ascii="Century" w:hAnsi="Century"/>
          <w:sz w:val="22"/>
          <w:rtl/>
        </w:rPr>
        <w:t>–</w:t>
      </w:r>
      <w:r>
        <w:rPr>
          <w:rFonts w:ascii="Century" w:hAnsi="Century" w:hint="cs"/>
          <w:sz w:val="22"/>
          <w:rtl/>
        </w:rPr>
        <w:t xml:space="preserve"> כי לעסק ששמו ספורט מקצועני ישנם </w:t>
      </w:r>
      <w:r w:rsidRPr="007C5BBA">
        <w:rPr>
          <w:rFonts w:ascii="Century" w:hAnsi="Century" w:cs="Miriam" w:hint="cs"/>
          <w:b/>
          <w:spacing w:val="0"/>
          <w:sz w:val="22"/>
          <w:szCs w:val="24"/>
          <w:rtl/>
        </w:rPr>
        <w:t>מאפיינים ייחודיים</w:t>
      </w:r>
      <w:r>
        <w:rPr>
          <w:rFonts w:ascii="Century" w:hAnsi="Century" w:hint="cs"/>
          <w:sz w:val="22"/>
          <w:rtl/>
        </w:rPr>
        <w:t xml:space="preserve"> </w:t>
      </w:r>
      <w:r w:rsidRPr="0026169A">
        <w:rPr>
          <w:rFonts w:ascii="Century" w:hAnsi="Century" w:cs="Miriam" w:hint="cs"/>
          <w:b/>
          <w:spacing w:val="0"/>
          <w:sz w:val="22"/>
          <w:szCs w:val="24"/>
          <w:rtl/>
        </w:rPr>
        <w:t>משל עצמו</w:t>
      </w:r>
      <w:r>
        <w:rPr>
          <w:rFonts w:ascii="Century" w:hAnsi="Century" w:hint="cs"/>
          <w:sz w:val="22"/>
          <w:rtl/>
        </w:rPr>
        <w:t>, שעל פקידי המס ושופטי המסים לקחת בחשבון בבואם להחיל את דיני המס על קבוצות ועל שחקנים.</w:t>
      </w:r>
    </w:p>
    <w:p w:rsidR="00245254" w:rsidRDefault="00245254" w:rsidP="00245254">
      <w:pPr>
        <w:pStyle w:val="Ruller4"/>
        <w:numPr>
          <w:ilvl w:val="0"/>
          <w:numId w:val="0"/>
        </w:numPr>
        <w:spacing w:before="240" w:after="100" w:afterAutospacing="1"/>
        <w:rPr>
          <w:rFonts w:ascii="Century" w:hAnsi="Century"/>
          <w:sz w:val="22"/>
          <w:rtl/>
        </w:rPr>
      </w:pPr>
      <w:r>
        <w:rPr>
          <w:rFonts w:ascii="Century" w:hAnsi="Century"/>
          <w:sz w:val="22"/>
          <w:rtl/>
        </w:rPr>
        <w:tab/>
      </w:r>
      <w:r>
        <w:rPr>
          <w:rFonts w:ascii="Century" w:hAnsi="Century" w:hint="cs"/>
          <w:sz w:val="22"/>
          <w:rtl/>
        </w:rPr>
        <w:t xml:space="preserve">במבוא לפסק דינו, בהציגו את השאלה "האם 'כרטיס שחקן' הוא בגדר 'טובין' לעניין חוק מע"מ?", אמר השופט </w:t>
      </w:r>
      <w:r w:rsidRPr="008D4356">
        <w:rPr>
          <w:rFonts w:ascii="Century" w:hAnsi="Century" w:cs="Miriam" w:hint="cs"/>
          <w:b/>
          <w:spacing w:val="0"/>
          <w:sz w:val="22"/>
          <w:szCs w:val="24"/>
          <w:rtl/>
        </w:rPr>
        <w:t>הנדל</w:t>
      </w:r>
      <w:r>
        <w:rPr>
          <w:rFonts w:ascii="Century" w:hAnsi="Century" w:hint="cs"/>
          <w:sz w:val="22"/>
          <w:rtl/>
        </w:rPr>
        <w:t xml:space="preserve"> את הדברים הבאים:</w:t>
      </w:r>
    </w:p>
    <w:p w:rsidR="00245254" w:rsidRDefault="00245254" w:rsidP="00245254">
      <w:pPr>
        <w:pStyle w:val="Ruller5"/>
        <w:spacing w:before="240" w:after="100" w:afterAutospacing="1"/>
        <w:rPr>
          <w:rFonts w:ascii="Century" w:hAnsi="Century"/>
          <w:rtl/>
        </w:rPr>
      </w:pPr>
      <w:r>
        <w:rPr>
          <w:rFonts w:ascii="Century" w:hAnsi="Century" w:hint="cs"/>
          <w:rtl/>
        </w:rPr>
        <w:t>"</w:t>
      </w:r>
      <w:r>
        <w:rPr>
          <w:rFonts w:hint="cs"/>
          <w:rtl/>
        </w:rPr>
        <w:t xml:space="preserve">אפתח ואומר, כי הסוגיות מושא הערעורים אינן שגרתיות. הן טרם הובאו לבחינה בפני בית משפט זה, וממילא לא הוכרעו על ידו. </w:t>
      </w:r>
      <w:r w:rsidRPr="000F4594">
        <w:rPr>
          <w:rFonts w:ascii="Century" w:hAnsi="Century" w:cs="Miriam" w:hint="cs"/>
          <w:b/>
          <w:spacing w:val="0"/>
          <w:szCs w:val="24"/>
          <w:rtl/>
        </w:rPr>
        <w:t xml:space="preserve">המטרייה המשפטית המעורבת אינה תחומה לדיני מיסים בלבד. היא מתפרשת על פני </w:t>
      </w:r>
      <w:r w:rsidRPr="000F4594">
        <w:rPr>
          <w:rFonts w:ascii="Century" w:hAnsi="Century" w:cs="Miriam" w:hint="cs"/>
          <w:b/>
          <w:spacing w:val="0"/>
          <w:szCs w:val="24"/>
          <w:rtl/>
        </w:rPr>
        <w:lastRenderedPageBreak/>
        <w:t>ההוראות הנורמטיביות החלות בעולם הכדורגל, להן כפופות המערערות.</w:t>
      </w:r>
      <w:r w:rsidRPr="00FA217F">
        <w:rPr>
          <w:rFonts w:hint="cs"/>
          <w:rtl/>
        </w:rPr>
        <w:t xml:space="preserve"> היא מעוררת שאלות מתחום דיני העבודה ועשויה אף להשיק, על פני הדברים, לשאלות בעלות גוון חוקתי</w:t>
      </w:r>
      <w:r>
        <w:rPr>
          <w:rFonts w:hint="cs"/>
          <w:rtl/>
        </w:rPr>
        <w:t xml:space="preserve">." (ראו עניין </w:t>
      </w:r>
      <w:r w:rsidRPr="00791942">
        <w:rPr>
          <w:rFonts w:ascii="Century" w:hAnsi="Century" w:cs="Miriam" w:hint="cs"/>
          <w:b/>
          <w:spacing w:val="0"/>
          <w:szCs w:val="24"/>
          <w:rtl/>
        </w:rPr>
        <w:t>קשר ספורט</w:t>
      </w:r>
      <w:r>
        <w:rPr>
          <w:rFonts w:ascii="Century" w:hAnsi="Century" w:hint="cs"/>
          <w:rtl/>
        </w:rPr>
        <w:t xml:space="preserve">, שם; ההדגשה הוספה </w:t>
      </w:r>
      <w:r>
        <w:rPr>
          <w:rFonts w:ascii="Century" w:hAnsi="Century"/>
          <w:rtl/>
        </w:rPr>
        <w:t>–</w:t>
      </w:r>
      <w:r>
        <w:rPr>
          <w:rFonts w:ascii="Century" w:hAnsi="Century" w:hint="cs"/>
          <w:rtl/>
        </w:rPr>
        <w:t xml:space="preserve"> א.ש).</w:t>
      </w:r>
    </w:p>
    <w:p w:rsidR="00245254" w:rsidRPr="000F4594" w:rsidRDefault="00245254" w:rsidP="00245254">
      <w:pPr>
        <w:pStyle w:val="Ruller4"/>
        <w:numPr>
          <w:ilvl w:val="0"/>
          <w:numId w:val="0"/>
        </w:numPr>
        <w:spacing w:before="240" w:after="100" w:afterAutospacing="1"/>
        <w:rPr>
          <w:rtl/>
        </w:rPr>
      </w:pPr>
      <w:r>
        <w:rPr>
          <w:rtl/>
        </w:rPr>
        <w:tab/>
      </w:r>
      <w:r>
        <w:rPr>
          <w:rFonts w:hint="cs"/>
          <w:rtl/>
        </w:rPr>
        <w:t xml:space="preserve">כמו כן הוסיף השופט </w:t>
      </w:r>
      <w:r w:rsidRPr="00D02B85">
        <w:rPr>
          <w:rFonts w:ascii="Century" w:hAnsi="Century" w:cs="Miriam" w:hint="cs"/>
          <w:b/>
          <w:spacing w:val="0"/>
          <w:sz w:val="22"/>
          <w:szCs w:val="24"/>
          <w:rtl/>
        </w:rPr>
        <w:t>הנדל</w:t>
      </w:r>
      <w:r>
        <w:rPr>
          <w:rFonts w:hint="cs"/>
          <w:rtl/>
        </w:rPr>
        <w:t xml:space="preserve"> והדגיש כי "</w:t>
      </w:r>
      <w:r>
        <w:rPr>
          <w:rFonts w:ascii="Century" w:hAnsi="Century" w:hint="cs"/>
          <w:rtl/>
        </w:rPr>
        <w:t xml:space="preserve">אין </w:t>
      </w:r>
      <w:proofErr w:type="spellStart"/>
      <w:r>
        <w:rPr>
          <w:rFonts w:ascii="Century" w:hAnsi="Century" w:hint="cs"/>
          <w:rtl/>
        </w:rPr>
        <w:t>תימה</w:t>
      </w:r>
      <w:proofErr w:type="spellEnd"/>
      <w:r>
        <w:rPr>
          <w:rFonts w:ascii="Century" w:hAnsi="Century" w:hint="cs"/>
          <w:rtl/>
        </w:rPr>
        <w:t xml:space="preserve"> שכאשר דיני הספורט הם המגרש הרלוונטי, ישנם מאפיינים יוצאי דופן שיש לתת עליהם את הדעת", שכן "דיני הספורט הם ענף מיוחד במשפט.</w:t>
      </w:r>
      <w:r>
        <w:rPr>
          <w:rFonts w:hint="cs"/>
          <w:rtl/>
        </w:rPr>
        <w:t xml:space="preserve">" (ראו שם, פסקאות 13-12). </w:t>
      </w:r>
    </w:p>
    <w:p w:rsidR="00245254" w:rsidRDefault="00245254" w:rsidP="00245254">
      <w:pPr>
        <w:pStyle w:val="Ruller4"/>
        <w:spacing w:before="240" w:after="100" w:afterAutospacing="1"/>
        <w:rPr>
          <w:rtl/>
        </w:rPr>
      </w:pPr>
      <w:r>
        <w:rPr>
          <w:rFonts w:hint="cs"/>
          <w:rtl/>
        </w:rPr>
        <w:t xml:space="preserve">בדברים אלה של השופט </w:t>
      </w:r>
      <w:r w:rsidRPr="00650791">
        <w:rPr>
          <w:rFonts w:ascii="Century" w:hAnsi="Century" w:cs="Miriam" w:hint="cs"/>
          <w:b/>
          <w:spacing w:val="0"/>
          <w:sz w:val="22"/>
          <w:szCs w:val="24"/>
          <w:rtl/>
        </w:rPr>
        <w:t>הנדל</w:t>
      </w:r>
      <w:r>
        <w:rPr>
          <w:rFonts w:hint="cs"/>
          <w:rtl/>
        </w:rPr>
        <w:t xml:space="preserve"> נוכל להיאחז לא רק כבסיס להכרעתו בסוגיית המס אשר נדונה על ידו, אלא גם כבסיס להחלתו של מבחן הזיקות על שחקני קבוצת ספורט מקצוענית, ובענייננו-שלנו, שחקני עירוני קריית שמונה. בבואנו להחיל את מבחן הזיקות כאמור, עלינו לזכור כי </w:t>
      </w:r>
      <w:r>
        <w:rPr>
          <w:rFonts w:ascii="Century" w:hAnsi="Century" w:hint="cs"/>
          <w:rtl/>
        </w:rPr>
        <w:t>"דיני הספורט הם ענף מיוחד במשפט" וכי</w:t>
      </w:r>
      <w:r>
        <w:rPr>
          <w:rFonts w:hint="cs"/>
          <w:rtl/>
        </w:rPr>
        <w:t xml:space="preserve"> עסקינן ב"</w:t>
      </w:r>
      <w:r w:rsidRPr="007C1C14">
        <w:rPr>
          <w:rFonts w:hint="eastAsia"/>
          <w:rtl/>
        </w:rPr>
        <w:t>מטרייה</w:t>
      </w:r>
      <w:r w:rsidRPr="007C1C14">
        <w:rPr>
          <w:rtl/>
        </w:rPr>
        <w:t xml:space="preserve"> </w:t>
      </w:r>
      <w:r w:rsidRPr="007C1C14">
        <w:rPr>
          <w:rFonts w:hint="eastAsia"/>
          <w:rtl/>
        </w:rPr>
        <w:t>משפטית</w:t>
      </w:r>
      <w:r w:rsidRPr="007C1C14">
        <w:rPr>
          <w:rtl/>
        </w:rPr>
        <w:t xml:space="preserve"> </w:t>
      </w:r>
      <w:r w:rsidRPr="007C1C14">
        <w:rPr>
          <w:rFonts w:hint="eastAsia"/>
          <w:rtl/>
        </w:rPr>
        <w:t>מעורבת</w:t>
      </w:r>
      <w:r>
        <w:rPr>
          <w:rFonts w:hint="cs"/>
          <w:rtl/>
        </w:rPr>
        <w:t>"</w:t>
      </w:r>
      <w:r w:rsidRPr="007C1C14">
        <w:rPr>
          <w:rtl/>
        </w:rPr>
        <w:t xml:space="preserve"> </w:t>
      </w:r>
      <w:r>
        <w:rPr>
          <w:rFonts w:hint="cs"/>
          <w:rtl/>
        </w:rPr>
        <w:t>אשר "</w:t>
      </w:r>
      <w:r w:rsidRPr="007C1C14">
        <w:rPr>
          <w:rFonts w:hint="eastAsia"/>
          <w:rtl/>
        </w:rPr>
        <w:t>אינה</w:t>
      </w:r>
      <w:r w:rsidRPr="007C1C14">
        <w:rPr>
          <w:rtl/>
        </w:rPr>
        <w:t xml:space="preserve"> </w:t>
      </w:r>
      <w:r w:rsidRPr="007C1C14">
        <w:rPr>
          <w:rFonts w:hint="eastAsia"/>
          <w:rtl/>
        </w:rPr>
        <w:t>תחומה</w:t>
      </w:r>
      <w:r w:rsidRPr="007C1C14">
        <w:rPr>
          <w:rtl/>
        </w:rPr>
        <w:t xml:space="preserve"> </w:t>
      </w:r>
      <w:r w:rsidRPr="007C1C14">
        <w:rPr>
          <w:rFonts w:hint="eastAsia"/>
          <w:rtl/>
        </w:rPr>
        <w:t>לדיני</w:t>
      </w:r>
      <w:r w:rsidRPr="007C1C14">
        <w:rPr>
          <w:rtl/>
        </w:rPr>
        <w:t xml:space="preserve"> </w:t>
      </w:r>
      <w:r w:rsidRPr="007C1C14">
        <w:rPr>
          <w:rFonts w:hint="eastAsia"/>
          <w:rtl/>
        </w:rPr>
        <w:t>מיסים</w:t>
      </w:r>
      <w:r w:rsidRPr="007C1C14">
        <w:rPr>
          <w:rtl/>
        </w:rPr>
        <w:t xml:space="preserve"> </w:t>
      </w:r>
      <w:r>
        <w:rPr>
          <w:rFonts w:hint="eastAsia"/>
          <w:rtl/>
        </w:rPr>
        <w:t>בלב</w:t>
      </w:r>
      <w:r>
        <w:rPr>
          <w:rFonts w:hint="cs"/>
          <w:rtl/>
        </w:rPr>
        <w:t>ד" ואשר "</w:t>
      </w:r>
      <w:r w:rsidRPr="007C1C14">
        <w:rPr>
          <w:rFonts w:hint="eastAsia"/>
          <w:rtl/>
        </w:rPr>
        <w:t>מתפרשת</w:t>
      </w:r>
      <w:r w:rsidRPr="007C1C14">
        <w:rPr>
          <w:rtl/>
        </w:rPr>
        <w:t xml:space="preserve"> </w:t>
      </w:r>
      <w:r w:rsidRPr="007C1C14">
        <w:rPr>
          <w:rFonts w:hint="eastAsia"/>
          <w:rtl/>
        </w:rPr>
        <w:t>על</w:t>
      </w:r>
      <w:r w:rsidRPr="007C1C14">
        <w:rPr>
          <w:rtl/>
        </w:rPr>
        <w:t xml:space="preserve"> </w:t>
      </w:r>
      <w:r w:rsidRPr="007C1C14">
        <w:rPr>
          <w:rFonts w:hint="eastAsia"/>
          <w:rtl/>
        </w:rPr>
        <w:t>פני</w:t>
      </w:r>
      <w:r w:rsidRPr="007C1C14">
        <w:rPr>
          <w:rtl/>
        </w:rPr>
        <w:t xml:space="preserve"> </w:t>
      </w:r>
      <w:r w:rsidRPr="007C1C14">
        <w:rPr>
          <w:rFonts w:hint="eastAsia"/>
          <w:rtl/>
        </w:rPr>
        <w:t>ההוראות</w:t>
      </w:r>
      <w:r w:rsidRPr="007C1C14">
        <w:rPr>
          <w:rtl/>
        </w:rPr>
        <w:t xml:space="preserve"> </w:t>
      </w:r>
      <w:r w:rsidRPr="007C1C14">
        <w:rPr>
          <w:rFonts w:hint="eastAsia"/>
          <w:rtl/>
        </w:rPr>
        <w:t>הנורמטיביות</w:t>
      </w:r>
      <w:r w:rsidRPr="007C1C14">
        <w:rPr>
          <w:rtl/>
        </w:rPr>
        <w:t xml:space="preserve"> </w:t>
      </w:r>
      <w:r w:rsidRPr="007C1C14">
        <w:rPr>
          <w:rFonts w:hint="eastAsia"/>
          <w:rtl/>
        </w:rPr>
        <w:t>החלות</w:t>
      </w:r>
      <w:r w:rsidRPr="007C1C14">
        <w:rPr>
          <w:rtl/>
        </w:rPr>
        <w:t xml:space="preserve"> </w:t>
      </w:r>
      <w:r w:rsidRPr="007C1C14">
        <w:rPr>
          <w:rFonts w:hint="eastAsia"/>
          <w:rtl/>
        </w:rPr>
        <w:t>בעולם</w:t>
      </w:r>
      <w:r w:rsidRPr="007C1C14">
        <w:rPr>
          <w:rtl/>
        </w:rPr>
        <w:t xml:space="preserve"> </w:t>
      </w:r>
      <w:r w:rsidRPr="007C1C14">
        <w:rPr>
          <w:rFonts w:hint="eastAsia"/>
          <w:rtl/>
        </w:rPr>
        <w:t>הכדורגל</w:t>
      </w:r>
      <w:r>
        <w:rPr>
          <w:rFonts w:hint="cs"/>
          <w:rtl/>
        </w:rPr>
        <w:t xml:space="preserve">" (ראו עניין </w:t>
      </w:r>
      <w:r w:rsidRPr="00791942">
        <w:rPr>
          <w:rFonts w:ascii="Century" w:hAnsi="Century" w:cs="Miriam" w:hint="cs"/>
          <w:b/>
          <w:spacing w:val="0"/>
          <w:sz w:val="22"/>
          <w:szCs w:val="24"/>
          <w:rtl/>
        </w:rPr>
        <w:t>קשר ספורט</w:t>
      </w:r>
      <w:r>
        <w:rPr>
          <w:rFonts w:hint="cs"/>
          <w:rtl/>
        </w:rPr>
        <w:t xml:space="preserve">, מבוא ופסקה 13 לפסק דינו של השופט </w:t>
      </w:r>
      <w:r w:rsidRPr="007C1C14">
        <w:rPr>
          <w:rFonts w:ascii="Century" w:hAnsi="Century" w:cs="Miriam" w:hint="cs"/>
          <w:b/>
          <w:spacing w:val="0"/>
          <w:sz w:val="22"/>
          <w:szCs w:val="24"/>
          <w:rtl/>
        </w:rPr>
        <w:t>הנדל</w:t>
      </w:r>
      <w:r>
        <w:rPr>
          <w:rFonts w:hint="cs"/>
          <w:rtl/>
        </w:rPr>
        <w:t>).</w:t>
      </w:r>
    </w:p>
    <w:p w:rsidR="00245254" w:rsidRPr="008A799F" w:rsidRDefault="00245254" w:rsidP="00245254">
      <w:pPr>
        <w:pStyle w:val="Ruller41"/>
        <w:rPr>
          <w:rFonts w:ascii="Century" w:hAnsi="Century" w:cs="Miriam"/>
          <w:b/>
          <w:spacing w:val="0"/>
          <w:szCs w:val="24"/>
          <w:rtl/>
        </w:rPr>
      </w:pPr>
      <w:r w:rsidRPr="008A799F">
        <w:rPr>
          <w:rFonts w:ascii="Century" w:hAnsi="Century" w:cs="Miriam" w:hint="cs"/>
          <w:b/>
          <w:spacing w:val="0"/>
          <w:szCs w:val="24"/>
          <w:rtl/>
        </w:rPr>
        <w:t>מרכז חייו של שחקן כדורגל מקצועני</w:t>
      </w:r>
    </w:p>
    <w:p w:rsidR="00245254" w:rsidRDefault="00245254" w:rsidP="00245254">
      <w:pPr>
        <w:pStyle w:val="Ruller4"/>
        <w:spacing w:before="240" w:after="100" w:afterAutospacing="1"/>
      </w:pPr>
      <w:r>
        <w:rPr>
          <w:rFonts w:hint="cs"/>
          <w:rtl/>
        </w:rPr>
        <w:t xml:space="preserve">חייו של שחקן כדורגל מקצועני מורכבים משלושת אלו: כדורגל, כדורגל, ועוד כדורגל. </w:t>
      </w:r>
      <w:r>
        <w:rPr>
          <w:rtl/>
        </w:rPr>
        <w:t xml:space="preserve">קריירה של שחקן כדורגל מקצועני מתנהלת במציאות של תחרות עזה, שמקורה בפופולריות העצומה של משחק הכדורגל והתמריצים הכספיים הגבוהים להם זוכים </w:t>
      </w:r>
      <w:proofErr w:type="spellStart"/>
      <w:r>
        <w:rPr>
          <w:rtl/>
        </w:rPr>
        <w:t>מצטייניו</w:t>
      </w:r>
      <w:proofErr w:type="spellEnd"/>
      <w:r>
        <w:rPr>
          <w:rtl/>
        </w:rPr>
        <w:t>. בקבוצות של בוגרים שמשחקות בליגות בכירות בארץ ובעולם, קריירה זו נמשכת, ברגיל, כ</w:t>
      </w:r>
      <w:r>
        <w:rPr>
          <w:rFonts w:hint="cs"/>
          <w:rtl/>
        </w:rPr>
        <w:t>-10 עד 15 שנים,</w:t>
      </w:r>
      <w:r>
        <w:rPr>
          <w:rtl/>
        </w:rPr>
        <w:t xml:space="preserve"> כאשר היא דורשת מהשחקן לשכלל את יכולותיו ולשמור עליהן באמצעות משטר נוקשה של א</w:t>
      </w:r>
      <w:r>
        <w:rPr>
          <w:rFonts w:hint="cs"/>
          <w:rtl/>
        </w:rPr>
        <w:t>י</w:t>
      </w:r>
      <w:r>
        <w:rPr>
          <w:rtl/>
        </w:rPr>
        <w:t>מונים, וכן לשמור בקפידה על כושר גופני, על חוסן נפשי ועל תזונה נכונה. היותו של כדורגל משחק קבוצתי דורש מכל שחקן ושחקן להשתלב בקבוצתו במסגרת התפקיד שמוטל עליו – השתלבות שצריכה לבוא לידי ביטוי ולהוכיח את עצמה בא</w:t>
      </w:r>
      <w:r>
        <w:rPr>
          <w:rFonts w:hint="cs"/>
          <w:rtl/>
        </w:rPr>
        <w:t>י</w:t>
      </w:r>
      <w:r>
        <w:rPr>
          <w:rtl/>
        </w:rPr>
        <w:t>מונים ובמשחקים</w:t>
      </w:r>
      <w:r>
        <w:rPr>
          <w:rFonts w:hint="cs"/>
          <w:rtl/>
        </w:rPr>
        <w:t>, וכן בהשתתפות באירועים חברתיים וקהילתיים שונים שמקיימת הקבוצה</w:t>
      </w:r>
      <w:r>
        <w:rPr>
          <w:rtl/>
        </w:rPr>
        <w:t xml:space="preserve">. </w:t>
      </w:r>
    </w:p>
    <w:p w:rsidR="00245254" w:rsidRDefault="00245254" w:rsidP="00245254">
      <w:pPr>
        <w:pStyle w:val="Ruller4"/>
        <w:spacing w:before="240" w:after="100" w:afterAutospacing="1"/>
      </w:pPr>
      <w:r>
        <w:rPr>
          <w:rtl/>
        </w:rPr>
        <w:t xml:space="preserve">דרישות אלה, לצד דרישותיה הייחודיות של כל קבוצה וקבוצה, מחייבות את השחקן לשהות במחיצת חבריו לקבוצה </w:t>
      </w:r>
      <w:r>
        <w:rPr>
          <w:rFonts w:hint="cs"/>
          <w:rtl/>
        </w:rPr>
        <w:t xml:space="preserve">לא רק במהלך משחקיה אלא גם </w:t>
      </w:r>
      <w:r>
        <w:rPr>
          <w:rtl/>
        </w:rPr>
        <w:t>במסגרת א</w:t>
      </w:r>
      <w:r>
        <w:rPr>
          <w:rFonts w:hint="cs"/>
          <w:rtl/>
        </w:rPr>
        <w:t>י</w:t>
      </w:r>
      <w:r>
        <w:rPr>
          <w:rtl/>
        </w:rPr>
        <w:t>מונים – אלו שמתקיימים במתקניה הביתיים של הקבוצה ואלו שנערכים במחנות א</w:t>
      </w:r>
      <w:r>
        <w:rPr>
          <w:rFonts w:hint="cs"/>
          <w:rtl/>
        </w:rPr>
        <w:t>י</w:t>
      </w:r>
      <w:r>
        <w:rPr>
          <w:rtl/>
        </w:rPr>
        <w:t>מונים – וזאת, בזמני הא</w:t>
      </w:r>
      <w:r>
        <w:rPr>
          <w:rFonts w:hint="cs"/>
          <w:rtl/>
        </w:rPr>
        <w:t>י</w:t>
      </w:r>
      <w:r>
        <w:rPr>
          <w:rtl/>
        </w:rPr>
        <w:t xml:space="preserve">מונים ובתקופת המשחקים כאחד. במילים אחרות: </w:t>
      </w:r>
      <w:r w:rsidRPr="008A799F">
        <w:rPr>
          <w:rFonts w:ascii="Century" w:hAnsi="Century" w:cs="Miriam" w:hint="cs"/>
          <w:b/>
          <w:spacing w:val="0"/>
          <w:sz w:val="22"/>
          <w:szCs w:val="24"/>
          <w:rtl/>
        </w:rPr>
        <w:t>חייו של ש</w:t>
      </w:r>
      <w:r>
        <w:rPr>
          <w:rFonts w:ascii="Century" w:hAnsi="Century" w:cs="Miriam" w:hint="cs"/>
          <w:b/>
          <w:spacing w:val="0"/>
          <w:sz w:val="22"/>
          <w:szCs w:val="24"/>
          <w:rtl/>
        </w:rPr>
        <w:t>חקן הכדורגל המקצועני הולכים אחר</w:t>
      </w:r>
      <w:r w:rsidRPr="008A799F">
        <w:rPr>
          <w:rFonts w:ascii="Century" w:hAnsi="Century" w:cs="Miriam" w:hint="cs"/>
          <w:b/>
          <w:spacing w:val="0"/>
          <w:sz w:val="22"/>
          <w:szCs w:val="24"/>
          <w:rtl/>
        </w:rPr>
        <w:t xml:space="preserve"> קבוצתו, ומרכז חייו היא קבוצתו. במקום בו נמצאת הקבוצה דרך קבע שם נמצא </w:t>
      </w:r>
      <w:r w:rsidRPr="008A799F">
        <w:rPr>
          <w:rFonts w:ascii="Century" w:hAnsi="Century" w:cs="Miriam"/>
          <w:b/>
          <w:spacing w:val="0"/>
          <w:sz w:val="22"/>
          <w:szCs w:val="24"/>
          <w:rtl/>
        </w:rPr>
        <w:t xml:space="preserve">שחקן </w:t>
      </w:r>
      <w:r w:rsidRPr="008A799F">
        <w:rPr>
          <w:rFonts w:ascii="Century" w:hAnsi="Century" w:cs="Miriam" w:hint="cs"/>
          <w:b/>
          <w:spacing w:val="0"/>
          <w:sz w:val="22"/>
          <w:szCs w:val="24"/>
          <w:rtl/>
        </w:rPr>
        <w:t>ה</w:t>
      </w:r>
      <w:r w:rsidRPr="008A799F">
        <w:rPr>
          <w:rFonts w:ascii="Century" w:hAnsi="Century" w:cs="Miriam"/>
          <w:b/>
          <w:spacing w:val="0"/>
          <w:sz w:val="22"/>
          <w:szCs w:val="24"/>
          <w:rtl/>
        </w:rPr>
        <w:t>כדורגל, ושם גם נמצא מרכז חייו במשך כל שנות פעילותו כשחקן מקצועני</w:t>
      </w:r>
      <w:r>
        <w:rPr>
          <w:rtl/>
        </w:rPr>
        <w:t xml:space="preserve">. </w:t>
      </w:r>
    </w:p>
    <w:p w:rsidR="00245254" w:rsidRDefault="00245254" w:rsidP="00245254">
      <w:pPr>
        <w:pStyle w:val="Ruller4"/>
        <w:spacing w:before="240" w:after="100" w:afterAutospacing="1"/>
      </w:pPr>
      <w:r>
        <w:rPr>
          <w:rtl/>
        </w:rPr>
        <w:lastRenderedPageBreak/>
        <w:t xml:space="preserve">זאת ניתן ללמוד מעמדתם של דיני המס המקבילים של ארצות-הברית אשר קובעים, באופן עקבי וחד-משמעי, כי מרכז חייו של ספורטאי מקצועני בכל ספורט קבוצתי נמצא במקום שבו נמצאים משרדיה ומתקניה של קבוצתו. </w:t>
      </w:r>
    </w:p>
    <w:p w:rsidR="00245254" w:rsidRDefault="00245254" w:rsidP="00245254">
      <w:pPr>
        <w:pStyle w:val="Ruller4"/>
        <w:numPr>
          <w:ilvl w:val="0"/>
          <w:numId w:val="0"/>
        </w:numPr>
        <w:spacing w:before="240" w:after="100" w:afterAutospacing="1"/>
        <w:rPr>
          <w:rtl/>
        </w:rPr>
      </w:pPr>
      <w:r>
        <w:rPr>
          <w:rtl/>
        </w:rPr>
        <w:tab/>
        <w:t>כפי שמסביר זאת בית המשפט הפדראלי לענייני מסים</w:t>
      </w:r>
      <w:r>
        <w:rPr>
          <w:rFonts w:hint="cs"/>
          <w:rtl/>
        </w:rPr>
        <w:t>:</w:t>
      </w:r>
    </w:p>
    <w:p w:rsidR="00245254" w:rsidRDefault="00245254" w:rsidP="00245254">
      <w:pPr>
        <w:pStyle w:val="Ruller5"/>
        <w:bidi w:val="0"/>
        <w:spacing w:before="240" w:after="100" w:afterAutospacing="1"/>
        <w:rPr>
          <w:rFonts w:asciiTheme="majorBidi" w:hAnsiTheme="majorBidi" w:cstheme="majorBidi"/>
          <w:sz w:val="24"/>
          <w:szCs w:val="24"/>
          <w:rtl/>
        </w:rPr>
      </w:pPr>
      <w:r>
        <w:rPr>
          <w:rFonts w:asciiTheme="majorBidi" w:hAnsiTheme="majorBidi" w:cstheme="majorBidi"/>
          <w:sz w:val="24"/>
          <w:szCs w:val="24"/>
        </w:rPr>
        <w:t>"[T]</w:t>
      </w:r>
      <w:proofErr w:type="gramStart"/>
      <w:r>
        <w:rPr>
          <w:rFonts w:asciiTheme="majorBidi" w:hAnsiTheme="majorBidi" w:cstheme="majorBidi"/>
          <w:sz w:val="24"/>
          <w:szCs w:val="24"/>
        </w:rPr>
        <w:t>he</w:t>
      </w:r>
      <w:proofErr w:type="gramEnd"/>
      <w:r>
        <w:rPr>
          <w:rFonts w:asciiTheme="majorBidi" w:hAnsiTheme="majorBidi" w:cstheme="majorBidi"/>
          <w:sz w:val="24"/>
          <w:szCs w:val="24"/>
        </w:rPr>
        <w:t xml:space="preserve"> “tax home” of an individual engaged in professional sports has been defined as his principal place of business or employment which generally is held to be the home office of the team by which he is employed." </w:t>
      </w:r>
    </w:p>
    <w:p w:rsidR="00245254" w:rsidRDefault="00245254" w:rsidP="00245254">
      <w:pPr>
        <w:pStyle w:val="Ruller5"/>
        <w:spacing w:before="240" w:after="100" w:afterAutospacing="1"/>
      </w:pPr>
      <w:r>
        <w:rPr>
          <w:rFonts w:ascii="Century" w:hAnsi="Century"/>
          <w:rtl/>
        </w:rPr>
        <w:t xml:space="preserve">ראו: </w:t>
      </w:r>
      <w:r>
        <w:rPr>
          <w:rFonts w:asciiTheme="majorBidi" w:hAnsiTheme="majorBidi" w:cstheme="majorBidi"/>
          <w:sz w:val="24"/>
          <w:szCs w:val="24"/>
        </w:rPr>
        <w:t>Horton v. Commissioner for Internal Revenue, 86 T.C. 589, 594 (1986)</w:t>
      </w:r>
      <w:r>
        <w:rPr>
          <w:rFonts w:ascii="Century" w:hAnsi="Century"/>
          <w:rtl/>
        </w:rPr>
        <w:t xml:space="preserve"> (בעניין שחקן הוקי קרח); כמו כן ראו: </w:t>
      </w:r>
      <w:proofErr w:type="spellStart"/>
      <w:r>
        <w:rPr>
          <w:rFonts w:asciiTheme="majorBidi" w:hAnsiTheme="majorBidi" w:cstheme="majorBidi"/>
          <w:sz w:val="24"/>
          <w:szCs w:val="24"/>
        </w:rPr>
        <w:t>Gardin</w:t>
      </w:r>
      <w:proofErr w:type="spellEnd"/>
      <w:r>
        <w:rPr>
          <w:rFonts w:asciiTheme="majorBidi" w:hAnsiTheme="majorBidi" w:cstheme="majorBidi"/>
          <w:sz w:val="24"/>
          <w:szCs w:val="24"/>
        </w:rPr>
        <w:t xml:space="preserve"> v. Commissioner, 64 T.C. 1079, 1083 (1975)</w:t>
      </w:r>
      <w:r>
        <w:rPr>
          <w:rtl/>
        </w:rPr>
        <w:t xml:space="preserve"> (בעניין שחקן כדורגל אמריקני)</w:t>
      </w:r>
      <w:proofErr w:type="gramStart"/>
      <w:r>
        <w:rPr>
          <w:rtl/>
        </w:rPr>
        <w:t>;</w:t>
      </w:r>
      <w:proofErr w:type="gramEnd"/>
      <w:r>
        <w:rPr>
          <w:rtl/>
        </w:rPr>
        <w:t xml:space="preserve"> </w:t>
      </w:r>
      <w:r>
        <w:rPr>
          <w:rFonts w:asciiTheme="majorBidi" w:hAnsiTheme="majorBidi" w:cstheme="majorBidi"/>
          <w:sz w:val="24"/>
          <w:szCs w:val="24"/>
        </w:rPr>
        <w:t>Dews v. Commissioner for Internal Revenue, T.C. Memo. 1987-353 (1987)</w:t>
      </w:r>
      <w:r>
        <w:rPr>
          <w:rtl/>
        </w:rPr>
        <w:t xml:space="preserve"> (בעניינו של מאמן קבוצ</w:t>
      </w:r>
      <w:r>
        <w:rPr>
          <w:rFonts w:hint="cs"/>
          <w:rtl/>
        </w:rPr>
        <w:t>ת</w:t>
      </w:r>
      <w:r>
        <w:rPr>
          <w:rtl/>
        </w:rPr>
        <w:t xml:space="preserve"> כדור בסיס).</w:t>
      </w:r>
    </w:p>
    <w:p w:rsidR="00245254" w:rsidRDefault="00245254" w:rsidP="00245254">
      <w:pPr>
        <w:pStyle w:val="Ruller4"/>
        <w:spacing w:before="240" w:after="100" w:afterAutospacing="1"/>
      </w:pPr>
      <w:r>
        <w:rPr>
          <w:rFonts w:hint="cs"/>
          <w:rtl/>
        </w:rPr>
        <w:t>דעתי היא כי במקרה בו שחקן הכדורגל המקצועני מתגורר בפועל בעיר בה שוכנת קבוצתו במשך תקופת המשחקים והאימונים, רובה ככולה, קמה חזקה לפיה עיר זו היא "מרכז חייו" של השחקן. על-מנת לסתור חזקה זו, על פקיד השומה להצביע על זיקות משמעותיות ביותר של השחקן למקום אחר.</w:t>
      </w:r>
    </w:p>
    <w:p w:rsidR="00245254" w:rsidRDefault="00245254" w:rsidP="00245254">
      <w:pPr>
        <w:pStyle w:val="Ruller4"/>
        <w:numPr>
          <w:ilvl w:val="0"/>
          <w:numId w:val="0"/>
        </w:numPr>
        <w:spacing w:before="240" w:after="100" w:afterAutospacing="1"/>
      </w:pPr>
      <w:r>
        <w:rPr>
          <w:rFonts w:ascii="Century" w:hAnsi="Century" w:cs="Miriam" w:hint="cs"/>
          <w:b/>
          <w:spacing w:val="0"/>
          <w:sz w:val="22"/>
          <w:szCs w:val="24"/>
          <w:rtl/>
        </w:rPr>
        <w:t>מן הכלל אל הפרט</w:t>
      </w:r>
      <w:r>
        <w:rPr>
          <w:rFonts w:hint="cs"/>
          <w:rtl/>
        </w:rPr>
        <w:t xml:space="preserve"> </w:t>
      </w:r>
    </w:p>
    <w:p w:rsidR="00245254" w:rsidRDefault="00245254" w:rsidP="00245254">
      <w:pPr>
        <w:pStyle w:val="Ruller4"/>
        <w:spacing w:before="240" w:after="100" w:afterAutospacing="1"/>
        <w:rPr>
          <w:rtl/>
        </w:rPr>
      </w:pPr>
      <w:r>
        <w:rPr>
          <w:rFonts w:hint="cs"/>
          <w:rtl/>
        </w:rPr>
        <w:t xml:space="preserve">שאלת "מרכז החיים" עלתה בשלושת הערעורים שלפנינו. אפתח תחילה בהתייחסות לשאלה זו בגדרי ערעורה של עירוני קריית שמונה. לאחר מכן, אבחן את עניינם הפרטני של </w:t>
      </w:r>
      <w:proofErr w:type="spellStart"/>
      <w:r>
        <w:rPr>
          <w:rFonts w:hint="cs"/>
          <w:rtl/>
        </w:rPr>
        <w:t>עאבד</w:t>
      </w:r>
      <w:proofErr w:type="spellEnd"/>
      <w:r>
        <w:rPr>
          <w:rFonts w:hint="cs"/>
          <w:rtl/>
        </w:rPr>
        <w:t xml:space="preserve"> ושל </w:t>
      </w:r>
      <w:proofErr w:type="spellStart"/>
      <w:r>
        <w:rPr>
          <w:rFonts w:hint="cs"/>
          <w:rtl/>
        </w:rPr>
        <w:t>חסארמה</w:t>
      </w:r>
      <w:proofErr w:type="spellEnd"/>
      <w:r>
        <w:rPr>
          <w:rFonts w:hint="cs"/>
          <w:rtl/>
        </w:rPr>
        <w:t>.</w:t>
      </w:r>
    </w:p>
    <w:p w:rsidR="00245254" w:rsidRPr="007C1C14" w:rsidRDefault="00245254" w:rsidP="00245254">
      <w:pPr>
        <w:pStyle w:val="Ruller41"/>
        <w:rPr>
          <w:rFonts w:ascii="Century" w:hAnsi="Century" w:cs="Miriam"/>
          <w:b/>
          <w:spacing w:val="0"/>
          <w:szCs w:val="24"/>
          <w:rtl/>
        </w:rPr>
      </w:pPr>
      <w:r w:rsidRPr="007C1C14">
        <w:rPr>
          <w:rFonts w:ascii="Century" w:hAnsi="Century" w:cs="Miriam" w:hint="cs"/>
          <w:b/>
          <w:spacing w:val="0"/>
          <w:szCs w:val="24"/>
          <w:rtl/>
        </w:rPr>
        <w:t xml:space="preserve">"מרכז החיים" של </w:t>
      </w:r>
      <w:r>
        <w:rPr>
          <w:rFonts w:ascii="Century" w:hAnsi="Century" w:cs="Miriam" w:hint="cs"/>
          <w:b/>
          <w:spacing w:val="0"/>
          <w:szCs w:val="24"/>
          <w:rtl/>
        </w:rPr>
        <w:t xml:space="preserve">עובדי </w:t>
      </w:r>
      <w:r>
        <w:rPr>
          <w:rFonts w:ascii="Century" w:hAnsi="Century" w:cs="Miriam" w:hint="eastAsia"/>
          <w:b/>
          <w:spacing w:val="0"/>
          <w:szCs w:val="24"/>
          <w:rtl/>
        </w:rPr>
        <w:t>קבוצ</w:t>
      </w:r>
      <w:r>
        <w:rPr>
          <w:rFonts w:ascii="Century" w:hAnsi="Century" w:cs="Miriam" w:hint="cs"/>
          <w:b/>
          <w:spacing w:val="0"/>
          <w:szCs w:val="24"/>
          <w:rtl/>
        </w:rPr>
        <w:t>ת</w:t>
      </w:r>
      <w:r w:rsidRPr="007C1C14">
        <w:rPr>
          <w:rFonts w:ascii="Century" w:hAnsi="Century" w:cs="Miriam"/>
          <w:b/>
          <w:spacing w:val="0"/>
          <w:szCs w:val="24"/>
          <w:rtl/>
        </w:rPr>
        <w:t xml:space="preserve"> </w:t>
      </w:r>
      <w:r w:rsidRPr="007C1C14">
        <w:rPr>
          <w:rFonts w:ascii="Century" w:hAnsi="Century" w:cs="Miriam" w:hint="eastAsia"/>
          <w:b/>
          <w:spacing w:val="0"/>
          <w:szCs w:val="24"/>
          <w:rtl/>
        </w:rPr>
        <w:t>עירוני</w:t>
      </w:r>
      <w:r w:rsidRPr="007C1C14">
        <w:rPr>
          <w:rFonts w:ascii="Century" w:hAnsi="Century" w:cs="Miriam"/>
          <w:b/>
          <w:spacing w:val="0"/>
          <w:szCs w:val="24"/>
          <w:rtl/>
        </w:rPr>
        <w:t xml:space="preserve"> </w:t>
      </w:r>
      <w:r w:rsidRPr="007C1C14">
        <w:rPr>
          <w:rFonts w:ascii="Century" w:hAnsi="Century" w:cs="Miriam" w:hint="eastAsia"/>
          <w:b/>
          <w:spacing w:val="0"/>
          <w:szCs w:val="24"/>
          <w:rtl/>
        </w:rPr>
        <w:t>קריית</w:t>
      </w:r>
      <w:r w:rsidRPr="007C1C14">
        <w:rPr>
          <w:rFonts w:ascii="Century" w:hAnsi="Century" w:cs="Miriam"/>
          <w:b/>
          <w:spacing w:val="0"/>
          <w:szCs w:val="24"/>
          <w:rtl/>
        </w:rPr>
        <w:t xml:space="preserve"> </w:t>
      </w:r>
      <w:r w:rsidRPr="007C1C14">
        <w:rPr>
          <w:rFonts w:ascii="Century" w:hAnsi="Century" w:cs="Miriam" w:hint="eastAsia"/>
          <w:b/>
          <w:spacing w:val="0"/>
          <w:szCs w:val="24"/>
          <w:rtl/>
        </w:rPr>
        <w:t>שמונה</w:t>
      </w:r>
    </w:p>
    <w:p w:rsidR="00245254" w:rsidRDefault="00245254" w:rsidP="00245254">
      <w:pPr>
        <w:pStyle w:val="Ruller4"/>
        <w:spacing w:before="240" w:after="100" w:afterAutospacing="1"/>
      </w:pPr>
      <w:r>
        <w:rPr>
          <w:rFonts w:hint="cs"/>
          <w:rtl/>
        </w:rPr>
        <w:t xml:space="preserve">עירוני קריית שמונה העניקה לעובדיה, ובהם שחקניה, הנחת מס בהתאם לסעיף 11 לפקודה במסגרת תשלום שכרם. רשות המיסים שללה הטבה זו בטענה שלא הוכחה זכאות. במחלוקת בין הצדדים בעניין זה צידד בית משפט קמא בעמדת רשות המיסים. דעתי בעניין זה שונה בתכלית. לטעמי, בנסיבות הייחודיות של קבוצת עירוני קריית שמונה, די בהוכחת מגורי שחקניה בקריית שמונה בתקופות האימונים והמשחקים על-מנת לקבוע כי מרכז חייהם שם. נוכח האמור, אציע לחבריי לקבל את ערעורה של הקבוצה בעניין זה, בכל הנוגע לשחקניה </w:t>
      </w:r>
      <w:r>
        <w:rPr>
          <w:rtl/>
        </w:rPr>
        <w:t>–</w:t>
      </w:r>
      <w:r>
        <w:rPr>
          <w:rFonts w:hint="cs"/>
          <w:rtl/>
        </w:rPr>
        <w:t xml:space="preserve"> וזאת בכפוף להמצאתם של טפסי 101 לרשות המיסים. </w:t>
      </w:r>
    </w:p>
    <w:p w:rsidR="00245254" w:rsidRDefault="00245254" w:rsidP="00245254">
      <w:pPr>
        <w:pStyle w:val="Ruller4"/>
        <w:numPr>
          <w:ilvl w:val="0"/>
          <w:numId w:val="0"/>
        </w:numPr>
        <w:spacing w:before="240" w:after="100" w:afterAutospacing="1"/>
      </w:pPr>
      <w:r>
        <w:rPr>
          <w:rtl/>
        </w:rPr>
        <w:lastRenderedPageBreak/>
        <w:tab/>
      </w:r>
      <w:r>
        <w:rPr>
          <w:rFonts w:hint="cs"/>
          <w:rtl/>
        </w:rPr>
        <w:t xml:space="preserve">אפרט את עמדתי. </w:t>
      </w:r>
    </w:p>
    <w:p w:rsidR="00245254" w:rsidRDefault="00245254" w:rsidP="00245254">
      <w:pPr>
        <w:pStyle w:val="Ruller4"/>
        <w:spacing w:before="240" w:after="100" w:afterAutospacing="1"/>
        <w:rPr>
          <w:rtl/>
        </w:rPr>
      </w:pPr>
      <w:r>
        <w:rPr>
          <w:rFonts w:hint="cs"/>
          <w:rtl/>
        </w:rPr>
        <w:t xml:space="preserve">כמוסבר לעיל, בידינו שני עקרונות לקביעת "מרכז חייו" של נישום לעניין ההטבה לפי סעיף 11 לפקודת מס הכנסה: (1) ככל שמגוריו של הנישום ביישוב המוטב תורמת יותר ליישוב </w:t>
      </w:r>
      <w:r>
        <w:rPr>
          <w:rtl/>
        </w:rPr>
        <w:t>–</w:t>
      </w:r>
      <w:r>
        <w:rPr>
          <w:rFonts w:hint="cs"/>
          <w:rtl/>
        </w:rPr>
        <w:t xml:space="preserve"> ובפרט, כאשר עיסוקו ביישוב המוטב, שבגינו הוא מתחייב במס הכנסה, תורם ליישוב, זיקתו של הנישום ליישוב הולכת ומתעצמת; וכן (2) ככלל, ניטה לראות ביישוב בו משחקת קבוצת ספורט מקצוענית "מרכז חייו" של הספורטאי המקצועני אשר משחק בשורותיה </w:t>
      </w:r>
      <w:r>
        <w:rPr>
          <w:rtl/>
        </w:rPr>
        <w:t>–</w:t>
      </w:r>
      <w:r>
        <w:rPr>
          <w:rFonts w:hint="cs"/>
          <w:rtl/>
        </w:rPr>
        <w:t xml:space="preserve"> וזאת בהיעדר שיקולים כבדי משקל אחרים ששוללים מסקנה כאמור. בענייננו, ובכל הנוגע לשחקניה של קבוצת עירוני קריית שמונה, שני העקרונות האלה מצביעים על קריית שמונה כמרכז חייהם </w:t>
      </w:r>
      <w:r>
        <w:rPr>
          <w:rtl/>
        </w:rPr>
        <w:t>–</w:t>
      </w:r>
      <w:r>
        <w:rPr>
          <w:rFonts w:hint="cs"/>
          <w:rtl/>
        </w:rPr>
        <w:t xml:space="preserve"> כל אימת שהם מתגוררים בעיר זו בתקופות האימונים והמשחקים.</w:t>
      </w:r>
    </w:p>
    <w:p w:rsidR="00245254" w:rsidRDefault="00245254" w:rsidP="00245254">
      <w:pPr>
        <w:pStyle w:val="Ruller4"/>
        <w:spacing w:before="240" w:after="100" w:afterAutospacing="1"/>
      </w:pPr>
      <w:r>
        <w:rPr>
          <w:rtl/>
        </w:rPr>
        <w:t>קבוצ</w:t>
      </w:r>
      <w:r>
        <w:rPr>
          <w:rFonts w:hint="cs"/>
          <w:rtl/>
        </w:rPr>
        <w:t>ת הכדורגל עירוני קריית שמונה</w:t>
      </w:r>
      <w:r>
        <w:rPr>
          <w:rtl/>
        </w:rPr>
        <w:t xml:space="preserve"> נמצאת בבעלותה של חברת איתורן, אשר מצויה בבעלותו של מר</w:t>
      </w:r>
      <w:r>
        <w:rPr>
          <w:rFonts w:hint="cs"/>
          <w:rtl/>
        </w:rPr>
        <w:t xml:space="preserve"> יחזקאל</w:t>
      </w:r>
      <w:r>
        <w:rPr>
          <w:rtl/>
        </w:rPr>
        <w:t xml:space="preserve"> </w:t>
      </w:r>
      <w:r>
        <w:rPr>
          <w:rFonts w:hint="cs"/>
          <w:rtl/>
        </w:rPr>
        <w:t>(</w:t>
      </w:r>
      <w:r>
        <w:rPr>
          <w:rtl/>
        </w:rPr>
        <w:t>איזי</w:t>
      </w:r>
      <w:r>
        <w:rPr>
          <w:rFonts w:hint="cs"/>
          <w:rtl/>
        </w:rPr>
        <w:t>)</w:t>
      </w:r>
      <w:r>
        <w:rPr>
          <w:rtl/>
        </w:rPr>
        <w:t xml:space="preserve"> </w:t>
      </w:r>
      <w:proofErr w:type="spellStart"/>
      <w:r>
        <w:rPr>
          <w:rtl/>
        </w:rPr>
        <w:t>שרצקי</w:t>
      </w:r>
      <w:proofErr w:type="spellEnd"/>
      <w:r>
        <w:rPr>
          <w:rtl/>
        </w:rPr>
        <w:t xml:space="preserve"> (להלן: </w:t>
      </w:r>
      <w:proofErr w:type="spellStart"/>
      <w:r w:rsidRPr="005A1008">
        <w:rPr>
          <w:rFonts w:ascii="Century" w:hAnsi="Century" w:cs="Miriam"/>
          <w:b/>
          <w:spacing w:val="0"/>
          <w:sz w:val="22"/>
          <w:szCs w:val="24"/>
          <w:rtl/>
        </w:rPr>
        <w:t>שרצקי</w:t>
      </w:r>
      <w:proofErr w:type="spellEnd"/>
      <w:r>
        <w:rPr>
          <w:rtl/>
        </w:rPr>
        <w:t xml:space="preserve">). מהעדויות שנשמעו בבית משפט קמא עולה בבירור כי </w:t>
      </w:r>
      <w:proofErr w:type="spellStart"/>
      <w:r>
        <w:rPr>
          <w:rtl/>
        </w:rPr>
        <w:t>שרצקי</w:t>
      </w:r>
      <w:proofErr w:type="spellEnd"/>
      <w:r>
        <w:rPr>
          <w:rtl/>
        </w:rPr>
        <w:t xml:space="preserve"> מנהל ומממן את הקבוצה לא רק למען הישגיה הספורטיביים בישראל ובחו"ל, אלא גם כנכס קהילתי של העיר קריית שמונה ותושביה. לפי תפישתו של </w:t>
      </w:r>
      <w:proofErr w:type="spellStart"/>
      <w:r>
        <w:rPr>
          <w:rtl/>
        </w:rPr>
        <w:t>שרצקי</w:t>
      </w:r>
      <w:proofErr w:type="spellEnd"/>
      <w:r>
        <w:rPr>
          <w:rtl/>
        </w:rPr>
        <w:t xml:space="preserve">, מועדון הכדורגל עירוני קריית שמונה צריך להתנהל באופן שמאחד סביבו את תושבי העיר – גברים, נשים, </w:t>
      </w:r>
      <w:r>
        <w:rPr>
          <w:rFonts w:hint="cs"/>
          <w:rtl/>
        </w:rPr>
        <w:t xml:space="preserve">ילדים </w:t>
      </w:r>
      <w:r>
        <w:rPr>
          <w:rtl/>
        </w:rPr>
        <w:t>ומשפחות – כ</w:t>
      </w:r>
      <w:r>
        <w:rPr>
          <w:rFonts w:hint="cs"/>
          <w:rtl/>
        </w:rPr>
        <w:t xml:space="preserve">אשר </w:t>
      </w:r>
      <w:r>
        <w:rPr>
          <w:rtl/>
        </w:rPr>
        <w:t xml:space="preserve">הוא מהווה עבורם סמל ומקור גאווה והופך אותם לאוהדי הקבוצה. במילים אחרות: לפי חזונו של </w:t>
      </w:r>
      <w:proofErr w:type="spellStart"/>
      <w:r>
        <w:rPr>
          <w:rtl/>
        </w:rPr>
        <w:t>שרצקי</w:t>
      </w:r>
      <w:proofErr w:type="spellEnd"/>
      <w:r>
        <w:rPr>
          <w:rtl/>
        </w:rPr>
        <w:t xml:space="preserve">, עירוני קריית שמונה היא קבוצת כדורגל שהצלחתה הספורטיבית היא רק אחת ממטרותיה. מטרתה הנוספת של הקבוצה היא השבחת העיר קריית שמונה. </w:t>
      </w:r>
    </w:p>
    <w:p w:rsidR="00245254" w:rsidRDefault="00245254" w:rsidP="00245254">
      <w:pPr>
        <w:pStyle w:val="Ruller4"/>
        <w:spacing w:before="240" w:after="100" w:afterAutospacing="1"/>
      </w:pPr>
      <w:r>
        <w:rPr>
          <w:rtl/>
        </w:rPr>
        <w:t xml:space="preserve">כדי לקדם את שתי המטרות הללו יחדיו, דרש </w:t>
      </w:r>
      <w:proofErr w:type="spellStart"/>
      <w:r>
        <w:rPr>
          <w:rtl/>
        </w:rPr>
        <w:t>שרצקי</w:t>
      </w:r>
      <w:proofErr w:type="spellEnd"/>
      <w:r>
        <w:rPr>
          <w:rtl/>
        </w:rPr>
        <w:t xml:space="preserve"> מכל שחקן ושחקן בקבוצה להתגורר בקריית שמונה בתקופות הא</w:t>
      </w:r>
      <w:r>
        <w:rPr>
          <w:rFonts w:hint="cs"/>
          <w:rtl/>
        </w:rPr>
        <w:t>י</w:t>
      </w:r>
      <w:r>
        <w:rPr>
          <w:rtl/>
        </w:rPr>
        <w:t xml:space="preserve">מונים והמשחקים. לפי חומר הראיות שהוצגו לפני בית משפט קמא, שחקני הקבוצה מילאו אחר הוראה זו. חלק מהשחקנים התגוררו בעיר כשהם נושאים בעלות המגורים מכספם. שחקנים אחרים התגוררו בדירות או בצימרים שנשכרו עבורם על ידי הקבוצה, אשר גם נשאה בתשלומי הארנונה וכן בתשלומים בעד שירותים כדוגמת חשמל ומים. </w:t>
      </w:r>
    </w:p>
    <w:p w:rsidR="00245254" w:rsidRDefault="00245254" w:rsidP="00245254">
      <w:pPr>
        <w:pStyle w:val="Ruller4"/>
        <w:spacing w:before="240" w:after="100" w:afterAutospacing="1"/>
      </w:pPr>
      <w:r>
        <w:rPr>
          <w:rtl/>
        </w:rPr>
        <w:t xml:space="preserve">יתרה מכך: האופן בו התנהלה הקבוצה ביחסה אל העיר קריית שמונה, בניצוחו של </w:t>
      </w:r>
      <w:proofErr w:type="spellStart"/>
      <w:r>
        <w:rPr>
          <w:rtl/>
        </w:rPr>
        <w:t>שרצקי</w:t>
      </w:r>
      <w:proofErr w:type="spellEnd"/>
      <w:r>
        <w:rPr>
          <w:rtl/>
        </w:rPr>
        <w:t>, מצביע בבירור על תרומתה ועל תרומת שחקניה הפעילים – שכאמור התגוררו בעיר בזמני הא</w:t>
      </w:r>
      <w:r>
        <w:rPr>
          <w:rFonts w:hint="cs"/>
          <w:rtl/>
        </w:rPr>
        <w:t>י</w:t>
      </w:r>
      <w:r>
        <w:rPr>
          <w:rtl/>
        </w:rPr>
        <w:t>מונים והמשחקים – לעיר ולקהילה. תרומה זו מקיימת את זיקת התרומה ליישוב, החשובה בין הזיקות אשר קובעות את מרכז חייהם של שחקני הקבוצה בעיר קריית שמונה.</w:t>
      </w:r>
      <w:r>
        <w:rPr>
          <w:rFonts w:hint="cs"/>
          <w:rtl/>
        </w:rPr>
        <w:t xml:space="preserve"> זאת ועוד: תרומת השחקנים ליישוב קשורה בקשר הדוק לעיסוקם שבגינו הם חייבים במס הכנסה.</w:t>
      </w:r>
      <w:r>
        <w:rPr>
          <w:rtl/>
        </w:rPr>
        <w:t xml:space="preserve"> </w:t>
      </w:r>
    </w:p>
    <w:p w:rsidR="00245254" w:rsidRDefault="00245254" w:rsidP="00245254">
      <w:pPr>
        <w:pStyle w:val="Ruller4"/>
        <w:spacing w:before="240" w:after="100" w:afterAutospacing="1"/>
        <w:rPr>
          <w:rtl/>
        </w:rPr>
      </w:pPr>
      <w:r>
        <w:rPr>
          <w:rtl/>
        </w:rPr>
        <w:lastRenderedPageBreak/>
        <w:t>ממצאים אל</w:t>
      </w:r>
      <w:r>
        <w:rPr>
          <w:rFonts w:hint="cs"/>
          <w:rtl/>
        </w:rPr>
        <w:t xml:space="preserve">ה מתווספים להיותה של קבוצת עירוני קריית שמונה קבוצת כדורגל מקצוענית. כפי שכבר </w:t>
      </w:r>
      <w:proofErr w:type="spellStart"/>
      <w:r>
        <w:rPr>
          <w:rFonts w:hint="cs"/>
          <w:rtl/>
        </w:rPr>
        <w:t>צויין</w:t>
      </w:r>
      <w:proofErr w:type="spellEnd"/>
      <w:r>
        <w:rPr>
          <w:rFonts w:hint="cs"/>
          <w:rtl/>
        </w:rPr>
        <w:t xml:space="preserve"> על ידי: ככלל, מרכז חייהם של שחקני קבוצת כדורגל מקצוענית, אשר מתגוררים ביישוב בו שוכנת הקבוצה בתקופות האימונים והמשחקים, נמצא באותו יישוב, ולא במקום אחר. מכאן החזקה לפיה</w:t>
      </w:r>
      <w:r>
        <w:rPr>
          <w:rtl/>
        </w:rPr>
        <w:t xml:space="preserve"> העיר קריית שמונה ה</w:t>
      </w:r>
      <w:r>
        <w:rPr>
          <w:rFonts w:hint="cs"/>
          <w:rtl/>
        </w:rPr>
        <w:t>י</w:t>
      </w:r>
      <w:r>
        <w:rPr>
          <w:rtl/>
        </w:rPr>
        <w:t>יתה מרכז חייהם של שחקני הקבוצה הפעילים</w:t>
      </w:r>
      <w:r>
        <w:rPr>
          <w:rFonts w:hint="cs"/>
          <w:rtl/>
        </w:rPr>
        <w:t xml:space="preserve"> אשר התגוררו בה בתקופות האימונים והמשחקים.</w:t>
      </w:r>
      <w:r>
        <w:rPr>
          <w:rtl/>
        </w:rPr>
        <w:t xml:space="preserve"> </w:t>
      </w:r>
      <w:r>
        <w:rPr>
          <w:rFonts w:hint="cs"/>
          <w:rtl/>
        </w:rPr>
        <w:t xml:space="preserve">חזקה זו לא נסתרה. ההיפך הוא הנכון: האופן שבו נוהלה הקבוצה על ידי </w:t>
      </w:r>
      <w:proofErr w:type="spellStart"/>
      <w:r>
        <w:rPr>
          <w:rFonts w:hint="cs"/>
          <w:rtl/>
        </w:rPr>
        <w:t>שרצקי</w:t>
      </w:r>
      <w:proofErr w:type="spellEnd"/>
      <w:r>
        <w:rPr>
          <w:rFonts w:hint="cs"/>
          <w:rtl/>
        </w:rPr>
        <w:t>, אשר תואר לעיל, מעצים חזקה זו עד כדי הפיכתה לחזקה חלוטה.</w:t>
      </w:r>
    </w:p>
    <w:p w:rsidR="00245254" w:rsidRDefault="00245254" w:rsidP="00245254">
      <w:pPr>
        <w:pStyle w:val="Ruller4"/>
        <w:spacing w:before="240" w:after="100" w:afterAutospacing="1"/>
      </w:pPr>
      <w:r>
        <w:rPr>
          <w:rtl/>
        </w:rPr>
        <w:t>בית משפט קמא לא ראה את הדברים כך. לשיטתו, הקבוצה לא סיפקה הוכחה אינדיבידואלית של "מרכז חיים" ביחס לכל שחקן ושחקן – דבר שעומד בעוכריה. דעתי</w:t>
      </w:r>
      <w:r>
        <w:rPr>
          <w:rFonts w:hint="cs"/>
          <w:rtl/>
        </w:rPr>
        <w:t>, כאמור,</w:t>
      </w:r>
      <w:r>
        <w:rPr>
          <w:rtl/>
        </w:rPr>
        <w:t xml:space="preserve"> שונה. סבורני כי ההוכחות אשר סופקו על ידי עירוני קריית שמונה הניחו תשתית עובדתית ממנה עולה בבירור כי שחקניה הפעילים של הקבוצה קבעו את מרכז חייהם בעיר. אכן, הקבוצה לא סיפקה לרשות המסים את כל כרטיסי העובד הנדרשים, טופסי 101 – התנהלות </w:t>
      </w:r>
      <w:r>
        <w:rPr>
          <w:rFonts w:hint="cs"/>
          <w:rtl/>
        </w:rPr>
        <w:t xml:space="preserve">לא תקינה, </w:t>
      </w:r>
      <w:r>
        <w:rPr>
          <w:rtl/>
        </w:rPr>
        <w:t>שיש לזקפה לחובת הקבוצה ושחקניה. ואולם, כ</w:t>
      </w:r>
      <w:r>
        <w:rPr>
          <w:rFonts w:hint="cs"/>
          <w:rtl/>
        </w:rPr>
        <w:t>ֶּ</w:t>
      </w:r>
      <w:r>
        <w:rPr>
          <w:rtl/>
        </w:rPr>
        <w:t>ש</w:t>
      </w:r>
      <w:r>
        <w:rPr>
          <w:rFonts w:hint="cs"/>
          <w:rtl/>
        </w:rPr>
        <w:t>ֶ</w:t>
      </w:r>
      <w:r>
        <w:rPr>
          <w:rtl/>
        </w:rPr>
        <w:t>ל זה הוא כ</w:t>
      </w:r>
      <w:r>
        <w:rPr>
          <w:rFonts w:hint="cs"/>
          <w:rtl/>
        </w:rPr>
        <w:t>ֶּ</w:t>
      </w:r>
      <w:r>
        <w:rPr>
          <w:rtl/>
        </w:rPr>
        <w:t>ש</w:t>
      </w:r>
      <w:r>
        <w:rPr>
          <w:rFonts w:hint="cs"/>
          <w:rtl/>
        </w:rPr>
        <w:t>ֶ</w:t>
      </w:r>
      <w:r>
        <w:rPr>
          <w:rtl/>
        </w:rPr>
        <w:t xml:space="preserve">ל טכני-פורמאלי אשר ראוי שיבוא לידי ביטוי בפסיקת הוצאות, ותו לא. </w:t>
      </w:r>
      <w:r>
        <w:rPr>
          <w:rFonts w:hint="cs"/>
          <w:rtl/>
        </w:rPr>
        <w:t xml:space="preserve">כפי שלימדנו הנשיא </w:t>
      </w:r>
      <w:proofErr w:type="spellStart"/>
      <w:r w:rsidRPr="00305121">
        <w:rPr>
          <w:rFonts w:ascii="Century" w:hAnsi="Century" w:cs="Miriam" w:hint="cs"/>
          <w:b/>
          <w:spacing w:val="0"/>
          <w:sz w:val="22"/>
          <w:szCs w:val="24"/>
          <w:rtl/>
        </w:rPr>
        <w:t>לנדוי</w:t>
      </w:r>
      <w:proofErr w:type="spellEnd"/>
      <w:r>
        <w:rPr>
          <w:rFonts w:ascii="Century" w:hAnsi="Century" w:hint="cs"/>
          <w:sz w:val="22"/>
          <w:rtl/>
        </w:rPr>
        <w:t xml:space="preserve"> (ראו: </w:t>
      </w:r>
      <w:r>
        <w:rPr>
          <w:rFonts w:hint="cs"/>
          <w:rtl/>
        </w:rPr>
        <w:t xml:space="preserve">עניין </w:t>
      </w:r>
      <w:proofErr w:type="spellStart"/>
      <w:r w:rsidRPr="00015070">
        <w:rPr>
          <w:rFonts w:ascii="Century" w:hAnsi="Century" w:cs="Miriam" w:hint="cs"/>
          <w:b/>
          <w:spacing w:val="0"/>
          <w:sz w:val="22"/>
          <w:szCs w:val="24"/>
          <w:rtl/>
        </w:rPr>
        <w:t>מלכוב</w:t>
      </w:r>
      <w:proofErr w:type="spellEnd"/>
      <w:r>
        <w:rPr>
          <w:rFonts w:ascii="Century" w:hAnsi="Century" w:hint="cs"/>
          <w:sz w:val="22"/>
          <w:rtl/>
        </w:rPr>
        <w:t xml:space="preserve">, בעמ' </w:t>
      </w:r>
      <w:r>
        <w:rPr>
          <w:rFonts w:hint="cs"/>
          <w:rtl/>
        </w:rPr>
        <w:t xml:space="preserve">686), </w:t>
      </w:r>
      <w:r>
        <w:rPr>
          <w:rtl/>
        </w:rPr>
        <w:t>כל אימת שניתן לתקן כשל זה על-מנת להגיע לתוצאה אשר משקפת מס אמת – יש לעשות כן</w:t>
      </w:r>
      <w:r>
        <w:rPr>
          <w:rFonts w:hint="cs"/>
          <w:rtl/>
        </w:rPr>
        <w:t>.</w:t>
      </w:r>
      <w:r>
        <w:rPr>
          <w:rtl/>
        </w:rPr>
        <w:t xml:space="preserve"> במסגרת זו</w:t>
      </w:r>
      <w:r>
        <w:rPr>
          <w:rFonts w:hint="cs"/>
          <w:rtl/>
        </w:rPr>
        <w:t xml:space="preserve">, </w:t>
      </w:r>
      <w:r>
        <w:rPr>
          <w:rtl/>
        </w:rPr>
        <w:t xml:space="preserve">מן הראוי לתת לקבוצה הזדמנות נוספת ואחרונה להציג בפני רשות המסים את טופסי 101 הרלבנטיים. </w:t>
      </w:r>
    </w:p>
    <w:p w:rsidR="00245254" w:rsidRDefault="00245254" w:rsidP="00245254">
      <w:pPr>
        <w:pStyle w:val="Ruller4"/>
        <w:spacing w:before="240" w:after="100" w:afterAutospacing="1"/>
      </w:pPr>
      <w:r>
        <w:rPr>
          <w:rtl/>
        </w:rPr>
        <w:t>מטעמים אלה, אציע לחבריי לקבל את ערעור הקבוצה בעניין מרכז החיים של שחקניה שהיו פעילים בשנות המס שבמחלוקת – זאת, בכפוף להצגת טופסי 101 הדרושים בפני רשות המסים. שחקנים כאמור זכאים לקבל הטבת יישוב מוטב בגין אותן שנות המס.</w:t>
      </w:r>
    </w:p>
    <w:p w:rsidR="00245254" w:rsidRDefault="00245254" w:rsidP="00245254">
      <w:pPr>
        <w:pStyle w:val="Ruller41"/>
        <w:spacing w:before="240" w:after="100" w:afterAutospacing="1"/>
        <w:rPr>
          <w:rFonts w:ascii="Century" w:hAnsi="Century" w:cs="Miriam"/>
          <w:b/>
          <w:spacing w:val="0"/>
          <w:szCs w:val="24"/>
          <w:rtl/>
        </w:rPr>
      </w:pPr>
      <w:r>
        <w:rPr>
          <w:rFonts w:ascii="Century" w:hAnsi="Century" w:cs="Miriam"/>
          <w:b/>
          <w:spacing w:val="0"/>
          <w:szCs w:val="24"/>
          <w:rtl/>
        </w:rPr>
        <w:t xml:space="preserve">אחמד </w:t>
      </w:r>
      <w:proofErr w:type="spellStart"/>
      <w:r>
        <w:rPr>
          <w:rFonts w:ascii="Century" w:hAnsi="Century" w:cs="Miriam"/>
          <w:b/>
          <w:spacing w:val="0"/>
          <w:szCs w:val="24"/>
          <w:rtl/>
        </w:rPr>
        <w:t>עאבד</w:t>
      </w:r>
      <w:proofErr w:type="spellEnd"/>
    </w:p>
    <w:p w:rsidR="00245254" w:rsidRDefault="00245254" w:rsidP="00245254">
      <w:pPr>
        <w:pStyle w:val="Ruller4"/>
        <w:spacing w:before="240" w:after="100" w:afterAutospacing="1"/>
      </w:pPr>
      <w:r>
        <w:rPr>
          <w:rtl/>
        </w:rPr>
        <w:t xml:space="preserve">הדברים שאמרתי ביחס למרכז חייהם של שחקני עירוני קריית שמונה חלים גם על </w:t>
      </w:r>
      <w:proofErr w:type="spellStart"/>
      <w:r>
        <w:rPr>
          <w:rtl/>
        </w:rPr>
        <w:t>עאבד</w:t>
      </w:r>
      <w:proofErr w:type="spellEnd"/>
      <w:r>
        <w:rPr>
          <w:rtl/>
        </w:rPr>
        <w:t xml:space="preserve"> בשנות המס </w:t>
      </w:r>
      <w:r>
        <w:rPr>
          <w:rFonts w:hint="cs"/>
          <w:rtl/>
        </w:rPr>
        <w:t>2013-2011</w:t>
      </w:r>
      <w:r>
        <w:rPr>
          <w:rtl/>
        </w:rPr>
        <w:t xml:space="preserve">. בשנים אלה, נמנה </w:t>
      </w:r>
      <w:proofErr w:type="spellStart"/>
      <w:r>
        <w:rPr>
          <w:rtl/>
        </w:rPr>
        <w:t>עאבד</w:t>
      </w:r>
      <w:proofErr w:type="spellEnd"/>
      <w:r>
        <w:rPr>
          <w:rtl/>
        </w:rPr>
        <w:t xml:space="preserve"> עם שחקני הקבוצה והתגורר באחת הדירות בקריית שמונה אשר נשכרה עבורו ועבור כמה מחבריו לקבוצה על ידי הקבוצה. </w:t>
      </w:r>
    </w:p>
    <w:p w:rsidR="00245254" w:rsidRDefault="00245254" w:rsidP="00245254">
      <w:pPr>
        <w:pStyle w:val="Ruller4"/>
        <w:spacing w:before="240" w:after="100" w:afterAutospacing="1"/>
      </w:pPr>
      <w:r>
        <w:rPr>
          <w:rtl/>
        </w:rPr>
        <w:t xml:space="preserve">בשנים אלו, </w:t>
      </w:r>
      <w:proofErr w:type="spellStart"/>
      <w:r>
        <w:rPr>
          <w:rtl/>
        </w:rPr>
        <w:t>עאבד</w:t>
      </w:r>
      <w:proofErr w:type="spellEnd"/>
      <w:r>
        <w:rPr>
          <w:rtl/>
        </w:rPr>
        <w:t xml:space="preserve"> היה רווק. הוא עבר לדירה בקריית שמונה מבית הוריו שבנצרת. בית משפט קמא ראה בבית הוריו של </w:t>
      </w:r>
      <w:proofErr w:type="spellStart"/>
      <w:r>
        <w:rPr>
          <w:rtl/>
        </w:rPr>
        <w:t>עאבד</w:t>
      </w:r>
      <w:proofErr w:type="spellEnd"/>
      <w:r>
        <w:rPr>
          <w:rtl/>
        </w:rPr>
        <w:t xml:space="preserve"> את זיקתו לעיר נצרת, ועם קביעה זו אינני מסכים. איני בא לפקפק בקשריו של </w:t>
      </w:r>
      <w:proofErr w:type="spellStart"/>
      <w:r>
        <w:rPr>
          <w:rtl/>
        </w:rPr>
        <w:t>עאבד</w:t>
      </w:r>
      <w:proofErr w:type="spellEnd"/>
      <w:r>
        <w:rPr>
          <w:rtl/>
        </w:rPr>
        <w:t xml:space="preserve"> עם משפחתו שבנצרת</w:t>
      </w:r>
      <w:r>
        <w:rPr>
          <w:rFonts w:hint="cs"/>
          <w:rtl/>
        </w:rPr>
        <w:t xml:space="preserve"> </w:t>
      </w:r>
      <w:r>
        <w:rPr>
          <w:rtl/>
        </w:rPr>
        <w:t xml:space="preserve">– </w:t>
      </w:r>
      <w:r>
        <w:rPr>
          <w:rFonts w:hint="cs"/>
          <w:rtl/>
        </w:rPr>
        <w:t xml:space="preserve">ייתכן שהוא נהג לבקר אצלה תכופות, כל אימת שלוח הזמנים של הקבוצה אִפשר לו לעשות כן </w:t>
      </w:r>
      <w:r>
        <w:rPr>
          <w:rtl/>
        </w:rPr>
        <w:t>–</w:t>
      </w:r>
      <w:r>
        <w:rPr>
          <w:rFonts w:hint="cs"/>
          <w:rtl/>
        </w:rPr>
        <w:t xml:space="preserve"> </w:t>
      </w:r>
      <w:r>
        <w:rPr>
          <w:rtl/>
        </w:rPr>
        <w:t>אולם קשרים אלו אינ</w:t>
      </w:r>
      <w:r>
        <w:rPr>
          <w:rFonts w:hint="cs"/>
          <w:rtl/>
        </w:rPr>
        <w:t>ם</w:t>
      </w:r>
      <w:r>
        <w:rPr>
          <w:rtl/>
        </w:rPr>
        <w:t xml:space="preserve"> יוצרים זיקה </w:t>
      </w:r>
      <w:r>
        <w:rPr>
          <w:rFonts w:hint="cs"/>
          <w:rtl/>
        </w:rPr>
        <w:t xml:space="preserve">של "מרכז חיים" </w:t>
      </w:r>
      <w:r>
        <w:rPr>
          <w:rtl/>
        </w:rPr>
        <w:t xml:space="preserve">בינו לבין העיר נצרת אחרי יציאתו </w:t>
      </w:r>
      <w:r>
        <w:rPr>
          <w:rtl/>
        </w:rPr>
        <w:lastRenderedPageBreak/>
        <w:t>לעולם הגדול</w:t>
      </w:r>
      <w:r>
        <w:rPr>
          <w:rFonts w:hint="cs"/>
          <w:rtl/>
        </w:rPr>
        <w:t xml:space="preserve"> כ</w:t>
      </w:r>
      <w:r>
        <w:rPr>
          <w:rtl/>
        </w:rPr>
        <w:t xml:space="preserve">שחקן כדורגל מקצועני </w:t>
      </w:r>
      <w:r>
        <w:rPr>
          <w:rFonts w:hint="cs"/>
          <w:rtl/>
        </w:rPr>
        <w:t>אשר שוהה</w:t>
      </w:r>
      <w:r>
        <w:rPr>
          <w:rtl/>
        </w:rPr>
        <w:t xml:space="preserve"> במחיצת חבריו לקבוצה – בהתאם לדרישתו של בעלי הקבוצה – בקריית שמונה.</w:t>
      </w:r>
    </w:p>
    <w:p w:rsidR="00245254" w:rsidRDefault="00245254" w:rsidP="00245254">
      <w:pPr>
        <w:pStyle w:val="Ruller4"/>
        <w:spacing w:before="240" w:after="100" w:afterAutospacing="1"/>
      </w:pPr>
      <w:r>
        <w:rPr>
          <w:rtl/>
        </w:rPr>
        <w:t xml:space="preserve">בית משפט קמא קשר את </w:t>
      </w:r>
      <w:proofErr w:type="spellStart"/>
      <w:r>
        <w:rPr>
          <w:rtl/>
        </w:rPr>
        <w:t>עאבד</w:t>
      </w:r>
      <w:proofErr w:type="spellEnd"/>
      <w:r>
        <w:rPr>
          <w:rtl/>
        </w:rPr>
        <w:t xml:space="preserve"> לעיר נצרת גם בשל היותו רשום בקופת חולים בנצרת ובשל היותו בעל חשבון בסניף של בנק אשר נמצא באותה עיר. לקביעה זו איני יכול להיות שותף. כרטיס קופת החולים שהיה בידי </w:t>
      </w:r>
      <w:proofErr w:type="spellStart"/>
      <w:r>
        <w:rPr>
          <w:rtl/>
        </w:rPr>
        <w:t>עאבד</w:t>
      </w:r>
      <w:proofErr w:type="spellEnd"/>
      <w:r>
        <w:rPr>
          <w:rtl/>
        </w:rPr>
        <w:t xml:space="preserve"> באותה תקופה א</w:t>
      </w:r>
      <w:r>
        <w:rPr>
          <w:rFonts w:hint="cs"/>
          <w:rtl/>
        </w:rPr>
        <w:t>ִ</w:t>
      </w:r>
      <w:r>
        <w:rPr>
          <w:rtl/>
        </w:rPr>
        <w:t xml:space="preserve">פשר לו מן הסתם לקבל שירותים רפואיים בכל אחד מסניפי הקופה, לרבות אלו שנמצאים בקריית שמונה. אדם שעובר מיישוב אחד למשנהו לא נדרש לעשות דבר כדי להמשיך ולקבל שירותים רפואיים מקופת החולים שלו. הוא הדין לגבי סניפי בנק שפריסתם היא פריסה ארצית. כרטיס הכספומט המגנטי </w:t>
      </w:r>
      <w:r>
        <w:rPr>
          <w:rFonts w:hint="cs"/>
          <w:rtl/>
        </w:rPr>
        <w:t>ו</w:t>
      </w:r>
      <w:r>
        <w:rPr>
          <w:rtl/>
        </w:rPr>
        <w:t xml:space="preserve">כרטיסי האשראי, שהיו בידי </w:t>
      </w:r>
      <w:proofErr w:type="spellStart"/>
      <w:r>
        <w:rPr>
          <w:rtl/>
        </w:rPr>
        <w:t>עאבד</w:t>
      </w:r>
      <w:proofErr w:type="spellEnd"/>
      <w:r>
        <w:rPr>
          <w:rtl/>
        </w:rPr>
        <w:t xml:space="preserve"> באותה תקופה, מן הסתם א</w:t>
      </w:r>
      <w:r>
        <w:rPr>
          <w:rFonts w:hint="cs"/>
          <w:rtl/>
        </w:rPr>
        <w:t>ִ</w:t>
      </w:r>
      <w:r>
        <w:rPr>
          <w:rtl/>
        </w:rPr>
        <w:t>פשרו לו לקבל שירותים בנקאיים בקריית שמונה ובמקומות אחרים, ולא רק בנצרת.</w:t>
      </w:r>
    </w:p>
    <w:p w:rsidR="00245254" w:rsidRDefault="00245254" w:rsidP="00245254">
      <w:pPr>
        <w:pStyle w:val="Ruller4"/>
        <w:spacing w:before="240" w:after="100" w:afterAutospacing="1"/>
      </w:pPr>
      <w:r>
        <w:rPr>
          <w:rtl/>
        </w:rPr>
        <w:t xml:space="preserve">אשר על כן, עמדתה של רשות המסים בעניינו של </w:t>
      </w:r>
      <w:proofErr w:type="spellStart"/>
      <w:r>
        <w:rPr>
          <w:rtl/>
        </w:rPr>
        <w:t>עאבד</w:t>
      </w:r>
      <w:proofErr w:type="spellEnd"/>
      <w:r>
        <w:rPr>
          <w:rtl/>
        </w:rPr>
        <w:t xml:space="preserve"> אינה יכולה לעמוד. עמדה זו אינה עולה בקנה אחד עם מאפייניו של כדורגל מקצועני כעסק ייחודי. בכפוף למקרים חריגים, שלא בהם </w:t>
      </w:r>
      <w:proofErr w:type="spellStart"/>
      <w:r>
        <w:rPr>
          <w:rtl/>
        </w:rPr>
        <w:t>קא</w:t>
      </w:r>
      <w:proofErr w:type="spellEnd"/>
      <w:r>
        <w:rPr>
          <w:rtl/>
        </w:rPr>
        <w:t xml:space="preserve"> עסקינן, התנהלותו התקינה של עסק זה מחייבת כל שחקן ושחקן להתגורר בקרבת מתקני קבוצתו; וכפי שכבר ציינתי, דרישה זו חלה ביתר שאת על שחקני הקבוצה עירוני קריית שמונה, מאחר שהיא באה מפיו של בעלי הקבוצה</w:t>
      </w:r>
      <w:r>
        <w:rPr>
          <w:rFonts w:hint="cs"/>
          <w:rtl/>
        </w:rPr>
        <w:t xml:space="preserve"> שקבע את משכורותיהם.</w:t>
      </w:r>
      <w:r>
        <w:rPr>
          <w:rtl/>
        </w:rPr>
        <w:t xml:space="preserve"> </w:t>
      </w:r>
    </w:p>
    <w:p w:rsidR="00245254" w:rsidRDefault="00245254" w:rsidP="00245254">
      <w:pPr>
        <w:pStyle w:val="Ruller4"/>
        <w:spacing w:before="240" w:after="100" w:afterAutospacing="1"/>
      </w:pPr>
      <w:r>
        <w:rPr>
          <w:rtl/>
        </w:rPr>
        <w:t xml:space="preserve">זאת ועוד. הבה נניח ששחקן כדוגמת </w:t>
      </w:r>
      <w:proofErr w:type="spellStart"/>
      <w:r>
        <w:rPr>
          <w:rtl/>
        </w:rPr>
        <w:t>עאבד</w:t>
      </w:r>
      <w:proofErr w:type="spellEnd"/>
      <w:r>
        <w:rPr>
          <w:rtl/>
        </w:rPr>
        <w:t xml:space="preserve"> </w:t>
      </w:r>
      <w:r>
        <w:rPr>
          <w:rFonts w:hint="cs"/>
          <w:rtl/>
        </w:rPr>
        <w:t>נולד וגדל בעיר</w:t>
      </w:r>
      <w:r>
        <w:rPr>
          <w:rtl/>
        </w:rPr>
        <w:t xml:space="preserve"> קריית שמונה</w:t>
      </w:r>
      <w:r>
        <w:rPr>
          <w:rFonts w:hint="cs"/>
          <w:rtl/>
        </w:rPr>
        <w:t xml:space="preserve"> ושם מתגוררת משפחתו.</w:t>
      </w:r>
      <w:r>
        <w:rPr>
          <w:rtl/>
        </w:rPr>
        <w:t xml:space="preserve"> </w:t>
      </w:r>
      <w:r>
        <w:rPr>
          <w:rFonts w:hint="cs"/>
          <w:rtl/>
        </w:rPr>
        <w:t xml:space="preserve">כשבגר קיבל הצעה </w:t>
      </w:r>
      <w:r>
        <w:rPr>
          <w:rtl/>
        </w:rPr>
        <w:t xml:space="preserve">לשחק בקבוצה אחרת, מכבי בני </w:t>
      </w:r>
      <w:proofErr w:type="spellStart"/>
      <w:r>
        <w:rPr>
          <w:rtl/>
        </w:rPr>
        <w:t>ריינה</w:t>
      </w:r>
      <w:proofErr w:type="spellEnd"/>
      <w:r>
        <w:rPr>
          <w:rtl/>
        </w:rPr>
        <w:t xml:space="preserve"> (כפי שעשה אחמד </w:t>
      </w:r>
      <w:proofErr w:type="spellStart"/>
      <w:r>
        <w:rPr>
          <w:rtl/>
        </w:rPr>
        <w:t>עאבד</w:t>
      </w:r>
      <w:proofErr w:type="spellEnd"/>
      <w:r>
        <w:rPr>
          <w:rtl/>
        </w:rPr>
        <w:t xml:space="preserve"> </w:t>
      </w:r>
      <w:proofErr w:type="spellStart"/>
      <w:r>
        <w:rPr>
          <w:rtl/>
        </w:rPr>
        <w:t>האמיתי</w:t>
      </w:r>
      <w:proofErr w:type="spellEnd"/>
      <w:r>
        <w:rPr>
          <w:rtl/>
        </w:rPr>
        <w:t>)</w:t>
      </w:r>
      <w:r>
        <w:rPr>
          <w:rFonts w:hint="cs"/>
          <w:rtl/>
        </w:rPr>
        <w:t xml:space="preserve">. </w:t>
      </w:r>
      <w:r w:rsidRPr="00BB2335">
        <w:rPr>
          <w:rFonts w:hint="cs"/>
          <w:rtl/>
        </w:rPr>
        <w:t xml:space="preserve">כמו כן, נניח שמכבי בני </w:t>
      </w:r>
      <w:proofErr w:type="spellStart"/>
      <w:r w:rsidRPr="00BB2335">
        <w:rPr>
          <w:rFonts w:hint="cs"/>
          <w:rtl/>
        </w:rPr>
        <w:t>ריינה</w:t>
      </w:r>
      <w:proofErr w:type="spellEnd"/>
      <w:r w:rsidRPr="00BB2335">
        <w:rPr>
          <w:rFonts w:hint="cs"/>
          <w:rtl/>
        </w:rPr>
        <w:t xml:space="preserve"> שכרה דירה בקרבת מתקניה וכי </w:t>
      </w:r>
      <w:proofErr w:type="spellStart"/>
      <w:r w:rsidRPr="00BB2335">
        <w:rPr>
          <w:rFonts w:hint="cs"/>
          <w:rtl/>
        </w:rPr>
        <w:t>עאבד</w:t>
      </w:r>
      <w:proofErr w:type="spellEnd"/>
      <w:r w:rsidRPr="00BB2335">
        <w:rPr>
          <w:rFonts w:hint="cs"/>
          <w:rtl/>
        </w:rPr>
        <w:t xml:space="preserve"> התגורר באותה דירה בגפו בזמני הא</w:t>
      </w:r>
      <w:r>
        <w:rPr>
          <w:rFonts w:hint="cs"/>
          <w:rtl/>
        </w:rPr>
        <w:t>י</w:t>
      </w:r>
      <w:r w:rsidRPr="00BB2335">
        <w:rPr>
          <w:rFonts w:hint="cs"/>
          <w:rtl/>
        </w:rPr>
        <w:t>מונים והמשחקים של הקבוצה.</w:t>
      </w:r>
      <w:r>
        <w:rPr>
          <w:rtl/>
        </w:rPr>
        <w:t xml:space="preserve"> האם במקרה היפותטי זה </w:t>
      </w:r>
      <w:proofErr w:type="spellStart"/>
      <w:r>
        <w:rPr>
          <w:rtl/>
        </w:rPr>
        <w:t>היתה</w:t>
      </w:r>
      <w:proofErr w:type="spellEnd"/>
      <w:r>
        <w:rPr>
          <w:rtl/>
        </w:rPr>
        <w:t xml:space="preserve"> רשות המסים מסכימה לכך </w:t>
      </w:r>
      <w:proofErr w:type="spellStart"/>
      <w:r>
        <w:rPr>
          <w:rtl/>
        </w:rPr>
        <w:t>שעאבד</w:t>
      </w:r>
      <w:proofErr w:type="spellEnd"/>
      <w:r>
        <w:rPr>
          <w:rtl/>
        </w:rPr>
        <w:t xml:space="preserve"> יקבל את ההטבה של יישוב מוטב – קריית שמונה – מכוחו של סעיף 11 לפקודת מס הכנסה? ספק גדול בעיניי אם הסכמה כאמור </w:t>
      </w:r>
      <w:proofErr w:type="spellStart"/>
      <w:r>
        <w:rPr>
          <w:rtl/>
        </w:rPr>
        <w:t>היתה</w:t>
      </w:r>
      <w:proofErr w:type="spellEnd"/>
      <w:r>
        <w:rPr>
          <w:rtl/>
        </w:rPr>
        <w:t xml:space="preserve"> ניתנת. הנני מעריך שבמקרה זה רשות המסים </w:t>
      </w:r>
      <w:proofErr w:type="spellStart"/>
      <w:r>
        <w:rPr>
          <w:rtl/>
        </w:rPr>
        <w:t>היתה</w:t>
      </w:r>
      <w:proofErr w:type="spellEnd"/>
      <w:r>
        <w:rPr>
          <w:rtl/>
        </w:rPr>
        <w:t xml:space="preserve"> קובעת שמרכז חייו של </w:t>
      </w:r>
      <w:proofErr w:type="spellStart"/>
      <w:r>
        <w:rPr>
          <w:rtl/>
        </w:rPr>
        <w:t>עאבד</w:t>
      </w:r>
      <w:proofErr w:type="spellEnd"/>
      <w:r>
        <w:rPr>
          <w:rtl/>
        </w:rPr>
        <w:t xml:space="preserve"> נמצא בכפר </w:t>
      </w:r>
      <w:proofErr w:type="spellStart"/>
      <w:r>
        <w:rPr>
          <w:rtl/>
        </w:rPr>
        <w:t>ריינה</w:t>
      </w:r>
      <w:proofErr w:type="spellEnd"/>
      <w:r>
        <w:rPr>
          <w:rtl/>
        </w:rPr>
        <w:t xml:space="preserve"> או בסביבתו – אבל לא בקריית שמונה. הערכה זו מחזקת את מסקנתי לפיה </w:t>
      </w:r>
      <w:proofErr w:type="spellStart"/>
      <w:r>
        <w:rPr>
          <w:rtl/>
        </w:rPr>
        <w:t>עאבד</w:t>
      </w:r>
      <w:proofErr w:type="spellEnd"/>
      <w:r>
        <w:rPr>
          <w:rtl/>
        </w:rPr>
        <w:t xml:space="preserve"> העתיק את מרכז חייו לקריית שמונה בכל אותן השנים בהן הוא היה שחקן פעיל בקבוצת עירוני קריית שמונה.</w:t>
      </w:r>
      <w:r>
        <w:rPr>
          <w:rFonts w:hint="cs"/>
          <w:rtl/>
        </w:rPr>
        <w:t xml:space="preserve"> </w:t>
      </w:r>
    </w:p>
    <w:p w:rsidR="00245254" w:rsidRPr="000427C5" w:rsidRDefault="00245254" w:rsidP="00245254">
      <w:pPr>
        <w:pStyle w:val="Ruller4"/>
        <w:spacing w:before="240" w:after="100" w:afterAutospacing="1"/>
        <w:rPr>
          <w:rFonts w:ascii="Century" w:hAnsi="Century"/>
          <w:sz w:val="22"/>
          <w:rtl/>
        </w:rPr>
      </w:pPr>
      <w:r>
        <w:rPr>
          <w:rFonts w:hint="cs"/>
          <w:rtl/>
        </w:rPr>
        <w:t xml:space="preserve">הערכתי האמורה ביחס לעמדת רשות המיסים אינה בגדר השערה בעלמא. היא מבוססת על עובדות פסק הדין בעניין </w:t>
      </w:r>
      <w:proofErr w:type="spellStart"/>
      <w:r w:rsidRPr="00375D76">
        <w:rPr>
          <w:rFonts w:ascii="Century" w:hAnsi="Century" w:cs="Miriam" w:hint="cs"/>
          <w:b/>
          <w:spacing w:val="0"/>
          <w:sz w:val="22"/>
          <w:szCs w:val="24"/>
          <w:rtl/>
        </w:rPr>
        <w:t>בלטינסקי</w:t>
      </w:r>
      <w:proofErr w:type="spellEnd"/>
      <w:r>
        <w:rPr>
          <w:rFonts w:ascii="Century" w:hAnsi="Century" w:hint="cs"/>
          <w:sz w:val="22"/>
          <w:rtl/>
        </w:rPr>
        <w:t xml:space="preserve">. במקרה אשר נדון בפסק דין זה, מר </w:t>
      </w:r>
      <w:proofErr w:type="spellStart"/>
      <w:r>
        <w:rPr>
          <w:rFonts w:ascii="Century" w:hAnsi="Century" w:hint="cs"/>
          <w:sz w:val="22"/>
          <w:rtl/>
        </w:rPr>
        <w:t>בלטינסקי</w:t>
      </w:r>
      <w:proofErr w:type="spellEnd"/>
      <w:r w:rsidRPr="00375D76">
        <w:rPr>
          <w:rFonts w:ascii="Century" w:hAnsi="Century" w:hint="cs"/>
          <w:sz w:val="22"/>
          <w:rtl/>
        </w:rPr>
        <w:t xml:space="preserve">, יליד העיר נהריה, התגורר בבית הוריו בנהריה עד </w:t>
      </w:r>
      <w:r>
        <w:rPr>
          <w:rFonts w:ascii="Century" w:hAnsi="Century" w:hint="cs"/>
          <w:sz w:val="22"/>
          <w:rtl/>
        </w:rPr>
        <w:t>ל</w:t>
      </w:r>
      <w:r w:rsidRPr="00375D76">
        <w:rPr>
          <w:rFonts w:ascii="Century" w:hAnsi="Century" w:hint="cs"/>
          <w:sz w:val="22"/>
          <w:rtl/>
        </w:rPr>
        <w:t>כניסתו לשירות קבע כקצין מודיעין, אז עבר להתגורר בדירות שכורות במרכז הארץ</w:t>
      </w:r>
      <w:r>
        <w:rPr>
          <w:rFonts w:ascii="Century" w:hAnsi="Century" w:hint="cs"/>
          <w:sz w:val="22"/>
          <w:rtl/>
        </w:rPr>
        <w:t>. אחרי</w:t>
      </w:r>
      <w:r w:rsidRPr="00375D76">
        <w:rPr>
          <w:rFonts w:ascii="Century" w:hAnsi="Century" w:hint="cs"/>
          <w:sz w:val="22"/>
          <w:rtl/>
        </w:rPr>
        <w:t xml:space="preserve"> שעבר להתגורר בשכירות </w:t>
      </w:r>
      <w:r w:rsidRPr="00375D76">
        <w:rPr>
          <w:rFonts w:ascii="Century" w:hAnsi="Century" w:hint="cs"/>
          <w:sz w:val="22"/>
          <w:rtl/>
        </w:rPr>
        <w:lastRenderedPageBreak/>
        <w:t>במרכז הארץ</w:t>
      </w:r>
      <w:r>
        <w:rPr>
          <w:rFonts w:ascii="Century" w:hAnsi="Century" w:hint="cs"/>
          <w:sz w:val="22"/>
          <w:rtl/>
        </w:rPr>
        <w:t>,</w:t>
      </w:r>
      <w:r w:rsidRPr="00375D76">
        <w:rPr>
          <w:rFonts w:ascii="Century" w:hAnsi="Century" w:hint="cs"/>
          <w:sz w:val="22"/>
          <w:rtl/>
        </w:rPr>
        <w:t xml:space="preserve"> המשיך מר </w:t>
      </w:r>
      <w:proofErr w:type="spellStart"/>
      <w:r w:rsidRPr="00375D76">
        <w:rPr>
          <w:rFonts w:ascii="Century" w:hAnsi="Century" w:hint="cs"/>
          <w:sz w:val="22"/>
          <w:rtl/>
        </w:rPr>
        <w:t>בלטינסקי</w:t>
      </w:r>
      <w:proofErr w:type="spellEnd"/>
      <w:r w:rsidRPr="00375D76">
        <w:rPr>
          <w:rFonts w:ascii="Century" w:hAnsi="Century" w:hint="cs"/>
          <w:sz w:val="22"/>
          <w:rtl/>
        </w:rPr>
        <w:t xml:space="preserve"> לדווח בטופס 101 כי מקום מגוריו הוא נהריה, ובהתאם לכך זכה להטבת מס בהתאם לסעיף 11 לפקודה. במהלך תקופה זו ביקר מר </w:t>
      </w:r>
      <w:proofErr w:type="spellStart"/>
      <w:r w:rsidRPr="00375D76">
        <w:rPr>
          <w:rFonts w:ascii="Century" w:hAnsi="Century" w:hint="cs"/>
          <w:sz w:val="22"/>
          <w:rtl/>
        </w:rPr>
        <w:t>בלטינסקי</w:t>
      </w:r>
      <w:proofErr w:type="spellEnd"/>
      <w:r w:rsidRPr="00375D76">
        <w:rPr>
          <w:rFonts w:ascii="Century" w:hAnsi="Century" w:hint="cs"/>
          <w:sz w:val="22"/>
          <w:rtl/>
        </w:rPr>
        <w:t xml:space="preserve"> מספר פעמים בחודש בנהריה, אולם עבד, בילה, ערך קניות והלך לחדר כושר ב</w:t>
      </w:r>
      <w:r>
        <w:rPr>
          <w:rFonts w:ascii="Century" w:hAnsi="Century" w:hint="cs"/>
          <w:sz w:val="22"/>
          <w:rtl/>
        </w:rPr>
        <w:t>מקומות שונים ב</w:t>
      </w:r>
      <w:r w:rsidRPr="00375D76">
        <w:rPr>
          <w:rFonts w:ascii="Century" w:hAnsi="Century" w:hint="cs"/>
          <w:sz w:val="22"/>
          <w:rtl/>
        </w:rPr>
        <w:t xml:space="preserve">מרכז הארץ (ראו: עניין </w:t>
      </w:r>
      <w:proofErr w:type="spellStart"/>
      <w:r w:rsidRPr="00375D76">
        <w:rPr>
          <w:rFonts w:ascii="Century" w:hAnsi="Century" w:cs="Miriam" w:hint="cs"/>
          <w:b/>
          <w:spacing w:val="0"/>
          <w:sz w:val="22"/>
          <w:szCs w:val="24"/>
          <w:rtl/>
        </w:rPr>
        <w:t>בלטינסקי</w:t>
      </w:r>
      <w:proofErr w:type="spellEnd"/>
      <w:r w:rsidRPr="00375D76">
        <w:rPr>
          <w:rFonts w:ascii="Century" w:hAnsi="Century" w:hint="cs"/>
          <w:sz w:val="22"/>
          <w:rtl/>
        </w:rPr>
        <w:t>, פסקאות 3-2 ו-16). כשהדבר נודע לרשות המיסים</w:t>
      </w:r>
      <w:r>
        <w:rPr>
          <w:rFonts w:ascii="Century" w:hAnsi="Century" w:hint="cs"/>
          <w:sz w:val="22"/>
          <w:rtl/>
        </w:rPr>
        <w:t>,</w:t>
      </w:r>
      <w:r w:rsidRPr="00375D76">
        <w:rPr>
          <w:rFonts w:ascii="Century" w:hAnsi="Century" w:hint="cs"/>
          <w:sz w:val="22"/>
          <w:rtl/>
        </w:rPr>
        <w:t xml:space="preserve"> היא</w:t>
      </w:r>
      <w:r>
        <w:rPr>
          <w:rFonts w:ascii="Century" w:hAnsi="Century" w:hint="cs"/>
          <w:sz w:val="22"/>
          <w:rtl/>
        </w:rPr>
        <w:t xml:space="preserve"> דחתה את דיווחיו של מר </w:t>
      </w:r>
      <w:proofErr w:type="spellStart"/>
      <w:r>
        <w:rPr>
          <w:rFonts w:ascii="Century" w:hAnsi="Century" w:hint="cs"/>
          <w:sz w:val="22"/>
          <w:rtl/>
        </w:rPr>
        <w:t>בלטינסקי</w:t>
      </w:r>
      <w:proofErr w:type="spellEnd"/>
      <w:r w:rsidRPr="00375D76">
        <w:rPr>
          <w:rFonts w:ascii="Century" w:hAnsi="Century" w:hint="cs"/>
          <w:sz w:val="22"/>
          <w:rtl/>
        </w:rPr>
        <w:t xml:space="preserve"> וטענה כי מרכז חייו אינו </w:t>
      </w:r>
      <w:r>
        <w:rPr>
          <w:rFonts w:ascii="Century" w:hAnsi="Century" w:hint="cs"/>
          <w:sz w:val="22"/>
          <w:rtl/>
        </w:rPr>
        <w:t xml:space="preserve">נמצא עוד </w:t>
      </w:r>
      <w:r w:rsidRPr="00375D76">
        <w:rPr>
          <w:rFonts w:ascii="Century" w:hAnsi="Century" w:hint="cs"/>
          <w:sz w:val="22"/>
          <w:rtl/>
        </w:rPr>
        <w:t>בבית הוריו</w:t>
      </w:r>
      <w:r>
        <w:rPr>
          <w:rFonts w:ascii="Century" w:hAnsi="Century" w:hint="cs"/>
          <w:sz w:val="22"/>
          <w:rtl/>
        </w:rPr>
        <w:t xml:space="preserve"> שבנהריה</w:t>
      </w:r>
      <w:r w:rsidRPr="00375D76">
        <w:rPr>
          <w:rFonts w:ascii="Century" w:hAnsi="Century" w:hint="cs"/>
          <w:sz w:val="22"/>
          <w:rtl/>
        </w:rPr>
        <w:t xml:space="preserve">, כי אם במקום מגוריו. עמדה זו התקבלה על-ידי בית המשפט המחוזי </w:t>
      </w:r>
      <w:r>
        <w:rPr>
          <w:rFonts w:ascii="Century" w:hAnsi="Century" w:hint="cs"/>
          <w:sz w:val="22"/>
          <w:rtl/>
        </w:rPr>
        <w:t xml:space="preserve">אשר דן בערעורו של מר </w:t>
      </w:r>
      <w:proofErr w:type="spellStart"/>
      <w:r>
        <w:rPr>
          <w:rFonts w:ascii="Century" w:hAnsi="Century" w:hint="cs"/>
          <w:sz w:val="22"/>
          <w:rtl/>
        </w:rPr>
        <w:t>בלטינסקי</w:t>
      </w:r>
      <w:proofErr w:type="spellEnd"/>
      <w:r>
        <w:rPr>
          <w:rFonts w:ascii="Century" w:hAnsi="Century" w:hint="cs"/>
          <w:sz w:val="22"/>
          <w:rtl/>
        </w:rPr>
        <w:t xml:space="preserve"> ואושר</w:t>
      </w:r>
      <w:r w:rsidRPr="00375D76">
        <w:rPr>
          <w:rFonts w:ascii="Century" w:hAnsi="Century" w:hint="cs"/>
          <w:sz w:val="22"/>
          <w:rtl/>
        </w:rPr>
        <w:t>ה על-ידי בית משפט זה. עיון בעמדת</w:t>
      </w:r>
      <w:r>
        <w:rPr>
          <w:rFonts w:ascii="Century" w:hAnsi="Century" w:hint="cs"/>
          <w:sz w:val="22"/>
          <w:rtl/>
        </w:rPr>
        <w:t>ה של</w:t>
      </w:r>
      <w:r w:rsidRPr="00375D76">
        <w:rPr>
          <w:rFonts w:ascii="Century" w:hAnsi="Century" w:hint="cs"/>
          <w:sz w:val="22"/>
          <w:rtl/>
        </w:rPr>
        <w:t xml:space="preserve"> רשות המיסים בעניין </w:t>
      </w:r>
      <w:proofErr w:type="spellStart"/>
      <w:r w:rsidRPr="00375D76">
        <w:rPr>
          <w:rFonts w:ascii="Century" w:hAnsi="Century" w:cs="Miriam" w:hint="cs"/>
          <w:b/>
          <w:spacing w:val="0"/>
          <w:sz w:val="22"/>
          <w:szCs w:val="24"/>
          <w:rtl/>
        </w:rPr>
        <w:t>בלטינסקי</w:t>
      </w:r>
      <w:proofErr w:type="spellEnd"/>
      <w:r w:rsidRPr="00375D76">
        <w:rPr>
          <w:rFonts w:ascii="Century" w:hAnsi="Century" w:hint="cs"/>
          <w:sz w:val="22"/>
          <w:rtl/>
        </w:rPr>
        <w:t xml:space="preserve">, </w:t>
      </w:r>
      <w:r>
        <w:rPr>
          <w:rFonts w:ascii="Century" w:hAnsi="Century" w:hint="cs"/>
          <w:sz w:val="22"/>
          <w:rtl/>
        </w:rPr>
        <w:t>כאשר זו עומדת</w:t>
      </w:r>
      <w:r w:rsidRPr="00375D76">
        <w:rPr>
          <w:rFonts w:ascii="Century" w:hAnsi="Century" w:hint="cs"/>
          <w:sz w:val="22"/>
          <w:rtl/>
        </w:rPr>
        <w:t xml:space="preserve"> מול עמדת רשות המיסים בעניינו של </w:t>
      </w:r>
      <w:proofErr w:type="spellStart"/>
      <w:r w:rsidRPr="00375D76">
        <w:rPr>
          <w:rFonts w:ascii="Century" w:hAnsi="Century" w:hint="cs"/>
          <w:sz w:val="22"/>
          <w:rtl/>
        </w:rPr>
        <w:t>עאבד</w:t>
      </w:r>
      <w:proofErr w:type="spellEnd"/>
      <w:r w:rsidRPr="00375D76">
        <w:rPr>
          <w:rFonts w:ascii="Century" w:hAnsi="Century" w:hint="cs"/>
          <w:sz w:val="22"/>
          <w:rtl/>
        </w:rPr>
        <w:t xml:space="preserve">, מעורר תהייה </w:t>
      </w:r>
      <w:r>
        <w:rPr>
          <w:rFonts w:ascii="Century" w:hAnsi="Century" w:hint="cs"/>
          <w:sz w:val="22"/>
          <w:rtl/>
        </w:rPr>
        <w:t>באשר ל</w:t>
      </w:r>
      <w:r w:rsidRPr="00375D76">
        <w:rPr>
          <w:rFonts w:ascii="Century" w:hAnsi="Century" w:hint="cs"/>
          <w:sz w:val="22"/>
          <w:rtl/>
        </w:rPr>
        <w:t xml:space="preserve">קו המנחה אשר הוביל את רשות המיסים לקביעת שתי שומות </w:t>
      </w:r>
      <w:r>
        <w:rPr>
          <w:rFonts w:ascii="Century" w:hAnsi="Century" w:hint="cs"/>
          <w:sz w:val="22"/>
          <w:rtl/>
        </w:rPr>
        <w:t xml:space="preserve">מס הפוכות בתכלית: שומה אחת, לפיה </w:t>
      </w:r>
      <w:r w:rsidRPr="00375D76">
        <w:rPr>
          <w:rFonts w:ascii="Century" w:hAnsi="Century" w:hint="cs"/>
          <w:sz w:val="22"/>
          <w:rtl/>
        </w:rPr>
        <w:t>מרכז החיים הולך אחר הורי הנישום</w:t>
      </w:r>
      <w:r>
        <w:rPr>
          <w:rFonts w:ascii="Century" w:hAnsi="Century" w:hint="cs"/>
          <w:sz w:val="22"/>
          <w:rtl/>
        </w:rPr>
        <w:t>;</w:t>
      </w:r>
      <w:r w:rsidRPr="00375D76">
        <w:rPr>
          <w:rFonts w:ascii="Century" w:hAnsi="Century" w:hint="cs"/>
          <w:sz w:val="22"/>
          <w:rtl/>
        </w:rPr>
        <w:t xml:space="preserve"> ו</w:t>
      </w:r>
      <w:r>
        <w:rPr>
          <w:rFonts w:ascii="Century" w:hAnsi="Century" w:hint="cs"/>
          <w:sz w:val="22"/>
          <w:rtl/>
        </w:rPr>
        <w:t xml:space="preserve">שומה אחרת, לפיה </w:t>
      </w:r>
      <w:r w:rsidRPr="00375D76">
        <w:rPr>
          <w:rFonts w:ascii="Century" w:hAnsi="Century" w:hint="cs"/>
          <w:sz w:val="22"/>
          <w:rtl/>
        </w:rPr>
        <w:t>מרכז החיים הולך אחר מקום עבודתו של הנישום</w:t>
      </w:r>
      <w:r>
        <w:rPr>
          <w:rFonts w:ascii="Century" w:hAnsi="Century" w:hint="cs"/>
          <w:sz w:val="22"/>
          <w:rtl/>
        </w:rPr>
        <w:t xml:space="preserve"> הרחק מבית הוריו.</w:t>
      </w:r>
    </w:p>
    <w:p w:rsidR="00245254" w:rsidRDefault="00245254" w:rsidP="00245254">
      <w:pPr>
        <w:pStyle w:val="Ruller4"/>
        <w:spacing w:before="240" w:after="100" w:afterAutospacing="1"/>
      </w:pPr>
      <w:r>
        <w:rPr>
          <w:rtl/>
        </w:rPr>
        <w:t xml:space="preserve">הנני קובע אפוא כי מרכז חייו של </w:t>
      </w:r>
      <w:proofErr w:type="spellStart"/>
      <w:r>
        <w:rPr>
          <w:rtl/>
        </w:rPr>
        <w:t>עאבד</w:t>
      </w:r>
      <w:proofErr w:type="spellEnd"/>
      <w:r>
        <w:rPr>
          <w:rtl/>
        </w:rPr>
        <w:t xml:space="preserve"> בהיותו שחקנה של עירוני קריית שמונה בשנות המס </w:t>
      </w:r>
      <w:r>
        <w:rPr>
          <w:rFonts w:hint="cs"/>
          <w:rtl/>
        </w:rPr>
        <w:t>2013-2011</w:t>
      </w:r>
      <w:r>
        <w:rPr>
          <w:rtl/>
        </w:rPr>
        <w:t xml:space="preserve"> היה בקריית שמונה, ולא במקום אחר. כפועל יוצא מקביעה זו, ובכפוף להצגת טופסי 101, </w:t>
      </w:r>
      <w:proofErr w:type="spellStart"/>
      <w:r>
        <w:rPr>
          <w:rtl/>
        </w:rPr>
        <w:t>עאבד</w:t>
      </w:r>
      <w:proofErr w:type="spellEnd"/>
      <w:r>
        <w:rPr>
          <w:rtl/>
        </w:rPr>
        <w:t xml:space="preserve"> זכאי לקבל הטבת יישוב מוטב בגין שנות המס </w:t>
      </w:r>
      <w:r>
        <w:rPr>
          <w:rFonts w:hint="cs"/>
          <w:rtl/>
        </w:rPr>
        <w:t>2013-2011</w:t>
      </w:r>
      <w:r>
        <w:rPr>
          <w:rtl/>
        </w:rPr>
        <w:t xml:space="preserve">. </w:t>
      </w:r>
    </w:p>
    <w:p w:rsidR="00245254" w:rsidRDefault="00245254" w:rsidP="00245254">
      <w:pPr>
        <w:pStyle w:val="Ruller41"/>
        <w:spacing w:before="240" w:after="100" w:afterAutospacing="1"/>
        <w:rPr>
          <w:rFonts w:ascii="Century" w:hAnsi="Century" w:cs="Miriam"/>
          <w:b/>
          <w:spacing w:val="0"/>
          <w:szCs w:val="24"/>
          <w:rtl/>
        </w:rPr>
      </w:pPr>
      <w:r>
        <w:rPr>
          <w:rFonts w:ascii="Century" w:hAnsi="Century" w:cs="Miriam"/>
          <w:b/>
          <w:spacing w:val="0"/>
          <w:szCs w:val="24"/>
          <w:rtl/>
        </w:rPr>
        <w:t xml:space="preserve">סלאח </w:t>
      </w:r>
      <w:proofErr w:type="spellStart"/>
      <w:r>
        <w:rPr>
          <w:rFonts w:ascii="Century" w:hAnsi="Century" w:cs="Miriam"/>
          <w:b/>
          <w:spacing w:val="0"/>
          <w:szCs w:val="24"/>
          <w:rtl/>
        </w:rPr>
        <w:t>חסארמה</w:t>
      </w:r>
      <w:proofErr w:type="spellEnd"/>
    </w:p>
    <w:p w:rsidR="00245254" w:rsidRDefault="00245254" w:rsidP="00245254">
      <w:pPr>
        <w:pStyle w:val="Ruller4"/>
        <w:spacing w:before="240" w:after="100" w:afterAutospacing="1"/>
      </w:pPr>
      <w:r>
        <w:rPr>
          <w:rtl/>
        </w:rPr>
        <w:t xml:space="preserve">עניינו של </w:t>
      </w:r>
      <w:proofErr w:type="spellStart"/>
      <w:r>
        <w:rPr>
          <w:rtl/>
        </w:rPr>
        <w:t>חסארמה</w:t>
      </w:r>
      <w:proofErr w:type="spellEnd"/>
      <w:r>
        <w:rPr>
          <w:rtl/>
        </w:rPr>
        <w:t xml:space="preserve"> אינו שונה מזה של </w:t>
      </w:r>
      <w:proofErr w:type="spellStart"/>
      <w:r>
        <w:rPr>
          <w:rtl/>
        </w:rPr>
        <w:t>עאבד</w:t>
      </w:r>
      <w:proofErr w:type="spellEnd"/>
      <w:r>
        <w:rPr>
          <w:rtl/>
        </w:rPr>
        <w:t xml:space="preserve"> ושל שאר שחקני עירוני קריית שמונה אשר התגוררו בדירות בקריית שמונה בתקופות הא</w:t>
      </w:r>
      <w:r>
        <w:rPr>
          <w:rFonts w:hint="cs"/>
          <w:rtl/>
        </w:rPr>
        <w:t>י</w:t>
      </w:r>
      <w:r>
        <w:rPr>
          <w:rtl/>
        </w:rPr>
        <w:t xml:space="preserve">מונים והמשחקים. מטעמים אלה, סבורני כי עלינו לקבוע כי מרכז חייו של </w:t>
      </w:r>
      <w:proofErr w:type="spellStart"/>
      <w:r>
        <w:rPr>
          <w:rtl/>
        </w:rPr>
        <w:t>חסארמה</w:t>
      </w:r>
      <w:proofErr w:type="spellEnd"/>
      <w:r>
        <w:rPr>
          <w:rtl/>
        </w:rPr>
        <w:t xml:space="preserve"> בהיותו שחקנה של עירוני קריית שמונה בשנות המס </w:t>
      </w:r>
      <w:r>
        <w:rPr>
          <w:rFonts w:hint="cs"/>
          <w:rtl/>
        </w:rPr>
        <w:t>2012-2011</w:t>
      </w:r>
      <w:r>
        <w:rPr>
          <w:rtl/>
        </w:rPr>
        <w:t xml:space="preserve"> היה בקריית שמונה, ולא במקום אחר.</w:t>
      </w:r>
    </w:p>
    <w:p w:rsidR="00245254" w:rsidRDefault="00245254" w:rsidP="00245254">
      <w:pPr>
        <w:pStyle w:val="Ruller4"/>
        <w:spacing w:before="240" w:after="100" w:afterAutospacing="1"/>
      </w:pPr>
      <w:r>
        <w:rPr>
          <w:rtl/>
        </w:rPr>
        <w:t>בית משפט קמא קיבל את עמדתה של רשות המסים לפיה</w:t>
      </w:r>
      <w:r>
        <w:rPr>
          <w:rFonts w:hint="cs"/>
          <w:rtl/>
        </w:rPr>
        <w:t xml:space="preserve"> מרכז חייו של</w:t>
      </w:r>
      <w:r>
        <w:rPr>
          <w:rtl/>
        </w:rPr>
        <w:t xml:space="preserve"> </w:t>
      </w:r>
      <w:proofErr w:type="spellStart"/>
      <w:r>
        <w:rPr>
          <w:rtl/>
        </w:rPr>
        <w:t>חסארמה</w:t>
      </w:r>
      <w:proofErr w:type="spellEnd"/>
      <w:r>
        <w:rPr>
          <w:rtl/>
        </w:rPr>
        <w:t xml:space="preserve"> בשנות המס הרלבנטיות</w:t>
      </w:r>
      <w:r>
        <w:rPr>
          <w:rFonts w:hint="cs"/>
          <w:rtl/>
        </w:rPr>
        <w:t xml:space="preserve"> היה בכפר </w:t>
      </w:r>
      <w:proofErr w:type="spellStart"/>
      <w:r>
        <w:rPr>
          <w:rFonts w:hint="cs"/>
          <w:rtl/>
        </w:rPr>
        <w:t>בענה</w:t>
      </w:r>
      <w:proofErr w:type="spellEnd"/>
      <w:r>
        <w:rPr>
          <w:rFonts w:hint="cs"/>
          <w:rtl/>
        </w:rPr>
        <w:t xml:space="preserve">, שם התגוררה משפחתו ושם שהה </w:t>
      </w:r>
      <w:proofErr w:type="spellStart"/>
      <w:r>
        <w:rPr>
          <w:rFonts w:hint="cs"/>
          <w:rtl/>
        </w:rPr>
        <w:t>חסארמה</w:t>
      </w:r>
      <w:proofErr w:type="spellEnd"/>
      <w:r>
        <w:rPr>
          <w:rFonts w:hint="cs"/>
          <w:rtl/>
        </w:rPr>
        <w:t xml:space="preserve"> כל אימת שלוח הזמנים העמוס של כדורגלן מקצועני אִפשר לו לעשות כן</w:t>
      </w:r>
      <w:r>
        <w:rPr>
          <w:rtl/>
        </w:rPr>
        <w:t>. לטעמי, קביעה זו אינה יכולה לעמוד</w:t>
      </w:r>
      <w:r>
        <w:rPr>
          <w:rFonts w:hint="cs"/>
          <w:rtl/>
        </w:rPr>
        <w:t>.</w:t>
      </w:r>
      <w:r>
        <w:rPr>
          <w:rtl/>
        </w:rPr>
        <w:t xml:space="preserve"> </w:t>
      </w:r>
      <w:r>
        <w:rPr>
          <w:rFonts w:hint="cs"/>
          <w:rtl/>
        </w:rPr>
        <w:t>כאמור, מ</w:t>
      </w:r>
      <w:r>
        <w:rPr>
          <w:rtl/>
        </w:rPr>
        <w:t xml:space="preserve">חומר הראיות עולה כי </w:t>
      </w:r>
      <w:proofErr w:type="spellStart"/>
      <w:r>
        <w:rPr>
          <w:rtl/>
        </w:rPr>
        <w:t>שרצקי</w:t>
      </w:r>
      <w:proofErr w:type="spellEnd"/>
      <w:r>
        <w:rPr>
          <w:rtl/>
        </w:rPr>
        <w:t>, בעליה של עירוני קריית שמונה, הבהיר לשחקני הקבוצה, באמצעות עוזרו</w:t>
      </w:r>
      <w:r>
        <w:rPr>
          <w:rFonts w:hint="cs"/>
          <w:rtl/>
        </w:rPr>
        <w:t xml:space="preserve">, מנכ"ל הקבוצה, </w:t>
      </w:r>
      <w:r>
        <w:rPr>
          <w:rtl/>
        </w:rPr>
        <w:t>מר</w:t>
      </w:r>
      <w:r>
        <w:rPr>
          <w:rFonts w:hint="cs"/>
          <w:rtl/>
        </w:rPr>
        <w:t xml:space="preserve"> י'</w:t>
      </w:r>
      <w:r>
        <w:rPr>
          <w:rtl/>
        </w:rPr>
        <w:t xml:space="preserve"> אדרי, כי נסיעתו של שחקן לא</w:t>
      </w:r>
      <w:r>
        <w:rPr>
          <w:rFonts w:hint="cs"/>
          <w:rtl/>
        </w:rPr>
        <w:t>י</w:t>
      </w:r>
      <w:r>
        <w:rPr>
          <w:rtl/>
        </w:rPr>
        <w:t xml:space="preserve">מון הקבוצה, אשר מתקיים בקריית שמונה, אינה מקובלת עליו אלא אם מדובר בנסיעה קצרה מאד. כפי שכבר </w:t>
      </w:r>
      <w:proofErr w:type="spellStart"/>
      <w:r>
        <w:rPr>
          <w:rFonts w:hint="cs"/>
          <w:rtl/>
        </w:rPr>
        <w:t>צויין</w:t>
      </w:r>
      <w:proofErr w:type="spellEnd"/>
      <w:r>
        <w:rPr>
          <w:rtl/>
        </w:rPr>
        <w:t xml:space="preserve"> על ידי, </w:t>
      </w:r>
      <w:proofErr w:type="spellStart"/>
      <w:r>
        <w:rPr>
          <w:rtl/>
        </w:rPr>
        <w:t>שרצקי</w:t>
      </w:r>
      <w:proofErr w:type="spellEnd"/>
      <w:r>
        <w:rPr>
          <w:rtl/>
        </w:rPr>
        <w:t xml:space="preserve"> דרש כי שחקני הקבוצה – ובכללם </w:t>
      </w:r>
      <w:proofErr w:type="spellStart"/>
      <w:r>
        <w:rPr>
          <w:rtl/>
        </w:rPr>
        <w:t>חסארמה</w:t>
      </w:r>
      <w:proofErr w:type="spellEnd"/>
      <w:r>
        <w:rPr>
          <w:rtl/>
        </w:rPr>
        <w:t>, למרות היותו נשוי ואב לילדים – יתגוררו בקריית שמונה בתקופות הא</w:t>
      </w:r>
      <w:r>
        <w:rPr>
          <w:rFonts w:hint="cs"/>
          <w:rtl/>
        </w:rPr>
        <w:t>י</w:t>
      </w:r>
      <w:r>
        <w:rPr>
          <w:rtl/>
        </w:rPr>
        <w:t xml:space="preserve">מונים והמשחקים; ודרישה זו קוימה על ידי </w:t>
      </w:r>
      <w:proofErr w:type="spellStart"/>
      <w:r>
        <w:rPr>
          <w:rtl/>
        </w:rPr>
        <w:t>חסארמה</w:t>
      </w:r>
      <w:proofErr w:type="spellEnd"/>
      <w:r>
        <w:rPr>
          <w:rtl/>
        </w:rPr>
        <w:t>, שלא הוציא את עצמו מן הכלל.</w:t>
      </w:r>
      <w:r>
        <w:rPr>
          <w:rFonts w:hint="cs"/>
          <w:rtl/>
        </w:rPr>
        <w:t xml:space="preserve"> </w:t>
      </w:r>
    </w:p>
    <w:p w:rsidR="00245254" w:rsidRDefault="00245254" w:rsidP="00245254">
      <w:pPr>
        <w:pStyle w:val="Ruller4"/>
        <w:spacing w:before="240" w:after="100" w:afterAutospacing="1"/>
        <w:rPr>
          <w:rtl/>
        </w:rPr>
      </w:pPr>
      <w:r>
        <w:rPr>
          <w:rFonts w:hint="cs"/>
          <w:rtl/>
        </w:rPr>
        <w:lastRenderedPageBreak/>
        <w:t xml:space="preserve">מטעמים אלו, גם אם הייתי נכון לקבל את עמדתה של רשות המיסים לפיה </w:t>
      </w:r>
      <w:proofErr w:type="spellStart"/>
      <w:r>
        <w:rPr>
          <w:rFonts w:hint="cs"/>
          <w:rtl/>
        </w:rPr>
        <w:t>חסארמה</w:t>
      </w:r>
      <w:proofErr w:type="spellEnd"/>
      <w:r>
        <w:rPr>
          <w:rFonts w:hint="cs"/>
          <w:rtl/>
        </w:rPr>
        <w:t xml:space="preserve"> נסע, כל אימת שיכול היה, לכפר </w:t>
      </w:r>
      <w:proofErr w:type="spellStart"/>
      <w:r>
        <w:rPr>
          <w:rFonts w:hint="cs"/>
          <w:rtl/>
        </w:rPr>
        <w:t>בענה</w:t>
      </w:r>
      <w:proofErr w:type="spellEnd"/>
      <w:r>
        <w:rPr>
          <w:rFonts w:hint="cs"/>
          <w:rtl/>
        </w:rPr>
        <w:t xml:space="preserve"> על-מנת לשהות בחיק משפחתו, לא היה בכך כדי לשנות את המסקנה אליה הגעתי. כאמור, על-מנת לקבוע כי מרכז חייו של שחקן מקצועני נמצא בעיר בה שוכנת קבוצתו, די בכך שיוכח כי השחקן שהה כל תקופת האימונים והמשחקים בעיר בה שוכנת הקבוצה. העובדה שהשחקן ביקר ביישוב אחר כאשר לוח הזמנים אִפשר לו זאת, ואפילו עשה זאת לעתים תכופות </w:t>
      </w:r>
      <w:r>
        <w:rPr>
          <w:rtl/>
        </w:rPr>
        <w:t>–</w:t>
      </w:r>
      <w:r>
        <w:rPr>
          <w:rFonts w:hint="cs"/>
          <w:rtl/>
        </w:rPr>
        <w:t xml:space="preserve"> כאשר הוא נמנע מנסיעות אשר פוגעות בשגרת האימונים והמשחקים של קבוצתו </w:t>
      </w:r>
      <w:r>
        <w:rPr>
          <w:rtl/>
        </w:rPr>
        <w:t>–</w:t>
      </w:r>
      <w:r>
        <w:rPr>
          <w:rFonts w:hint="cs"/>
          <w:rtl/>
        </w:rPr>
        <w:t xml:space="preserve"> אין בה כדי לסתור את החזקה האמורה. מקום מגורי משפחתו של אדם אכן מהווה זיקה אותה יש לשקול בעת קביעת מרכז חייו, אולם זיקה זו אינה מכרעת, והיא נבחנת אל מול זיקות אחרות למרכז חייו. בענייננו-שלנו, כאשר מול זיקת מגורי משפחתו של </w:t>
      </w:r>
      <w:proofErr w:type="spellStart"/>
      <w:r>
        <w:rPr>
          <w:rFonts w:hint="cs"/>
          <w:rtl/>
        </w:rPr>
        <w:t>חסארמה</w:t>
      </w:r>
      <w:proofErr w:type="spellEnd"/>
      <w:r>
        <w:rPr>
          <w:rFonts w:hint="cs"/>
          <w:rtl/>
        </w:rPr>
        <w:t xml:space="preserve"> עומדות זיקות משמעותיות ביותר שלו לקריית שמונה </w:t>
      </w:r>
      <w:r>
        <w:rPr>
          <w:rtl/>
        </w:rPr>
        <w:t>–</w:t>
      </w:r>
      <w:r>
        <w:rPr>
          <w:rFonts w:hint="cs"/>
          <w:rtl/>
        </w:rPr>
        <w:t xml:space="preserve"> שכאמור כוללות את זיקת התרומה לעיר זאת וזיקתו של </w:t>
      </w:r>
      <w:proofErr w:type="spellStart"/>
      <w:r>
        <w:rPr>
          <w:rFonts w:hint="cs"/>
          <w:rtl/>
        </w:rPr>
        <w:t>חסארמה</w:t>
      </w:r>
      <w:proofErr w:type="spellEnd"/>
      <w:r>
        <w:rPr>
          <w:rFonts w:hint="cs"/>
          <w:rtl/>
        </w:rPr>
        <w:t xml:space="preserve">, ככדורגלן מקצועני, לעיר קבוצתו </w:t>
      </w:r>
      <w:r>
        <w:rPr>
          <w:rtl/>
        </w:rPr>
        <w:t>–</w:t>
      </w:r>
      <w:r>
        <w:rPr>
          <w:rFonts w:hint="cs"/>
          <w:rtl/>
        </w:rPr>
        <w:t xml:space="preserve"> זיקת מגורי המשפחה אינה יכולה להכריע את הכף לטובת כפר </w:t>
      </w:r>
      <w:proofErr w:type="spellStart"/>
      <w:r>
        <w:rPr>
          <w:rFonts w:hint="cs"/>
          <w:rtl/>
        </w:rPr>
        <w:t>בענה</w:t>
      </w:r>
      <w:proofErr w:type="spellEnd"/>
      <w:r>
        <w:rPr>
          <w:rFonts w:hint="cs"/>
          <w:rtl/>
        </w:rPr>
        <w:t>.</w:t>
      </w:r>
    </w:p>
    <w:p w:rsidR="00245254" w:rsidRDefault="00245254" w:rsidP="00245254">
      <w:pPr>
        <w:pStyle w:val="Ruller4"/>
        <w:spacing w:before="240" w:after="100" w:afterAutospacing="1"/>
        <w:rPr>
          <w:rtl/>
        </w:rPr>
      </w:pPr>
      <w:r>
        <w:rPr>
          <w:rFonts w:hint="cs"/>
          <w:rtl/>
        </w:rPr>
        <w:t xml:space="preserve">למקובץ עד כה מתווספת סיבה נוספת להכרה בקריית שמונה כמרכז חייו של </w:t>
      </w:r>
      <w:proofErr w:type="spellStart"/>
      <w:r>
        <w:rPr>
          <w:rFonts w:hint="cs"/>
          <w:rtl/>
        </w:rPr>
        <w:t>חסארמה</w:t>
      </w:r>
      <w:proofErr w:type="spellEnd"/>
      <w:r>
        <w:rPr>
          <w:rFonts w:hint="cs"/>
          <w:rtl/>
        </w:rPr>
        <w:t xml:space="preserve"> בשנות המס הרלבנטיות. </w:t>
      </w:r>
      <w:r w:rsidRPr="000427C5">
        <w:rPr>
          <w:rFonts w:ascii="Century" w:hAnsi="Century" w:cs="Miriam"/>
          <w:b/>
          <w:spacing w:val="0"/>
          <w:sz w:val="22"/>
          <w:szCs w:val="24"/>
          <w:rtl/>
        </w:rPr>
        <w:t xml:space="preserve">קבלת עמדתה של רשות המסים ביחס לשחקנים כדוגמת </w:t>
      </w:r>
      <w:proofErr w:type="spellStart"/>
      <w:r w:rsidRPr="000427C5">
        <w:rPr>
          <w:rFonts w:ascii="Century" w:hAnsi="Century" w:cs="Miriam"/>
          <w:b/>
          <w:spacing w:val="0"/>
          <w:sz w:val="22"/>
          <w:szCs w:val="24"/>
          <w:rtl/>
        </w:rPr>
        <w:t>חסארמה</w:t>
      </w:r>
      <w:proofErr w:type="spellEnd"/>
      <w:r w:rsidRPr="000427C5">
        <w:rPr>
          <w:rFonts w:ascii="Century" w:hAnsi="Century" w:cs="Miriam"/>
          <w:b/>
          <w:spacing w:val="0"/>
          <w:sz w:val="22"/>
          <w:szCs w:val="24"/>
          <w:rtl/>
        </w:rPr>
        <w:t xml:space="preserve"> תיצור הפליה פסולה של שחקן כדורגל נשוי ואב לילדים אשר משתייך לחברה הערבית.</w:t>
      </w:r>
      <w:r>
        <w:rPr>
          <w:rtl/>
        </w:rPr>
        <w:t xml:space="preserve"> שחקן כזה לא יוכל, ברגיל, לתלוש את בת זוגו ואת ילדיהם, המתגוררים ביישוב ערבי בסביבת משפחתם, ממערך החיים המסורתי; ו</w:t>
      </w:r>
      <w:r>
        <w:rPr>
          <w:rFonts w:hint="cs"/>
          <w:rtl/>
        </w:rPr>
        <w:t>ייתכן ש</w:t>
      </w:r>
      <w:r>
        <w:rPr>
          <w:rtl/>
        </w:rPr>
        <w:t>לא ירצה להעביר את ילדיו לאחד מבתי הספר בקריית שמונה</w:t>
      </w:r>
      <w:r>
        <w:rPr>
          <w:rFonts w:hint="cs"/>
          <w:rtl/>
        </w:rPr>
        <w:t>, על כל המשמעויות התרבותיות והחברתיות הכרוכות בכך</w:t>
      </w:r>
      <w:r>
        <w:rPr>
          <w:rtl/>
        </w:rPr>
        <w:t>. לא זו אף זו: הדרך שבה שחקן כדורגל בוחר לשלב את הקריירה המקצועית שלו עם חיי משפחה, עם הורות ועם זוגיות, אינה מעניינו של פקיד השומה. בהחלט ייתכן ששחקן כדורגל מהמגזר הערבי –</w:t>
      </w:r>
      <w:r>
        <w:rPr>
          <w:rFonts w:hint="cs"/>
          <w:rtl/>
        </w:rPr>
        <w:t xml:space="preserve"> ומכל מגזר אחר </w:t>
      </w:r>
      <w:r>
        <w:rPr>
          <w:rtl/>
        </w:rPr>
        <w:t>–</w:t>
      </w:r>
      <w:r>
        <w:rPr>
          <w:rFonts w:hint="cs"/>
          <w:rtl/>
        </w:rPr>
        <w:t xml:space="preserve"> </w:t>
      </w:r>
      <w:r>
        <w:rPr>
          <w:rtl/>
        </w:rPr>
        <w:t xml:space="preserve">יעתיק </w:t>
      </w:r>
      <w:r w:rsidRPr="00901CA1">
        <w:rPr>
          <w:rFonts w:ascii="Century" w:hAnsi="Century" w:cs="Miriam"/>
          <w:b/>
          <w:spacing w:val="0"/>
          <w:sz w:val="22"/>
          <w:szCs w:val="24"/>
          <w:rtl/>
        </w:rPr>
        <w:t>בגפו</w:t>
      </w:r>
      <w:r>
        <w:rPr>
          <w:rtl/>
        </w:rPr>
        <w:t xml:space="preserve"> את מרכז חייו לקריית שמונה בתקופות הא</w:t>
      </w:r>
      <w:r>
        <w:rPr>
          <w:rFonts w:hint="cs"/>
          <w:rtl/>
        </w:rPr>
        <w:t>י</w:t>
      </w:r>
      <w:r>
        <w:rPr>
          <w:rtl/>
        </w:rPr>
        <w:t xml:space="preserve">מונים והמשחקים של קבוצת עירוני קריית שמונה, למרות היותו נשוי ובעל משפחה. שחקן כאמור, הוא זה </w:t>
      </w:r>
      <w:r>
        <w:rPr>
          <w:rFonts w:hint="cs"/>
          <w:rtl/>
        </w:rPr>
        <w:t>א</w:t>
      </w:r>
      <w:r>
        <w:rPr>
          <w:rtl/>
        </w:rPr>
        <w:t>ש</w:t>
      </w:r>
      <w:r>
        <w:rPr>
          <w:rFonts w:hint="cs"/>
          <w:rtl/>
        </w:rPr>
        <w:t xml:space="preserve">ר </w:t>
      </w:r>
      <w:r>
        <w:rPr>
          <w:rtl/>
        </w:rPr>
        <w:t>מחליט כיצד לנהל את חייו האישיים והמשפחתיים בחלון הזמן שבו כישרון הכדורגל שלו נמצא בשיאו. הוא – ולא אנחנו, וגם לא פקיד השומה.</w:t>
      </w:r>
    </w:p>
    <w:p w:rsidR="00245254" w:rsidRDefault="00245254" w:rsidP="00245254">
      <w:pPr>
        <w:pStyle w:val="Ruller4"/>
        <w:spacing w:before="240" w:after="100" w:afterAutospacing="1"/>
        <w:rPr>
          <w:rtl/>
        </w:rPr>
      </w:pPr>
      <w:r>
        <w:rPr>
          <w:rtl/>
        </w:rPr>
        <w:t xml:space="preserve">בנקודה זו, לא נותר לי אלא לקבוע כי מרכז חייו של </w:t>
      </w:r>
      <w:proofErr w:type="spellStart"/>
      <w:r>
        <w:rPr>
          <w:rtl/>
        </w:rPr>
        <w:t>חסארמה</w:t>
      </w:r>
      <w:proofErr w:type="spellEnd"/>
      <w:r>
        <w:rPr>
          <w:rtl/>
        </w:rPr>
        <w:t xml:space="preserve"> בהיותו שחקנה של עירוני קריית שמונה בשנות המס </w:t>
      </w:r>
      <w:r>
        <w:rPr>
          <w:rFonts w:hint="cs"/>
          <w:rtl/>
        </w:rPr>
        <w:t>2012-2011</w:t>
      </w:r>
      <w:r>
        <w:rPr>
          <w:rtl/>
        </w:rPr>
        <w:t xml:space="preserve"> היה בקריית שמונה, ולא במקום אחר. כפועל יוצא מקביעה זו, ובכפוף להצגת טופסי 101, </w:t>
      </w:r>
      <w:proofErr w:type="spellStart"/>
      <w:r>
        <w:rPr>
          <w:rtl/>
        </w:rPr>
        <w:t>חסארמה</w:t>
      </w:r>
      <w:proofErr w:type="spellEnd"/>
      <w:r>
        <w:rPr>
          <w:rtl/>
        </w:rPr>
        <w:t xml:space="preserve"> זכאי לקבל הטבת יישוב מוטב בגין שנות המס </w:t>
      </w:r>
      <w:r>
        <w:rPr>
          <w:rFonts w:hint="cs"/>
          <w:rtl/>
        </w:rPr>
        <w:t>2012-2011</w:t>
      </w:r>
      <w:r>
        <w:rPr>
          <w:rtl/>
        </w:rPr>
        <w:t>.</w:t>
      </w:r>
    </w:p>
    <w:p w:rsidR="00245254" w:rsidRDefault="00245254" w:rsidP="00245254">
      <w:pPr>
        <w:pStyle w:val="Ruller41"/>
        <w:spacing w:before="240" w:after="100" w:afterAutospacing="1"/>
        <w:rPr>
          <w:rFonts w:ascii="Century" w:hAnsi="Century" w:cs="Miriam"/>
          <w:b/>
          <w:spacing w:val="0"/>
          <w:szCs w:val="24"/>
          <w:rtl/>
        </w:rPr>
      </w:pPr>
    </w:p>
    <w:p w:rsidR="00245254" w:rsidRDefault="00245254" w:rsidP="00245254">
      <w:pPr>
        <w:pStyle w:val="Ruller41"/>
        <w:spacing w:before="240" w:after="100" w:afterAutospacing="1"/>
        <w:rPr>
          <w:rFonts w:ascii="Century" w:hAnsi="Century" w:cs="Miriam"/>
          <w:b/>
          <w:spacing w:val="0"/>
          <w:szCs w:val="24"/>
          <w:rtl/>
        </w:rPr>
      </w:pPr>
      <w:r>
        <w:rPr>
          <w:rFonts w:ascii="Century" w:hAnsi="Century" w:cs="Miriam" w:hint="cs"/>
          <w:b/>
          <w:spacing w:val="0"/>
          <w:szCs w:val="24"/>
          <w:rtl/>
        </w:rPr>
        <w:lastRenderedPageBreak/>
        <w:t>חיוב מס בגין הטבות לעובדים</w:t>
      </w:r>
    </w:p>
    <w:p w:rsidR="00245254" w:rsidRDefault="00245254" w:rsidP="00245254">
      <w:pPr>
        <w:pStyle w:val="Ruller4"/>
        <w:spacing w:before="240" w:after="100" w:afterAutospacing="1"/>
      </w:pPr>
      <w:r>
        <w:rPr>
          <w:rFonts w:hint="cs"/>
          <w:rtl/>
        </w:rPr>
        <w:t>כאמור, ערעורה של הקבוצה כולל גם ערעור על הטבות שונות שסיפקה הקבוצה לעובדיה, ואשר רשות המיסים קבעה כי יש לראות בהן כהטבות אשר חייבות במס הכנסה בהתאם לפקודה. אעמוד תחילה על העקרונות הכלליים לסיווגה של הטבה כהכנסת עבודה שחייבת במס, ולאחר מכן אבחן את ההטבות אליהן התייחסה הקבוצה בערעורה.</w:t>
      </w:r>
    </w:p>
    <w:p w:rsidR="00245254" w:rsidRDefault="00245254" w:rsidP="00245254">
      <w:pPr>
        <w:pStyle w:val="Ruller4"/>
        <w:spacing w:before="240" w:after="100" w:afterAutospacing="1"/>
      </w:pPr>
      <w:r>
        <w:rPr>
          <w:rFonts w:hint="cs"/>
          <w:rtl/>
        </w:rPr>
        <w:t>סעיף 2(2)(א) לפקודת מס הכנסה קובע כי תחוב במס הכנסתו של אדם מכל אלה:</w:t>
      </w:r>
    </w:p>
    <w:p w:rsidR="00245254" w:rsidRDefault="00245254" w:rsidP="00245254">
      <w:pPr>
        <w:pStyle w:val="Ruller5"/>
      </w:pPr>
      <w:r>
        <w:rPr>
          <w:rFonts w:hint="cs"/>
          <w:rtl/>
        </w:rPr>
        <w:t>"</w:t>
      </w:r>
      <w:r w:rsidRPr="00FB6805">
        <w:rPr>
          <w:rtl/>
        </w:rPr>
        <w:t>השתכרות או ריווח מעבודה; כל טובת הנאה או קצובה שניתנו לעובד ממעבידו; תשלומים שניתנו לעובד לכיסוי הוצאותיו, לרבות תשלומים בשל החזקת רכב או טלפון, נסיעות לחוץ לארץ או רכישת ספרות מקצועית או ביגוד, אך למעט תשלומים כאמור המותרים לעובד כהוצאה; שוויו של שימוש ברכב או ברדיו טלפון נייד שהועמד לרשותו של העובד; והכל - בין שניתנו בכסף ובין בשווה כסף, בין שניתנו לעובד במישרין או בעקיפין או שניתנו לאחר לטובתו</w:t>
      </w:r>
      <w:r>
        <w:rPr>
          <w:rFonts w:hint="cs"/>
          <w:rtl/>
        </w:rPr>
        <w:t xml:space="preserve">". </w:t>
      </w:r>
    </w:p>
    <w:p w:rsidR="00245254" w:rsidRDefault="00245254" w:rsidP="00245254">
      <w:pPr>
        <w:pStyle w:val="Ruller4"/>
        <w:spacing w:before="240" w:after="100" w:afterAutospacing="1"/>
      </w:pPr>
      <w:r>
        <w:rPr>
          <w:rFonts w:hint="cs"/>
          <w:rtl/>
        </w:rPr>
        <w:t xml:space="preserve">נוסחו זה של הסעיף תוקן במסגרת החוק לתיקון פקודת מס הכנסה (מס' 22), התשל"ה-1975 (להלן: </w:t>
      </w:r>
      <w:r w:rsidRPr="00AE2813">
        <w:rPr>
          <w:rFonts w:ascii="Century" w:hAnsi="Century" w:cs="Miriam" w:hint="cs"/>
          <w:b/>
          <w:spacing w:val="0"/>
          <w:sz w:val="22"/>
          <w:szCs w:val="24"/>
          <w:rtl/>
        </w:rPr>
        <w:t>תיקון 22</w:t>
      </w:r>
      <w:r>
        <w:rPr>
          <w:rFonts w:hint="cs"/>
          <w:rtl/>
        </w:rPr>
        <w:t xml:space="preserve">). תכלית התיקון הייתה להרחיב את ההגדרה של "הכנסה מעבודה" כבסיס המס, כך שהגדרה זו תכיל בתוכה </w:t>
      </w:r>
      <w:r w:rsidRPr="000427C5">
        <w:rPr>
          <w:rFonts w:ascii="Century" w:hAnsi="Century" w:cs="Miriam" w:hint="cs"/>
          <w:b/>
          <w:spacing w:val="0"/>
          <w:sz w:val="22"/>
          <w:szCs w:val="24"/>
          <w:rtl/>
        </w:rPr>
        <w:t>כל טובת הנאה</w:t>
      </w:r>
      <w:r>
        <w:rPr>
          <w:rFonts w:hint="cs"/>
          <w:rtl/>
        </w:rPr>
        <w:t xml:space="preserve"> שמעניק המעביד לעובדו כחלק מיחסי העבודה. </w:t>
      </w:r>
    </w:p>
    <w:p w:rsidR="00245254" w:rsidRPr="002B75B5" w:rsidRDefault="00245254" w:rsidP="00245254">
      <w:pPr>
        <w:pStyle w:val="Ruller4"/>
        <w:numPr>
          <w:ilvl w:val="0"/>
          <w:numId w:val="0"/>
        </w:numPr>
        <w:spacing w:before="240" w:after="100" w:afterAutospacing="1"/>
      </w:pPr>
      <w:r>
        <w:rPr>
          <w:rtl/>
        </w:rPr>
        <w:tab/>
      </w:r>
      <w:r>
        <w:rPr>
          <w:rFonts w:hint="cs"/>
          <w:rtl/>
        </w:rPr>
        <w:t xml:space="preserve">על כך עמד השופט </w:t>
      </w:r>
      <w:r>
        <w:rPr>
          <w:rFonts w:ascii="Century" w:hAnsi="Century" w:cs="Miriam" w:hint="cs"/>
          <w:b/>
          <w:spacing w:val="0"/>
          <w:sz w:val="22"/>
          <w:szCs w:val="24"/>
          <w:rtl/>
        </w:rPr>
        <w:t>א' רובינשטיין</w:t>
      </w:r>
      <w:r>
        <w:rPr>
          <w:rFonts w:ascii="Century" w:hAnsi="Century" w:hint="cs"/>
          <w:sz w:val="22"/>
          <w:rtl/>
        </w:rPr>
        <w:t xml:space="preserve"> </w:t>
      </w:r>
      <w:r>
        <w:rPr>
          <w:rFonts w:hint="cs"/>
          <w:rtl/>
        </w:rPr>
        <w:t xml:space="preserve">בע"א 3844/15 </w:t>
      </w:r>
      <w:r>
        <w:rPr>
          <w:rFonts w:ascii="Century" w:hAnsi="Century" w:cs="Miriam" w:hint="cs"/>
          <w:b/>
          <w:spacing w:val="0"/>
          <w:sz w:val="22"/>
          <w:szCs w:val="24"/>
          <w:rtl/>
        </w:rPr>
        <w:t xml:space="preserve">פקיד שומה פתח תקוה </w:t>
      </w:r>
      <w:r w:rsidRPr="00684825">
        <w:rPr>
          <w:rFonts w:ascii="Century" w:hAnsi="Century" w:cs="Miriam" w:hint="cs"/>
          <w:b/>
          <w:spacing w:val="0"/>
          <w:sz w:val="22"/>
          <w:szCs w:val="24"/>
          <w:rtl/>
        </w:rPr>
        <w:t>נ' שירותי בריאות כללית</w:t>
      </w:r>
      <w:r>
        <w:rPr>
          <w:rFonts w:ascii="Century" w:hAnsi="Century" w:hint="cs"/>
          <w:sz w:val="22"/>
          <w:rtl/>
        </w:rPr>
        <w:t>, פסקה כ"ז</w:t>
      </w:r>
      <w:r>
        <w:rPr>
          <w:rFonts w:hint="cs"/>
          <w:rtl/>
        </w:rPr>
        <w:t xml:space="preserve"> (15.12.2016); ואלה היו דבריו:</w:t>
      </w:r>
    </w:p>
    <w:p w:rsidR="00245254" w:rsidRDefault="00245254" w:rsidP="00245254">
      <w:pPr>
        <w:pStyle w:val="Ruller5"/>
        <w:rPr>
          <w:rtl/>
        </w:rPr>
      </w:pPr>
      <w:r>
        <w:rPr>
          <w:rFonts w:hint="cs"/>
          <w:rtl/>
        </w:rPr>
        <w:t>"</w:t>
      </w:r>
      <w:r w:rsidRPr="001140A9">
        <w:rPr>
          <w:rFonts w:hint="cs"/>
          <w:rtl/>
        </w:rPr>
        <w:t>נוסחו של סעיף 2(2) לפקודה כ</w:t>
      </w:r>
      <w:r>
        <w:rPr>
          <w:rFonts w:hint="cs"/>
          <w:rtl/>
        </w:rPr>
        <w:t>מות</w:t>
      </w:r>
      <w:r w:rsidRPr="001140A9">
        <w:rPr>
          <w:rFonts w:hint="cs"/>
          <w:rtl/>
        </w:rPr>
        <w:t xml:space="preserve"> שהוא </w:t>
      </w:r>
      <w:r>
        <w:rPr>
          <w:rFonts w:hint="cs"/>
          <w:rtl/>
        </w:rPr>
        <w:t>כ</w:t>
      </w:r>
      <w:r w:rsidRPr="001140A9">
        <w:rPr>
          <w:rFonts w:hint="cs"/>
          <w:rtl/>
        </w:rPr>
        <w:t>יום, לאחר תיקון 22 לפקודה (חוק לתיקון פקודת מס הכנסה (מס' 22), תשל"ה-1975), מקורו במסקנות ועדת בן שחר</w:t>
      </w:r>
      <w:r>
        <w:rPr>
          <w:rFonts w:hint="cs"/>
          <w:rtl/>
        </w:rPr>
        <w:t xml:space="preserve"> [...] ש</w:t>
      </w:r>
      <w:r w:rsidRPr="001140A9">
        <w:rPr>
          <w:rFonts w:hint="cs"/>
          <w:rtl/>
        </w:rPr>
        <w:t>בפניה עמדה הבעיה של שחיקת בסיס המס</w:t>
      </w:r>
      <w:r>
        <w:rPr>
          <w:rFonts w:hint="cs"/>
          <w:rtl/>
        </w:rPr>
        <w:t>,</w:t>
      </w:r>
      <w:r w:rsidRPr="001140A9">
        <w:rPr>
          <w:rFonts w:hint="cs"/>
          <w:rtl/>
        </w:rPr>
        <w:t xml:space="preserve"> על ידי תשלומים </w:t>
      </w:r>
      <w:r>
        <w:rPr>
          <w:rFonts w:hint="cs"/>
          <w:rtl/>
        </w:rPr>
        <w:t>ש</w:t>
      </w:r>
      <w:r w:rsidRPr="001140A9">
        <w:rPr>
          <w:rFonts w:hint="cs"/>
          <w:rtl/>
        </w:rPr>
        <w:t>כונו בשמות שונים</w:t>
      </w:r>
      <w:r>
        <w:rPr>
          <w:rFonts w:hint="cs"/>
          <w:rtl/>
        </w:rPr>
        <w:t>, כגון החזר הוצאות,</w:t>
      </w:r>
      <w:r w:rsidRPr="001140A9">
        <w:rPr>
          <w:rFonts w:hint="cs"/>
          <w:rtl/>
        </w:rPr>
        <w:t xml:space="preserve"> מתוך מטרה לפטור אותם ממסים </w:t>
      </w:r>
      <w:r>
        <w:rPr>
          <w:rFonts w:hint="cs"/>
          <w:rtl/>
        </w:rPr>
        <w:t>[...].</w:t>
      </w:r>
      <w:r w:rsidRPr="001140A9">
        <w:rPr>
          <w:rFonts w:hint="cs"/>
          <w:rtl/>
        </w:rPr>
        <w:t xml:space="preserve"> כחלק ממסקנות הוועדה הוחלט להרחיב את בסיס הגדרת</w:t>
      </w:r>
      <w:r>
        <w:rPr>
          <w:rFonts w:hint="cs"/>
          <w:rtl/>
        </w:rPr>
        <w:t>ה של</w:t>
      </w:r>
      <w:r w:rsidRPr="001140A9">
        <w:rPr>
          <w:rFonts w:hint="cs"/>
          <w:rtl/>
        </w:rPr>
        <w:t xml:space="preserve"> ההכנסה מעבודה </w:t>
      </w:r>
      <w:r w:rsidRPr="000427C5">
        <w:rPr>
          <w:rFonts w:ascii="Century" w:hAnsi="Century" w:cs="Miriam" w:hint="cs"/>
          <w:b/>
          <w:spacing w:val="0"/>
          <w:szCs w:val="24"/>
          <w:rtl/>
        </w:rPr>
        <w:t>כך שתכלול כל טובת הנאה המגיעה מהמעסיק לעובד</w:t>
      </w:r>
      <w:r>
        <w:rPr>
          <w:rFonts w:hint="cs"/>
          <w:rtl/>
        </w:rPr>
        <w:t xml:space="preserve">. [...] </w:t>
      </w:r>
      <w:r w:rsidRPr="00087D2F">
        <w:rPr>
          <w:rFonts w:hint="eastAsia"/>
          <w:rtl/>
        </w:rPr>
        <w:t>על</w:t>
      </w:r>
      <w:r w:rsidRPr="00087D2F">
        <w:rPr>
          <w:rtl/>
        </w:rPr>
        <w:t xml:space="preserve"> </w:t>
      </w:r>
      <w:r w:rsidRPr="00087D2F">
        <w:rPr>
          <w:rFonts w:hint="eastAsia"/>
          <w:rtl/>
        </w:rPr>
        <w:t>פרשנותו</w:t>
      </w:r>
      <w:r w:rsidRPr="00087D2F">
        <w:rPr>
          <w:rtl/>
        </w:rPr>
        <w:t xml:space="preserve"> </w:t>
      </w:r>
      <w:r w:rsidRPr="00087D2F">
        <w:rPr>
          <w:rFonts w:hint="eastAsia"/>
          <w:rtl/>
        </w:rPr>
        <w:t>של</w:t>
      </w:r>
      <w:r w:rsidRPr="00087D2F">
        <w:rPr>
          <w:rtl/>
        </w:rPr>
        <w:t xml:space="preserve"> </w:t>
      </w:r>
      <w:r w:rsidRPr="00087D2F">
        <w:rPr>
          <w:rFonts w:hint="eastAsia"/>
          <w:rtl/>
        </w:rPr>
        <w:t>הסעיף</w:t>
      </w:r>
      <w:r w:rsidRPr="00087D2F">
        <w:rPr>
          <w:rtl/>
        </w:rPr>
        <w:t xml:space="preserve"> </w:t>
      </w:r>
      <w:r w:rsidRPr="00087D2F">
        <w:rPr>
          <w:rFonts w:hint="eastAsia"/>
          <w:rtl/>
        </w:rPr>
        <w:t>להיעשות</w:t>
      </w:r>
      <w:r w:rsidRPr="00087D2F">
        <w:rPr>
          <w:rtl/>
        </w:rPr>
        <w:t xml:space="preserve"> </w:t>
      </w:r>
      <w:r w:rsidRPr="00087D2F">
        <w:rPr>
          <w:rFonts w:hint="eastAsia"/>
          <w:rtl/>
        </w:rPr>
        <w:t>מתוך</w:t>
      </w:r>
      <w:r w:rsidRPr="00087D2F">
        <w:rPr>
          <w:rtl/>
        </w:rPr>
        <w:t xml:space="preserve"> </w:t>
      </w:r>
      <w:r w:rsidRPr="00087D2F">
        <w:rPr>
          <w:rFonts w:hint="eastAsia"/>
          <w:rtl/>
        </w:rPr>
        <w:t>פרספקטיבה</w:t>
      </w:r>
      <w:r w:rsidRPr="00087D2F">
        <w:rPr>
          <w:rtl/>
        </w:rPr>
        <w:t xml:space="preserve"> </w:t>
      </w:r>
      <w:r w:rsidRPr="00087D2F">
        <w:rPr>
          <w:rFonts w:hint="eastAsia"/>
          <w:rtl/>
        </w:rPr>
        <w:t>זו</w:t>
      </w:r>
      <w:r w:rsidRPr="00087D2F">
        <w:rPr>
          <w:rtl/>
        </w:rPr>
        <w:t>: "</w:t>
      </w:r>
      <w:r w:rsidRPr="00087D2F">
        <w:rPr>
          <w:rFonts w:hint="eastAsia"/>
          <w:rtl/>
        </w:rPr>
        <w:t>הרחבת</w:t>
      </w:r>
      <w:r w:rsidRPr="00087D2F">
        <w:rPr>
          <w:rtl/>
        </w:rPr>
        <w:t xml:space="preserve"> </w:t>
      </w:r>
      <w:r w:rsidRPr="00087D2F">
        <w:rPr>
          <w:rFonts w:hint="eastAsia"/>
          <w:rtl/>
        </w:rPr>
        <w:t>בסיס</w:t>
      </w:r>
      <w:r w:rsidRPr="00087D2F">
        <w:rPr>
          <w:rtl/>
        </w:rPr>
        <w:t xml:space="preserve"> </w:t>
      </w:r>
      <w:r w:rsidRPr="00087D2F">
        <w:rPr>
          <w:rFonts w:hint="eastAsia"/>
          <w:rtl/>
        </w:rPr>
        <w:t>המס</w:t>
      </w:r>
      <w:r w:rsidRPr="00087D2F">
        <w:rPr>
          <w:rtl/>
        </w:rPr>
        <w:t xml:space="preserve"> </w:t>
      </w:r>
      <w:proofErr w:type="spellStart"/>
      <w:r w:rsidRPr="00087D2F">
        <w:rPr>
          <w:rFonts w:hint="eastAsia"/>
          <w:rtl/>
        </w:rPr>
        <w:t>היתה</w:t>
      </w:r>
      <w:proofErr w:type="spellEnd"/>
      <w:r w:rsidRPr="00087D2F">
        <w:rPr>
          <w:rtl/>
        </w:rPr>
        <w:t xml:space="preserve"> </w:t>
      </w:r>
      <w:r w:rsidRPr="00087D2F">
        <w:rPr>
          <w:rFonts w:hint="eastAsia"/>
          <w:rtl/>
        </w:rPr>
        <w:t>יסודו</w:t>
      </w:r>
      <w:r w:rsidRPr="00087D2F">
        <w:rPr>
          <w:rtl/>
        </w:rPr>
        <w:t xml:space="preserve"> </w:t>
      </w:r>
      <w:r w:rsidRPr="00087D2F">
        <w:rPr>
          <w:rFonts w:hint="eastAsia"/>
          <w:rtl/>
        </w:rPr>
        <w:t>של</w:t>
      </w:r>
      <w:r w:rsidRPr="00087D2F">
        <w:rPr>
          <w:rtl/>
        </w:rPr>
        <w:t xml:space="preserve"> </w:t>
      </w:r>
      <w:r w:rsidRPr="00087D2F">
        <w:rPr>
          <w:rFonts w:hint="eastAsia"/>
          <w:rtl/>
        </w:rPr>
        <w:t>שינוי</w:t>
      </w:r>
      <w:r w:rsidRPr="00087D2F">
        <w:rPr>
          <w:rtl/>
        </w:rPr>
        <w:t xml:space="preserve"> </w:t>
      </w:r>
      <w:r w:rsidRPr="00087D2F">
        <w:rPr>
          <w:rFonts w:hint="eastAsia"/>
          <w:rtl/>
        </w:rPr>
        <w:t>החקיקה</w:t>
      </w:r>
      <w:r w:rsidRPr="00087D2F">
        <w:rPr>
          <w:rtl/>
        </w:rPr>
        <w:t xml:space="preserve">, </w:t>
      </w:r>
      <w:r w:rsidRPr="00087D2F">
        <w:rPr>
          <w:rFonts w:hint="eastAsia"/>
          <w:rtl/>
        </w:rPr>
        <w:t>והיא</w:t>
      </w:r>
      <w:r w:rsidRPr="00087D2F">
        <w:rPr>
          <w:rtl/>
        </w:rPr>
        <w:t xml:space="preserve"> </w:t>
      </w:r>
      <w:r w:rsidRPr="00087D2F">
        <w:rPr>
          <w:rFonts w:hint="eastAsia"/>
          <w:rtl/>
        </w:rPr>
        <w:t>הרקע</w:t>
      </w:r>
      <w:r w:rsidRPr="00087D2F">
        <w:rPr>
          <w:rtl/>
        </w:rPr>
        <w:t xml:space="preserve"> </w:t>
      </w:r>
      <w:r w:rsidRPr="00087D2F">
        <w:rPr>
          <w:rFonts w:hint="eastAsia"/>
          <w:rtl/>
        </w:rPr>
        <w:t>שעל</w:t>
      </w:r>
      <w:r w:rsidRPr="00087D2F">
        <w:rPr>
          <w:rtl/>
        </w:rPr>
        <w:t xml:space="preserve"> </w:t>
      </w:r>
      <w:r w:rsidRPr="00087D2F">
        <w:rPr>
          <w:rFonts w:hint="eastAsia"/>
          <w:rtl/>
        </w:rPr>
        <w:t>פיו</w:t>
      </w:r>
      <w:r w:rsidRPr="00087D2F">
        <w:rPr>
          <w:rtl/>
        </w:rPr>
        <w:t xml:space="preserve"> </w:t>
      </w:r>
      <w:r w:rsidRPr="00087D2F">
        <w:rPr>
          <w:rFonts w:hint="eastAsia"/>
          <w:rtl/>
        </w:rPr>
        <w:t>יש</w:t>
      </w:r>
      <w:r w:rsidRPr="00087D2F">
        <w:rPr>
          <w:rtl/>
        </w:rPr>
        <w:t xml:space="preserve"> </w:t>
      </w:r>
      <w:r w:rsidRPr="00087D2F">
        <w:rPr>
          <w:rFonts w:hint="eastAsia"/>
          <w:rtl/>
        </w:rPr>
        <w:t>לבחון</w:t>
      </w:r>
      <w:r w:rsidRPr="00087D2F">
        <w:rPr>
          <w:rtl/>
        </w:rPr>
        <w:t xml:space="preserve"> </w:t>
      </w:r>
      <w:r w:rsidRPr="00087D2F">
        <w:rPr>
          <w:rFonts w:hint="eastAsia"/>
          <w:rtl/>
        </w:rPr>
        <w:t>את</w:t>
      </w:r>
      <w:r w:rsidRPr="00087D2F">
        <w:rPr>
          <w:rtl/>
        </w:rPr>
        <w:t xml:space="preserve"> </w:t>
      </w:r>
      <w:r w:rsidRPr="00087D2F">
        <w:rPr>
          <w:rFonts w:hint="eastAsia"/>
          <w:rtl/>
        </w:rPr>
        <w:t>הסעיף</w:t>
      </w:r>
      <w:r w:rsidRPr="00087D2F">
        <w:rPr>
          <w:rtl/>
        </w:rPr>
        <w:t>"</w:t>
      </w:r>
      <w:r>
        <w:rPr>
          <w:rFonts w:hint="cs"/>
          <w:rtl/>
        </w:rPr>
        <w:t xml:space="preserve">. [...] </w:t>
      </w:r>
      <w:r w:rsidRPr="001140A9">
        <w:rPr>
          <w:rFonts w:hint="cs"/>
          <w:rtl/>
        </w:rPr>
        <w:t>כך נכתב לגבי תכליתו של סעיף 2(2) ב</w:t>
      </w:r>
      <w:r>
        <w:rPr>
          <w:rFonts w:hint="cs"/>
          <w:rtl/>
        </w:rPr>
        <w:t xml:space="preserve">ע"א </w:t>
      </w:r>
      <w:r w:rsidRPr="003D3E9B">
        <w:rPr>
          <w:rtl/>
        </w:rPr>
        <w:t>2640/11</w:t>
      </w:r>
      <w:r>
        <w:rPr>
          <w:rFonts w:hint="cs"/>
          <w:rtl/>
        </w:rPr>
        <w:t xml:space="preserve"> </w:t>
      </w:r>
      <w:r>
        <w:rPr>
          <w:rFonts w:cs="Miriam" w:hint="cs"/>
          <w:b/>
          <w:szCs w:val="24"/>
          <w:rtl/>
        </w:rPr>
        <w:t xml:space="preserve">פקיד שומה חיפה נ' ניסים </w:t>
      </w:r>
      <w:r>
        <w:rPr>
          <w:rFonts w:hint="cs"/>
          <w:rtl/>
        </w:rPr>
        <w:t>(2014):</w:t>
      </w:r>
    </w:p>
    <w:p w:rsidR="00245254" w:rsidRPr="00CD19F0" w:rsidRDefault="00245254" w:rsidP="00245254">
      <w:pPr>
        <w:pStyle w:val="Ruller5"/>
        <w:rPr>
          <w:rFonts w:ascii="Century" w:hAnsi="Century"/>
          <w:rtl/>
        </w:rPr>
      </w:pPr>
    </w:p>
    <w:p w:rsidR="00245254" w:rsidRPr="002B75B5" w:rsidRDefault="00245254" w:rsidP="00245254">
      <w:pPr>
        <w:pStyle w:val="Ruller5"/>
        <w:ind w:left="2160"/>
      </w:pPr>
      <w:r>
        <w:rPr>
          <w:rFonts w:ascii="Times New Roman" w:hAnsi="Times New Roman" w:cs="Miriam" w:hint="cs"/>
          <w:spacing w:val="0"/>
          <w:sz w:val="28"/>
          <w:szCs w:val="24"/>
          <w:rtl/>
        </w:rPr>
        <w:t>"הכלל הוא</w:t>
      </w:r>
      <w:r>
        <w:rPr>
          <w:rFonts w:hint="cs"/>
          <w:rtl/>
        </w:rPr>
        <w:t xml:space="preserve"> אפוא, בניסוחו של המלומד רפאל "כי הכנסה הנובעת לנישום כתוצאה מקיומם של יחסי </w:t>
      </w:r>
      <w:r>
        <w:rPr>
          <w:rFonts w:hint="cs"/>
          <w:rtl/>
        </w:rPr>
        <w:lastRenderedPageBreak/>
        <w:t xml:space="preserve">מעביד ועובד, אשר משתלמת לו משום קיומם של יחסים אלה ... היא הכנסת עבודה". [...] זוהי החזקה החולשת על תשלומי המעביד לעובד וזוהי נקודת המוצא."" (ההדגשות הוספו </w:t>
      </w:r>
      <w:r>
        <w:rPr>
          <w:rtl/>
        </w:rPr>
        <w:t>–</w:t>
      </w:r>
      <w:r>
        <w:rPr>
          <w:rFonts w:hint="cs"/>
          <w:rtl/>
        </w:rPr>
        <w:t xml:space="preserve"> א.ש.).</w:t>
      </w:r>
    </w:p>
    <w:p w:rsidR="00245254" w:rsidRPr="007530AE" w:rsidRDefault="00245254" w:rsidP="00245254">
      <w:pPr>
        <w:pStyle w:val="Ruller4"/>
        <w:spacing w:before="240" w:after="100" w:afterAutospacing="1"/>
        <w:rPr>
          <w:rFonts w:ascii="Century" w:hAnsi="Century"/>
          <w:sz w:val="22"/>
          <w:rtl/>
        </w:rPr>
      </w:pPr>
      <w:r>
        <w:rPr>
          <w:rFonts w:hint="cs"/>
          <w:rtl/>
        </w:rPr>
        <w:t xml:space="preserve">השאלה האם הטבות שונות אשר מוענקות לעובד </w:t>
      </w:r>
      <w:r>
        <w:rPr>
          <w:rFonts w:ascii="Century" w:hAnsi="Century" w:hint="cs"/>
          <w:sz w:val="22"/>
          <w:rtl/>
        </w:rPr>
        <w:t xml:space="preserve">על ידי מעסיקו </w:t>
      </w:r>
      <w:r>
        <w:rPr>
          <w:rFonts w:hint="cs"/>
          <w:rtl/>
        </w:rPr>
        <w:t xml:space="preserve">חייבות במס הכנסה עלתה לדיון כבר בעשור הראשון לקום המדינה. </w:t>
      </w:r>
      <w:r w:rsidRPr="007530AE">
        <w:rPr>
          <w:rFonts w:hint="cs"/>
          <w:sz w:val="28"/>
          <w:rtl/>
        </w:rPr>
        <w:t xml:space="preserve">בע"א 545/59 </w:t>
      </w:r>
      <w:r w:rsidRPr="007530AE">
        <w:rPr>
          <w:rFonts w:ascii="Century" w:hAnsi="Century" w:cs="Miriam" w:hint="cs"/>
          <w:b/>
          <w:spacing w:val="0"/>
          <w:sz w:val="22"/>
          <w:szCs w:val="24"/>
          <w:rtl/>
        </w:rPr>
        <w:t>"דן" אגודה שיתופית בע"מ נ' פקיד שומה ת"א 5</w:t>
      </w:r>
      <w:r w:rsidRPr="007530AE">
        <w:rPr>
          <w:rFonts w:hint="cs"/>
          <w:sz w:val="28"/>
          <w:rtl/>
        </w:rPr>
        <w:t xml:space="preserve">, פ"ד י"ד 2088 (1960) (להלן: </w:t>
      </w:r>
      <w:r w:rsidRPr="007530AE">
        <w:rPr>
          <w:rFonts w:ascii="Century" w:hAnsi="Century" w:cs="Miriam" w:hint="cs"/>
          <w:b/>
          <w:spacing w:val="0"/>
          <w:sz w:val="22"/>
          <w:szCs w:val="24"/>
          <w:rtl/>
        </w:rPr>
        <w:t>עניין דן</w:t>
      </w:r>
      <w:r w:rsidRPr="007530AE">
        <w:rPr>
          <w:rFonts w:ascii="Century" w:hAnsi="Century" w:hint="cs"/>
          <w:sz w:val="22"/>
          <w:rtl/>
        </w:rPr>
        <w:t>)</w:t>
      </w:r>
      <w:r>
        <w:rPr>
          <w:rFonts w:hint="cs"/>
          <w:sz w:val="28"/>
          <w:rtl/>
        </w:rPr>
        <w:t xml:space="preserve">, </w:t>
      </w:r>
      <w:r w:rsidRPr="007530AE">
        <w:rPr>
          <w:rFonts w:hint="cs"/>
          <w:sz w:val="28"/>
          <w:rtl/>
        </w:rPr>
        <w:t xml:space="preserve">בית משפט </w:t>
      </w:r>
      <w:r>
        <w:rPr>
          <w:rFonts w:hint="cs"/>
          <w:sz w:val="28"/>
          <w:rtl/>
        </w:rPr>
        <w:t xml:space="preserve">זה דן </w:t>
      </w:r>
      <w:r w:rsidRPr="007530AE">
        <w:rPr>
          <w:rFonts w:hint="cs"/>
          <w:sz w:val="28"/>
          <w:rtl/>
        </w:rPr>
        <w:t>בשאלה האם יש לראות במדים ובבגדי חורף</w:t>
      </w:r>
      <w:r>
        <w:rPr>
          <w:rFonts w:hint="cs"/>
          <w:sz w:val="28"/>
          <w:rtl/>
        </w:rPr>
        <w:t>,</w:t>
      </w:r>
      <w:r w:rsidRPr="007530AE">
        <w:rPr>
          <w:rFonts w:hint="cs"/>
          <w:sz w:val="28"/>
          <w:rtl/>
        </w:rPr>
        <w:t xml:space="preserve"> אשר סופק</w:t>
      </w:r>
      <w:r>
        <w:rPr>
          <w:rFonts w:hint="cs"/>
          <w:sz w:val="28"/>
          <w:rtl/>
        </w:rPr>
        <w:t>ו</w:t>
      </w:r>
      <w:r w:rsidRPr="007530AE">
        <w:rPr>
          <w:rFonts w:hint="cs"/>
          <w:sz w:val="28"/>
          <w:rtl/>
        </w:rPr>
        <w:t xml:space="preserve"> לנהגי חברת האוטובוסים דן</w:t>
      </w:r>
      <w:r>
        <w:rPr>
          <w:rFonts w:hint="cs"/>
          <w:sz w:val="28"/>
          <w:rtl/>
        </w:rPr>
        <w:t>,</w:t>
      </w:r>
      <w:r w:rsidRPr="007530AE">
        <w:rPr>
          <w:rFonts w:hint="cs"/>
          <w:sz w:val="28"/>
          <w:rtl/>
        </w:rPr>
        <w:t xml:space="preserve"> הכנסה אשר חייבת במס. בפסק דינו עמד השופט </w:t>
      </w:r>
      <w:r w:rsidRPr="007530AE">
        <w:rPr>
          <w:rFonts w:ascii="Century" w:hAnsi="Century" w:cs="Miriam" w:hint="cs"/>
          <w:b/>
          <w:spacing w:val="0"/>
          <w:sz w:val="22"/>
          <w:szCs w:val="24"/>
          <w:rtl/>
        </w:rPr>
        <w:t xml:space="preserve">א' ויתקון </w:t>
      </w:r>
      <w:r w:rsidRPr="007530AE">
        <w:rPr>
          <w:rFonts w:ascii="Century" w:hAnsi="Century" w:hint="cs"/>
          <w:sz w:val="22"/>
          <w:rtl/>
        </w:rPr>
        <w:t xml:space="preserve">על המתח בין "הנאה שאינה אלא הכנסה מוסווית, לבין הנאה שכולה או עיקרה צורך התפקיד" (ראו: שם, עמ' 2091). בעניין זה אמר השופט </w:t>
      </w:r>
      <w:r w:rsidRPr="007530AE">
        <w:rPr>
          <w:rFonts w:ascii="Century" w:hAnsi="Century" w:cs="Miriam" w:hint="cs"/>
          <w:b/>
          <w:spacing w:val="0"/>
          <w:sz w:val="22"/>
          <w:szCs w:val="24"/>
          <w:rtl/>
        </w:rPr>
        <w:t xml:space="preserve">ויתקון </w:t>
      </w:r>
      <w:r w:rsidRPr="007530AE">
        <w:rPr>
          <w:rFonts w:ascii="Century" w:hAnsi="Century" w:hint="cs"/>
          <w:sz w:val="22"/>
          <w:rtl/>
        </w:rPr>
        <w:t xml:space="preserve">את הדברים הבאים, אשר לטעמי יש להם חשיבות רבה בהבנת ההתייחסות </w:t>
      </w:r>
      <w:r>
        <w:rPr>
          <w:rFonts w:ascii="Century" w:hAnsi="Century" w:hint="cs"/>
          <w:sz w:val="22"/>
          <w:rtl/>
        </w:rPr>
        <w:t>של דיני המס ל</w:t>
      </w:r>
      <w:r w:rsidRPr="007530AE">
        <w:rPr>
          <w:rFonts w:ascii="Century" w:hAnsi="Century" w:hint="cs"/>
          <w:sz w:val="22"/>
          <w:rtl/>
        </w:rPr>
        <w:t xml:space="preserve">טובות הנאה </w:t>
      </w:r>
      <w:r>
        <w:rPr>
          <w:rFonts w:ascii="Century" w:hAnsi="Century" w:hint="cs"/>
          <w:sz w:val="22"/>
          <w:rtl/>
        </w:rPr>
        <w:t>אשר מוענקות לעובד</w:t>
      </w:r>
      <w:r w:rsidRPr="007530AE">
        <w:rPr>
          <w:rFonts w:ascii="Century" w:hAnsi="Century" w:hint="cs"/>
          <w:sz w:val="22"/>
          <w:rtl/>
        </w:rPr>
        <w:t xml:space="preserve"> או צומחות לו מעבדותו</w:t>
      </w:r>
      <w:r>
        <w:rPr>
          <w:rFonts w:ascii="Century" w:hAnsi="Century" w:hint="cs"/>
          <w:sz w:val="22"/>
          <w:rtl/>
        </w:rPr>
        <w:t xml:space="preserve"> אצל מעסיקו</w:t>
      </w:r>
      <w:r w:rsidRPr="007530AE">
        <w:rPr>
          <w:rFonts w:ascii="Century" w:hAnsi="Century" w:hint="cs"/>
          <w:sz w:val="22"/>
          <w:rtl/>
        </w:rPr>
        <w:t>:</w:t>
      </w:r>
    </w:p>
    <w:p w:rsidR="00245254" w:rsidRPr="00A634A8" w:rsidRDefault="00245254" w:rsidP="00245254">
      <w:pPr>
        <w:pStyle w:val="Ruller5"/>
        <w:rPr>
          <w:rFonts w:ascii="Century" w:hAnsi="Century"/>
        </w:rPr>
      </w:pPr>
      <w:r>
        <w:rPr>
          <w:rFonts w:hint="cs"/>
          <w:rtl/>
        </w:rPr>
        <w:t xml:space="preserve">"הרבה משרות מעניקות לנושאיהן הנאות ויתרונות, שערכם אינו ניתן לקביעה, כגון כבוד, מקום ותנאי עבודה נעימים או דאגה לבריאות ולהתקדמות, ואין להעריך </w:t>
      </w:r>
      <w:proofErr w:type="spellStart"/>
      <w:r w:rsidRPr="007530AE">
        <w:rPr>
          <w:rFonts w:asciiTheme="majorBidi" w:hAnsiTheme="majorBidi" w:cstheme="majorBidi"/>
          <w:sz w:val="24"/>
          <w:szCs w:val="32"/>
        </w:rPr>
        <w:t>imponderabilia</w:t>
      </w:r>
      <w:proofErr w:type="spellEnd"/>
      <w:r>
        <w:rPr>
          <w:rFonts w:hint="cs"/>
          <w:rtl/>
        </w:rPr>
        <w:t xml:space="preserve"> כאלה לצורך המס, על אף האפליה שבנתינתם כלפי אחרים שאינם זוכים להם" (ראו: שם, עמ' 2092</w:t>
      </w:r>
      <w:r>
        <w:rPr>
          <w:rFonts w:ascii="Century" w:hAnsi="Century" w:hint="cs"/>
          <w:rtl/>
        </w:rPr>
        <w:t>).</w:t>
      </w:r>
    </w:p>
    <w:p w:rsidR="00245254" w:rsidRDefault="00245254" w:rsidP="00245254">
      <w:pPr>
        <w:pStyle w:val="Ruller4"/>
        <w:spacing w:before="240" w:after="100" w:afterAutospacing="1"/>
      </w:pPr>
      <w:r>
        <w:rPr>
          <w:rFonts w:hint="cs"/>
          <w:rtl/>
        </w:rPr>
        <w:t>הווה אומר: עצם העובדה שלעובד מוענקת הטבה אין בה, כשלעצמה, כדי לקבוע שהטבה זו חייבת במס הכנסה, שכן הנאה "שכולה או עיקרה צורך התפקיד" אינה חייבת במס הכנסה.</w:t>
      </w:r>
    </w:p>
    <w:p w:rsidR="00245254" w:rsidRDefault="00245254" w:rsidP="00245254">
      <w:pPr>
        <w:pStyle w:val="Ruller4"/>
        <w:spacing w:before="240" w:after="100" w:afterAutospacing="1"/>
      </w:pPr>
      <w:r>
        <w:rPr>
          <w:rFonts w:hint="cs"/>
          <w:rtl/>
        </w:rPr>
        <w:t xml:space="preserve">כמבחן לקביעה האם הטובין אשר ניתנים לעובד </w:t>
      </w:r>
      <w:proofErr w:type="spellStart"/>
      <w:r>
        <w:rPr>
          <w:rFonts w:hint="cs"/>
          <w:rtl/>
        </w:rPr>
        <w:t>ימוסו</w:t>
      </w:r>
      <w:proofErr w:type="spellEnd"/>
      <w:r>
        <w:rPr>
          <w:rFonts w:hint="cs"/>
          <w:rtl/>
        </w:rPr>
        <w:t xml:space="preserve"> ואם לאו, בחר השופט </w:t>
      </w:r>
      <w:r>
        <w:rPr>
          <w:rFonts w:ascii="Century" w:hAnsi="Century" w:cs="Miriam" w:hint="cs"/>
          <w:b/>
          <w:spacing w:val="0"/>
          <w:sz w:val="22"/>
          <w:szCs w:val="24"/>
          <w:rtl/>
        </w:rPr>
        <w:t xml:space="preserve">ויתקון </w:t>
      </w:r>
      <w:r>
        <w:rPr>
          <w:rFonts w:ascii="Century" w:hAnsi="Century" w:hint="cs"/>
          <w:sz w:val="22"/>
          <w:rtl/>
        </w:rPr>
        <w:t xml:space="preserve">לאמץ את המבחן האמריקני אשר היה נהוג בזמנו, ואשר אותו הוא ניסח באופן </w:t>
      </w:r>
      <w:r>
        <w:rPr>
          <w:rFonts w:hint="cs"/>
          <w:rtl/>
        </w:rPr>
        <w:t xml:space="preserve">הבא: </w:t>
      </w:r>
    </w:p>
    <w:p w:rsidR="00245254" w:rsidRDefault="00245254" w:rsidP="00245254">
      <w:pPr>
        <w:pStyle w:val="Ruller5"/>
      </w:pPr>
      <w:r>
        <w:rPr>
          <w:rFonts w:hint="cs"/>
          <w:rtl/>
        </w:rPr>
        <w:t xml:space="preserve">"המבחן הוא, לפחות להלכה, אם המצרך או השירות (או הכסף במקומו) ניתן לעובד, כדי שישתמש בו להנאתו הוא או לשם נוחות המעביד. "נוחות המעביד" פירושה </w:t>
      </w:r>
      <w:r w:rsidRPr="00346B9D">
        <w:rPr>
          <w:rFonts w:hint="cs"/>
          <w:rtl/>
        </w:rPr>
        <w:t>שטבעו של התפקיד מצריך את העובד להיזקק למצרך או לשירות</w:t>
      </w:r>
      <w:r>
        <w:rPr>
          <w:rFonts w:hint="cs"/>
          <w:rtl/>
        </w:rPr>
        <w:t>. אך אפילו כלל זה אינו פוטר את העובד מהחיוב לשלם מס כאשר ההנאה היא כזאת שהיא ניתנת בקלות להיאמד בכסף מבחינת העובד הנהנה ממנה</w:t>
      </w:r>
      <w:r w:rsidRPr="00346B9D">
        <w:rPr>
          <w:rFonts w:hint="cs"/>
          <w:rtl/>
        </w:rPr>
        <w:t>"</w:t>
      </w:r>
      <w:r>
        <w:rPr>
          <w:rFonts w:hint="cs"/>
          <w:rtl/>
        </w:rPr>
        <w:t xml:space="preserve"> (ראו: שם, עמ' 2096).</w:t>
      </w:r>
    </w:p>
    <w:p w:rsidR="00245254" w:rsidRPr="000427C5" w:rsidRDefault="00245254" w:rsidP="00245254">
      <w:pPr>
        <w:pStyle w:val="Ruller4"/>
        <w:spacing w:before="240" w:after="100" w:afterAutospacing="1"/>
        <w:rPr>
          <w:rFonts w:ascii="Century" w:hAnsi="Century"/>
          <w:sz w:val="22"/>
        </w:rPr>
      </w:pPr>
      <w:r>
        <w:rPr>
          <w:rFonts w:hint="cs"/>
          <w:rtl/>
        </w:rPr>
        <w:t xml:space="preserve">הווה אומר: הטבה שניתנת לעובד שהינה חיונית לביצוע עבודתו לא </w:t>
      </w:r>
      <w:proofErr w:type="spellStart"/>
      <w:r>
        <w:rPr>
          <w:rFonts w:hint="cs"/>
          <w:rtl/>
        </w:rPr>
        <w:t>תמוסה</w:t>
      </w:r>
      <w:proofErr w:type="spellEnd"/>
      <w:r>
        <w:rPr>
          <w:rFonts w:hint="cs"/>
          <w:rtl/>
        </w:rPr>
        <w:t xml:space="preserve"> (להלן: </w:t>
      </w:r>
      <w:r w:rsidRPr="003D1268">
        <w:rPr>
          <w:rFonts w:ascii="Century" w:hAnsi="Century" w:cs="Miriam" w:hint="cs"/>
          <w:b/>
          <w:spacing w:val="0"/>
          <w:sz w:val="22"/>
          <w:szCs w:val="24"/>
          <w:rtl/>
        </w:rPr>
        <w:t>מבחן החיוניות</w:t>
      </w:r>
      <w:r w:rsidRPr="003D1268">
        <w:rPr>
          <w:rFonts w:ascii="Century" w:hAnsi="Century" w:hint="cs"/>
          <w:sz w:val="22"/>
          <w:rtl/>
        </w:rPr>
        <w:t>)</w:t>
      </w:r>
      <w:r>
        <w:rPr>
          <w:rFonts w:hint="cs"/>
          <w:rtl/>
        </w:rPr>
        <w:t>. ב</w:t>
      </w:r>
      <w:r w:rsidRPr="00346B9D">
        <w:rPr>
          <w:rFonts w:hint="cs"/>
          <w:rtl/>
        </w:rPr>
        <w:t xml:space="preserve">ע"א 3501/05 </w:t>
      </w:r>
      <w:r w:rsidRPr="003D1268">
        <w:rPr>
          <w:rFonts w:ascii="Century" w:hAnsi="Century" w:cs="Miriam" w:hint="cs"/>
          <w:b/>
          <w:spacing w:val="0"/>
          <w:sz w:val="22"/>
          <w:szCs w:val="24"/>
          <w:rtl/>
        </w:rPr>
        <w:t>פקיד שומה ירושלים 1 נ' בנק יהב לעובדי המדינה בע"מ</w:t>
      </w:r>
      <w:r w:rsidRPr="00346B9D">
        <w:rPr>
          <w:rFonts w:hint="cs"/>
          <w:rtl/>
        </w:rPr>
        <w:t xml:space="preserve">, </w:t>
      </w:r>
      <w:r>
        <w:rPr>
          <w:rFonts w:hint="cs"/>
          <w:rtl/>
        </w:rPr>
        <w:t>פסקה ו(2)</w:t>
      </w:r>
      <w:r w:rsidRPr="00346B9D">
        <w:rPr>
          <w:rFonts w:hint="cs"/>
          <w:rtl/>
        </w:rPr>
        <w:t xml:space="preserve"> (28.11.2007)</w:t>
      </w:r>
      <w:r>
        <w:rPr>
          <w:rFonts w:hint="cs"/>
          <w:rtl/>
        </w:rPr>
        <w:t xml:space="preserve"> (להלן: </w:t>
      </w:r>
      <w:r w:rsidRPr="003D1268">
        <w:rPr>
          <w:rFonts w:ascii="Century" w:hAnsi="Century" w:hint="cs"/>
          <w:sz w:val="22"/>
          <w:rtl/>
        </w:rPr>
        <w:t xml:space="preserve">עניין </w:t>
      </w:r>
      <w:r w:rsidRPr="003D1268">
        <w:rPr>
          <w:rFonts w:ascii="Century" w:hAnsi="Century" w:cs="Miriam" w:hint="cs"/>
          <w:b/>
          <w:spacing w:val="0"/>
          <w:sz w:val="22"/>
          <w:szCs w:val="24"/>
          <w:rtl/>
        </w:rPr>
        <w:t>בנק יהב</w:t>
      </w:r>
      <w:r w:rsidRPr="003D1268">
        <w:rPr>
          <w:rFonts w:ascii="Century" w:hAnsi="Century" w:hint="cs"/>
          <w:sz w:val="22"/>
          <w:rtl/>
        </w:rPr>
        <w:t>)</w:t>
      </w:r>
      <w:r>
        <w:rPr>
          <w:rFonts w:ascii="Century" w:hAnsi="Century" w:cs="Miriam" w:hint="cs"/>
          <w:b/>
          <w:spacing w:val="0"/>
          <w:sz w:val="22"/>
          <w:szCs w:val="24"/>
          <w:rtl/>
        </w:rPr>
        <w:t xml:space="preserve">, </w:t>
      </w:r>
      <w:r w:rsidRPr="003D1268">
        <w:rPr>
          <w:rFonts w:ascii="Century" w:hAnsi="Century" w:hint="cs"/>
          <w:sz w:val="22"/>
          <w:rtl/>
        </w:rPr>
        <w:t xml:space="preserve">הציע השופט </w:t>
      </w:r>
      <w:r w:rsidRPr="003D1268">
        <w:rPr>
          <w:rFonts w:ascii="Century" w:hAnsi="Century" w:cs="Miriam" w:hint="cs"/>
          <w:b/>
          <w:spacing w:val="0"/>
          <w:sz w:val="22"/>
          <w:szCs w:val="24"/>
          <w:rtl/>
        </w:rPr>
        <w:t xml:space="preserve">א' רובינשטיין </w:t>
      </w:r>
      <w:r>
        <w:rPr>
          <w:rFonts w:ascii="Century" w:hAnsi="Century" w:hint="cs"/>
          <w:sz w:val="22"/>
          <w:rtl/>
        </w:rPr>
        <w:lastRenderedPageBreak/>
        <w:t>להוסיף למבחן החיוניות מבחן נוסף</w:t>
      </w:r>
      <w:r w:rsidRPr="003D1268">
        <w:rPr>
          <w:rFonts w:ascii="Century" w:hAnsi="Century" w:hint="cs"/>
          <w:sz w:val="22"/>
          <w:rtl/>
        </w:rPr>
        <w:t xml:space="preserve"> שעניינו </w:t>
      </w:r>
      <w:r>
        <w:rPr>
          <w:rFonts w:ascii="Century" w:hAnsi="Century" w:hint="cs"/>
          <w:sz w:val="22"/>
          <w:rtl/>
        </w:rPr>
        <w:t>גודל</w:t>
      </w:r>
      <w:r w:rsidRPr="003D1268">
        <w:rPr>
          <w:rFonts w:ascii="Century" w:hAnsi="Century" w:hint="cs"/>
          <w:sz w:val="22"/>
          <w:rtl/>
        </w:rPr>
        <w:t xml:space="preserve"> ההטבה אשר </w:t>
      </w:r>
      <w:r>
        <w:rPr>
          <w:rFonts w:ascii="Century" w:hAnsi="Century" w:hint="cs"/>
          <w:sz w:val="22"/>
          <w:rtl/>
        </w:rPr>
        <w:t>מתקבלת על ידי ה</w:t>
      </w:r>
      <w:r w:rsidRPr="003D1268">
        <w:rPr>
          <w:rFonts w:ascii="Century" w:hAnsi="Century" w:hint="cs"/>
          <w:sz w:val="22"/>
          <w:rtl/>
        </w:rPr>
        <w:t xml:space="preserve">עובד. כך, לשיטתו של השופט </w:t>
      </w:r>
      <w:r w:rsidRPr="003D1268">
        <w:rPr>
          <w:rFonts w:ascii="Century" w:hAnsi="Century" w:cs="Miriam" w:hint="cs"/>
          <w:b/>
          <w:spacing w:val="0"/>
          <w:sz w:val="22"/>
          <w:szCs w:val="24"/>
          <w:rtl/>
        </w:rPr>
        <w:t>רובינשטיין</w:t>
      </w:r>
      <w:r>
        <w:rPr>
          <w:rFonts w:ascii="Century" w:hAnsi="Century" w:hint="cs"/>
          <w:sz w:val="22"/>
          <w:rtl/>
        </w:rPr>
        <w:t xml:space="preserve">, </w:t>
      </w:r>
      <w:r w:rsidRPr="003D1268">
        <w:rPr>
          <w:rFonts w:ascii="Century" w:hAnsi="Century" w:hint="cs"/>
          <w:sz w:val="22"/>
          <w:rtl/>
        </w:rPr>
        <w:t xml:space="preserve">הטבה </w:t>
      </w:r>
      <w:r>
        <w:rPr>
          <w:rFonts w:ascii="Century" w:hAnsi="Century" w:hint="cs"/>
          <w:sz w:val="22"/>
          <w:rtl/>
        </w:rPr>
        <w:t xml:space="preserve">שלא תהא חייבת במס </w:t>
      </w:r>
      <w:r w:rsidRPr="003D1268">
        <w:rPr>
          <w:rFonts w:ascii="Century" w:hAnsi="Century" w:hint="cs"/>
          <w:sz w:val="22"/>
          <w:rtl/>
        </w:rPr>
        <w:t>היא הטבה אשר עומדת בשני המבחנים הבאים, במצטבר</w:t>
      </w:r>
      <w:r>
        <w:rPr>
          <w:rFonts w:ascii="Century" w:hAnsi="Century" w:hint="cs"/>
          <w:sz w:val="22"/>
          <w:rtl/>
        </w:rPr>
        <w:t>: (1) ה</w:t>
      </w:r>
      <w:r w:rsidRPr="003D1268">
        <w:rPr>
          <w:rFonts w:ascii="Century" w:hAnsi="Century" w:hint="cs"/>
          <w:sz w:val="22"/>
          <w:rtl/>
        </w:rPr>
        <w:t xml:space="preserve">הטבה </w:t>
      </w:r>
      <w:r>
        <w:rPr>
          <w:rFonts w:ascii="Century" w:hAnsi="Century" w:hint="cs"/>
          <w:sz w:val="22"/>
          <w:rtl/>
        </w:rPr>
        <w:t xml:space="preserve">חייבת להיות </w:t>
      </w:r>
      <w:r w:rsidRPr="003D1268">
        <w:rPr>
          <w:rFonts w:ascii="Century" w:hAnsi="Century" w:hint="cs"/>
          <w:sz w:val="22"/>
          <w:rtl/>
        </w:rPr>
        <w:t xml:space="preserve">חיונית למילוי תפקידו של העובד; וכן (2) </w:t>
      </w:r>
      <w:r>
        <w:rPr>
          <w:rFonts w:ascii="Century" w:hAnsi="Century" w:hint="cs"/>
          <w:sz w:val="22"/>
          <w:rtl/>
        </w:rPr>
        <w:t>מדובר ב</w:t>
      </w:r>
      <w:r w:rsidRPr="003D1268">
        <w:rPr>
          <w:rFonts w:ascii="Century" w:hAnsi="Century" w:hint="cs"/>
          <w:sz w:val="22"/>
          <w:rtl/>
        </w:rPr>
        <w:t xml:space="preserve">הטבה </w:t>
      </w:r>
      <w:r>
        <w:rPr>
          <w:rFonts w:ascii="Century" w:hAnsi="Century" w:hint="cs"/>
          <w:sz w:val="22"/>
          <w:rtl/>
        </w:rPr>
        <w:t xml:space="preserve">אשר לא מסבה </w:t>
      </w:r>
      <w:r w:rsidRPr="00E32EC1">
        <w:rPr>
          <w:rFonts w:ascii="Century" w:hAnsi="Century" w:hint="cs"/>
          <w:sz w:val="22"/>
          <w:rtl/>
        </w:rPr>
        <w:t xml:space="preserve">לעובד </w:t>
      </w:r>
      <w:r>
        <w:rPr>
          <w:rFonts w:ascii="Century" w:hAnsi="Century" w:hint="cs"/>
          <w:sz w:val="22"/>
          <w:rtl/>
        </w:rPr>
        <w:t xml:space="preserve">טובת </w:t>
      </w:r>
      <w:r w:rsidRPr="00E32EC1">
        <w:rPr>
          <w:rFonts w:ascii="Century" w:hAnsi="Century" w:hint="cs"/>
          <w:sz w:val="22"/>
          <w:rtl/>
        </w:rPr>
        <w:t xml:space="preserve">הנאה ניכרת, שבשל כך עולה כדי הכנסה מוסווית. </w:t>
      </w:r>
    </w:p>
    <w:p w:rsidR="00245254" w:rsidRDefault="00245254" w:rsidP="00245254">
      <w:pPr>
        <w:pStyle w:val="Ruller4"/>
        <w:spacing w:before="240" w:after="100" w:afterAutospacing="1"/>
        <w:rPr>
          <w:rFonts w:ascii="Century" w:hAnsi="Century"/>
          <w:sz w:val="22"/>
        </w:rPr>
      </w:pPr>
      <w:r>
        <w:rPr>
          <w:rFonts w:ascii="Century" w:hAnsi="Century" w:hint="cs"/>
          <w:sz w:val="22"/>
          <w:rtl/>
        </w:rPr>
        <w:t xml:space="preserve">את המבחנים הללו ניתן לסכם במילה אחת אשר הוכנסה אל השיח הישראלי על ידי שלישיית הגשש החיוור: </w:t>
      </w:r>
      <w:r w:rsidRPr="003A521D">
        <w:rPr>
          <w:rFonts w:ascii="Century" w:hAnsi="Century" w:cs="Miriam" w:hint="cs"/>
          <w:b/>
          <w:spacing w:val="0"/>
          <w:sz w:val="22"/>
          <w:szCs w:val="24"/>
          <w:rtl/>
        </w:rPr>
        <w:t>"</w:t>
      </w:r>
      <w:proofErr w:type="spellStart"/>
      <w:r w:rsidRPr="003A521D">
        <w:rPr>
          <w:rFonts w:ascii="Century" w:hAnsi="Century" w:cs="Miriam" w:hint="cs"/>
          <w:b/>
          <w:spacing w:val="0"/>
          <w:sz w:val="22"/>
          <w:szCs w:val="24"/>
          <w:rtl/>
        </w:rPr>
        <w:t>ישראבלוף</w:t>
      </w:r>
      <w:proofErr w:type="spellEnd"/>
      <w:r w:rsidRPr="003A521D">
        <w:rPr>
          <w:rFonts w:ascii="Century" w:hAnsi="Century" w:cs="Miriam" w:hint="cs"/>
          <w:b/>
          <w:spacing w:val="0"/>
          <w:sz w:val="22"/>
          <w:szCs w:val="24"/>
          <w:rtl/>
        </w:rPr>
        <w:t>"</w:t>
      </w:r>
      <w:r>
        <w:rPr>
          <w:rFonts w:ascii="Century" w:hAnsi="Century" w:hint="cs"/>
          <w:sz w:val="22"/>
          <w:rtl/>
        </w:rPr>
        <w:t>. "</w:t>
      </w:r>
      <w:proofErr w:type="spellStart"/>
      <w:r>
        <w:rPr>
          <w:rFonts w:ascii="Century" w:hAnsi="Century" w:hint="cs"/>
          <w:sz w:val="22"/>
          <w:rtl/>
        </w:rPr>
        <w:t>ישראבלוף</w:t>
      </w:r>
      <w:proofErr w:type="spellEnd"/>
      <w:r>
        <w:rPr>
          <w:rFonts w:ascii="Century" w:hAnsi="Century" w:hint="cs"/>
          <w:sz w:val="22"/>
          <w:rtl/>
        </w:rPr>
        <w:t xml:space="preserve">" </w:t>
      </w:r>
      <w:r>
        <w:rPr>
          <w:rFonts w:ascii="Century" w:hAnsi="Century"/>
          <w:sz w:val="22"/>
          <w:rtl/>
        </w:rPr>
        <w:t>–</w:t>
      </w:r>
      <w:r>
        <w:rPr>
          <w:rFonts w:ascii="Century" w:hAnsi="Century" w:hint="cs"/>
          <w:sz w:val="22"/>
          <w:rtl/>
        </w:rPr>
        <w:t xml:space="preserve"> כמשמעותו המקורית במערכון "השליח בבנק" (1974) </w:t>
      </w:r>
      <w:r>
        <w:rPr>
          <w:rFonts w:ascii="Century" w:hAnsi="Century"/>
          <w:sz w:val="22"/>
          <w:rtl/>
        </w:rPr>
        <w:t>–</w:t>
      </w:r>
      <w:r>
        <w:rPr>
          <w:rFonts w:ascii="Century" w:hAnsi="Century" w:hint="cs"/>
          <w:sz w:val="22"/>
          <w:rtl/>
        </w:rPr>
        <w:t xml:space="preserve"> הוא סל של טובות הנאה אשר מוצעות לאדם, המתקבל לעבודה כשליח בבנק, לצד משכורתו, ואשר כוללות תקציב לרכישת ספרות מקצועית (למרות שהשליח אינו יודע לקרוא), החזר הוצאות טלפון (למרות שהשליח לא עתיד להשתמש בטלפון בעבודתו), וכן </w:t>
      </w:r>
      <w:r w:rsidRPr="003A521D">
        <w:rPr>
          <w:rFonts w:ascii="Century" w:hAnsi="Century" w:hint="cs"/>
          <w:sz w:val="22"/>
          <w:rtl/>
        </w:rPr>
        <w:t xml:space="preserve">תשלום עבור החזקת מכונית (למרות שהשליח </w:t>
      </w:r>
      <w:r>
        <w:rPr>
          <w:rFonts w:ascii="Century" w:hAnsi="Century" w:hint="cs"/>
          <w:sz w:val="22"/>
          <w:rtl/>
        </w:rPr>
        <w:t>אמור ל</w:t>
      </w:r>
      <w:r w:rsidRPr="003A521D">
        <w:rPr>
          <w:rFonts w:ascii="Century" w:hAnsi="Century" w:hint="cs"/>
          <w:sz w:val="22"/>
          <w:rtl/>
        </w:rPr>
        <w:t>בצע שליחויות כשהוא רכוב על אופניים</w:t>
      </w:r>
      <w:r>
        <w:rPr>
          <w:rFonts w:ascii="Century" w:hAnsi="Century" w:hint="cs"/>
          <w:sz w:val="22"/>
          <w:rtl/>
        </w:rPr>
        <w:t xml:space="preserve">) </w:t>
      </w:r>
      <w:r>
        <w:rPr>
          <w:rFonts w:ascii="Century" w:hAnsi="Century"/>
          <w:sz w:val="22"/>
          <w:rtl/>
        </w:rPr>
        <w:t>–</w:t>
      </w:r>
      <w:r>
        <w:rPr>
          <w:rFonts w:ascii="Century" w:hAnsi="Century" w:hint="cs"/>
          <w:sz w:val="22"/>
          <w:rtl/>
        </w:rPr>
        <w:t xml:space="preserve"> כל זה, כדי להקטין את בסיס המס ולהבטיח לאותו אדם, ברוך, את השכר שהלה ביקש: 2,000 ל"י נטו, ולא ברוטו. הטבת מעביד שאין לה תרומה פונקציונלית הכרחית לביצוע תפקידיו של העובד, מקבל ההטבה, היא "</w:t>
      </w:r>
      <w:proofErr w:type="spellStart"/>
      <w:r>
        <w:rPr>
          <w:rFonts w:ascii="Century" w:hAnsi="Century" w:hint="cs"/>
          <w:sz w:val="22"/>
          <w:rtl/>
        </w:rPr>
        <w:t>ישראבלוף</w:t>
      </w:r>
      <w:proofErr w:type="spellEnd"/>
      <w:r>
        <w:rPr>
          <w:rFonts w:ascii="Century" w:hAnsi="Century" w:hint="cs"/>
          <w:sz w:val="22"/>
          <w:rtl/>
        </w:rPr>
        <w:t xml:space="preserve">" </w:t>
      </w:r>
      <w:r>
        <w:rPr>
          <w:rFonts w:ascii="Century" w:hAnsi="Century"/>
          <w:sz w:val="22"/>
          <w:rtl/>
        </w:rPr>
        <w:t>–</w:t>
      </w:r>
      <w:r>
        <w:rPr>
          <w:rFonts w:ascii="Century" w:hAnsi="Century" w:hint="cs"/>
          <w:sz w:val="22"/>
          <w:rtl/>
        </w:rPr>
        <w:t xml:space="preserve"> ועל כן מן הדין </w:t>
      </w:r>
      <w:proofErr w:type="spellStart"/>
      <w:r>
        <w:rPr>
          <w:rFonts w:ascii="Century" w:hAnsi="Century" w:hint="cs"/>
          <w:sz w:val="22"/>
          <w:rtl/>
        </w:rPr>
        <w:t>למסותה</w:t>
      </w:r>
      <w:proofErr w:type="spellEnd"/>
      <w:r>
        <w:rPr>
          <w:rFonts w:ascii="Century" w:hAnsi="Century" w:hint="cs"/>
          <w:sz w:val="22"/>
          <w:rtl/>
        </w:rPr>
        <w:t xml:space="preserve"> כשכר עבודה לכל דבר. מבחן </w:t>
      </w:r>
      <w:proofErr w:type="spellStart"/>
      <w:r>
        <w:rPr>
          <w:rFonts w:ascii="Century" w:hAnsi="Century" w:hint="cs"/>
          <w:sz w:val="22"/>
          <w:rtl/>
        </w:rPr>
        <w:t>ה"ישראבלוף</w:t>
      </w:r>
      <w:proofErr w:type="spellEnd"/>
      <w:r>
        <w:rPr>
          <w:rFonts w:ascii="Century" w:hAnsi="Century" w:hint="cs"/>
          <w:sz w:val="22"/>
          <w:rtl/>
        </w:rPr>
        <w:t xml:space="preserve">" הוא, למעשה, מבחן השכל הישר שבאמצעותו ניתן לזהות הכנסת עבודה מוסווית בלא מעט מקרים. </w:t>
      </w:r>
    </w:p>
    <w:p w:rsidR="00245254" w:rsidRPr="003A521D" w:rsidRDefault="00245254" w:rsidP="00245254">
      <w:pPr>
        <w:pStyle w:val="Ruller4"/>
        <w:spacing w:before="240" w:after="100" w:afterAutospacing="1"/>
        <w:rPr>
          <w:rFonts w:ascii="Century" w:hAnsi="Century"/>
          <w:sz w:val="22"/>
          <w:rtl/>
        </w:rPr>
      </w:pPr>
      <w:r>
        <w:rPr>
          <w:rFonts w:ascii="Century" w:hAnsi="Century" w:hint="cs"/>
          <w:sz w:val="22"/>
          <w:rtl/>
        </w:rPr>
        <w:t>העמידו לנגד עיניכם שני עובדים שמבצעים משימות זהות עבור מעסיקיהם תמורת שכר חודשי זהה. הניחו שמעסיקו של אחד העובדים מממן עבורו ארוחות במסעדה ושהעובד האחר אינו מקבל הטבה כאמור. בנסיבות אלו, לא ניתן לחלוק על כך ששכר העבודה של העובד הראשון עולה על שכרו של העובד השני. הטענה כי ארוחות במסעדה, שהמעסיק מממן, מהוות חלק אינטגרלי מעבודת העובד היא "</w:t>
      </w:r>
      <w:proofErr w:type="spellStart"/>
      <w:r>
        <w:rPr>
          <w:rFonts w:ascii="Century" w:hAnsi="Century" w:hint="cs"/>
          <w:sz w:val="22"/>
          <w:rtl/>
        </w:rPr>
        <w:t>ישראבלוף</w:t>
      </w:r>
      <w:proofErr w:type="spellEnd"/>
      <w:r>
        <w:rPr>
          <w:rFonts w:ascii="Century" w:hAnsi="Century" w:hint="cs"/>
          <w:sz w:val="22"/>
          <w:rtl/>
        </w:rPr>
        <w:t>".</w:t>
      </w:r>
    </w:p>
    <w:p w:rsidR="00245254" w:rsidRDefault="00245254" w:rsidP="00245254">
      <w:pPr>
        <w:pStyle w:val="Ruller4"/>
        <w:spacing w:before="240" w:after="100" w:afterAutospacing="1"/>
        <w:rPr>
          <w:rtl/>
        </w:rPr>
      </w:pPr>
      <w:r>
        <w:rPr>
          <w:rFonts w:hint="cs"/>
          <w:rtl/>
        </w:rPr>
        <w:t xml:space="preserve">כפי שיפורט להלן, ענייננו-שלנו אינו דורש הכרעה חותכת במבחנים להכרה בהטבת מעסיק כהכנסה החייבת במס. אסתפק בלומר כי המבחנים שהציעו השופטים </w:t>
      </w:r>
      <w:r w:rsidRPr="004841CD">
        <w:rPr>
          <w:rFonts w:ascii="Century" w:hAnsi="Century" w:cs="Miriam" w:hint="cs"/>
          <w:b/>
          <w:spacing w:val="0"/>
          <w:sz w:val="22"/>
          <w:szCs w:val="24"/>
          <w:rtl/>
        </w:rPr>
        <w:t xml:space="preserve">ויתקון </w:t>
      </w:r>
      <w:r w:rsidRPr="004841CD">
        <w:rPr>
          <w:rFonts w:ascii="Century" w:hAnsi="Century" w:hint="cs"/>
          <w:sz w:val="22"/>
          <w:rtl/>
        </w:rPr>
        <w:t>ו</w:t>
      </w:r>
      <w:r w:rsidRPr="004841CD">
        <w:rPr>
          <w:rFonts w:ascii="Century" w:hAnsi="Century" w:cs="Miriam" w:hint="cs"/>
          <w:b/>
          <w:spacing w:val="0"/>
          <w:sz w:val="22"/>
          <w:szCs w:val="24"/>
          <w:rtl/>
        </w:rPr>
        <w:t>רובינשטיין</w:t>
      </w:r>
      <w:r>
        <w:rPr>
          <w:rFonts w:hint="cs"/>
          <w:rtl/>
        </w:rPr>
        <w:t xml:space="preserve"> מקובלים עלי, בעיקרם, אולם אבקש לנסחם באופן ממוקד יותר וקל יותר ליישום. לפי עמדתי שלי, ככלל, כל הטבה אשר ניתנת לעובד צריכה להיות ממוסה, זולת אם מדובר בזוטי דברים (ראו:</w:t>
      </w:r>
      <w:r w:rsidRPr="00346B9D">
        <w:rPr>
          <w:rFonts w:hint="cs"/>
          <w:rtl/>
        </w:rPr>
        <w:t xml:space="preserve"> </w:t>
      </w:r>
      <w:r>
        <w:rPr>
          <w:rFonts w:hint="cs"/>
          <w:rtl/>
        </w:rPr>
        <w:t xml:space="preserve">עניין </w:t>
      </w:r>
      <w:r w:rsidRPr="004841CD">
        <w:rPr>
          <w:rFonts w:ascii="Century" w:hAnsi="Century" w:cs="Miriam" w:hint="cs"/>
          <w:b/>
          <w:spacing w:val="0"/>
          <w:sz w:val="22"/>
          <w:szCs w:val="24"/>
          <w:rtl/>
        </w:rPr>
        <w:t>דן</w:t>
      </w:r>
      <w:r w:rsidRPr="00346B9D">
        <w:rPr>
          <w:rFonts w:hint="cs"/>
          <w:rtl/>
        </w:rPr>
        <w:t>, עמ' 2093</w:t>
      </w:r>
      <w:r>
        <w:rPr>
          <w:rFonts w:hint="cs"/>
          <w:rtl/>
        </w:rPr>
        <w:t xml:space="preserve">). </w:t>
      </w:r>
      <w:r w:rsidRPr="007547BC">
        <w:rPr>
          <w:rFonts w:ascii="Century" w:hAnsi="Century" w:cs="Miriam" w:hint="cs"/>
          <w:b/>
          <w:spacing w:val="0"/>
          <w:sz w:val="22"/>
          <w:szCs w:val="24"/>
          <w:rtl/>
        </w:rPr>
        <w:t>ואולם</w:t>
      </w:r>
      <w:r w:rsidRPr="000427C5">
        <w:rPr>
          <w:rFonts w:ascii="Century" w:hAnsi="Century" w:cs="Miriam" w:hint="cs"/>
          <w:b/>
          <w:spacing w:val="0"/>
          <w:sz w:val="22"/>
          <w:szCs w:val="24"/>
          <w:rtl/>
        </w:rPr>
        <w:t xml:space="preserve">, הטבה אשר </w:t>
      </w:r>
      <w:r w:rsidRPr="007547BC">
        <w:rPr>
          <w:rFonts w:ascii="Century" w:hAnsi="Century" w:cs="Miriam" w:hint="cs"/>
          <w:b/>
          <w:spacing w:val="0"/>
          <w:sz w:val="22"/>
          <w:szCs w:val="24"/>
          <w:u w:val="single"/>
          <w:rtl/>
        </w:rPr>
        <w:t xml:space="preserve">נגזרת מתנאי ביצוע </w:t>
      </w:r>
      <w:r w:rsidRPr="000427C5">
        <w:rPr>
          <w:rFonts w:ascii="Century" w:hAnsi="Century" w:cs="Miriam" w:hint="cs"/>
          <w:b/>
          <w:spacing w:val="0"/>
          <w:sz w:val="22"/>
          <w:szCs w:val="24"/>
          <w:u w:val="single"/>
          <w:rtl/>
        </w:rPr>
        <w:t xml:space="preserve">העבודה </w:t>
      </w:r>
      <w:r w:rsidRPr="007547BC">
        <w:rPr>
          <w:rFonts w:ascii="Century" w:hAnsi="Century" w:cs="Miriam" w:hint="cs"/>
          <w:b/>
          <w:spacing w:val="0"/>
          <w:sz w:val="22"/>
          <w:szCs w:val="24"/>
          <w:u w:val="single"/>
          <w:rtl/>
        </w:rPr>
        <w:t>שקבע המעביד</w:t>
      </w:r>
      <w:r w:rsidRPr="007547BC">
        <w:rPr>
          <w:rFonts w:ascii="Century" w:hAnsi="Century" w:cs="Miriam" w:hint="cs"/>
          <w:b/>
          <w:spacing w:val="0"/>
          <w:sz w:val="22"/>
          <w:szCs w:val="24"/>
          <w:rtl/>
        </w:rPr>
        <w:t xml:space="preserve"> </w:t>
      </w:r>
      <w:r w:rsidRPr="007547BC">
        <w:rPr>
          <w:rFonts w:ascii="Century" w:hAnsi="Century" w:cs="Miriam"/>
          <w:b/>
          <w:spacing w:val="0"/>
          <w:sz w:val="22"/>
          <w:szCs w:val="24"/>
          <w:rtl/>
        </w:rPr>
        <w:t>–</w:t>
      </w:r>
      <w:r w:rsidRPr="007547BC">
        <w:rPr>
          <w:rFonts w:ascii="Century" w:hAnsi="Century" w:cs="Miriam" w:hint="cs"/>
          <w:b/>
          <w:spacing w:val="0"/>
          <w:sz w:val="22"/>
          <w:szCs w:val="24"/>
          <w:rtl/>
        </w:rPr>
        <w:t xml:space="preserve"> מבלי שהיא מסבה לעובד טובת הנאה</w:t>
      </w:r>
      <w:r w:rsidRPr="000427C5">
        <w:rPr>
          <w:rFonts w:ascii="Century" w:hAnsi="Century" w:cs="Miriam" w:hint="cs"/>
          <w:b/>
          <w:spacing w:val="0"/>
          <w:sz w:val="22"/>
          <w:szCs w:val="24"/>
          <w:rtl/>
        </w:rPr>
        <w:t xml:space="preserve"> ניכרת שאינה קשורה במישרין </w:t>
      </w:r>
      <w:r w:rsidRPr="007547BC">
        <w:rPr>
          <w:rFonts w:ascii="Century" w:hAnsi="Century" w:cs="Miriam" w:hint="cs"/>
          <w:b/>
          <w:spacing w:val="0"/>
          <w:sz w:val="22"/>
          <w:szCs w:val="24"/>
          <w:rtl/>
        </w:rPr>
        <w:t xml:space="preserve">לעבודתו </w:t>
      </w:r>
      <w:r w:rsidRPr="007547BC">
        <w:rPr>
          <w:rFonts w:ascii="Century" w:hAnsi="Century" w:cs="Miriam"/>
          <w:b/>
          <w:spacing w:val="0"/>
          <w:sz w:val="22"/>
          <w:szCs w:val="24"/>
          <w:rtl/>
        </w:rPr>
        <w:t>–</w:t>
      </w:r>
      <w:r w:rsidRPr="007547BC">
        <w:rPr>
          <w:rFonts w:ascii="Century" w:hAnsi="Century" w:cs="Miriam" w:hint="cs"/>
          <w:b/>
          <w:spacing w:val="0"/>
          <w:sz w:val="22"/>
          <w:szCs w:val="24"/>
          <w:rtl/>
        </w:rPr>
        <w:t xml:space="preserve"> לא תיחשב לחלק משכר העבודה והעובד לא יהא חייב לשלם בגינה מס הכנסה</w:t>
      </w:r>
      <w:r>
        <w:rPr>
          <w:rFonts w:hint="cs"/>
          <w:rtl/>
        </w:rPr>
        <w:t xml:space="preserve">. </w:t>
      </w:r>
    </w:p>
    <w:p w:rsidR="00245254" w:rsidRDefault="00245254" w:rsidP="00245254">
      <w:pPr>
        <w:pStyle w:val="Ruller4"/>
        <w:spacing w:before="240" w:after="100" w:afterAutospacing="1"/>
      </w:pPr>
      <w:r>
        <w:rPr>
          <w:rFonts w:hint="cs"/>
          <w:rtl/>
        </w:rPr>
        <w:lastRenderedPageBreak/>
        <w:t xml:space="preserve">ניתן לתאר את ההטבות השונות אשר ניתנות לעובד כנמצאות על ספקטרום. בקצהו האחד של הספקטרום נמצאות הטבות שנועדו לשפר את חייו האישיים של העובד בתמורה לעבודתו, וזאת מבלי שלהטבה יהיה קשר ישיר לעבודה גופה. קבוצה זו כוללת, למשל, תלושי מתנה שניתנים לעובד בגין הצטיינות בעבודה. הטבות כאלה </w:t>
      </w:r>
      <w:proofErr w:type="spellStart"/>
      <w:r>
        <w:rPr>
          <w:rFonts w:hint="cs"/>
          <w:rtl/>
        </w:rPr>
        <w:t>תמוסנה</w:t>
      </w:r>
      <w:proofErr w:type="spellEnd"/>
      <w:r>
        <w:rPr>
          <w:rFonts w:hint="cs"/>
          <w:rtl/>
        </w:rPr>
        <w:t xml:space="preserve"> כהכנסת עבודה לכל דבר ועניין. בקצהו השני של הספקטרום נמצאות הטבות שתכליתן לאפשר לעובד לבצע את עבודתו או לשפר את תנאי עבודתו. קבוצה זו כוללת, באופן מובהק, הטבות שונות אשר ניתנות לעובד במקום עבודתו ואשר אינן משרתות את העובד בשום צורה שהיא מחוץ לעבודתו. למשל: מעסיק אשר מחליף את מסכי המחשב לעובדיו במסכים גדולים יותר, או מעסיק שמעביר את עובדיו למשרדים מרווחים ונוחים יותר מבלי ספק מיטיב עם עובדיו, אולם הטבות כאלה לא </w:t>
      </w:r>
      <w:proofErr w:type="spellStart"/>
      <w:r>
        <w:rPr>
          <w:rFonts w:hint="cs"/>
          <w:rtl/>
        </w:rPr>
        <w:t>תמוסנה</w:t>
      </w:r>
      <w:proofErr w:type="spellEnd"/>
      <w:r>
        <w:rPr>
          <w:rFonts w:hint="cs"/>
          <w:rtl/>
        </w:rPr>
        <w:t xml:space="preserve"> כחלק משכר העבודה. סביר להניח שעובדים יעדיפו לעבוד במקום עבודה שמעניק להם תנאים פיזיים נוחים יותר, וחלקם אף יהיו מוכנים לספוג ירידה מסוימת בשכר כדי לקבל הטבות כאלה, אך הדבר אינו הופך את ההטבות לשכר מאחר שהן נגזרות מתנאי ביצוע העבודה שקבע המעסיק. בין שני קצוות אלה של הספקטרום נמצאות הטבות אשר ניתנות לעובד לשם ביצוע עבודתו, אולם הטבות אלו משמעותיות לעובד ומיטיבות עמו גם מחוץ למסגרת עבודתו. קבוצה זו של הטבות כוללת, למשל, העמדת טלפון סלולרי או מחשב נייד לעובד, כאשר מכשירים אלה משמשים את העובד לא רק בעבודתו אלא גם בחייו האישיים שמחוץ לעבודה. כדי לאתר הטבות-מעביד אשר חייבות במס הכנסה שמשתייכות לקבוצה זו, נכון נעשה אם נשתמש במבחן-עזר אשר מציג את השאלה הבאה: </w:t>
      </w:r>
      <w:r w:rsidRPr="00141A78">
        <w:rPr>
          <w:rFonts w:ascii="Century" w:hAnsi="Century" w:cs="Miriam" w:hint="cs"/>
          <w:b/>
          <w:spacing w:val="0"/>
          <w:sz w:val="22"/>
          <w:szCs w:val="24"/>
          <w:u w:val="single"/>
          <w:rtl/>
        </w:rPr>
        <w:t xml:space="preserve">האם ההטבה חוסכת לעובד הוצאה </w:t>
      </w:r>
      <w:r w:rsidRPr="00EE5FFC">
        <w:rPr>
          <w:rFonts w:ascii="Century" w:hAnsi="Century" w:cs="Miriam" w:hint="cs"/>
          <w:b/>
          <w:spacing w:val="0"/>
          <w:sz w:val="22"/>
          <w:szCs w:val="24"/>
          <w:u w:val="single"/>
          <w:rtl/>
        </w:rPr>
        <w:t>שהעובד היה</w:t>
      </w:r>
      <w:r w:rsidRPr="00141A78">
        <w:rPr>
          <w:rFonts w:ascii="Century" w:hAnsi="Century" w:cs="Miriam" w:hint="cs"/>
          <w:b/>
          <w:spacing w:val="0"/>
          <w:sz w:val="22"/>
          <w:szCs w:val="24"/>
          <w:u w:val="single"/>
          <w:rtl/>
        </w:rPr>
        <w:t xml:space="preserve"> מוציא ממילא</w:t>
      </w:r>
      <w:r w:rsidRPr="00EE5FFC">
        <w:rPr>
          <w:rFonts w:ascii="Century" w:hAnsi="Century" w:cs="Miriam" w:hint="cs"/>
          <w:b/>
          <w:spacing w:val="0"/>
          <w:sz w:val="22"/>
          <w:szCs w:val="24"/>
          <w:u w:val="single"/>
          <w:rtl/>
        </w:rPr>
        <w:t>?</w:t>
      </w:r>
      <w:r>
        <w:rPr>
          <w:rFonts w:hint="cs"/>
          <w:rtl/>
        </w:rPr>
        <w:t xml:space="preserve"> כפי שאראה להלן, במבחן-עזר זה נוכל להסתפק כדי להכריע בערעורים שלפנינו.</w:t>
      </w:r>
    </w:p>
    <w:p w:rsidR="00245254" w:rsidRPr="00372DCE" w:rsidRDefault="00245254" w:rsidP="00245254">
      <w:pPr>
        <w:pStyle w:val="Ruller41"/>
        <w:spacing w:before="240" w:after="100" w:afterAutospacing="1"/>
        <w:rPr>
          <w:rFonts w:ascii="Century" w:hAnsi="Century" w:cs="Miriam"/>
          <w:b/>
          <w:spacing w:val="0"/>
          <w:szCs w:val="24"/>
          <w:rtl/>
        </w:rPr>
      </w:pPr>
      <w:r w:rsidRPr="00372DCE">
        <w:rPr>
          <w:rFonts w:ascii="Century" w:hAnsi="Century" w:cs="Miriam" w:hint="cs"/>
          <w:b/>
          <w:spacing w:val="0"/>
          <w:szCs w:val="24"/>
          <w:rtl/>
        </w:rPr>
        <w:t>הוצאות הדיור והלינה</w:t>
      </w:r>
    </w:p>
    <w:p w:rsidR="00245254" w:rsidRDefault="00245254" w:rsidP="00245254">
      <w:pPr>
        <w:pStyle w:val="Ruller4"/>
        <w:spacing w:before="240" w:after="100" w:afterAutospacing="1"/>
      </w:pPr>
      <w:r>
        <w:rPr>
          <w:rFonts w:hint="cs"/>
          <w:rtl/>
        </w:rPr>
        <w:t xml:space="preserve">כל אדם זקוק לדיור וללינה ונושא בעלויותיהם בדרך כלשהי. אדם שקובע את מקום מגוריו בעיר פלונית נושא בהוצאות הדיור והלינה שלו באותה עיר, ואין לכך קשר פונקציונלי ישיר לעבודתו של האדם. זאת, גם אם אדם עובר להתגורר בסמוך למקום עבודתו. כאשר מעסיקו של אותו אדם משלם הוצאות אלו במקומו, או מעמיד לאותו אדם מקום מגורים, פשיטא הוא שמדובר בטובת הנאה אשר מהווה חלק משכר העבודה של האדם לעניינו של סעיף 2(2) לפקודת מס הכנסה ושיש </w:t>
      </w:r>
      <w:proofErr w:type="spellStart"/>
      <w:r>
        <w:rPr>
          <w:rFonts w:hint="cs"/>
          <w:rtl/>
        </w:rPr>
        <w:t>למסותה</w:t>
      </w:r>
      <w:proofErr w:type="spellEnd"/>
      <w:r>
        <w:rPr>
          <w:rFonts w:hint="cs"/>
          <w:rtl/>
        </w:rPr>
        <w:t xml:space="preserve"> ככל הכנסה. בהקשר זה אציין כי סעיף 2(2) לפקודה, בנוסח שקדם לתיקון 22, התייחס בצורה מפורשת להוצאות בגין דיור ולינה וקבע כי הן חייבות במס ("השתכרות או רווח מעבודה, לרבות שווים הנאמד של אכסניה או אוכל או מגורים ..."). ברי הוא, אפוא, כי סעיף 2(2) לפקודה בנוסחו </w:t>
      </w:r>
      <w:proofErr w:type="spellStart"/>
      <w:r>
        <w:rPr>
          <w:rFonts w:hint="cs"/>
          <w:rtl/>
        </w:rPr>
        <w:t>דהיום</w:t>
      </w:r>
      <w:proofErr w:type="spellEnd"/>
      <w:r>
        <w:rPr>
          <w:rFonts w:hint="cs"/>
          <w:rtl/>
        </w:rPr>
        <w:t xml:space="preserve"> </w:t>
      </w:r>
      <w:r>
        <w:rPr>
          <w:rtl/>
        </w:rPr>
        <w:t>–</w:t>
      </w:r>
      <w:r>
        <w:rPr>
          <w:rFonts w:hint="cs"/>
          <w:rtl/>
        </w:rPr>
        <w:t xml:space="preserve"> שכאמור נועד להיות רחב יותר מההגדרה שקדמה לתיקון 22 </w:t>
      </w:r>
      <w:r>
        <w:rPr>
          <w:rtl/>
        </w:rPr>
        <w:t>–</w:t>
      </w:r>
      <w:r>
        <w:rPr>
          <w:rFonts w:hint="cs"/>
          <w:rtl/>
        </w:rPr>
        <w:t xml:space="preserve"> כולל </w:t>
      </w:r>
      <w:r>
        <w:rPr>
          <w:rFonts w:hint="cs"/>
          <w:rtl/>
        </w:rPr>
        <w:lastRenderedPageBreak/>
        <w:t>בהגדרת "</w:t>
      </w:r>
      <w:r w:rsidRPr="00FB6805">
        <w:rPr>
          <w:rtl/>
        </w:rPr>
        <w:t>השתכרות או ריווח מעבודה</w:t>
      </w:r>
      <w:r>
        <w:rPr>
          <w:rFonts w:hint="cs"/>
          <w:rtl/>
        </w:rPr>
        <w:t>" הוצאות בגין דיור ולינה של עובד בהן נושא המעסיק.</w:t>
      </w:r>
    </w:p>
    <w:p w:rsidR="00245254" w:rsidRDefault="00245254" w:rsidP="00245254">
      <w:pPr>
        <w:pStyle w:val="Ruller4"/>
        <w:spacing w:before="240" w:after="100" w:afterAutospacing="1"/>
        <w:rPr>
          <w:rtl/>
        </w:rPr>
      </w:pPr>
      <w:r>
        <w:rPr>
          <w:rFonts w:hint="cs"/>
          <w:rtl/>
        </w:rPr>
        <w:t xml:space="preserve">הוא הדין לגבי שחקן כדורגל מקצועני אשר העתיק את מרכז חייו מעיר פלונית או מכפר פלוני לקריית שמונה. העמדת דיור ולינה לאותו שחקן באזור קריית שמונה משרתת באופן ישיר ומובהק את האינטרס שלו לשחק בקבוצת עירוני קריית שמונה תמורת שכר. טובת הנאה כאמור בלי ספק משרתת גם את אינטרס המעביד: קבוצת עירוני קריית שמונה. אולם, מאחר שמימון הדיור והלינה על ידי הקבוצה מאפשר לשחקן לחסוך את עלויות הדיור והלינה במקום אחר, מימון זה ייזקף לשכרו של השחקן </w:t>
      </w:r>
      <w:proofErr w:type="spellStart"/>
      <w:r>
        <w:rPr>
          <w:rFonts w:hint="cs"/>
          <w:rtl/>
        </w:rPr>
        <w:t>ויחוייב</w:t>
      </w:r>
      <w:proofErr w:type="spellEnd"/>
      <w:r>
        <w:rPr>
          <w:rFonts w:hint="cs"/>
          <w:rtl/>
        </w:rPr>
        <w:t xml:space="preserve"> במס הכנסה.</w:t>
      </w:r>
    </w:p>
    <w:p w:rsidR="00245254" w:rsidRDefault="00245254" w:rsidP="00245254">
      <w:pPr>
        <w:pStyle w:val="Ruller4"/>
        <w:spacing w:before="240" w:after="100" w:afterAutospacing="1"/>
      </w:pPr>
      <w:r>
        <w:rPr>
          <w:rFonts w:hint="cs"/>
          <w:rtl/>
        </w:rPr>
        <w:t xml:space="preserve">זאת ועוד: כפי שכבר </w:t>
      </w:r>
      <w:proofErr w:type="spellStart"/>
      <w:r>
        <w:rPr>
          <w:rFonts w:hint="cs"/>
          <w:rtl/>
        </w:rPr>
        <w:t>צויין</w:t>
      </w:r>
      <w:proofErr w:type="spellEnd"/>
      <w:r>
        <w:rPr>
          <w:rFonts w:hint="cs"/>
          <w:rtl/>
        </w:rPr>
        <w:t xml:space="preserve"> על ידי, הוצאת המימון שהקבוצה הוציאה עבור דיור ולינה כאמור אִפשרה לשחקנים שקיבלו ממנה טובת הנאה זו לקבוע את מרכז חייהם בקריית שמונה ועל ידי כך לגבש זכאות להטבת יישוב מוטב בגדרו של סעיף 11 לפקודת מס הכנסה. מדובר בהטבת מס אישית משמעותית. מטעם זה בלבד, סבורני כי אין כל אפשרות לסווג את טובת ההנאה שבה עסקינן כשולית וטפלה ביחס לתועלת שהפיקה ממנה הקבוצה. </w:t>
      </w:r>
    </w:p>
    <w:p w:rsidR="00245254" w:rsidRDefault="00245254" w:rsidP="00245254">
      <w:pPr>
        <w:pStyle w:val="Ruller4"/>
        <w:spacing w:before="240" w:after="100" w:afterAutospacing="1"/>
      </w:pPr>
      <w:r>
        <w:rPr>
          <w:rFonts w:hint="cs"/>
          <w:rtl/>
        </w:rPr>
        <w:t>בטרם אנעל פרק זה של הדיון בערעור הקבוצה, אציין, למען הסר ספק, כי איני דן בהוצאות הדיור והלינה שהקבוצה מוציאה על השחקנים הזרים שלה שלא התאזרחו. כמו כן, איני מתייחס, כמובן, להוצאות הלינה שהקבוצה מוציאה בנסיעותיה למשחקי חוץ ולמחנות אימונים: הוצאות אלה משרתות בעיקרן את אינטרס הקבוצה כמעסיק, שכן השחקנים ואנשי הסגל לא היו נושאים בעלויות הלינה אלמלא הנסיעה למשחקי החוץ ולמחנות אימונים, ועל כן אינן מהוות חלק משכר השחקנים.</w:t>
      </w:r>
    </w:p>
    <w:p w:rsidR="00245254" w:rsidRDefault="00245254" w:rsidP="00245254">
      <w:pPr>
        <w:pStyle w:val="Ruller4"/>
        <w:spacing w:before="240" w:after="100" w:afterAutospacing="1"/>
      </w:pPr>
      <w:r>
        <w:rPr>
          <w:rFonts w:hint="cs"/>
          <w:rtl/>
        </w:rPr>
        <w:t>אשר על כן, טוב נעשה אם נדחה את ערעור הקבוצה ביחס לפרטי השומה שעניינם הוצאות הדיור והלינה של השחקנים בקריית שמונה.</w:t>
      </w:r>
    </w:p>
    <w:p w:rsidR="00245254" w:rsidRPr="00BA3EDC" w:rsidRDefault="00245254" w:rsidP="00245254">
      <w:pPr>
        <w:pStyle w:val="Ruller41"/>
        <w:spacing w:before="240" w:after="100" w:afterAutospacing="1"/>
        <w:rPr>
          <w:rFonts w:ascii="Century" w:hAnsi="Century" w:cs="Miriam"/>
          <w:b/>
          <w:spacing w:val="0"/>
          <w:szCs w:val="24"/>
          <w:rtl/>
        </w:rPr>
      </w:pPr>
      <w:r w:rsidRPr="00BA3EDC">
        <w:rPr>
          <w:rFonts w:ascii="Century" w:hAnsi="Century" w:cs="Miriam" w:hint="cs"/>
          <w:b/>
          <w:spacing w:val="0"/>
          <w:szCs w:val="24"/>
          <w:rtl/>
        </w:rPr>
        <w:t>הוצאות הקבוצה על ארוחות שחקניה</w:t>
      </w:r>
    </w:p>
    <w:p w:rsidR="00245254" w:rsidRDefault="00245254" w:rsidP="00245254">
      <w:pPr>
        <w:pStyle w:val="Ruller4"/>
        <w:spacing w:before="240" w:after="100" w:afterAutospacing="1"/>
        <w:rPr>
          <w:rtl/>
        </w:rPr>
      </w:pPr>
      <w:r>
        <w:rPr>
          <w:rFonts w:hint="cs"/>
          <w:rtl/>
        </w:rPr>
        <w:t>כל אדם צריך לאכול ולשתות. לפיכך, עובד שצורך מזון שמסופק לו על ידי מעסיקו חוסך לעצמו את עלויות התזונה העצמית. מטעם זה, ארוחות שמעביד מספק לעובדיו הן בגדר טובת הנאה שנזקפת לשכרם ויש לשלם בגינה מס הכנסה. מסקנה פשוטה זו עולה מהאמור בסעיפים 2(2) ו-32(1) לפקודת מס הכנסה. כאמור, הוצאות אלה נכללו בהוראותיו של סעיף 2(2) לפקודה, שעניינן הכנסה או רווח מעבודה, עוד בטרם חוקק תיקון 22.</w:t>
      </w:r>
    </w:p>
    <w:p w:rsidR="00245254" w:rsidRDefault="00245254" w:rsidP="00245254">
      <w:pPr>
        <w:pStyle w:val="Ruller4"/>
        <w:spacing w:before="240" w:after="100" w:afterAutospacing="1"/>
        <w:rPr>
          <w:rtl/>
        </w:rPr>
      </w:pPr>
      <w:r>
        <w:rPr>
          <w:rFonts w:hint="cs"/>
          <w:rtl/>
        </w:rPr>
        <w:lastRenderedPageBreak/>
        <w:t xml:space="preserve">הוא הדין לגבי אדם שמשחק כדורגל בקבוצה מקצוענית. ארוחות שקבוצתו מספקת לו הן בגדר הכנסה אשר חייבת במס הכנסה. העובדה שבמקרה דנן מדובר בארוחות שהיו מפוקחות על ידי דיאטנית של קבוצת עירוני קריית שמונה אינה מעלה ואינה מורידה. פשיטא הוא שמדובר בטובת הנאה שעיקרה טובת העובד: חיסכון העובד בעלויות התזונה העצמית </w:t>
      </w:r>
      <w:r>
        <w:rPr>
          <w:rtl/>
        </w:rPr>
        <w:t>–</w:t>
      </w:r>
      <w:r>
        <w:rPr>
          <w:rFonts w:hint="cs"/>
          <w:rtl/>
        </w:rPr>
        <w:t xml:space="preserve"> עלויות שהעובד היה נושא בהן אלמלא ההטבה שקיבל ממעסיקתו. </w:t>
      </w:r>
    </w:p>
    <w:p w:rsidR="00245254" w:rsidRDefault="00245254" w:rsidP="00245254">
      <w:pPr>
        <w:pStyle w:val="Ruller4"/>
        <w:spacing w:before="240" w:after="100" w:afterAutospacing="1"/>
      </w:pPr>
      <w:r>
        <w:rPr>
          <w:rFonts w:hint="cs"/>
          <w:rtl/>
        </w:rPr>
        <w:t xml:space="preserve">בנדון </w:t>
      </w:r>
      <w:proofErr w:type="spellStart"/>
      <w:r>
        <w:rPr>
          <w:rFonts w:hint="cs"/>
          <w:rtl/>
        </w:rPr>
        <w:t>דידן</w:t>
      </w:r>
      <w:proofErr w:type="spellEnd"/>
      <w:r>
        <w:rPr>
          <w:rFonts w:hint="cs"/>
          <w:rtl/>
        </w:rPr>
        <w:t xml:space="preserve">, נוכל להיעזר בהלכות אשר נפסקו </w:t>
      </w:r>
      <w:proofErr w:type="spellStart"/>
      <w:r>
        <w:rPr>
          <w:rFonts w:hint="cs"/>
          <w:rtl/>
        </w:rPr>
        <w:t>בגדריהם</w:t>
      </w:r>
      <w:proofErr w:type="spellEnd"/>
      <w:r>
        <w:rPr>
          <w:rFonts w:hint="cs"/>
          <w:rtl/>
        </w:rPr>
        <w:t xml:space="preserve"> של דיני המס האמריקניים בעניין ההוצאות המותרות בניכוי מהכנסותיהם של ספורטאים מקצועניים. לפי דיני המס הפדראליים של ארצות הברית, הוצאה תהא מותרת בניכוי אם היא "רגילה והכרחית" (</w:t>
      </w:r>
      <w:r w:rsidRPr="004E54B3">
        <w:rPr>
          <w:rFonts w:asciiTheme="majorBidi" w:hAnsiTheme="majorBidi" w:cstheme="majorBidi"/>
        </w:rPr>
        <w:t>"ordinary" and "necessary"</w:t>
      </w:r>
      <w:r>
        <w:rPr>
          <w:rFonts w:hint="cs"/>
          <w:rtl/>
        </w:rPr>
        <w:t xml:space="preserve">) לניהול העסק </w:t>
      </w:r>
      <w:r>
        <w:rPr>
          <w:rtl/>
        </w:rPr>
        <w:t>–</w:t>
      </w:r>
      <w:r>
        <w:rPr>
          <w:rFonts w:hint="cs"/>
          <w:rtl/>
        </w:rPr>
        <w:t xml:space="preserve"> ענף הספורט בו הספורטאי נוטל חלק. ארוחה רגילה שכל אדם נוהג לאכול </w:t>
      </w:r>
      <w:r>
        <w:rPr>
          <w:rtl/>
        </w:rPr>
        <w:t>–</w:t>
      </w:r>
      <w:r>
        <w:rPr>
          <w:rFonts w:hint="cs"/>
          <w:rtl/>
        </w:rPr>
        <w:t xml:space="preserve"> ושהספורטאי היה אוכל ממילא במתכונת כזאת או אחרת </w:t>
      </w:r>
      <w:r>
        <w:rPr>
          <w:rtl/>
        </w:rPr>
        <w:t>–</w:t>
      </w:r>
      <w:r>
        <w:rPr>
          <w:rFonts w:hint="cs"/>
          <w:rtl/>
        </w:rPr>
        <w:t xml:space="preserve"> איננה בגדר תשומה לעסק שניתן לסווגה כרגילה והכרחית; אם כי ייתכן שתוספי מזון מיוחדים יוכרו כתשומה לעסקי הספורט (ראו: </w:t>
      </w:r>
      <w:r w:rsidRPr="0010516A">
        <w:rPr>
          <w:rFonts w:asciiTheme="majorBidi" w:hAnsiTheme="majorBidi" w:cstheme="majorBidi"/>
        </w:rPr>
        <w:t xml:space="preserve">Alan </w:t>
      </w:r>
      <w:proofErr w:type="spellStart"/>
      <w:r w:rsidRPr="0010516A">
        <w:rPr>
          <w:rFonts w:asciiTheme="majorBidi" w:hAnsiTheme="majorBidi" w:cstheme="majorBidi"/>
        </w:rPr>
        <w:t>Pogroszewski</w:t>
      </w:r>
      <w:proofErr w:type="spellEnd"/>
      <w:r w:rsidRPr="0010516A">
        <w:rPr>
          <w:rFonts w:asciiTheme="majorBidi" w:hAnsiTheme="majorBidi" w:cstheme="majorBidi"/>
        </w:rPr>
        <w:t xml:space="preserve"> &amp; Kari Smoker, </w:t>
      </w:r>
      <w:r w:rsidRPr="0010516A">
        <w:rPr>
          <w:rFonts w:asciiTheme="majorBidi" w:hAnsiTheme="majorBidi" w:cstheme="majorBidi"/>
          <w:i/>
          <w:iCs/>
        </w:rPr>
        <w:t>My Tax Accountant Says I Can Deduct My Hot Tub. He's the Expert – Should I Question Him</w:t>
      </w:r>
      <w:proofErr w:type="gramStart"/>
      <w:r w:rsidRPr="0010516A">
        <w:rPr>
          <w:rFonts w:asciiTheme="majorBidi" w:hAnsiTheme="majorBidi" w:cstheme="majorBidi"/>
          <w:i/>
          <w:iCs/>
        </w:rPr>
        <w:t>?</w:t>
      </w:r>
      <w:r w:rsidRPr="0010516A">
        <w:rPr>
          <w:rFonts w:asciiTheme="majorBidi" w:hAnsiTheme="majorBidi" w:cstheme="majorBidi"/>
        </w:rPr>
        <w:t>,</w:t>
      </w:r>
      <w:proofErr w:type="gramEnd"/>
      <w:r w:rsidRPr="0010516A">
        <w:rPr>
          <w:rFonts w:asciiTheme="majorBidi" w:hAnsiTheme="majorBidi" w:cstheme="majorBidi"/>
        </w:rPr>
        <w:t xml:space="preserve"> 25 </w:t>
      </w:r>
      <w:r w:rsidRPr="0010516A">
        <w:rPr>
          <w:rFonts w:asciiTheme="majorBidi" w:hAnsiTheme="majorBidi" w:cstheme="majorBidi"/>
          <w:smallCaps/>
        </w:rPr>
        <w:t xml:space="preserve">Marquette Sports L. Rev. </w:t>
      </w:r>
      <w:r w:rsidRPr="0010516A">
        <w:rPr>
          <w:rFonts w:asciiTheme="majorBidi" w:hAnsiTheme="majorBidi" w:cstheme="majorBidi"/>
        </w:rPr>
        <w:t>435, 449-450 (2015)</w:t>
      </w:r>
      <w:r>
        <w:rPr>
          <w:rFonts w:hint="cs"/>
          <w:rtl/>
        </w:rPr>
        <w:t xml:space="preserve"> (להלן: </w:t>
      </w:r>
      <w:proofErr w:type="spellStart"/>
      <w:r w:rsidRPr="009C2DFF">
        <w:rPr>
          <w:rFonts w:ascii="Century" w:hAnsi="Century" w:cs="Miriam" w:hint="cs"/>
          <w:b/>
          <w:spacing w:val="0"/>
          <w:sz w:val="22"/>
          <w:szCs w:val="24"/>
          <w:rtl/>
        </w:rPr>
        <w:t>פוגרוז'בסקי</w:t>
      </w:r>
      <w:proofErr w:type="spellEnd"/>
      <w:r w:rsidRPr="009C2DFF">
        <w:rPr>
          <w:rFonts w:ascii="Century" w:hAnsi="Century" w:cs="Miriam" w:hint="cs"/>
          <w:b/>
          <w:spacing w:val="0"/>
          <w:sz w:val="22"/>
          <w:szCs w:val="24"/>
          <w:rtl/>
        </w:rPr>
        <w:t xml:space="preserve"> </w:t>
      </w:r>
      <w:proofErr w:type="spellStart"/>
      <w:r w:rsidRPr="009C2DFF">
        <w:rPr>
          <w:rFonts w:ascii="Century" w:hAnsi="Century" w:cs="Miriam" w:hint="cs"/>
          <w:b/>
          <w:spacing w:val="0"/>
          <w:sz w:val="22"/>
          <w:szCs w:val="24"/>
          <w:rtl/>
        </w:rPr>
        <w:t>וסמוקר</w:t>
      </w:r>
      <w:proofErr w:type="spellEnd"/>
      <w:r>
        <w:rPr>
          <w:rFonts w:hint="cs"/>
          <w:rtl/>
        </w:rPr>
        <w:t xml:space="preserve">)). מטעם זה, הוצאה על ארוחה כאמור שהוצאה על ידי הספורטאי אינה מותרת בניכוי; ואם מעסיקו של אותו ספורטאי מימן את הארוחה, שוויה של הארוחה כאמור מהווה חלק ממשכורתו של הספורטאי והוא חייב לשלם בגינה מס הכנסה. </w:t>
      </w:r>
    </w:p>
    <w:p w:rsidR="00245254" w:rsidRDefault="00245254" w:rsidP="00245254">
      <w:pPr>
        <w:pStyle w:val="Ruller4"/>
        <w:spacing w:before="240" w:after="100" w:afterAutospacing="1"/>
      </w:pPr>
      <w:r>
        <w:rPr>
          <w:rFonts w:hint="cs"/>
          <w:rtl/>
        </w:rPr>
        <w:t xml:space="preserve">אוסיף ואציין כי הספקת "מזון מקצועי" כדוגמת משקאות אנרגיה וחטיפי אנרגיה לספורטאים מקצועניים יכולה להיחשב כהטבה אשר אינה חייבת במס, שכן צריכת מזון זו נעשית במישרין לשם ביצוע עבודתו של הספורטאי המקצועני; ולמצער, ההנאה שנוצרת אצל כל שחקן ושחקן מצריכת "מזון מקצועי" כאמור היא שולית, בהשוואה לתועלת שהקבוצה מפיקה ממנה. ברם, מאחר שקבוצת עירוני קריית שמונה לא הציגה בפני רשות המסים את התיעוד הדרוש ביחס להספקת משקאות וחטיפי אנרגיה לשחקניה (ראו: פסקה 96 לפסק הדין קמא בע"מ 12510-02-15) </w:t>
      </w:r>
      <w:r>
        <w:rPr>
          <w:rtl/>
        </w:rPr>
        <w:t>–</w:t>
      </w:r>
      <w:r>
        <w:rPr>
          <w:rFonts w:hint="cs"/>
          <w:rtl/>
        </w:rPr>
        <w:t xml:space="preserve"> הערתי זו צופה את פני העתיד בלבד, ואינה משפיעה על תוצאות הערעור הנוכחי.</w:t>
      </w:r>
    </w:p>
    <w:p w:rsidR="00245254" w:rsidRPr="00D64920" w:rsidRDefault="00245254" w:rsidP="00245254">
      <w:pPr>
        <w:pStyle w:val="Ruller4"/>
        <w:spacing w:before="240" w:after="100" w:afterAutospacing="1"/>
      </w:pPr>
      <w:r>
        <w:rPr>
          <w:rFonts w:hint="cs"/>
          <w:rtl/>
        </w:rPr>
        <w:t xml:space="preserve">בטרם אנעל פרק זה של הדיון בערעור הקבוצה, אציין, למען הסר ספק, כי האמור בו אינו מתייחס לשתייה ולכיבוד קל שהקבוצה מספקת לשחקנים במתקניה </w:t>
      </w:r>
      <w:r>
        <w:rPr>
          <w:rtl/>
        </w:rPr>
        <w:t>–</w:t>
      </w:r>
      <w:r>
        <w:rPr>
          <w:rFonts w:hint="cs"/>
          <w:rtl/>
        </w:rPr>
        <w:t xml:space="preserve"> שתייה וכיבוד כאמור הם בגדר זוטי דברים, ולא חלק משכרם של השחקנים. כמו כן איני נוקט שום עמדה ביחס לארוחות ותזונת השחקנים בנסיעותיהם למשחקי חוץ ולמחנות אימונים </w:t>
      </w:r>
      <w:r>
        <w:rPr>
          <w:rtl/>
        </w:rPr>
        <w:lastRenderedPageBreak/>
        <w:t>–</w:t>
      </w:r>
      <w:r>
        <w:rPr>
          <w:rFonts w:hint="cs"/>
          <w:rtl/>
        </w:rPr>
        <w:t xml:space="preserve"> על ארוחות ותזונה כאמור יחולו כללי המיסוי הרגילים שעניינם הוצאות שהמעביד מוציא כדי לממן את נסיעותיהם של עובדיו למקומות מרוחקים במסגרת עבודתם.</w:t>
      </w:r>
    </w:p>
    <w:p w:rsidR="00245254" w:rsidRDefault="00245254" w:rsidP="00245254">
      <w:pPr>
        <w:pStyle w:val="Ruller4"/>
        <w:spacing w:before="240" w:after="100" w:afterAutospacing="1"/>
      </w:pPr>
      <w:r>
        <w:rPr>
          <w:rFonts w:hint="cs"/>
          <w:rtl/>
        </w:rPr>
        <w:t xml:space="preserve">אשר על כן, טוב נעשה אם נדחה את ערעור הקבוצה ביחס לפרטי השומה שעניינם ארוחות השחקנים. </w:t>
      </w:r>
    </w:p>
    <w:p w:rsidR="00245254" w:rsidRPr="00BA3EDC" w:rsidRDefault="00245254" w:rsidP="00245254">
      <w:pPr>
        <w:pStyle w:val="Ruller41"/>
        <w:spacing w:before="240" w:after="100" w:afterAutospacing="1"/>
        <w:rPr>
          <w:rFonts w:ascii="Century" w:hAnsi="Century" w:cs="Miriam"/>
          <w:b/>
          <w:spacing w:val="0"/>
          <w:szCs w:val="24"/>
          <w:rtl/>
        </w:rPr>
      </w:pPr>
      <w:r w:rsidRPr="00BA3EDC">
        <w:rPr>
          <w:rFonts w:ascii="Century" w:hAnsi="Century" w:cs="Miriam" w:hint="cs"/>
          <w:b/>
          <w:spacing w:val="0"/>
          <w:szCs w:val="24"/>
          <w:rtl/>
        </w:rPr>
        <w:t xml:space="preserve">הוצאות הקבוצה על </w:t>
      </w:r>
      <w:r>
        <w:rPr>
          <w:rFonts w:ascii="Century" w:hAnsi="Century" w:cs="Miriam" w:hint="cs"/>
          <w:b/>
          <w:spacing w:val="0"/>
          <w:szCs w:val="24"/>
          <w:rtl/>
        </w:rPr>
        <w:t>גיבוש</w:t>
      </w:r>
      <w:r w:rsidRPr="00BA3EDC">
        <w:rPr>
          <w:rFonts w:ascii="Century" w:hAnsi="Century" w:cs="Miriam" w:hint="cs"/>
          <w:b/>
          <w:spacing w:val="0"/>
          <w:szCs w:val="24"/>
          <w:rtl/>
        </w:rPr>
        <w:t xml:space="preserve"> שחקניה</w:t>
      </w:r>
    </w:p>
    <w:p w:rsidR="00245254" w:rsidRDefault="00245254" w:rsidP="00245254">
      <w:pPr>
        <w:pStyle w:val="Ruller4"/>
        <w:spacing w:before="240" w:after="100" w:afterAutospacing="1"/>
      </w:pPr>
      <w:r>
        <w:rPr>
          <w:rFonts w:hint="cs"/>
          <w:rtl/>
        </w:rPr>
        <w:t xml:space="preserve">ככלל, מן הדין להכיר בהוצאותיה של קבוצת ספורט אשר מוצאות כדי ליצור ולחזק את גיבושם החברתי של שחקניה כהוצאות שבעיקרן משרתות את טובת הקבוצה כמעביד (ראו: </w:t>
      </w:r>
      <w:proofErr w:type="spellStart"/>
      <w:r w:rsidRPr="009E1FA4">
        <w:rPr>
          <w:rFonts w:ascii="Century" w:hAnsi="Century" w:cs="Miriam" w:hint="cs"/>
          <w:b/>
          <w:spacing w:val="0"/>
          <w:sz w:val="22"/>
          <w:szCs w:val="24"/>
          <w:rtl/>
        </w:rPr>
        <w:t>פוגרוז'בסקי</w:t>
      </w:r>
      <w:proofErr w:type="spellEnd"/>
      <w:r w:rsidRPr="009E1FA4">
        <w:rPr>
          <w:rFonts w:ascii="Century" w:hAnsi="Century" w:cs="Miriam" w:hint="cs"/>
          <w:b/>
          <w:spacing w:val="0"/>
          <w:sz w:val="22"/>
          <w:szCs w:val="24"/>
          <w:rtl/>
        </w:rPr>
        <w:t xml:space="preserve"> </w:t>
      </w:r>
      <w:proofErr w:type="spellStart"/>
      <w:r w:rsidRPr="009E1FA4">
        <w:rPr>
          <w:rFonts w:ascii="Century" w:hAnsi="Century" w:cs="Miriam" w:hint="cs"/>
          <w:b/>
          <w:spacing w:val="0"/>
          <w:sz w:val="22"/>
          <w:szCs w:val="24"/>
          <w:rtl/>
        </w:rPr>
        <w:t>וסמוקר</w:t>
      </w:r>
      <w:proofErr w:type="spellEnd"/>
      <w:r w:rsidRPr="009E1FA4">
        <w:rPr>
          <w:rFonts w:ascii="Century" w:hAnsi="Century" w:hint="cs"/>
          <w:sz w:val="22"/>
          <w:rtl/>
        </w:rPr>
        <w:t>, בעמ' 452-451). זאת, בתנאי שהוצאות כאמור אינן כוללות ארוחות שנזקפות לשכרם של השחקנים כמצווה בסעיפים 2(2) ו-32 לפקודת מס הכנסה.</w:t>
      </w:r>
      <w:r>
        <w:rPr>
          <w:rFonts w:hint="cs"/>
          <w:rtl/>
        </w:rPr>
        <w:t xml:space="preserve"> אכן, אירועי גיבוש נועדו לגרום לעובדים הנאה, אולם הם נערכים במסגרת העבודה ולצרכיה. מסיבה זו, לא ניתן לקבוע </w:t>
      </w:r>
      <w:r>
        <w:rPr>
          <w:rtl/>
        </w:rPr>
        <w:t>–</w:t>
      </w:r>
      <w:r>
        <w:rPr>
          <w:rFonts w:hint="cs"/>
          <w:rtl/>
        </w:rPr>
        <w:t xml:space="preserve"> ולמצער, לא ניתן לקבוע בסבירות גבוהה </w:t>
      </w:r>
      <w:r>
        <w:rPr>
          <w:rtl/>
        </w:rPr>
        <w:t>–</w:t>
      </w:r>
      <w:r>
        <w:rPr>
          <w:rFonts w:hint="cs"/>
          <w:rtl/>
        </w:rPr>
        <w:t xml:space="preserve"> כי אירועי גיבוש חוסכים לעובדים הוצאות שהעובדים היו מוציאים בלאו הכי. לדוגמא: בהקשר זה ישנו הבדל ניכר בין מופע של זמר או זמרת אשר מתקיים כאירוע סגור המיועד לעובדים בלבד, לבין הענקת מתנה לעובד בדמות כרטיסים למופע כלשהו לפי בחירתו. מטעם זה, איני בהכרח מסכים עם קביעתו של בית משפט קמא כי גיבוש השחקנים שעושים טיול טרקטורונים או מצטרפים כקהל במופע של הזמר שלמה ארצי, במימון קבוצתם, מהווים "טובת הנאה ממעביד" במובנו של סעיף 2(2)(א) לפקודה.</w:t>
      </w:r>
    </w:p>
    <w:p w:rsidR="00245254" w:rsidRDefault="00245254" w:rsidP="00245254">
      <w:pPr>
        <w:pStyle w:val="Ruller4"/>
        <w:spacing w:before="240" w:after="100" w:afterAutospacing="1"/>
      </w:pPr>
      <w:r>
        <w:rPr>
          <w:rFonts w:hint="cs"/>
          <w:rtl/>
        </w:rPr>
        <w:t xml:space="preserve">זאת ועוד. במקרים רבים עובדי החברה </w:t>
      </w:r>
      <w:r>
        <w:rPr>
          <w:rtl/>
        </w:rPr>
        <w:t>–</w:t>
      </w:r>
      <w:r>
        <w:rPr>
          <w:rFonts w:hint="cs"/>
          <w:rtl/>
        </w:rPr>
        <w:t xml:space="preserve"> ובענייננו, שחקני הקבוצה </w:t>
      </w:r>
      <w:r>
        <w:rPr>
          <w:rtl/>
        </w:rPr>
        <w:t>–</w:t>
      </w:r>
      <w:r>
        <w:rPr>
          <w:rFonts w:hint="cs"/>
          <w:rtl/>
        </w:rPr>
        <w:t xml:space="preserve"> אינם בהכרח נהנים מאירועי גיבוש, ומשתתפים בהם רק מתוך מחויבות למקום העבודה, ובמטרה לתרום ללכידות החברתית. טולו מקרה של שחקן כדורגל שאינו מפיק שום הנאה אישית מנסיעה על טרקטורון ואפילו סובל מבזבוז שעות הפנאי שלו על טיול טרקטורונים עם חבריו לקבוצה. ברגיל, שחקן כזה לא יוציא את עצמו מן הכלל וישתתף בטיול הטרקטורונים, שכן המחיר החברתי והמקצועי של אי-ההשתתפות יהא עבורו משמעותי, מטעמים מובנים. כמו כן, חשבו על מקרהו של שחקן כדורגל זר שאינו יודע עברית ושבכל זאת לא ידחה את ההזמנה של בעלי הקבוצה, בה הוא משחק, להצטרף לחבריו לקבוצה לערב שירה של שלמה ארצי. לא זו אף זו: במקרים רבים, נוכחות העובדים באירועי גיבוש היא בגדר חובה אשר מוטלת עליהם </w:t>
      </w:r>
      <w:r>
        <w:rPr>
          <w:rtl/>
        </w:rPr>
        <w:t>–</w:t>
      </w:r>
      <w:r>
        <w:rPr>
          <w:rFonts w:hint="cs"/>
          <w:rtl/>
        </w:rPr>
        <w:t xml:space="preserve"> במפורש או במשתמע </w:t>
      </w:r>
      <w:r>
        <w:rPr>
          <w:rtl/>
        </w:rPr>
        <w:t>–</w:t>
      </w:r>
      <w:r>
        <w:rPr>
          <w:rFonts w:hint="cs"/>
          <w:rtl/>
        </w:rPr>
        <w:t xml:space="preserve"> על ידי מעסיקם. מקרים אלה מוכיחים כי לא יהא זה נכון לזקוף את שוויה של פעילות הגיבוש של שחקני קבוצת כדורגל לשכרם של השחקנים.</w:t>
      </w:r>
    </w:p>
    <w:p w:rsidR="00245254" w:rsidRDefault="00245254" w:rsidP="00245254">
      <w:pPr>
        <w:pStyle w:val="Ruller4"/>
        <w:spacing w:before="240" w:after="100" w:afterAutospacing="1"/>
      </w:pPr>
      <w:r>
        <w:rPr>
          <w:rFonts w:hint="cs"/>
          <w:rtl/>
        </w:rPr>
        <w:t xml:space="preserve">דא עקא, עירוני קריית שמונה לא הציגה בפני רשות המסים תיעוד מתאים להוכחתה של פעילות הגיבוש הנטענת כפעילות בה נטלו חלק כל שחקני הקבוצה, או </w:t>
      </w:r>
      <w:r>
        <w:rPr>
          <w:rFonts w:hint="cs"/>
          <w:rtl/>
        </w:rPr>
        <w:lastRenderedPageBreak/>
        <w:t xml:space="preserve">מרביתם (ראו: פסקאות 103 ו-106 לפסק הדין קמא בע"מ 12510-02-15). בנסיבות אלה, לא נותר לנו אלא לדחות את ערעור הקבוצה ביחס לפרטי השומה שעניינם גיבוש השחקנים. </w:t>
      </w:r>
    </w:p>
    <w:p w:rsidR="00245254" w:rsidRPr="00C37739" w:rsidRDefault="00245254" w:rsidP="00245254">
      <w:pPr>
        <w:pStyle w:val="Ruller41"/>
        <w:spacing w:before="240" w:after="100" w:afterAutospacing="1"/>
        <w:rPr>
          <w:rFonts w:ascii="Century" w:hAnsi="Century" w:cs="Miriam"/>
          <w:b/>
          <w:spacing w:val="0"/>
          <w:szCs w:val="24"/>
          <w:rtl/>
        </w:rPr>
      </w:pPr>
      <w:r w:rsidRPr="00C37739">
        <w:rPr>
          <w:rFonts w:ascii="Century" w:hAnsi="Century" w:cs="Miriam" w:hint="cs"/>
          <w:b/>
          <w:spacing w:val="0"/>
          <w:szCs w:val="24"/>
          <w:rtl/>
        </w:rPr>
        <w:t>קנסות</w:t>
      </w:r>
    </w:p>
    <w:p w:rsidR="00245254" w:rsidRDefault="00245254" w:rsidP="00245254">
      <w:pPr>
        <w:pStyle w:val="Ruller4"/>
        <w:spacing w:before="240" w:after="100" w:afterAutospacing="1"/>
        <w:rPr>
          <w:rtl/>
        </w:rPr>
      </w:pPr>
      <w:r>
        <w:rPr>
          <w:rFonts w:hint="cs"/>
          <w:rtl/>
        </w:rPr>
        <w:t xml:space="preserve">לנוכח התוצאה אליה הגעתי בעניינה של הטבת יישוב מוטב, וכן בהתחשב בתרומתן של חברת איתורן ושל קבוצת הכדורגל עירוני קריית שמונה לעיר ולקהילת תושביה </w:t>
      </w:r>
      <w:r>
        <w:rPr>
          <w:rtl/>
        </w:rPr>
        <w:t>–</w:t>
      </w:r>
      <w:r>
        <w:rPr>
          <w:rFonts w:hint="cs"/>
          <w:rtl/>
        </w:rPr>
        <w:t xml:space="preserve"> טוב נעשה אם נורה כי הקנסות שרשות המיסים הטילה עליה יופחתו ב-70%.</w:t>
      </w:r>
    </w:p>
    <w:p w:rsidR="00245254" w:rsidRPr="00C37739" w:rsidRDefault="00245254" w:rsidP="00245254">
      <w:pPr>
        <w:pStyle w:val="Ruller41"/>
        <w:spacing w:before="240" w:after="100" w:afterAutospacing="1"/>
        <w:rPr>
          <w:rFonts w:ascii="Century" w:hAnsi="Century" w:cs="Miriam"/>
          <w:b/>
          <w:spacing w:val="0"/>
          <w:szCs w:val="24"/>
          <w:rtl/>
        </w:rPr>
      </w:pPr>
      <w:r w:rsidRPr="00C37739">
        <w:rPr>
          <w:rFonts w:ascii="Century" w:hAnsi="Century" w:cs="Miriam" w:hint="cs"/>
          <w:b/>
          <w:spacing w:val="0"/>
          <w:szCs w:val="24"/>
          <w:rtl/>
        </w:rPr>
        <w:t>סוף דבר</w:t>
      </w:r>
    </w:p>
    <w:p w:rsidR="00245254" w:rsidRDefault="00245254" w:rsidP="00245254">
      <w:pPr>
        <w:pStyle w:val="Ruller4"/>
        <w:spacing w:before="240" w:after="100" w:afterAutospacing="1"/>
      </w:pPr>
      <w:r>
        <w:rPr>
          <w:rFonts w:hint="cs"/>
          <w:rtl/>
        </w:rPr>
        <w:t xml:space="preserve">מהטעמים שמניתי, הנני מציע לחבריי לקבל את ערעורה של חברת איתורן בכל הקשור להכרה בזכאות שחקני הקבוצה עירוני קריית שמונה להטבת יישוב מוטב כמפורט לעיל, וכן לקבל את ערעוריהם של </w:t>
      </w:r>
      <w:proofErr w:type="spellStart"/>
      <w:r>
        <w:rPr>
          <w:rFonts w:hint="cs"/>
          <w:rtl/>
        </w:rPr>
        <w:t>עאבד</w:t>
      </w:r>
      <w:proofErr w:type="spellEnd"/>
      <w:r>
        <w:rPr>
          <w:rFonts w:hint="cs"/>
          <w:rtl/>
        </w:rPr>
        <w:t xml:space="preserve"> ושל </w:t>
      </w:r>
      <w:proofErr w:type="spellStart"/>
      <w:r>
        <w:rPr>
          <w:rFonts w:hint="cs"/>
          <w:rtl/>
        </w:rPr>
        <w:t>חסארמה</w:t>
      </w:r>
      <w:proofErr w:type="spellEnd"/>
      <w:r>
        <w:rPr>
          <w:rFonts w:hint="cs"/>
          <w:rtl/>
        </w:rPr>
        <w:t xml:space="preserve"> באותו עניין </w:t>
      </w:r>
      <w:r>
        <w:rPr>
          <w:rtl/>
        </w:rPr>
        <w:t>–</w:t>
      </w:r>
      <w:r>
        <w:rPr>
          <w:rFonts w:hint="cs"/>
          <w:rtl/>
        </w:rPr>
        <w:t xml:space="preserve"> והכל בכפוף להצגת טופסי 101 ביחס לשנות המס הרלבנטיות בפני רשות המסים, בתוך 60 יום מיום מתן פסק הדין. כמו כן מציע אני כי נורה על הפחתת הקנסות שרשות המסים הטילה על חברת איתורן לכדי 30% מסך כל הקנסות. את יתר חלקי הערעור שחברת איתורן הניחה לפתחנו הנני מציע לדחות.</w:t>
      </w:r>
    </w:p>
    <w:p w:rsidR="00245254" w:rsidRDefault="00245254" w:rsidP="00245254">
      <w:pPr>
        <w:pStyle w:val="Ruller4"/>
        <w:spacing w:before="240" w:after="100" w:afterAutospacing="1"/>
      </w:pPr>
      <w:r>
        <w:rPr>
          <w:rFonts w:hint="cs"/>
          <w:rtl/>
        </w:rPr>
        <w:t xml:space="preserve">באשר להוצאות: בשל התנהלותה של חברת איתורן אל מול רשות המסים והאופן הלא יעיל שבו היא התנהלה בהתדיינות בפני בית משפט קמא </w:t>
      </w:r>
      <w:r>
        <w:rPr>
          <w:rtl/>
        </w:rPr>
        <w:t>–</w:t>
      </w:r>
      <w:r>
        <w:rPr>
          <w:rFonts w:hint="cs"/>
          <w:rtl/>
        </w:rPr>
        <w:t xml:space="preserve"> הנני סבור כי נעשה נכון אם </w:t>
      </w:r>
      <w:r w:rsidRPr="00F56F08">
        <w:rPr>
          <w:rFonts w:ascii="Century" w:hAnsi="Century" w:cs="Miriam" w:hint="cs"/>
          <w:b/>
          <w:spacing w:val="0"/>
          <w:sz w:val="22"/>
          <w:szCs w:val="24"/>
          <w:rtl/>
        </w:rPr>
        <w:t>לא נבטל</w:t>
      </w:r>
      <w:r>
        <w:rPr>
          <w:rFonts w:hint="cs"/>
          <w:rtl/>
        </w:rPr>
        <w:t xml:space="preserve"> את ההוצאות שאותן היא </w:t>
      </w:r>
      <w:proofErr w:type="spellStart"/>
      <w:r>
        <w:rPr>
          <w:rFonts w:hint="cs"/>
          <w:rtl/>
        </w:rPr>
        <w:t>חוייבה</w:t>
      </w:r>
      <w:proofErr w:type="spellEnd"/>
      <w:r>
        <w:rPr>
          <w:rFonts w:hint="cs"/>
          <w:rtl/>
        </w:rPr>
        <w:t xml:space="preserve"> לשלם בגדרי פסק הדין קמא בע"מ 12510-02-15, וכי לא נזכה אותה בהוצאות בגין ההליך דכאן, למרות הצלחתה החלקית בערעור. לצד זאת, הנני מציע כי נבטל את חיובם של </w:t>
      </w:r>
      <w:proofErr w:type="spellStart"/>
      <w:r>
        <w:rPr>
          <w:rFonts w:hint="cs"/>
          <w:rtl/>
        </w:rPr>
        <w:t>עאבד</w:t>
      </w:r>
      <w:proofErr w:type="spellEnd"/>
      <w:r>
        <w:rPr>
          <w:rFonts w:hint="cs"/>
          <w:rtl/>
        </w:rPr>
        <w:t xml:space="preserve"> ושל </w:t>
      </w:r>
      <w:proofErr w:type="spellStart"/>
      <w:r>
        <w:rPr>
          <w:rFonts w:hint="cs"/>
          <w:rtl/>
        </w:rPr>
        <w:t>חסארמה</w:t>
      </w:r>
      <w:proofErr w:type="spellEnd"/>
      <w:r>
        <w:rPr>
          <w:rFonts w:hint="cs"/>
          <w:rtl/>
        </w:rPr>
        <w:t xml:space="preserve"> בהוצאות שהשית עליהם בית משפט קמא, וכי בשל אי-הגשת טופסי 101 תקינים בזמן אמת לא נפסוק לטובתם הוצאות, למרות קבלת ערעוריהם. </w:t>
      </w:r>
    </w:p>
    <w:p w:rsidR="00245254" w:rsidRPr="00B321E6" w:rsidRDefault="00245254" w:rsidP="00245254">
      <w:pPr>
        <w:pStyle w:val="Ruller4"/>
        <w:numPr>
          <w:ilvl w:val="0"/>
          <w:numId w:val="0"/>
        </w:numPr>
        <w:spacing w:before="240" w:after="100" w:afterAutospacing="1"/>
        <w:rPr>
          <w:rFonts w:ascii="Century" w:hAnsi="Century" w:cs="Miriam"/>
          <w:b/>
          <w:spacing w:val="0"/>
          <w:sz w:val="22"/>
          <w:szCs w:val="24"/>
        </w:rPr>
      </w:pPr>
      <w:r w:rsidRPr="00B321E6">
        <w:rPr>
          <w:rFonts w:ascii="Century" w:hAnsi="Century" w:cs="Miriam" w:hint="cs"/>
          <w:b/>
          <w:spacing w:val="0"/>
          <w:sz w:val="22"/>
          <w:szCs w:val="24"/>
          <w:rtl/>
        </w:rPr>
        <w:t>מענה לדבריו של חברי, השופט י' עמית</w:t>
      </w:r>
    </w:p>
    <w:p w:rsidR="00245254" w:rsidRDefault="00245254" w:rsidP="00245254">
      <w:pPr>
        <w:pStyle w:val="Ruller4"/>
        <w:spacing w:before="240" w:after="100" w:afterAutospacing="1"/>
      </w:pPr>
      <w:r>
        <w:rPr>
          <w:rFonts w:hint="cs"/>
          <w:rtl/>
        </w:rPr>
        <w:t xml:space="preserve">בטרם אשלים את דבריי, אומר בקצרה כי אחרי שקראתי את פסק דינו של חברי, השופט </w:t>
      </w:r>
      <w:r w:rsidRPr="00B321E6">
        <w:rPr>
          <w:rFonts w:ascii="Century" w:hAnsi="Century" w:cs="Miriam" w:hint="cs"/>
          <w:b/>
          <w:spacing w:val="0"/>
          <w:sz w:val="22"/>
          <w:szCs w:val="24"/>
          <w:rtl/>
        </w:rPr>
        <w:t>י' עמית</w:t>
      </w:r>
      <w:r>
        <w:rPr>
          <w:rFonts w:hint="cs"/>
          <w:rtl/>
        </w:rPr>
        <w:t xml:space="preserve">, נשארתי איתן בדעתי. סבורני כי אין זה ייתכן שספורטאי כדוגמת </w:t>
      </w:r>
      <w:proofErr w:type="spellStart"/>
      <w:r>
        <w:rPr>
          <w:rFonts w:hint="cs"/>
          <w:rtl/>
        </w:rPr>
        <w:t>עאבד</w:t>
      </w:r>
      <w:proofErr w:type="spellEnd"/>
      <w:r>
        <w:rPr>
          <w:rFonts w:hint="cs"/>
          <w:rtl/>
        </w:rPr>
        <w:t xml:space="preserve"> ייחשב כמי שהמשיך לגור אצל הוריו בנצרת אחרי יציאתו לחיים עצמאיים והפיכתו לשחקן כדורגל מקצועני בעירוני קריית שמונה </w:t>
      </w:r>
      <w:r>
        <w:rPr>
          <w:rtl/>
        </w:rPr>
        <w:t>–</w:t>
      </w:r>
      <w:r>
        <w:rPr>
          <w:rFonts w:hint="cs"/>
          <w:rtl/>
        </w:rPr>
        <w:t xml:space="preserve"> כאשר בעלי הקבוצה מחייבו ללון בקריית שמונה בכל תקופות האימונים והמשחקים. מהטעמים שמניתי בפסק דיני, סבורני </w:t>
      </w:r>
      <w:r>
        <w:rPr>
          <w:rFonts w:hint="cs"/>
          <w:rtl/>
        </w:rPr>
        <w:lastRenderedPageBreak/>
        <w:t xml:space="preserve">כי כך הוא גם לגבי </w:t>
      </w:r>
      <w:proofErr w:type="spellStart"/>
      <w:r>
        <w:rPr>
          <w:rFonts w:hint="cs"/>
          <w:rtl/>
        </w:rPr>
        <w:t>חסארמה</w:t>
      </w:r>
      <w:proofErr w:type="spellEnd"/>
      <w:r>
        <w:rPr>
          <w:rFonts w:hint="cs"/>
          <w:rtl/>
        </w:rPr>
        <w:t xml:space="preserve"> ושאר שחקני הקבוצה, שלמעשה רותקו לגבולות העיר במסגרת פעילותה. </w:t>
      </w:r>
    </w:p>
    <w:p w:rsidR="00245254" w:rsidRDefault="00245254" w:rsidP="00905B85">
      <w:pPr>
        <w:pStyle w:val="Ruller4"/>
        <w:spacing w:before="240" w:after="100" w:afterAutospacing="1"/>
      </w:pPr>
      <w:r>
        <w:rPr>
          <w:rFonts w:hint="cs"/>
          <w:rtl/>
        </w:rPr>
        <w:t xml:space="preserve">באשר להשוואה להלכות המס </w:t>
      </w:r>
      <w:bookmarkStart w:id="4" w:name="_GoBack"/>
      <w:bookmarkEnd w:id="4"/>
      <w:r>
        <w:rPr>
          <w:rFonts w:hint="cs"/>
          <w:rtl/>
        </w:rPr>
        <w:t>אמריקני</w:t>
      </w:r>
      <w:r w:rsidR="00962A08">
        <w:rPr>
          <w:rFonts w:hint="cs"/>
          <w:rtl/>
        </w:rPr>
        <w:t>ות</w:t>
      </w:r>
      <w:r>
        <w:rPr>
          <w:rFonts w:hint="cs"/>
          <w:rtl/>
        </w:rPr>
        <w:t xml:space="preserve"> שערכתי </w:t>
      </w:r>
      <w:r>
        <w:rPr>
          <w:rtl/>
        </w:rPr>
        <w:t>–</w:t>
      </w:r>
      <w:r>
        <w:rPr>
          <w:rFonts w:hint="cs"/>
          <w:rtl/>
        </w:rPr>
        <w:t xml:space="preserve"> הלכות אלה קבעו את אשר קבעו ביחס למרכז חייהם של ספורטאים מקצועניים על בסיסו של עיקרון משפטי לפיו מרכז זה נמצא במקום מושבה של הקבוצה אליה משתייך הספורטאי, קרי: במקום שבו נמצאים משרדיה ומתקניה של הקבוצה. עיקרון זה נקבע בשל הזיקה המהותית של הספורטאי לקבוצתו, ולא מחמת המרחקים העצומים אשר לעתים קרובות מפרידים בין כור מחצבתו של הספורטאי לבין מקום מושבה של קבוצתו. </w:t>
      </w:r>
      <w:r w:rsidRPr="00FE078A">
        <w:rPr>
          <w:rFonts w:ascii="Century" w:hAnsi="Century" w:cs="Miriam" w:hint="cs"/>
          <w:b/>
          <w:spacing w:val="0"/>
          <w:sz w:val="22"/>
          <w:szCs w:val="24"/>
          <w:rtl/>
        </w:rPr>
        <w:t>מדובר במהות ולא בגאוגרפיה.</w:t>
      </w:r>
      <w:r>
        <w:rPr>
          <w:rFonts w:hint="cs"/>
          <w:rtl/>
        </w:rPr>
        <w:t xml:space="preserve"> למשל: שחקן כדורגל מהעיר </w:t>
      </w:r>
      <w:proofErr w:type="spellStart"/>
      <w:r>
        <w:rPr>
          <w:rFonts w:hint="cs"/>
          <w:rtl/>
        </w:rPr>
        <w:t>ארלינגטון</w:t>
      </w:r>
      <w:proofErr w:type="spellEnd"/>
      <w:r>
        <w:rPr>
          <w:rFonts w:hint="cs"/>
          <w:rtl/>
        </w:rPr>
        <w:t xml:space="preserve">, הנמצאת במדינת וירג'יניה, אשר מצטרף לסגל הקבוצה </w:t>
      </w:r>
      <w:r w:rsidRPr="00FE078A">
        <w:rPr>
          <w:rFonts w:asciiTheme="majorBidi" w:hAnsiTheme="majorBidi" w:cstheme="majorBidi"/>
        </w:rPr>
        <w:t>D.C. United</w:t>
      </w:r>
      <w:r>
        <w:rPr>
          <w:rFonts w:hint="cs"/>
          <w:rtl/>
        </w:rPr>
        <w:t xml:space="preserve">, שמקום מושבה הוא וושינגטון, בירת ארצות-הברית </w:t>
      </w:r>
      <w:r>
        <w:rPr>
          <w:rtl/>
        </w:rPr>
        <w:t>–</w:t>
      </w:r>
      <w:r>
        <w:rPr>
          <w:rFonts w:hint="cs"/>
          <w:rtl/>
        </w:rPr>
        <w:t xml:space="preserve"> עיר אשר נמצאת במרחק נסיעה של כ-10 ק"מ וכ-20 דקות </w:t>
      </w:r>
      <w:proofErr w:type="spellStart"/>
      <w:r>
        <w:rPr>
          <w:rFonts w:hint="cs"/>
          <w:rtl/>
        </w:rPr>
        <w:t>מארלינגטון</w:t>
      </w:r>
      <w:proofErr w:type="spellEnd"/>
      <w:r>
        <w:rPr>
          <w:rFonts w:hint="cs"/>
          <w:rtl/>
        </w:rPr>
        <w:t xml:space="preserve"> </w:t>
      </w:r>
      <w:r>
        <w:rPr>
          <w:rtl/>
        </w:rPr>
        <w:t>–</w:t>
      </w:r>
      <w:r>
        <w:rPr>
          <w:rFonts w:hint="cs"/>
          <w:rtl/>
        </w:rPr>
        <w:t xml:space="preserve"> קובע את מרכז חייו לצרכי מס הכנסה בעיר וושינגטון כל אימת שהוא משתייך לקבוצה ומתפרנס מפועלו במסגרתה. </w:t>
      </w:r>
    </w:p>
    <w:p w:rsidR="00245254" w:rsidRDefault="00245254" w:rsidP="00245254">
      <w:pPr>
        <w:pStyle w:val="Ruller4"/>
        <w:spacing w:before="240" w:after="100" w:afterAutospacing="1"/>
        <w:rPr>
          <w:rtl/>
        </w:rPr>
      </w:pPr>
      <w:r>
        <w:rPr>
          <w:rFonts w:hint="cs"/>
          <w:rtl/>
        </w:rPr>
        <w:t xml:space="preserve">עניין נוסף שעולה מעיון בדבריו של חברי, השופט </w:t>
      </w:r>
      <w:r w:rsidRPr="007D4102">
        <w:rPr>
          <w:rFonts w:ascii="Century" w:hAnsi="Century" w:cs="Miriam" w:hint="cs"/>
          <w:b/>
          <w:spacing w:val="0"/>
          <w:sz w:val="22"/>
          <w:szCs w:val="24"/>
          <w:rtl/>
        </w:rPr>
        <w:t>עמית</w:t>
      </w:r>
      <w:r>
        <w:rPr>
          <w:rFonts w:hint="cs"/>
          <w:rtl/>
        </w:rPr>
        <w:t xml:space="preserve">, הוא מימון הוצאות לינתם של שחקני עירוני קריית שמונה על ידי הקבוצה. אם חברי צודק בקביעתו ששחקני הקבוצה כדוגמת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hint="cs"/>
          <w:rtl/>
        </w:rPr>
        <w:t xml:space="preserve"> לא קבעו את מרכז חייהם בקריית שמונה בתקופת פועלם כשחקני הקבוצה, לא יהא, לדעתי, מנוס מן המסקנה כי לינתם בקריית שמונה בהתאם להוראותיו של </w:t>
      </w:r>
      <w:proofErr w:type="spellStart"/>
      <w:r>
        <w:rPr>
          <w:rFonts w:hint="cs"/>
          <w:rtl/>
        </w:rPr>
        <w:t>שרצקי</w:t>
      </w:r>
      <w:proofErr w:type="spellEnd"/>
      <w:r>
        <w:rPr>
          <w:rFonts w:hint="cs"/>
          <w:rtl/>
        </w:rPr>
        <w:t xml:space="preserve"> כלל לא נועדה להטיב עמם, אלא באה לשרת את טובת מעסיקתם, קבוצת הכדורגל עירוני קריית שמונה. בנסיבות אלו, לא יהא מקום לזקוף את מימון הלינה לשכרם של השחקנים ואין לחייבם בגינו בתשלום מס הכנסה. כך, במקרה של </w:t>
      </w:r>
      <w:proofErr w:type="spellStart"/>
      <w:r>
        <w:rPr>
          <w:rFonts w:hint="cs"/>
          <w:rtl/>
        </w:rPr>
        <w:t>חסארמה</w:t>
      </w:r>
      <w:proofErr w:type="spellEnd"/>
      <w:r>
        <w:rPr>
          <w:rFonts w:hint="cs"/>
          <w:rtl/>
        </w:rPr>
        <w:t xml:space="preserve">, קביעתו של פקיד השומה כי מרכז חייו נמצא בכפר </w:t>
      </w:r>
      <w:proofErr w:type="spellStart"/>
      <w:r>
        <w:rPr>
          <w:rFonts w:hint="cs"/>
          <w:rtl/>
        </w:rPr>
        <w:t>בענה</w:t>
      </w:r>
      <w:proofErr w:type="spellEnd"/>
      <w:r>
        <w:rPr>
          <w:rFonts w:hint="cs"/>
          <w:rtl/>
        </w:rPr>
        <w:t xml:space="preserve"> אינה יכולה לדור בכפיפה אחת עם הקביעה שלינתו בדירה בקריית שמונה, אשר מומנה על-ידי הקבוצה, ושכאמור נכפתה עליו במסגרת עבודתו על-ידי מנהלי הקבוצה, היא בגדר "טובת הנאה". פשיטא הוא, שאדם רוצה ללון דרך קבע במקום בו הוא עצמו קבע את מרכז חייו, ולא במקום שלינתו בו נועדה אך ורק לצרכי עבודתו אצל מעסיקו. דבר זה נכון במיוחד במקרהו של </w:t>
      </w:r>
      <w:proofErr w:type="spellStart"/>
      <w:r>
        <w:rPr>
          <w:rFonts w:hint="cs"/>
          <w:rtl/>
        </w:rPr>
        <w:t>חסארמה</w:t>
      </w:r>
      <w:proofErr w:type="spellEnd"/>
      <w:r>
        <w:rPr>
          <w:rFonts w:hint="cs"/>
          <w:rtl/>
        </w:rPr>
        <w:t xml:space="preserve">: אילולי ההוראה </w:t>
      </w:r>
      <w:proofErr w:type="spellStart"/>
      <w:r>
        <w:rPr>
          <w:rFonts w:hint="cs"/>
          <w:rtl/>
        </w:rPr>
        <w:t>שחסארמה</w:t>
      </w:r>
      <w:proofErr w:type="spellEnd"/>
      <w:r>
        <w:rPr>
          <w:rFonts w:hint="cs"/>
          <w:rtl/>
        </w:rPr>
        <w:t xml:space="preserve"> קיבל ממעסיקו, ברי הוא כי היה באפשרותו להמשיך וללון בכפר </w:t>
      </w:r>
      <w:proofErr w:type="spellStart"/>
      <w:r>
        <w:rPr>
          <w:rFonts w:hint="cs"/>
          <w:rtl/>
        </w:rPr>
        <w:t>בענה</w:t>
      </w:r>
      <w:proofErr w:type="spellEnd"/>
      <w:r>
        <w:rPr>
          <w:rFonts w:hint="cs"/>
          <w:rtl/>
        </w:rPr>
        <w:t xml:space="preserve"> בחיק משפחתו. כך הוא גם לגבי </w:t>
      </w:r>
      <w:proofErr w:type="spellStart"/>
      <w:r>
        <w:rPr>
          <w:rFonts w:hint="cs"/>
          <w:rtl/>
        </w:rPr>
        <w:t>עאבד</w:t>
      </w:r>
      <w:proofErr w:type="spellEnd"/>
      <w:r>
        <w:rPr>
          <w:rFonts w:hint="cs"/>
          <w:rtl/>
        </w:rPr>
        <w:t>, בהנחה שהיה ברצונו להמשיך ולהתגורר אצל הוריו בנצרת. אשר על כן, אם דעתו של חברי בעניין מרכז חייהם של השחקנים תתקבל, יהא מקום לתקן את שומות הכנסותיהם בהתאם.</w:t>
      </w:r>
    </w:p>
    <w:p w:rsidR="00245254" w:rsidRDefault="00245254" w:rsidP="00245254">
      <w:pPr>
        <w:pStyle w:val="Ruller41"/>
        <w:rPr>
          <w:rtl/>
        </w:rPr>
      </w:pPr>
    </w:p>
    <w:tbl>
      <w:tblPr>
        <w:bidiVisual/>
        <w:tblW w:w="8363" w:type="dxa"/>
        <w:tblLook w:val="01E0" w:firstRow="1" w:lastRow="1" w:firstColumn="1" w:lastColumn="1" w:noHBand="0" w:noVBand="0"/>
      </w:tblPr>
      <w:tblGrid>
        <w:gridCol w:w="2786"/>
        <w:gridCol w:w="2787"/>
        <w:gridCol w:w="2790"/>
      </w:tblGrid>
      <w:tr w:rsidR="00F00127" w:rsidTr="00B809A5">
        <w:tc>
          <w:tcPr>
            <w:tcW w:w="2786" w:type="dxa"/>
            <w:shd w:val="clear" w:color="auto" w:fill="auto"/>
          </w:tcPr>
          <w:p w:rsidR="00F00127" w:rsidRPr="00B809A5" w:rsidRDefault="00F00127" w:rsidP="00B31694">
            <w:pPr>
              <w:pStyle w:val="Ruller41"/>
              <w:rPr>
                <w:rtl/>
              </w:rPr>
            </w:pPr>
          </w:p>
        </w:tc>
        <w:tc>
          <w:tcPr>
            <w:tcW w:w="2787" w:type="dxa"/>
            <w:shd w:val="clear" w:color="auto" w:fill="auto"/>
          </w:tcPr>
          <w:p w:rsidR="00F00127" w:rsidRDefault="00F00127" w:rsidP="00B31694">
            <w:pPr>
              <w:pStyle w:val="Ruller41"/>
              <w:jc w:val="center"/>
              <w:rPr>
                <w:rtl/>
              </w:rPr>
            </w:pPr>
          </w:p>
        </w:tc>
        <w:tc>
          <w:tcPr>
            <w:tcW w:w="2790" w:type="dxa"/>
            <w:shd w:val="clear" w:color="auto" w:fill="auto"/>
          </w:tcPr>
          <w:p w:rsidR="00F00127" w:rsidRDefault="00F00127" w:rsidP="00B31694">
            <w:pPr>
              <w:pStyle w:val="Ruller41"/>
              <w:jc w:val="right"/>
              <w:rPr>
                <w:rtl/>
              </w:rPr>
            </w:pPr>
            <w:r>
              <w:rPr>
                <w:rtl/>
              </w:rPr>
              <w:t>ש ו פ ט</w:t>
            </w:r>
          </w:p>
        </w:tc>
      </w:tr>
    </w:tbl>
    <w:p w:rsidR="00F00127" w:rsidRDefault="00F00127" w:rsidP="00A51FAE">
      <w:pPr>
        <w:pStyle w:val="Ruller41"/>
        <w:rPr>
          <w:rtl/>
        </w:rPr>
      </w:pPr>
    </w:p>
    <w:p w:rsidR="00F00127" w:rsidRDefault="00F00127" w:rsidP="00F00127">
      <w:pPr>
        <w:pStyle w:val="BODYVERDICT"/>
        <w:rPr>
          <w:rFonts w:cs="Miriam"/>
          <w:sz w:val="24"/>
          <w:szCs w:val="24"/>
          <w:u w:val="single"/>
          <w:rtl/>
        </w:rPr>
      </w:pPr>
      <w:r>
        <w:rPr>
          <w:rFonts w:cs="Miriam"/>
          <w:sz w:val="24"/>
          <w:szCs w:val="24"/>
          <w:u w:val="single"/>
          <w:rtl/>
        </w:rPr>
        <w:t>השופט י' עמית:</w:t>
      </w:r>
    </w:p>
    <w:p w:rsidR="0073750B" w:rsidRDefault="0073750B" w:rsidP="00F00127">
      <w:pPr>
        <w:pStyle w:val="BODYVERDICT"/>
        <w:rPr>
          <w:rFonts w:cs="Miriam"/>
          <w:sz w:val="24"/>
          <w:szCs w:val="24"/>
          <w:u w:val="single"/>
          <w:rtl/>
        </w:rPr>
      </w:pPr>
    </w:p>
    <w:p w:rsidR="00851A01" w:rsidRDefault="00851A01" w:rsidP="00F00127">
      <w:pPr>
        <w:pStyle w:val="BODYVERDICT"/>
        <w:rPr>
          <w:rFonts w:cs="Miriam"/>
          <w:sz w:val="24"/>
          <w:szCs w:val="24"/>
          <w:u w:val="single"/>
          <w:rtl/>
        </w:rPr>
      </w:pPr>
    </w:p>
    <w:p w:rsidR="00851A01" w:rsidRDefault="00851A01" w:rsidP="00851A01">
      <w:pPr>
        <w:pStyle w:val="Ruller41"/>
        <w:contextualSpacing/>
        <w:rPr>
          <w:rtl/>
        </w:rPr>
      </w:pPr>
      <w:r>
        <w:rPr>
          <w:rFonts w:hint="cs"/>
          <w:rtl/>
        </w:rPr>
        <w:t>1.</w:t>
      </w:r>
      <w:r>
        <w:rPr>
          <w:rFonts w:hint="cs"/>
          <w:rtl/>
        </w:rPr>
        <w:tab/>
        <w:t xml:space="preserve">חברי, השופט </w:t>
      </w:r>
      <w:r w:rsidRPr="00524533">
        <w:rPr>
          <w:rFonts w:ascii="Century" w:hAnsi="Century" w:cs="Miriam" w:hint="cs"/>
          <w:b/>
          <w:spacing w:val="0"/>
          <w:szCs w:val="24"/>
          <w:rtl/>
        </w:rPr>
        <w:t>א' שטיין</w:t>
      </w:r>
      <w:r>
        <w:rPr>
          <w:rFonts w:hint="cs"/>
          <w:rtl/>
        </w:rPr>
        <w:t xml:space="preserve">, הגיע למסקנה כי יש לקבל את שלושת הערעורים של הקבוצה ושל השחקנים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hint="cs"/>
          <w:rtl/>
        </w:rPr>
        <w:t xml:space="preserve"> (ע"א 7719/21 וע"א 7730/21 בהתאמה), ולהכיר בהם כמי שקבעו את מרכז חייהם בקרית שמונה. דעתי בעניין זה שונה ואני סבור כי יש לדחות את שלושת הערעורים. אנמק להלן את עמדתי.</w:t>
      </w:r>
    </w:p>
    <w:p w:rsidR="00851A01" w:rsidRDefault="00851A01" w:rsidP="00851A01">
      <w:pPr>
        <w:pStyle w:val="Ruller41"/>
        <w:contextualSpacing/>
        <w:rPr>
          <w:rtl/>
        </w:rPr>
      </w:pPr>
    </w:p>
    <w:p w:rsidR="00851A01" w:rsidRDefault="00851A01" w:rsidP="00851A01">
      <w:pPr>
        <w:pStyle w:val="Ruller41"/>
        <w:contextualSpacing/>
        <w:rPr>
          <w:rFonts w:ascii="Century" w:hAnsi="Century"/>
          <w:rtl/>
        </w:rPr>
      </w:pPr>
      <w:r>
        <w:rPr>
          <w:rFonts w:hint="cs"/>
          <w:rtl/>
        </w:rPr>
        <w:t>2.</w:t>
      </w:r>
      <w:r>
        <w:rPr>
          <w:rFonts w:hint="cs"/>
          <w:rtl/>
        </w:rPr>
        <w:tab/>
        <w:t>אני מסכים עם חברי כי הביטוי "מרכז חיים" עשוי לקבל פרשנות שונה בחיקוקים שונים, ואף באותו חיקוק, וכבר שנינו ולמדנו כי "</w:t>
      </w:r>
      <w:r>
        <w:rPr>
          <w:rFonts w:ascii="Century" w:hAnsi="Century" w:cs="Miriam" w:hint="cs"/>
          <w:b/>
          <w:spacing w:val="0"/>
          <w:szCs w:val="24"/>
          <w:rtl/>
        </w:rPr>
        <w:t>"</w:t>
      </w:r>
      <w:r w:rsidRPr="006E25B7">
        <w:rPr>
          <w:rFonts w:ascii="Century" w:hAnsi="Century" w:cs="Miriam" w:hint="eastAsia"/>
          <w:b/>
          <w:spacing w:val="0"/>
          <w:szCs w:val="24"/>
          <w:rtl/>
        </w:rPr>
        <w:t>דיבור</w:t>
      </w:r>
      <w:r w:rsidRPr="006E25B7">
        <w:rPr>
          <w:rFonts w:ascii="Century" w:hAnsi="Century" w:cs="Miriam"/>
          <w:b/>
          <w:spacing w:val="0"/>
          <w:szCs w:val="24"/>
          <w:rtl/>
        </w:rPr>
        <w:t xml:space="preserve"> </w:t>
      </w:r>
      <w:r w:rsidRPr="006E25B7">
        <w:rPr>
          <w:rFonts w:ascii="Century" w:hAnsi="Century" w:cs="Miriam" w:hint="eastAsia"/>
          <w:b/>
          <w:spacing w:val="0"/>
          <w:szCs w:val="24"/>
          <w:rtl/>
        </w:rPr>
        <w:t>שבחיקוק</w:t>
      </w:r>
      <w:r w:rsidRPr="006E25B7">
        <w:rPr>
          <w:rFonts w:ascii="Century" w:hAnsi="Century" w:cs="Miriam"/>
          <w:b/>
          <w:spacing w:val="0"/>
          <w:szCs w:val="24"/>
          <w:rtl/>
        </w:rPr>
        <w:t xml:space="preserve"> </w:t>
      </w:r>
      <w:r w:rsidRPr="006E25B7">
        <w:rPr>
          <w:rFonts w:ascii="Century" w:hAnsi="Century" w:cs="Miriam" w:hint="eastAsia"/>
          <w:b/>
          <w:spacing w:val="0"/>
          <w:szCs w:val="24"/>
          <w:rtl/>
        </w:rPr>
        <w:t>הוא</w:t>
      </w:r>
      <w:r w:rsidRPr="006E25B7">
        <w:rPr>
          <w:rFonts w:ascii="Century" w:hAnsi="Century" w:cs="Miriam"/>
          <w:b/>
          <w:spacing w:val="0"/>
          <w:szCs w:val="24"/>
          <w:rtl/>
        </w:rPr>
        <w:t xml:space="preserve"> </w:t>
      </w:r>
      <w:r w:rsidRPr="006E25B7">
        <w:rPr>
          <w:rFonts w:ascii="Century" w:hAnsi="Century" w:cs="Miriam" w:hint="eastAsia"/>
          <w:b/>
          <w:spacing w:val="0"/>
          <w:szCs w:val="24"/>
          <w:rtl/>
        </w:rPr>
        <w:t>יצור</w:t>
      </w:r>
      <w:r w:rsidRPr="006E25B7">
        <w:rPr>
          <w:rFonts w:ascii="Century" w:hAnsi="Century" w:cs="Miriam"/>
          <w:b/>
          <w:spacing w:val="0"/>
          <w:szCs w:val="24"/>
          <w:rtl/>
        </w:rPr>
        <w:t xml:space="preserve"> </w:t>
      </w:r>
      <w:r w:rsidRPr="006E25B7">
        <w:rPr>
          <w:rFonts w:ascii="Century" w:hAnsi="Century" w:cs="Miriam" w:hint="eastAsia"/>
          <w:b/>
          <w:spacing w:val="0"/>
          <w:szCs w:val="24"/>
          <w:rtl/>
        </w:rPr>
        <w:t>החי</w:t>
      </w:r>
      <w:r w:rsidRPr="006E25B7">
        <w:rPr>
          <w:rFonts w:ascii="Century" w:hAnsi="Century" w:cs="Miriam"/>
          <w:b/>
          <w:spacing w:val="0"/>
          <w:szCs w:val="24"/>
          <w:rtl/>
        </w:rPr>
        <w:t xml:space="preserve"> </w:t>
      </w:r>
      <w:r w:rsidRPr="006E25B7">
        <w:rPr>
          <w:rFonts w:ascii="Century" w:hAnsi="Century" w:cs="Miriam" w:hint="eastAsia"/>
          <w:b/>
          <w:spacing w:val="0"/>
          <w:szCs w:val="24"/>
          <w:rtl/>
        </w:rPr>
        <w:t>בסביבתו</w:t>
      </w:r>
      <w:r>
        <w:rPr>
          <w:rFonts w:ascii="Century" w:hAnsi="Century" w:cs="Miriam" w:hint="cs"/>
          <w:b/>
          <w:spacing w:val="0"/>
          <w:szCs w:val="24"/>
          <w:rtl/>
        </w:rPr>
        <w:t xml:space="preserve">. </w:t>
      </w:r>
      <w:r w:rsidRPr="004F1B9B">
        <w:rPr>
          <w:rFonts w:ascii="Century" w:hAnsi="Century" w:cs="Miriam"/>
          <w:b/>
          <w:spacing w:val="0"/>
          <w:szCs w:val="24"/>
          <w:rtl/>
        </w:rPr>
        <w:t>הוא מקבל צביונו מהקשר הדברים</w:t>
      </w:r>
      <w:r>
        <w:rPr>
          <w:rFonts w:ascii="Times New Roman" w:hAnsi="Times New Roman"/>
          <w:rtl/>
        </w:rPr>
        <w:t xml:space="preserve">" </w:t>
      </w:r>
      <w:r w:rsidRPr="004F1B9B">
        <w:rPr>
          <w:rFonts w:ascii="Century" w:hAnsi="Century"/>
          <w:rtl/>
        </w:rPr>
        <w:t>(</w:t>
      </w:r>
      <w:r w:rsidRPr="004F1B9B">
        <w:rPr>
          <w:rFonts w:ascii="Century" w:hAnsi="Century" w:hint="eastAsia"/>
          <w:rtl/>
        </w:rPr>
        <w:t>בג</w:t>
      </w:r>
      <w:r w:rsidRPr="004F1B9B">
        <w:rPr>
          <w:rFonts w:ascii="Century" w:hAnsi="Century"/>
          <w:rtl/>
        </w:rPr>
        <w:t>"</w:t>
      </w:r>
      <w:r w:rsidRPr="004F1B9B">
        <w:rPr>
          <w:rFonts w:ascii="Century" w:hAnsi="Century" w:hint="eastAsia"/>
          <w:rtl/>
        </w:rPr>
        <w:t>ץ</w:t>
      </w:r>
      <w:r w:rsidRPr="004F1B9B">
        <w:rPr>
          <w:rFonts w:ascii="Century" w:hAnsi="Century"/>
          <w:rtl/>
        </w:rPr>
        <w:t xml:space="preserve"> 58/68 </w:t>
      </w:r>
      <w:r w:rsidRPr="0036750D">
        <w:rPr>
          <w:rFonts w:ascii="Century" w:hAnsi="Century" w:cs="Miriam" w:hint="eastAsia"/>
          <w:b/>
          <w:spacing w:val="0"/>
          <w:szCs w:val="24"/>
          <w:rtl/>
        </w:rPr>
        <w:t>שליט</w:t>
      </w:r>
      <w:r w:rsidRPr="0036750D">
        <w:rPr>
          <w:rFonts w:ascii="Century" w:hAnsi="Century" w:cs="Miriam"/>
          <w:b/>
          <w:spacing w:val="0"/>
          <w:szCs w:val="24"/>
          <w:rtl/>
        </w:rPr>
        <w:t xml:space="preserve"> </w:t>
      </w:r>
      <w:r w:rsidRPr="0036750D">
        <w:rPr>
          <w:rFonts w:ascii="Century" w:hAnsi="Century" w:cs="Miriam" w:hint="eastAsia"/>
          <w:b/>
          <w:spacing w:val="0"/>
          <w:szCs w:val="24"/>
          <w:rtl/>
        </w:rPr>
        <w:t>נ</w:t>
      </w:r>
      <w:r w:rsidRPr="0036750D">
        <w:rPr>
          <w:rFonts w:ascii="Century" w:hAnsi="Century" w:cs="Miriam"/>
          <w:b/>
          <w:spacing w:val="0"/>
          <w:szCs w:val="24"/>
          <w:rtl/>
        </w:rPr>
        <w:t xml:space="preserve">' </w:t>
      </w:r>
      <w:r w:rsidRPr="0036750D">
        <w:rPr>
          <w:rFonts w:ascii="Century" w:hAnsi="Century" w:cs="Miriam" w:hint="eastAsia"/>
          <w:b/>
          <w:spacing w:val="0"/>
          <w:szCs w:val="24"/>
          <w:rtl/>
        </w:rPr>
        <w:t>שר</w:t>
      </w:r>
      <w:r w:rsidRPr="0036750D">
        <w:rPr>
          <w:rFonts w:ascii="Century" w:hAnsi="Century" w:cs="Miriam"/>
          <w:b/>
          <w:spacing w:val="0"/>
          <w:szCs w:val="24"/>
          <w:rtl/>
        </w:rPr>
        <w:t xml:space="preserve"> </w:t>
      </w:r>
      <w:r w:rsidRPr="0036750D">
        <w:rPr>
          <w:rFonts w:ascii="Century" w:hAnsi="Century" w:cs="Miriam" w:hint="eastAsia"/>
          <w:b/>
          <w:spacing w:val="0"/>
          <w:szCs w:val="24"/>
          <w:rtl/>
        </w:rPr>
        <w:t>הפנים</w:t>
      </w:r>
      <w:r w:rsidRPr="004F1B9B">
        <w:rPr>
          <w:rFonts w:ascii="Century" w:hAnsi="Century"/>
          <w:rtl/>
        </w:rPr>
        <w:t xml:space="preserve">, </w:t>
      </w:r>
      <w:r w:rsidRPr="004F1B9B">
        <w:rPr>
          <w:rFonts w:ascii="Century" w:hAnsi="Century" w:hint="eastAsia"/>
          <w:rtl/>
        </w:rPr>
        <w:t>פ</w:t>
      </w:r>
      <w:r w:rsidRPr="004F1B9B">
        <w:rPr>
          <w:rFonts w:ascii="Century" w:hAnsi="Century"/>
          <w:rtl/>
        </w:rPr>
        <w:t>"</w:t>
      </w:r>
      <w:r w:rsidRPr="004F1B9B">
        <w:rPr>
          <w:rFonts w:ascii="Century" w:hAnsi="Century" w:hint="eastAsia"/>
          <w:rtl/>
        </w:rPr>
        <w:t>ד</w:t>
      </w:r>
      <w:r w:rsidRPr="004F1B9B">
        <w:rPr>
          <w:rFonts w:ascii="Century" w:hAnsi="Century"/>
          <w:rtl/>
        </w:rPr>
        <w:t xml:space="preserve"> </w:t>
      </w:r>
      <w:r w:rsidRPr="004F1B9B">
        <w:rPr>
          <w:rFonts w:ascii="Century" w:hAnsi="Century" w:hint="eastAsia"/>
          <w:rtl/>
        </w:rPr>
        <w:t>כ</w:t>
      </w:r>
      <w:r w:rsidRPr="004F1B9B">
        <w:rPr>
          <w:rFonts w:ascii="Century" w:hAnsi="Century"/>
          <w:rtl/>
        </w:rPr>
        <w:t>"</w:t>
      </w:r>
      <w:r w:rsidRPr="004F1B9B">
        <w:rPr>
          <w:rFonts w:ascii="Century" w:hAnsi="Century" w:hint="eastAsia"/>
          <w:rtl/>
        </w:rPr>
        <w:t>ג</w:t>
      </w:r>
      <w:r w:rsidRPr="004F1B9B">
        <w:rPr>
          <w:rFonts w:ascii="Century" w:hAnsi="Century"/>
          <w:rtl/>
        </w:rPr>
        <w:t xml:space="preserve"> </w:t>
      </w:r>
      <w:r>
        <w:rPr>
          <w:rFonts w:ascii="Century" w:hAnsi="Century"/>
          <w:rtl/>
        </w:rPr>
        <w:t xml:space="preserve">(2) 477, 513 (1970); </w:t>
      </w:r>
      <w:r w:rsidRPr="004F1B9B">
        <w:rPr>
          <w:rFonts w:ascii="Century" w:hAnsi="Century" w:hint="eastAsia"/>
          <w:rtl/>
        </w:rPr>
        <w:t>בג</w:t>
      </w:r>
      <w:r w:rsidRPr="004F1B9B">
        <w:rPr>
          <w:rFonts w:ascii="Century" w:hAnsi="Century"/>
          <w:rtl/>
        </w:rPr>
        <w:t>"</w:t>
      </w:r>
      <w:r w:rsidRPr="004F1B9B">
        <w:rPr>
          <w:rFonts w:ascii="Century" w:hAnsi="Century" w:hint="eastAsia"/>
          <w:rtl/>
        </w:rPr>
        <w:t>ץ</w:t>
      </w:r>
      <w:r w:rsidRPr="004F1B9B">
        <w:rPr>
          <w:rFonts w:ascii="Century" w:hAnsi="Century"/>
          <w:rtl/>
        </w:rPr>
        <w:t xml:space="preserve"> 4562/92 </w:t>
      </w:r>
      <w:r w:rsidRPr="0036750D">
        <w:rPr>
          <w:rFonts w:ascii="Century" w:hAnsi="Century" w:cs="Miriam" w:hint="eastAsia"/>
          <w:b/>
          <w:spacing w:val="0"/>
          <w:szCs w:val="24"/>
          <w:rtl/>
        </w:rPr>
        <w:t>זנדברג</w:t>
      </w:r>
      <w:r w:rsidRPr="0036750D">
        <w:rPr>
          <w:rFonts w:ascii="Century" w:hAnsi="Century" w:cs="Miriam"/>
          <w:b/>
          <w:spacing w:val="0"/>
          <w:szCs w:val="24"/>
          <w:rtl/>
        </w:rPr>
        <w:t xml:space="preserve"> </w:t>
      </w:r>
      <w:r w:rsidRPr="0036750D">
        <w:rPr>
          <w:rFonts w:ascii="Century" w:hAnsi="Century" w:cs="Miriam" w:hint="eastAsia"/>
          <w:b/>
          <w:spacing w:val="0"/>
          <w:szCs w:val="24"/>
          <w:rtl/>
        </w:rPr>
        <w:t>נ</w:t>
      </w:r>
      <w:r w:rsidRPr="0036750D">
        <w:rPr>
          <w:rFonts w:ascii="Century" w:hAnsi="Century" w:cs="Miriam"/>
          <w:b/>
          <w:spacing w:val="0"/>
          <w:szCs w:val="24"/>
          <w:rtl/>
        </w:rPr>
        <w:t xml:space="preserve">' </w:t>
      </w:r>
      <w:r w:rsidRPr="0036750D">
        <w:rPr>
          <w:rFonts w:ascii="Century" w:hAnsi="Century" w:cs="Miriam" w:hint="eastAsia"/>
          <w:b/>
          <w:spacing w:val="0"/>
          <w:szCs w:val="24"/>
          <w:rtl/>
        </w:rPr>
        <w:t>רשות</w:t>
      </w:r>
      <w:r w:rsidRPr="0036750D">
        <w:rPr>
          <w:rFonts w:ascii="Century" w:hAnsi="Century" w:cs="Miriam"/>
          <w:b/>
          <w:spacing w:val="0"/>
          <w:szCs w:val="24"/>
          <w:rtl/>
        </w:rPr>
        <w:t xml:space="preserve"> </w:t>
      </w:r>
      <w:r w:rsidRPr="0036750D">
        <w:rPr>
          <w:rFonts w:ascii="Century" w:hAnsi="Century" w:cs="Miriam" w:hint="eastAsia"/>
          <w:b/>
          <w:spacing w:val="0"/>
          <w:szCs w:val="24"/>
          <w:rtl/>
        </w:rPr>
        <w:t>השידור</w:t>
      </w:r>
      <w:r w:rsidRPr="004F1B9B">
        <w:rPr>
          <w:rFonts w:ascii="Century" w:hAnsi="Century"/>
          <w:rtl/>
        </w:rPr>
        <w:t xml:space="preserve">, </w:t>
      </w:r>
      <w:r w:rsidRPr="004F1B9B">
        <w:rPr>
          <w:rFonts w:ascii="Century" w:hAnsi="Century" w:hint="eastAsia"/>
          <w:rtl/>
        </w:rPr>
        <w:t>פ</w:t>
      </w:r>
      <w:r w:rsidRPr="004F1B9B">
        <w:rPr>
          <w:rFonts w:ascii="Century" w:hAnsi="Century"/>
          <w:rtl/>
        </w:rPr>
        <w:t>"</w:t>
      </w:r>
      <w:r w:rsidRPr="004F1B9B">
        <w:rPr>
          <w:rFonts w:ascii="Century" w:hAnsi="Century" w:hint="eastAsia"/>
          <w:rtl/>
        </w:rPr>
        <w:t>ד</w:t>
      </w:r>
      <w:r w:rsidRPr="004F1B9B">
        <w:rPr>
          <w:rFonts w:ascii="Century" w:hAnsi="Century"/>
          <w:rtl/>
        </w:rPr>
        <w:t xml:space="preserve"> </w:t>
      </w:r>
      <w:r w:rsidRPr="004F1B9B">
        <w:rPr>
          <w:rFonts w:ascii="Century" w:hAnsi="Century" w:hint="eastAsia"/>
          <w:rtl/>
        </w:rPr>
        <w:t>נ</w:t>
      </w:r>
      <w:r>
        <w:rPr>
          <w:rFonts w:ascii="Century" w:hAnsi="Century"/>
          <w:rtl/>
        </w:rPr>
        <w:t>(2) 793, 802 (1996)</w:t>
      </w:r>
      <w:r>
        <w:rPr>
          <w:rFonts w:ascii="Century" w:hAnsi="Century" w:hint="cs"/>
          <w:rtl/>
        </w:rPr>
        <w:t>)</w:t>
      </w:r>
      <w:r>
        <w:rPr>
          <w:rFonts w:ascii="Century" w:hAnsi="Century"/>
          <w:rtl/>
        </w:rPr>
        <w:t>.</w:t>
      </w:r>
      <w:r>
        <w:rPr>
          <w:rFonts w:ascii="Century" w:hAnsi="Century" w:hint="cs"/>
          <w:rtl/>
        </w:rPr>
        <w:t xml:space="preserve"> מכאן, שהמונח "תושב" עשוי לקבל פירושים ומשמעויות שונות בחיקוקים שונים (ראו, לדוגמה, </w:t>
      </w:r>
      <w:r w:rsidRPr="00690D6F">
        <w:rPr>
          <w:rFonts w:ascii="Century" w:hAnsi="Century" w:hint="eastAsia"/>
          <w:rtl/>
        </w:rPr>
        <w:t>ע</w:t>
      </w:r>
      <w:r w:rsidRPr="00690D6F">
        <w:rPr>
          <w:rFonts w:ascii="Century" w:hAnsi="Century"/>
          <w:rtl/>
        </w:rPr>
        <w:t>"</w:t>
      </w:r>
      <w:r w:rsidRPr="00690D6F">
        <w:rPr>
          <w:rFonts w:ascii="Century" w:hAnsi="Century" w:hint="eastAsia"/>
          <w:rtl/>
        </w:rPr>
        <w:t>א</w:t>
      </w:r>
      <w:r w:rsidRPr="00690D6F">
        <w:rPr>
          <w:rFonts w:ascii="Century" w:hAnsi="Century"/>
          <w:rtl/>
        </w:rPr>
        <w:t xml:space="preserve"> 657/76 </w:t>
      </w:r>
      <w:r w:rsidRPr="00690D6F">
        <w:rPr>
          <w:rFonts w:ascii="Century" w:hAnsi="Century" w:cs="Miriam" w:hint="cs"/>
          <w:b/>
          <w:spacing w:val="0"/>
          <w:szCs w:val="24"/>
          <w:rtl/>
        </w:rPr>
        <w:t xml:space="preserve">הרשות המוסמכת לצורך חוק נכי רדיפות הנאצים, תשי"ז-1957 נ' </w:t>
      </w:r>
      <w:proofErr w:type="spellStart"/>
      <w:r w:rsidRPr="00690D6F">
        <w:rPr>
          <w:rFonts w:ascii="Century" w:hAnsi="Century" w:cs="Miriam" w:hint="cs"/>
          <w:b/>
          <w:spacing w:val="0"/>
          <w:szCs w:val="24"/>
          <w:rtl/>
        </w:rPr>
        <w:t>חסדאי</w:t>
      </w:r>
      <w:proofErr w:type="spellEnd"/>
      <w:r>
        <w:rPr>
          <w:rFonts w:ascii="Century" w:hAnsi="Century" w:hint="cs"/>
          <w:rtl/>
        </w:rPr>
        <w:t xml:space="preserve">, </w:t>
      </w:r>
      <w:r w:rsidRPr="00690D6F">
        <w:rPr>
          <w:rFonts w:ascii="Century" w:hAnsi="Century" w:hint="eastAsia"/>
          <w:rtl/>
        </w:rPr>
        <w:t>פ</w:t>
      </w:r>
      <w:r w:rsidRPr="00690D6F">
        <w:rPr>
          <w:rFonts w:ascii="Century" w:hAnsi="Century"/>
          <w:rtl/>
        </w:rPr>
        <w:t>"</w:t>
      </w:r>
      <w:r w:rsidRPr="00690D6F">
        <w:rPr>
          <w:rFonts w:ascii="Century" w:hAnsi="Century" w:hint="eastAsia"/>
          <w:rtl/>
        </w:rPr>
        <w:t>ד</w:t>
      </w:r>
      <w:r w:rsidRPr="00690D6F">
        <w:rPr>
          <w:rFonts w:ascii="Century" w:hAnsi="Century"/>
          <w:rtl/>
        </w:rPr>
        <w:t xml:space="preserve"> </w:t>
      </w:r>
      <w:r w:rsidRPr="00690D6F">
        <w:rPr>
          <w:rFonts w:ascii="Century" w:hAnsi="Century" w:hint="eastAsia"/>
          <w:rtl/>
        </w:rPr>
        <w:t>ל</w:t>
      </w:r>
      <w:r w:rsidRPr="00690D6F">
        <w:rPr>
          <w:rFonts w:ascii="Century" w:hAnsi="Century"/>
          <w:rtl/>
        </w:rPr>
        <w:t>"</w:t>
      </w:r>
      <w:r w:rsidRPr="00690D6F">
        <w:rPr>
          <w:rFonts w:ascii="Century" w:hAnsi="Century" w:hint="eastAsia"/>
          <w:rtl/>
        </w:rPr>
        <w:t>ב</w:t>
      </w:r>
      <w:r w:rsidRPr="00690D6F">
        <w:rPr>
          <w:rFonts w:ascii="Century" w:hAnsi="Century"/>
          <w:rtl/>
        </w:rPr>
        <w:t xml:space="preserve">(1) 778, 781 </w:t>
      </w:r>
      <w:r>
        <w:rPr>
          <w:rFonts w:ascii="Century" w:hAnsi="Century" w:hint="cs"/>
          <w:rtl/>
        </w:rPr>
        <w:t>(1978)).</w:t>
      </w:r>
    </w:p>
    <w:p w:rsidR="00851A01" w:rsidRPr="00E04056" w:rsidRDefault="00851A01" w:rsidP="00851A01">
      <w:pPr>
        <w:pStyle w:val="Ruller41"/>
        <w:contextualSpacing/>
        <w:rPr>
          <w:rFonts w:cs="David"/>
          <w:sz w:val="26"/>
          <w:szCs w:val="26"/>
          <w:rtl/>
        </w:rPr>
      </w:pPr>
      <w:r>
        <w:rPr>
          <w:rFonts w:ascii="Century" w:hAnsi="Century" w:hint="cs"/>
          <w:rtl/>
        </w:rPr>
        <w:t xml:space="preserve"> </w:t>
      </w:r>
    </w:p>
    <w:p w:rsidR="00851A01" w:rsidRDefault="00851A01" w:rsidP="00851A01">
      <w:pPr>
        <w:pStyle w:val="Ruller41"/>
        <w:contextualSpacing/>
        <w:rPr>
          <w:rtl/>
        </w:rPr>
      </w:pPr>
      <w:r>
        <w:rPr>
          <w:rFonts w:ascii="Century" w:hAnsi="Century"/>
          <w:rtl/>
        </w:rPr>
        <w:tab/>
      </w:r>
      <w:r>
        <w:rPr>
          <w:rFonts w:ascii="Century" w:hAnsi="Century" w:hint="cs"/>
          <w:rtl/>
        </w:rPr>
        <w:t xml:space="preserve">עם זאת, השאיפה היא להרמוניה חקיקתית, וכאשר מדובר באותו חוק ובסוגיה דומה של תושבות לצורך מיסוי, אני סבור כי המבחן המהותי של מרכז חיים, ראוי להתפרש באופן דומה. </w:t>
      </w:r>
      <w:r>
        <w:rPr>
          <w:rFonts w:hint="cs"/>
          <w:rtl/>
        </w:rPr>
        <w:t xml:space="preserve">סעיף 1 לפקודת מס הכנסה [נוסח חדש], התשכ"א-1961 (להלן: </w:t>
      </w:r>
      <w:r w:rsidRPr="004F1B9B">
        <w:rPr>
          <w:rFonts w:ascii="Century" w:hAnsi="Century" w:cs="Miriam" w:hint="cs"/>
          <w:b/>
          <w:spacing w:val="0"/>
          <w:szCs w:val="24"/>
          <w:rtl/>
        </w:rPr>
        <w:t>הפקודה</w:t>
      </w:r>
      <w:r>
        <w:rPr>
          <w:rFonts w:hint="cs"/>
          <w:rtl/>
        </w:rPr>
        <w:t>) מתייחס אמנם ל"תושב ישראל" ולא ל</w:t>
      </w:r>
      <w:r w:rsidRPr="00B02EC2">
        <w:rPr>
          <w:rFonts w:ascii="Century" w:hAnsi="Century" w:hint="cs"/>
          <w:rtl/>
        </w:rPr>
        <w:t>"</w:t>
      </w:r>
      <w:r w:rsidRPr="00B02EC2">
        <w:rPr>
          <w:rFonts w:ascii="Century" w:hAnsi="Century"/>
          <w:rtl/>
        </w:rPr>
        <w:t>תושב" ביישוב מסוים</w:t>
      </w:r>
      <w:r>
        <w:rPr>
          <w:rFonts w:ascii="Century" w:hAnsi="Century" w:hint="cs"/>
          <w:rtl/>
        </w:rPr>
        <w:t>,</w:t>
      </w:r>
      <w:r w:rsidRPr="00E95125">
        <w:rPr>
          <w:rFonts w:hint="cs"/>
          <w:rtl/>
        </w:rPr>
        <w:t xml:space="preserve"> </w:t>
      </w:r>
      <w:r>
        <w:rPr>
          <w:rFonts w:hint="cs"/>
          <w:rtl/>
        </w:rPr>
        <w:t>שהוא</w:t>
      </w:r>
      <w:r w:rsidRPr="00B02EC2">
        <w:rPr>
          <w:rFonts w:ascii="Century" w:hAnsi="Century"/>
          <w:rtl/>
        </w:rPr>
        <w:t xml:space="preserve"> </w:t>
      </w:r>
      <w:r>
        <w:rPr>
          <w:rFonts w:ascii="Century" w:hAnsi="Century" w:hint="cs"/>
          <w:rtl/>
        </w:rPr>
        <w:t>"</w:t>
      </w:r>
      <w:r w:rsidRPr="00B02EC2">
        <w:rPr>
          <w:rFonts w:ascii="Century" w:hAnsi="Century"/>
          <w:rtl/>
        </w:rPr>
        <w:t>יחיד שמרכז חייו באותו יישוב</w:t>
      </w:r>
      <w:r>
        <w:rPr>
          <w:rFonts w:hint="cs"/>
          <w:rtl/>
        </w:rPr>
        <w:t xml:space="preserve">" כאמור בסעיף 11(א) לפקודה. עם זאת, בהינתן כי מדובר באותו חיקוק ובאותה סוגיה של מרכז חיים, הרי שהאינדיקציות המפורטות בסעיף 1(א)(1) לפקודה לגבי מרכז חיים של תושב ישראל, יכולות לשמש אותנו, ולו על דרך ההיקש, גם לגבי </w:t>
      </w:r>
      <w:r>
        <w:rPr>
          <w:rFonts w:ascii="David" w:hAnsi="David"/>
          <w:rtl/>
        </w:rPr>
        <w:t>"יחיד שמרכז חייו באותו יישוב".</w:t>
      </w:r>
      <w:r>
        <w:rPr>
          <w:rFonts w:hint="cs"/>
          <w:rtl/>
        </w:rPr>
        <w:t xml:space="preserve"> בשני המקרים, יש לבחון בהיבט האובייקטיבי היכן מצויות מירב הזיקות של הנישום, ובהיבט הסובייקטיבי, מה </w:t>
      </w:r>
      <w:proofErr w:type="spellStart"/>
      <w:r>
        <w:rPr>
          <w:rFonts w:hint="cs"/>
          <w:rtl/>
        </w:rPr>
        <w:t>היתה</w:t>
      </w:r>
      <w:proofErr w:type="spellEnd"/>
      <w:r>
        <w:rPr>
          <w:rFonts w:hint="cs"/>
          <w:rtl/>
        </w:rPr>
        <w:t xml:space="preserve"> כוונתו של הנישום והיכן הוא רואה את מרכז חייו (השוו ע"א 477/02 </w:t>
      </w:r>
      <w:r w:rsidRPr="007662C3">
        <w:rPr>
          <w:rFonts w:ascii="Century" w:hAnsi="Century" w:cs="Miriam" w:hint="cs"/>
          <w:b/>
          <w:spacing w:val="0"/>
          <w:szCs w:val="24"/>
          <w:rtl/>
        </w:rPr>
        <w:t>גונן נ' פקיד שומה חיפה</w:t>
      </w:r>
      <w:r>
        <w:rPr>
          <w:rFonts w:hint="cs"/>
          <w:rtl/>
        </w:rPr>
        <w:t xml:space="preserve">, פסקה 9 (29.12.2005) שם נדונה הוראת סעיף 1 לפקודה). הלכה למעשה, הגם שהדבר לא נאמר במפורש, בית משפט זה אימץ את המבחנים של סעיף 1 לפקודה, גם לצורך בחינת מרכז חיים של תושב ביישוב אשר מזכה בהטבת מס (להלן: </w:t>
      </w:r>
      <w:r w:rsidRPr="004F1B9B">
        <w:rPr>
          <w:rFonts w:ascii="Century" w:hAnsi="Century" w:cs="Miriam" w:hint="cs"/>
          <w:b/>
          <w:spacing w:val="0"/>
          <w:szCs w:val="24"/>
          <w:rtl/>
        </w:rPr>
        <w:t>יישוב מ</w:t>
      </w:r>
      <w:r>
        <w:rPr>
          <w:rFonts w:ascii="Century" w:hAnsi="Century" w:cs="Miriam" w:hint="cs"/>
          <w:b/>
          <w:spacing w:val="0"/>
          <w:szCs w:val="24"/>
          <w:rtl/>
        </w:rPr>
        <w:t>וטב</w:t>
      </w:r>
      <w:r>
        <w:rPr>
          <w:rFonts w:hint="cs"/>
          <w:rtl/>
        </w:rPr>
        <w:t xml:space="preserve">) (ע"א 8234/11 </w:t>
      </w:r>
      <w:proofErr w:type="spellStart"/>
      <w:r w:rsidRPr="001174C8">
        <w:rPr>
          <w:rFonts w:ascii="Century" w:hAnsi="Century" w:cs="Miriam" w:hint="cs"/>
          <w:b/>
          <w:spacing w:val="0"/>
          <w:szCs w:val="24"/>
          <w:rtl/>
        </w:rPr>
        <w:t>בלטינסקי</w:t>
      </w:r>
      <w:proofErr w:type="spellEnd"/>
      <w:r w:rsidRPr="001174C8">
        <w:rPr>
          <w:rFonts w:ascii="Century" w:hAnsi="Century" w:cs="Miriam" w:hint="cs"/>
          <w:b/>
          <w:spacing w:val="0"/>
          <w:szCs w:val="24"/>
          <w:rtl/>
        </w:rPr>
        <w:t xml:space="preserve"> נ' פקיד שומה עכו</w:t>
      </w:r>
      <w:r w:rsidRPr="001174C8">
        <w:rPr>
          <w:rFonts w:hint="cs"/>
          <w:rtl/>
        </w:rPr>
        <w:t xml:space="preserve"> </w:t>
      </w:r>
      <w:r>
        <w:rPr>
          <w:rFonts w:hint="cs"/>
          <w:rtl/>
        </w:rPr>
        <w:t xml:space="preserve">(6.2.2014)). </w:t>
      </w:r>
    </w:p>
    <w:p w:rsidR="00851A01" w:rsidRDefault="00851A01" w:rsidP="00851A01">
      <w:pPr>
        <w:pStyle w:val="Ruller41"/>
        <w:contextualSpacing/>
        <w:rPr>
          <w:rtl/>
        </w:rPr>
      </w:pPr>
      <w:r>
        <w:rPr>
          <w:rFonts w:ascii="Century" w:hAnsi="Century" w:hint="cs"/>
          <w:rtl/>
        </w:rPr>
        <w:t xml:space="preserve"> </w:t>
      </w:r>
    </w:p>
    <w:p w:rsidR="00851A01" w:rsidRPr="003D466D" w:rsidRDefault="00851A01" w:rsidP="00851A01">
      <w:pPr>
        <w:pStyle w:val="Ruller41"/>
        <w:contextualSpacing/>
        <w:rPr>
          <w:rFonts w:ascii="Century" w:hAnsi="Century"/>
          <w:rtl/>
        </w:rPr>
      </w:pPr>
      <w:r>
        <w:rPr>
          <w:rFonts w:hint="cs"/>
          <w:rtl/>
        </w:rPr>
        <w:t>3.</w:t>
      </w:r>
      <w:r>
        <w:rPr>
          <w:rFonts w:hint="cs"/>
          <w:rtl/>
        </w:rPr>
        <w:tab/>
      </w:r>
      <w:r w:rsidRPr="003D466D">
        <w:rPr>
          <w:rFonts w:ascii="Century" w:hAnsi="Century" w:hint="cs"/>
          <w:rtl/>
        </w:rPr>
        <w:t>בבואנו לבחון אם מרכז חייו של פלוני הוא ביישוב מסוים, עלינו לבחון את מ</w:t>
      </w:r>
      <w:r w:rsidRPr="006C0DE0">
        <w:rPr>
          <w:rFonts w:ascii="Century" w:hAnsi="Century" w:hint="cs"/>
          <w:rtl/>
        </w:rPr>
        <w:t xml:space="preserve">כלול הזיקות הקושרות את פלוני לאותו יישוב, כאשר משקלה </w:t>
      </w:r>
      <w:r w:rsidRPr="006A5A69">
        <w:rPr>
          <w:rFonts w:ascii="Century" w:hAnsi="Century" w:hint="cs"/>
          <w:rtl/>
        </w:rPr>
        <w:t>ועוצמתה של כל זיקה</w:t>
      </w:r>
      <w:r w:rsidRPr="006A5A69">
        <w:rPr>
          <w:rFonts w:hint="cs"/>
          <w:rtl/>
        </w:rPr>
        <w:t xml:space="preserve"> </w:t>
      </w:r>
      <w:r>
        <w:rPr>
          <w:rFonts w:hint="cs"/>
          <w:rtl/>
        </w:rPr>
        <w:t xml:space="preserve">עשויים להיות שונים. כך, לדוגמה, העובדה שפלוני לא מנהל את חשבונו בסניף בנק </w:t>
      </w:r>
      <w:r>
        <w:rPr>
          <w:rFonts w:hint="cs"/>
          <w:rtl/>
        </w:rPr>
        <w:lastRenderedPageBreak/>
        <w:t xml:space="preserve">באותו יישוב, היא זיקה בעלת משקל שלילי נמוך. זאת, לנוכח הירידה במעמדו של סניף הבנק והירידה במעמדו של הקשר הישיר </w:t>
      </w:r>
      <w:r w:rsidRPr="003D466D">
        <w:rPr>
          <w:rFonts w:ascii="Century" w:hAnsi="Century" w:hint="cs"/>
          <w:rtl/>
        </w:rPr>
        <w:t xml:space="preserve">והבלתי אמצעי עם פקיד הבנק, בהינתן העידן הטכנולוגי </w:t>
      </w:r>
      <w:proofErr w:type="spellStart"/>
      <w:r w:rsidRPr="003D466D">
        <w:rPr>
          <w:rFonts w:ascii="Century" w:hAnsi="Century" w:hint="cs"/>
          <w:rtl/>
        </w:rPr>
        <w:t>דהיום</w:t>
      </w:r>
      <w:proofErr w:type="spellEnd"/>
      <w:r w:rsidRPr="003D466D">
        <w:rPr>
          <w:rFonts w:ascii="Century" w:hAnsi="Century" w:hint="cs"/>
          <w:rtl/>
        </w:rPr>
        <w:t xml:space="preserve">, שבו ניתן ממילא לבצע את רוב הפעולות בחשבון הבנק </w:t>
      </w:r>
      <w:r w:rsidRPr="003D466D">
        <w:rPr>
          <w:rFonts w:ascii="Century" w:hAnsi="Century"/>
          <w:rtl/>
        </w:rPr>
        <w:t>מבלי להגיע לסניף הבנק</w:t>
      </w:r>
      <w:r w:rsidRPr="003D466D">
        <w:rPr>
          <w:rFonts w:ascii="Century" w:hAnsi="Century" w:hint="cs"/>
          <w:rtl/>
        </w:rPr>
        <w:t>. לעומת זאת, לעובדה שמשפחתו של פלוני לא נמצאת ביישוב, יש משקל גבוה, מאחר שבמצב הדברים הרגיל, אדם קושר את משפחתו למקום מושבו הקבוע. גם משך השהות ביישוב המוטב אינ</w:t>
      </w:r>
      <w:r>
        <w:rPr>
          <w:rFonts w:ascii="Century" w:hAnsi="Century" w:hint="cs"/>
          <w:rtl/>
        </w:rPr>
        <w:t>ו</w:t>
      </w:r>
      <w:r w:rsidRPr="003D466D">
        <w:rPr>
          <w:rFonts w:ascii="Century" w:hAnsi="Century" w:hint="cs"/>
          <w:rtl/>
        </w:rPr>
        <w:t xml:space="preserve"> אינדיקציה שאין בלתה, ויפים לענייננו דברים שנאמרו, הגם שבהקשר אחר: </w:t>
      </w:r>
    </w:p>
    <w:p w:rsidR="00851A01" w:rsidRDefault="00851A01" w:rsidP="00851A01">
      <w:pPr>
        <w:pStyle w:val="Ruller5"/>
        <w:contextualSpacing/>
        <w:rPr>
          <w:rtl/>
        </w:rPr>
      </w:pPr>
    </w:p>
    <w:p w:rsidR="00851A01" w:rsidRDefault="00851A01" w:rsidP="00851A01">
      <w:pPr>
        <w:pStyle w:val="Ruller5"/>
        <w:contextualSpacing/>
        <w:rPr>
          <w:rtl/>
        </w:rPr>
      </w:pPr>
      <w:r w:rsidRPr="00437A73">
        <w:rPr>
          <w:rStyle w:val="default"/>
          <w:rFonts w:eastAsiaTheme="majorEastAsia" w:hint="cs"/>
          <w:sz w:val="28"/>
          <w:rtl/>
        </w:rPr>
        <w:t>"</w:t>
      </w:r>
      <w:r w:rsidRPr="00437A73">
        <w:rPr>
          <w:rStyle w:val="default"/>
          <w:rFonts w:hint="cs"/>
          <w:sz w:val="28"/>
          <w:rtl/>
        </w:rPr>
        <w:t xml:space="preserve"> </w:t>
      </w:r>
      <w:r w:rsidRPr="00437A73">
        <w:rPr>
          <w:rStyle w:val="default"/>
          <w:rFonts w:ascii="Century" w:eastAsiaTheme="majorEastAsia" w:hAnsi="Century" w:hint="cs"/>
          <w:sz w:val="28"/>
          <w:rtl/>
        </w:rPr>
        <w:t xml:space="preserve">[...] השאלה היא מה טיבה של היעדרות ארעית, וכיצד ניתן לקבוע כי ההיעדרות איבדה מארעיותה והגיעה לנקודה שיש בה כדי לנתק </w:t>
      </w:r>
      <w:r w:rsidRPr="00437A73">
        <w:rPr>
          <w:rFonts w:eastAsiaTheme="majorEastAsia" w:hint="eastAsia"/>
          <w:sz w:val="28"/>
          <w:rtl/>
        </w:rPr>
        <w:t>את</w:t>
      </w:r>
      <w:r w:rsidRPr="00437A73">
        <w:rPr>
          <w:rFonts w:eastAsiaTheme="majorEastAsia"/>
          <w:sz w:val="28"/>
          <w:rtl/>
        </w:rPr>
        <w:t xml:space="preserve"> </w:t>
      </w:r>
      <w:r w:rsidRPr="00437A73">
        <w:rPr>
          <w:rFonts w:eastAsiaTheme="majorEastAsia" w:hint="eastAsia"/>
          <w:sz w:val="28"/>
          <w:rtl/>
        </w:rPr>
        <w:t>זיקת</w:t>
      </w:r>
      <w:r w:rsidRPr="00437A73">
        <w:rPr>
          <w:rFonts w:eastAsiaTheme="majorEastAsia"/>
          <w:sz w:val="28"/>
          <w:rtl/>
        </w:rPr>
        <w:t xml:space="preserve"> </w:t>
      </w:r>
      <w:r w:rsidRPr="00437A73">
        <w:rPr>
          <w:rFonts w:eastAsiaTheme="majorEastAsia" w:hint="eastAsia"/>
          <w:sz w:val="28"/>
          <w:rtl/>
        </w:rPr>
        <w:t>המגורים</w:t>
      </w:r>
      <w:r w:rsidRPr="00437A73">
        <w:rPr>
          <w:rFonts w:eastAsiaTheme="majorEastAsia"/>
          <w:sz w:val="28"/>
          <w:rtl/>
        </w:rPr>
        <w:t xml:space="preserve"> </w:t>
      </w:r>
      <w:r w:rsidRPr="00437A73">
        <w:rPr>
          <w:rFonts w:eastAsiaTheme="majorEastAsia" w:hint="eastAsia"/>
          <w:sz w:val="28"/>
          <w:rtl/>
        </w:rPr>
        <w:t>בקביעות</w:t>
      </w:r>
      <w:r w:rsidRPr="00437A73">
        <w:rPr>
          <w:rFonts w:eastAsiaTheme="majorEastAsia"/>
          <w:sz w:val="28"/>
          <w:rtl/>
        </w:rPr>
        <w:t xml:space="preserve">... </w:t>
      </w:r>
      <w:r w:rsidRPr="00437A73">
        <w:rPr>
          <w:rFonts w:eastAsiaTheme="majorEastAsia" w:hint="eastAsia"/>
          <w:sz w:val="28"/>
          <w:rtl/>
        </w:rPr>
        <w:t>משך</w:t>
      </w:r>
      <w:r w:rsidRPr="00437A73">
        <w:rPr>
          <w:rFonts w:eastAsiaTheme="majorEastAsia"/>
          <w:sz w:val="28"/>
          <w:rtl/>
        </w:rPr>
        <w:t xml:space="preserve"> </w:t>
      </w:r>
      <w:r w:rsidRPr="00437A73">
        <w:rPr>
          <w:rFonts w:eastAsiaTheme="majorEastAsia" w:hint="eastAsia"/>
          <w:sz w:val="28"/>
          <w:rtl/>
        </w:rPr>
        <w:t>הזמן</w:t>
      </w:r>
      <w:r w:rsidRPr="00437A73">
        <w:rPr>
          <w:rFonts w:eastAsiaTheme="majorEastAsia"/>
          <w:sz w:val="28"/>
          <w:rtl/>
        </w:rPr>
        <w:t xml:space="preserve"> </w:t>
      </w:r>
      <w:r w:rsidRPr="00437A73">
        <w:rPr>
          <w:rFonts w:eastAsiaTheme="majorEastAsia" w:hint="eastAsia"/>
          <w:sz w:val="28"/>
          <w:rtl/>
        </w:rPr>
        <w:t>כשלעצמו</w:t>
      </w:r>
      <w:r w:rsidRPr="00437A73">
        <w:rPr>
          <w:rFonts w:eastAsiaTheme="majorEastAsia"/>
          <w:sz w:val="28"/>
          <w:rtl/>
        </w:rPr>
        <w:t xml:space="preserve"> </w:t>
      </w:r>
      <w:r w:rsidRPr="00437A73">
        <w:rPr>
          <w:rFonts w:eastAsiaTheme="majorEastAsia" w:hint="eastAsia"/>
          <w:sz w:val="28"/>
          <w:rtl/>
        </w:rPr>
        <w:t>אינו</w:t>
      </w:r>
      <w:r w:rsidRPr="00437A73">
        <w:rPr>
          <w:rFonts w:eastAsiaTheme="majorEastAsia"/>
          <w:sz w:val="28"/>
          <w:rtl/>
        </w:rPr>
        <w:t xml:space="preserve"> </w:t>
      </w:r>
      <w:r w:rsidRPr="00437A73">
        <w:rPr>
          <w:rFonts w:eastAsiaTheme="majorEastAsia" w:hint="eastAsia"/>
          <w:sz w:val="28"/>
          <w:rtl/>
        </w:rPr>
        <w:t>יכול</w:t>
      </w:r>
      <w:r w:rsidRPr="00437A73">
        <w:rPr>
          <w:rFonts w:eastAsiaTheme="majorEastAsia"/>
          <w:sz w:val="28"/>
          <w:rtl/>
        </w:rPr>
        <w:t xml:space="preserve"> </w:t>
      </w:r>
      <w:r w:rsidRPr="00437A73">
        <w:rPr>
          <w:rFonts w:eastAsiaTheme="majorEastAsia" w:hint="eastAsia"/>
          <w:sz w:val="28"/>
          <w:rtl/>
        </w:rPr>
        <w:t>לשמש</w:t>
      </w:r>
      <w:r w:rsidRPr="00437A73">
        <w:rPr>
          <w:rFonts w:eastAsiaTheme="majorEastAsia"/>
          <w:sz w:val="28"/>
          <w:rtl/>
        </w:rPr>
        <w:t xml:space="preserve"> </w:t>
      </w:r>
      <w:r w:rsidRPr="00437A73">
        <w:rPr>
          <w:rFonts w:eastAsiaTheme="majorEastAsia" w:hint="eastAsia"/>
          <w:sz w:val="28"/>
          <w:rtl/>
        </w:rPr>
        <w:t>מודד</w:t>
      </w:r>
      <w:r w:rsidRPr="00437A73">
        <w:rPr>
          <w:rFonts w:eastAsiaTheme="majorEastAsia"/>
          <w:sz w:val="28"/>
          <w:rtl/>
        </w:rPr>
        <w:t xml:space="preserve"> </w:t>
      </w:r>
      <w:r w:rsidRPr="00437A73">
        <w:rPr>
          <w:rFonts w:eastAsiaTheme="majorEastAsia" w:hint="eastAsia"/>
          <w:sz w:val="28"/>
          <w:rtl/>
        </w:rPr>
        <w:t>בלעדי</w:t>
      </w:r>
      <w:r w:rsidRPr="00437A73">
        <w:rPr>
          <w:rFonts w:eastAsiaTheme="majorEastAsia"/>
          <w:sz w:val="28"/>
          <w:rtl/>
        </w:rPr>
        <w:t xml:space="preserve"> </w:t>
      </w:r>
      <w:r w:rsidRPr="00437A73">
        <w:rPr>
          <w:rFonts w:eastAsiaTheme="majorEastAsia" w:hint="eastAsia"/>
          <w:sz w:val="28"/>
          <w:rtl/>
        </w:rPr>
        <w:t>ומספיק</w:t>
      </w:r>
      <w:r w:rsidRPr="00437A73">
        <w:rPr>
          <w:rFonts w:eastAsiaTheme="majorEastAsia"/>
          <w:sz w:val="28"/>
          <w:rtl/>
        </w:rPr>
        <w:t xml:space="preserve">, </w:t>
      </w:r>
      <w:r w:rsidRPr="00437A73">
        <w:rPr>
          <w:rFonts w:eastAsiaTheme="majorEastAsia" w:hint="eastAsia"/>
          <w:sz w:val="28"/>
          <w:rtl/>
        </w:rPr>
        <w:t>ומתבקשת</w:t>
      </w:r>
      <w:r w:rsidRPr="00437A73">
        <w:rPr>
          <w:rFonts w:eastAsiaTheme="majorEastAsia"/>
          <w:sz w:val="28"/>
          <w:rtl/>
        </w:rPr>
        <w:t xml:space="preserve"> </w:t>
      </w:r>
      <w:r w:rsidRPr="00437A73">
        <w:rPr>
          <w:rFonts w:eastAsiaTheme="majorEastAsia" w:hint="eastAsia"/>
          <w:sz w:val="28"/>
          <w:rtl/>
        </w:rPr>
        <w:t>בחינה</w:t>
      </w:r>
      <w:r w:rsidRPr="00437A73">
        <w:rPr>
          <w:rFonts w:eastAsiaTheme="majorEastAsia"/>
          <w:sz w:val="28"/>
          <w:rtl/>
        </w:rPr>
        <w:t xml:space="preserve"> </w:t>
      </w:r>
      <w:r w:rsidRPr="00437A73">
        <w:rPr>
          <w:rFonts w:eastAsiaTheme="majorEastAsia" w:hint="eastAsia"/>
          <w:sz w:val="28"/>
          <w:rtl/>
        </w:rPr>
        <w:t>נוספת</w:t>
      </w:r>
      <w:r w:rsidRPr="00437A73">
        <w:rPr>
          <w:rFonts w:eastAsiaTheme="majorEastAsia"/>
          <w:sz w:val="28"/>
          <w:rtl/>
        </w:rPr>
        <w:t xml:space="preserve"> </w:t>
      </w:r>
      <w:r w:rsidRPr="00437A73">
        <w:rPr>
          <w:rFonts w:eastAsiaTheme="majorEastAsia" w:hint="eastAsia"/>
          <w:sz w:val="28"/>
          <w:rtl/>
        </w:rPr>
        <w:t>–</w:t>
      </w:r>
      <w:r w:rsidRPr="00437A73">
        <w:rPr>
          <w:rFonts w:eastAsiaTheme="majorEastAsia"/>
          <w:sz w:val="28"/>
          <w:rtl/>
        </w:rPr>
        <w:t xml:space="preserve"> </w:t>
      </w:r>
      <w:r w:rsidRPr="00437A73">
        <w:rPr>
          <w:rFonts w:eastAsiaTheme="majorEastAsia" w:hint="eastAsia"/>
          <w:sz w:val="28"/>
          <w:rtl/>
        </w:rPr>
        <w:t>מהותית</w:t>
      </w:r>
      <w:r w:rsidRPr="00437A73">
        <w:rPr>
          <w:rFonts w:eastAsiaTheme="majorEastAsia"/>
          <w:sz w:val="28"/>
          <w:rtl/>
        </w:rPr>
        <w:t xml:space="preserve"> </w:t>
      </w:r>
      <w:r w:rsidRPr="00437A73">
        <w:rPr>
          <w:rFonts w:eastAsiaTheme="majorEastAsia" w:hint="eastAsia"/>
          <w:sz w:val="28"/>
          <w:rtl/>
        </w:rPr>
        <w:t>–</w:t>
      </w:r>
      <w:r w:rsidRPr="00437A73">
        <w:rPr>
          <w:rFonts w:eastAsiaTheme="majorEastAsia"/>
          <w:sz w:val="28"/>
          <w:rtl/>
        </w:rPr>
        <w:t xml:space="preserve"> </w:t>
      </w:r>
      <w:r w:rsidRPr="00437A73">
        <w:rPr>
          <w:rFonts w:eastAsiaTheme="majorEastAsia" w:hint="eastAsia"/>
          <w:sz w:val="28"/>
          <w:rtl/>
        </w:rPr>
        <w:t>של</w:t>
      </w:r>
      <w:r w:rsidRPr="00437A73">
        <w:rPr>
          <w:rFonts w:eastAsiaTheme="majorEastAsia"/>
          <w:sz w:val="28"/>
          <w:rtl/>
        </w:rPr>
        <w:t xml:space="preserve"> </w:t>
      </w:r>
      <w:r w:rsidRPr="00437A73">
        <w:rPr>
          <w:rFonts w:eastAsiaTheme="majorEastAsia" w:hint="eastAsia"/>
          <w:sz w:val="28"/>
          <w:rtl/>
        </w:rPr>
        <w:t>טיב</w:t>
      </w:r>
      <w:r w:rsidRPr="00437A73">
        <w:rPr>
          <w:rFonts w:eastAsiaTheme="majorEastAsia"/>
          <w:sz w:val="28"/>
          <w:rtl/>
        </w:rPr>
        <w:t xml:space="preserve"> </w:t>
      </w:r>
      <w:r w:rsidRPr="00437A73">
        <w:rPr>
          <w:rFonts w:eastAsiaTheme="majorEastAsia" w:hint="eastAsia"/>
          <w:sz w:val="28"/>
          <w:rtl/>
        </w:rPr>
        <w:t>ההיעדרות</w:t>
      </w:r>
      <w:r w:rsidRPr="00437A73">
        <w:rPr>
          <w:rFonts w:eastAsiaTheme="majorEastAsia"/>
          <w:sz w:val="28"/>
          <w:rtl/>
        </w:rPr>
        <w:t xml:space="preserve">. </w:t>
      </w:r>
      <w:r w:rsidRPr="00232F31">
        <w:rPr>
          <w:rFonts w:eastAsiaTheme="majorEastAsia" w:hint="eastAsia"/>
          <w:rtl/>
        </w:rPr>
        <w:t>כך</w:t>
      </w:r>
      <w:r w:rsidRPr="00232F31">
        <w:rPr>
          <w:rFonts w:eastAsiaTheme="majorEastAsia"/>
          <w:rtl/>
        </w:rPr>
        <w:t xml:space="preserve"> </w:t>
      </w:r>
      <w:r w:rsidRPr="00232F31">
        <w:rPr>
          <w:rFonts w:eastAsiaTheme="majorEastAsia" w:hint="eastAsia"/>
          <w:rtl/>
        </w:rPr>
        <w:t>למשל</w:t>
      </w:r>
      <w:r w:rsidRPr="00232F31">
        <w:rPr>
          <w:rFonts w:eastAsiaTheme="majorEastAsia"/>
          <w:rtl/>
        </w:rPr>
        <w:t xml:space="preserve">, </w:t>
      </w:r>
      <w:r w:rsidRPr="00232F31">
        <w:rPr>
          <w:rFonts w:eastAsiaTheme="majorEastAsia" w:hint="eastAsia"/>
          <w:rtl/>
        </w:rPr>
        <w:t>היעדרות</w:t>
      </w:r>
      <w:r w:rsidRPr="00232F31">
        <w:rPr>
          <w:rFonts w:eastAsiaTheme="majorEastAsia"/>
          <w:rtl/>
        </w:rPr>
        <w:t xml:space="preserve"> </w:t>
      </w:r>
      <w:r w:rsidRPr="00232F31">
        <w:rPr>
          <w:rFonts w:eastAsiaTheme="majorEastAsia" w:hint="eastAsia"/>
          <w:rtl/>
        </w:rPr>
        <w:t>למטרה</w:t>
      </w:r>
      <w:r w:rsidRPr="00232F31">
        <w:rPr>
          <w:rFonts w:eastAsiaTheme="majorEastAsia"/>
          <w:rtl/>
        </w:rPr>
        <w:t xml:space="preserve"> </w:t>
      </w:r>
      <w:r w:rsidRPr="00232F31">
        <w:rPr>
          <w:rFonts w:eastAsiaTheme="majorEastAsia" w:hint="eastAsia"/>
          <w:rtl/>
        </w:rPr>
        <w:t>מוגדרת</w:t>
      </w:r>
      <w:r w:rsidRPr="00232F31">
        <w:rPr>
          <w:rFonts w:eastAsiaTheme="majorEastAsia"/>
          <w:rtl/>
        </w:rPr>
        <w:t xml:space="preserve"> </w:t>
      </w:r>
      <w:r w:rsidRPr="00232F31">
        <w:rPr>
          <w:rFonts w:eastAsiaTheme="majorEastAsia" w:hint="eastAsia"/>
          <w:rtl/>
        </w:rPr>
        <w:t>וחולפת</w:t>
      </w:r>
      <w:r w:rsidRPr="00232F31">
        <w:rPr>
          <w:rFonts w:eastAsiaTheme="majorEastAsia"/>
          <w:rtl/>
        </w:rPr>
        <w:t xml:space="preserve"> </w:t>
      </w:r>
      <w:r w:rsidRPr="00232F31">
        <w:rPr>
          <w:rFonts w:eastAsiaTheme="majorEastAsia" w:hint="eastAsia"/>
          <w:rtl/>
        </w:rPr>
        <w:t>עשויה</w:t>
      </w:r>
      <w:r w:rsidRPr="00232F31">
        <w:rPr>
          <w:rFonts w:eastAsiaTheme="majorEastAsia"/>
          <w:rtl/>
        </w:rPr>
        <w:t xml:space="preserve"> </w:t>
      </w:r>
      <w:r w:rsidRPr="00232F31">
        <w:rPr>
          <w:rFonts w:eastAsiaTheme="majorEastAsia" w:hint="eastAsia"/>
          <w:rtl/>
        </w:rPr>
        <w:t>להתמשך</w:t>
      </w:r>
      <w:r w:rsidRPr="00232F31">
        <w:rPr>
          <w:rFonts w:eastAsiaTheme="majorEastAsia"/>
          <w:rtl/>
        </w:rPr>
        <w:t xml:space="preserve"> </w:t>
      </w:r>
      <w:r w:rsidRPr="00232F31">
        <w:rPr>
          <w:rFonts w:eastAsiaTheme="majorEastAsia" w:hint="eastAsia"/>
          <w:rtl/>
        </w:rPr>
        <w:t>זמן</w:t>
      </w:r>
      <w:r w:rsidRPr="00232F31">
        <w:rPr>
          <w:rFonts w:eastAsiaTheme="majorEastAsia"/>
          <w:rtl/>
        </w:rPr>
        <w:t xml:space="preserve"> </w:t>
      </w:r>
      <w:r w:rsidRPr="00232F31">
        <w:rPr>
          <w:rFonts w:eastAsiaTheme="majorEastAsia" w:hint="eastAsia"/>
          <w:rtl/>
        </w:rPr>
        <w:t>רב</w:t>
      </w:r>
      <w:r w:rsidRPr="00232F31">
        <w:rPr>
          <w:rFonts w:eastAsiaTheme="majorEastAsia"/>
          <w:rtl/>
        </w:rPr>
        <w:t xml:space="preserve"> </w:t>
      </w:r>
      <w:r w:rsidRPr="00232F31">
        <w:rPr>
          <w:rFonts w:eastAsiaTheme="majorEastAsia" w:hint="eastAsia"/>
          <w:rtl/>
        </w:rPr>
        <w:t>בלי</w:t>
      </w:r>
      <w:r w:rsidRPr="00232F31">
        <w:rPr>
          <w:rFonts w:eastAsiaTheme="majorEastAsia"/>
          <w:rtl/>
        </w:rPr>
        <w:t xml:space="preserve"> </w:t>
      </w:r>
      <w:r w:rsidRPr="00232F31">
        <w:rPr>
          <w:rFonts w:eastAsiaTheme="majorEastAsia" w:hint="eastAsia"/>
          <w:rtl/>
        </w:rPr>
        <w:t>לאבד</w:t>
      </w:r>
      <w:r w:rsidRPr="00232F31">
        <w:rPr>
          <w:rFonts w:eastAsiaTheme="majorEastAsia"/>
          <w:rtl/>
        </w:rPr>
        <w:t xml:space="preserve"> </w:t>
      </w:r>
      <w:r w:rsidRPr="00232F31">
        <w:rPr>
          <w:rFonts w:eastAsiaTheme="majorEastAsia" w:hint="eastAsia"/>
          <w:rtl/>
        </w:rPr>
        <w:t>בכך</w:t>
      </w:r>
      <w:r w:rsidRPr="00232F31">
        <w:rPr>
          <w:rFonts w:eastAsiaTheme="majorEastAsia"/>
          <w:rtl/>
        </w:rPr>
        <w:t xml:space="preserve"> </w:t>
      </w:r>
      <w:r w:rsidRPr="00232F31">
        <w:rPr>
          <w:rFonts w:eastAsiaTheme="majorEastAsia" w:hint="eastAsia"/>
          <w:rtl/>
        </w:rPr>
        <w:t>מאופייה</w:t>
      </w:r>
      <w:r w:rsidRPr="00232F31">
        <w:rPr>
          <w:rFonts w:eastAsiaTheme="majorEastAsia"/>
          <w:rtl/>
        </w:rPr>
        <w:t xml:space="preserve"> </w:t>
      </w:r>
      <w:r w:rsidRPr="00232F31">
        <w:rPr>
          <w:rFonts w:eastAsiaTheme="majorEastAsia" w:hint="eastAsia"/>
          <w:rtl/>
        </w:rPr>
        <w:t>הארעי</w:t>
      </w:r>
      <w:r w:rsidRPr="00232F31">
        <w:rPr>
          <w:rFonts w:eastAsiaTheme="majorEastAsia"/>
          <w:rtl/>
        </w:rPr>
        <w:t xml:space="preserve">. </w:t>
      </w:r>
      <w:r w:rsidRPr="00232F31">
        <w:rPr>
          <w:rFonts w:eastAsiaTheme="majorEastAsia" w:hint="eastAsia"/>
          <w:rtl/>
        </w:rPr>
        <w:t>כך</w:t>
      </w:r>
      <w:r w:rsidRPr="00232F31">
        <w:rPr>
          <w:rFonts w:eastAsiaTheme="majorEastAsia"/>
          <w:rtl/>
        </w:rPr>
        <w:t xml:space="preserve"> </w:t>
      </w:r>
      <w:r w:rsidRPr="00232F31">
        <w:rPr>
          <w:rFonts w:eastAsiaTheme="majorEastAsia" w:hint="eastAsia"/>
          <w:rtl/>
        </w:rPr>
        <w:t>אדם</w:t>
      </w:r>
      <w:r w:rsidRPr="00232F31">
        <w:rPr>
          <w:rFonts w:eastAsiaTheme="majorEastAsia"/>
          <w:rtl/>
        </w:rPr>
        <w:t xml:space="preserve"> </w:t>
      </w:r>
      <w:r w:rsidRPr="00232F31">
        <w:rPr>
          <w:rFonts w:eastAsiaTheme="majorEastAsia" w:hint="eastAsia"/>
          <w:rtl/>
        </w:rPr>
        <w:t>הנזקק</w:t>
      </w:r>
      <w:r w:rsidRPr="00232F31">
        <w:rPr>
          <w:rFonts w:eastAsiaTheme="majorEastAsia"/>
          <w:rtl/>
        </w:rPr>
        <w:t xml:space="preserve"> </w:t>
      </w:r>
      <w:r w:rsidRPr="00232F31">
        <w:rPr>
          <w:rFonts w:eastAsiaTheme="majorEastAsia" w:hint="eastAsia"/>
          <w:rtl/>
        </w:rPr>
        <w:t>לאשפוז</w:t>
      </w:r>
      <w:r w:rsidRPr="00232F31">
        <w:rPr>
          <w:rFonts w:eastAsiaTheme="majorEastAsia"/>
          <w:rtl/>
        </w:rPr>
        <w:t xml:space="preserve"> </w:t>
      </w:r>
      <w:r w:rsidRPr="00232F31">
        <w:rPr>
          <w:rFonts w:eastAsiaTheme="majorEastAsia" w:hint="eastAsia"/>
          <w:rtl/>
        </w:rPr>
        <w:t>ממושך</w:t>
      </w:r>
      <w:r w:rsidRPr="00232F31">
        <w:rPr>
          <w:rFonts w:eastAsiaTheme="majorEastAsia"/>
          <w:rtl/>
        </w:rPr>
        <w:t xml:space="preserve"> </w:t>
      </w:r>
      <w:r w:rsidRPr="00232F31">
        <w:rPr>
          <w:rFonts w:eastAsiaTheme="majorEastAsia" w:hint="eastAsia"/>
          <w:rtl/>
        </w:rPr>
        <w:t>בגין</w:t>
      </w:r>
      <w:r w:rsidRPr="00232F31">
        <w:rPr>
          <w:rFonts w:eastAsiaTheme="majorEastAsia"/>
          <w:rtl/>
        </w:rPr>
        <w:t xml:space="preserve"> </w:t>
      </w:r>
      <w:r w:rsidRPr="00232F31">
        <w:rPr>
          <w:rFonts w:eastAsiaTheme="majorEastAsia" w:hint="eastAsia"/>
          <w:rtl/>
        </w:rPr>
        <w:t>מצבו</w:t>
      </w:r>
      <w:r w:rsidRPr="00232F31">
        <w:rPr>
          <w:rFonts w:eastAsiaTheme="majorEastAsia"/>
          <w:rtl/>
        </w:rPr>
        <w:t xml:space="preserve"> </w:t>
      </w:r>
      <w:r w:rsidRPr="00232F31">
        <w:rPr>
          <w:rFonts w:eastAsiaTheme="majorEastAsia" w:hint="eastAsia"/>
          <w:rtl/>
        </w:rPr>
        <w:t>הרפואי</w:t>
      </w:r>
      <w:r w:rsidRPr="00232F31">
        <w:rPr>
          <w:rFonts w:eastAsiaTheme="majorEastAsia"/>
          <w:rtl/>
        </w:rPr>
        <w:t xml:space="preserve">, </w:t>
      </w:r>
      <w:r w:rsidRPr="00232F31">
        <w:rPr>
          <w:rFonts w:eastAsiaTheme="majorEastAsia" w:hint="eastAsia"/>
          <w:rtl/>
        </w:rPr>
        <w:t>עלול</w:t>
      </w:r>
      <w:r w:rsidRPr="00232F31">
        <w:rPr>
          <w:rFonts w:eastAsiaTheme="majorEastAsia"/>
          <w:rtl/>
        </w:rPr>
        <w:t xml:space="preserve"> </w:t>
      </w:r>
      <w:r w:rsidRPr="00232F31">
        <w:rPr>
          <w:rFonts w:eastAsiaTheme="majorEastAsia" w:hint="eastAsia"/>
          <w:rtl/>
        </w:rPr>
        <w:t>להיעדר</w:t>
      </w:r>
      <w:r w:rsidRPr="00232F31">
        <w:rPr>
          <w:rFonts w:eastAsiaTheme="majorEastAsia"/>
          <w:rtl/>
        </w:rPr>
        <w:t xml:space="preserve"> </w:t>
      </w:r>
      <w:r w:rsidRPr="00232F31">
        <w:rPr>
          <w:rFonts w:eastAsiaTheme="majorEastAsia" w:hint="eastAsia"/>
          <w:rtl/>
        </w:rPr>
        <w:t>מביתו</w:t>
      </w:r>
      <w:r w:rsidRPr="00232F31">
        <w:rPr>
          <w:rFonts w:eastAsiaTheme="majorEastAsia"/>
          <w:rtl/>
        </w:rPr>
        <w:t xml:space="preserve"> </w:t>
      </w:r>
      <w:r w:rsidRPr="00232F31">
        <w:rPr>
          <w:rFonts w:eastAsiaTheme="majorEastAsia" w:hint="eastAsia"/>
          <w:rtl/>
        </w:rPr>
        <w:t>למשך</w:t>
      </w:r>
      <w:r w:rsidRPr="00232F31">
        <w:rPr>
          <w:rFonts w:eastAsiaTheme="majorEastAsia"/>
          <w:rtl/>
        </w:rPr>
        <w:t xml:space="preserve"> </w:t>
      </w:r>
      <w:r w:rsidRPr="00232F31">
        <w:rPr>
          <w:rFonts w:eastAsiaTheme="majorEastAsia" w:hint="eastAsia"/>
          <w:rtl/>
        </w:rPr>
        <w:t>זמן</w:t>
      </w:r>
      <w:r w:rsidRPr="00232F31">
        <w:rPr>
          <w:rFonts w:eastAsiaTheme="majorEastAsia"/>
          <w:rtl/>
        </w:rPr>
        <w:t xml:space="preserve"> </w:t>
      </w:r>
      <w:r w:rsidRPr="00232F31">
        <w:rPr>
          <w:rFonts w:eastAsiaTheme="majorEastAsia" w:hint="eastAsia"/>
          <w:rtl/>
        </w:rPr>
        <w:t>רב</w:t>
      </w:r>
      <w:r w:rsidRPr="00232F31">
        <w:rPr>
          <w:rFonts w:eastAsiaTheme="majorEastAsia"/>
          <w:rtl/>
        </w:rPr>
        <w:t xml:space="preserve"> </w:t>
      </w:r>
      <w:r w:rsidRPr="00232F31">
        <w:rPr>
          <w:rFonts w:eastAsiaTheme="majorEastAsia" w:hint="eastAsia"/>
          <w:rtl/>
        </w:rPr>
        <w:t>ואינו</w:t>
      </w:r>
      <w:r w:rsidRPr="00232F31">
        <w:rPr>
          <w:rFonts w:eastAsiaTheme="majorEastAsia"/>
          <w:rtl/>
        </w:rPr>
        <w:t xml:space="preserve"> </w:t>
      </w:r>
      <w:r w:rsidRPr="00232F31">
        <w:rPr>
          <w:rFonts w:eastAsiaTheme="majorEastAsia" w:hint="eastAsia"/>
          <w:rtl/>
        </w:rPr>
        <w:t>מנתק</w:t>
      </w:r>
      <w:r w:rsidRPr="00232F31">
        <w:rPr>
          <w:rFonts w:eastAsiaTheme="majorEastAsia"/>
          <w:rtl/>
        </w:rPr>
        <w:t xml:space="preserve"> </w:t>
      </w:r>
      <w:r w:rsidRPr="00232F31">
        <w:rPr>
          <w:rFonts w:eastAsiaTheme="majorEastAsia" w:hint="eastAsia"/>
          <w:rtl/>
        </w:rPr>
        <w:t>בכך</w:t>
      </w:r>
      <w:r w:rsidRPr="00232F31">
        <w:rPr>
          <w:rFonts w:eastAsiaTheme="majorEastAsia"/>
          <w:rtl/>
        </w:rPr>
        <w:t xml:space="preserve"> </w:t>
      </w:r>
      <w:r w:rsidRPr="00232F31">
        <w:rPr>
          <w:rFonts w:eastAsiaTheme="majorEastAsia" w:hint="eastAsia"/>
          <w:rtl/>
        </w:rPr>
        <w:t>בהכרח</w:t>
      </w:r>
      <w:r w:rsidRPr="00232F31">
        <w:rPr>
          <w:rFonts w:eastAsiaTheme="majorEastAsia"/>
          <w:rtl/>
        </w:rPr>
        <w:t xml:space="preserve"> </w:t>
      </w:r>
      <w:r w:rsidRPr="00232F31">
        <w:rPr>
          <w:rFonts w:eastAsiaTheme="majorEastAsia" w:hint="eastAsia"/>
          <w:rtl/>
        </w:rPr>
        <w:t>את</w:t>
      </w:r>
      <w:r w:rsidRPr="00232F31">
        <w:rPr>
          <w:rFonts w:eastAsiaTheme="majorEastAsia"/>
          <w:rtl/>
        </w:rPr>
        <w:t xml:space="preserve"> </w:t>
      </w:r>
      <w:r w:rsidRPr="00232F31">
        <w:rPr>
          <w:rFonts w:eastAsiaTheme="majorEastAsia" w:hint="eastAsia"/>
          <w:rtl/>
        </w:rPr>
        <w:t>זיקת</w:t>
      </w:r>
      <w:r w:rsidRPr="00232F31">
        <w:rPr>
          <w:rFonts w:eastAsiaTheme="majorEastAsia"/>
          <w:rtl/>
        </w:rPr>
        <w:t xml:space="preserve"> </w:t>
      </w:r>
      <w:r w:rsidRPr="00232F31">
        <w:rPr>
          <w:rFonts w:eastAsiaTheme="majorEastAsia" w:hint="eastAsia"/>
          <w:rtl/>
        </w:rPr>
        <w:t>המגורים</w:t>
      </w:r>
      <w:r w:rsidRPr="00232F31">
        <w:rPr>
          <w:rFonts w:eastAsiaTheme="majorEastAsia"/>
          <w:rtl/>
        </w:rPr>
        <w:t xml:space="preserve"> </w:t>
      </w:r>
      <w:r w:rsidRPr="00232F31">
        <w:rPr>
          <w:rFonts w:eastAsiaTheme="majorEastAsia" w:hint="eastAsia"/>
          <w:rtl/>
        </w:rPr>
        <w:t>לביתו</w:t>
      </w:r>
      <w:r w:rsidRPr="00232F31">
        <w:rPr>
          <w:rFonts w:eastAsiaTheme="majorEastAsia"/>
          <w:rtl/>
        </w:rPr>
        <w:t xml:space="preserve">. </w:t>
      </w:r>
      <w:r w:rsidRPr="00232F31">
        <w:rPr>
          <w:rFonts w:eastAsiaTheme="majorEastAsia" w:hint="eastAsia"/>
          <w:rtl/>
        </w:rPr>
        <w:t>או</w:t>
      </w:r>
      <w:r w:rsidRPr="00232F31">
        <w:rPr>
          <w:rFonts w:eastAsiaTheme="majorEastAsia"/>
          <w:rtl/>
        </w:rPr>
        <w:t xml:space="preserve"> </w:t>
      </w:r>
      <w:r w:rsidRPr="00232F31">
        <w:rPr>
          <w:rFonts w:eastAsiaTheme="majorEastAsia" w:hint="eastAsia"/>
          <w:rtl/>
        </w:rPr>
        <w:t>טול</w:t>
      </w:r>
      <w:r w:rsidRPr="00232F31">
        <w:rPr>
          <w:rFonts w:eastAsiaTheme="majorEastAsia"/>
          <w:rtl/>
        </w:rPr>
        <w:t xml:space="preserve"> </w:t>
      </w:r>
      <w:r w:rsidRPr="00232F31">
        <w:rPr>
          <w:rFonts w:eastAsiaTheme="majorEastAsia" w:hint="eastAsia"/>
          <w:rtl/>
        </w:rPr>
        <w:t>לדוגמה</w:t>
      </w:r>
      <w:r w:rsidRPr="00232F31">
        <w:rPr>
          <w:rFonts w:eastAsiaTheme="majorEastAsia"/>
          <w:rtl/>
        </w:rPr>
        <w:t xml:space="preserve"> </w:t>
      </w:r>
      <w:r w:rsidRPr="00232F31">
        <w:rPr>
          <w:rFonts w:eastAsiaTheme="majorEastAsia" w:hint="eastAsia"/>
          <w:rtl/>
        </w:rPr>
        <w:t>אדם</w:t>
      </w:r>
      <w:r w:rsidRPr="00232F31">
        <w:rPr>
          <w:rFonts w:eastAsiaTheme="majorEastAsia"/>
          <w:rtl/>
        </w:rPr>
        <w:t xml:space="preserve"> </w:t>
      </w:r>
      <w:r w:rsidRPr="00232F31">
        <w:rPr>
          <w:rFonts w:eastAsiaTheme="majorEastAsia" w:hint="eastAsia"/>
          <w:rtl/>
        </w:rPr>
        <w:t>השוהה</w:t>
      </w:r>
      <w:r w:rsidRPr="00232F31">
        <w:rPr>
          <w:rFonts w:eastAsiaTheme="majorEastAsia"/>
          <w:rtl/>
        </w:rPr>
        <w:t xml:space="preserve"> </w:t>
      </w:r>
      <w:r w:rsidRPr="00232F31">
        <w:rPr>
          <w:rFonts w:eastAsiaTheme="majorEastAsia" w:hint="eastAsia"/>
          <w:rtl/>
        </w:rPr>
        <w:t>מעבר</w:t>
      </w:r>
      <w:r w:rsidRPr="00232F31">
        <w:rPr>
          <w:rFonts w:eastAsiaTheme="majorEastAsia"/>
          <w:rtl/>
        </w:rPr>
        <w:t xml:space="preserve"> </w:t>
      </w:r>
      <w:r w:rsidRPr="00232F31">
        <w:rPr>
          <w:rFonts w:eastAsiaTheme="majorEastAsia" w:hint="eastAsia"/>
          <w:rtl/>
        </w:rPr>
        <w:t>לים</w:t>
      </w:r>
      <w:r w:rsidRPr="00232F31">
        <w:rPr>
          <w:rFonts w:eastAsiaTheme="majorEastAsia"/>
          <w:rtl/>
        </w:rPr>
        <w:t xml:space="preserve"> </w:t>
      </w:r>
      <w:r w:rsidRPr="00232F31">
        <w:rPr>
          <w:rFonts w:eastAsiaTheme="majorEastAsia" w:hint="eastAsia"/>
          <w:rtl/>
        </w:rPr>
        <w:t>עקב</w:t>
      </w:r>
      <w:r w:rsidRPr="00232F31">
        <w:rPr>
          <w:rFonts w:eastAsiaTheme="majorEastAsia"/>
          <w:rtl/>
        </w:rPr>
        <w:t xml:space="preserve"> </w:t>
      </w:r>
      <w:r w:rsidRPr="00232F31">
        <w:rPr>
          <w:rFonts w:eastAsiaTheme="majorEastAsia" w:hint="eastAsia"/>
          <w:rtl/>
        </w:rPr>
        <w:t>תפקיד</w:t>
      </w:r>
      <w:r w:rsidRPr="00232F31">
        <w:rPr>
          <w:rFonts w:eastAsiaTheme="majorEastAsia"/>
          <w:rtl/>
        </w:rPr>
        <w:t xml:space="preserve"> </w:t>
      </w:r>
      <w:r w:rsidRPr="00232F31">
        <w:rPr>
          <w:rFonts w:eastAsiaTheme="majorEastAsia" w:hint="eastAsia"/>
          <w:rtl/>
        </w:rPr>
        <w:t>בשליחות</w:t>
      </w:r>
      <w:r w:rsidRPr="00232F31">
        <w:rPr>
          <w:rFonts w:eastAsiaTheme="majorEastAsia"/>
          <w:rtl/>
        </w:rPr>
        <w:t xml:space="preserve"> </w:t>
      </w:r>
      <w:r w:rsidRPr="00232F31">
        <w:rPr>
          <w:rFonts w:eastAsiaTheme="majorEastAsia" w:hint="eastAsia"/>
          <w:rtl/>
        </w:rPr>
        <w:t>המדינה</w:t>
      </w:r>
      <w:r w:rsidRPr="00232F31">
        <w:rPr>
          <w:rFonts w:eastAsiaTheme="majorEastAsia"/>
          <w:rtl/>
        </w:rPr>
        <w:t xml:space="preserve">. </w:t>
      </w:r>
      <w:r w:rsidRPr="00232F31">
        <w:rPr>
          <w:rFonts w:eastAsiaTheme="majorEastAsia" w:hint="eastAsia"/>
          <w:rtl/>
        </w:rPr>
        <w:t>השהות</w:t>
      </w:r>
      <w:r w:rsidRPr="00232F31">
        <w:rPr>
          <w:rFonts w:eastAsiaTheme="majorEastAsia"/>
          <w:rtl/>
        </w:rPr>
        <w:t xml:space="preserve"> </w:t>
      </w:r>
      <w:r w:rsidRPr="00232F31">
        <w:rPr>
          <w:rFonts w:eastAsiaTheme="majorEastAsia" w:hint="eastAsia"/>
          <w:rtl/>
        </w:rPr>
        <w:t>בחוץ</w:t>
      </w:r>
      <w:r w:rsidRPr="00232F31">
        <w:rPr>
          <w:rFonts w:eastAsiaTheme="majorEastAsia"/>
          <w:rtl/>
        </w:rPr>
        <w:t>-</w:t>
      </w:r>
      <w:r w:rsidRPr="00232F31">
        <w:rPr>
          <w:rFonts w:eastAsiaTheme="majorEastAsia" w:hint="eastAsia"/>
          <w:rtl/>
        </w:rPr>
        <w:t>לארץ</w:t>
      </w:r>
      <w:r w:rsidRPr="00232F31">
        <w:rPr>
          <w:rFonts w:eastAsiaTheme="majorEastAsia"/>
          <w:rtl/>
        </w:rPr>
        <w:t xml:space="preserve"> </w:t>
      </w:r>
      <w:r w:rsidRPr="00232F31">
        <w:rPr>
          <w:rFonts w:eastAsiaTheme="majorEastAsia" w:hint="eastAsia"/>
          <w:rtl/>
        </w:rPr>
        <w:t>מוגבלת</w:t>
      </w:r>
      <w:r w:rsidRPr="00232F31">
        <w:rPr>
          <w:rFonts w:eastAsiaTheme="majorEastAsia"/>
          <w:rtl/>
        </w:rPr>
        <w:t xml:space="preserve"> </w:t>
      </w:r>
      <w:r w:rsidRPr="00232F31">
        <w:rPr>
          <w:rFonts w:eastAsiaTheme="majorEastAsia" w:hint="eastAsia"/>
          <w:rtl/>
        </w:rPr>
        <w:t>לתקופת</w:t>
      </w:r>
      <w:r w:rsidRPr="00232F31">
        <w:rPr>
          <w:rFonts w:eastAsiaTheme="majorEastAsia"/>
          <w:rtl/>
        </w:rPr>
        <w:t xml:space="preserve"> </w:t>
      </w:r>
      <w:r w:rsidRPr="00232F31">
        <w:rPr>
          <w:rFonts w:eastAsiaTheme="majorEastAsia" w:hint="eastAsia"/>
          <w:rtl/>
        </w:rPr>
        <w:t>התפקיד</w:t>
      </w:r>
      <w:r w:rsidRPr="00232F31">
        <w:rPr>
          <w:rFonts w:eastAsiaTheme="majorEastAsia"/>
          <w:rtl/>
        </w:rPr>
        <w:t xml:space="preserve"> </w:t>
      </w:r>
      <w:r w:rsidRPr="00232F31">
        <w:rPr>
          <w:rFonts w:eastAsiaTheme="majorEastAsia" w:hint="eastAsia"/>
          <w:rtl/>
        </w:rPr>
        <w:t>ואף</w:t>
      </w:r>
      <w:r w:rsidRPr="00232F31">
        <w:rPr>
          <w:rFonts w:eastAsiaTheme="majorEastAsia"/>
          <w:rtl/>
        </w:rPr>
        <w:t xml:space="preserve"> </w:t>
      </w:r>
      <w:r w:rsidRPr="00232F31">
        <w:rPr>
          <w:rFonts w:eastAsiaTheme="majorEastAsia" w:hint="eastAsia"/>
          <w:rtl/>
        </w:rPr>
        <w:t>אם</w:t>
      </w:r>
      <w:r w:rsidRPr="00232F31">
        <w:rPr>
          <w:rFonts w:eastAsiaTheme="majorEastAsia"/>
          <w:rtl/>
        </w:rPr>
        <w:t xml:space="preserve"> </w:t>
      </w:r>
      <w:r w:rsidRPr="00232F31">
        <w:rPr>
          <w:rFonts w:eastAsiaTheme="majorEastAsia" w:hint="eastAsia"/>
          <w:rtl/>
        </w:rPr>
        <w:t>זו</w:t>
      </w:r>
      <w:r w:rsidRPr="00232F31">
        <w:rPr>
          <w:rFonts w:eastAsiaTheme="majorEastAsia"/>
          <w:rtl/>
        </w:rPr>
        <w:t xml:space="preserve"> </w:t>
      </w:r>
      <w:r w:rsidRPr="00232F31">
        <w:rPr>
          <w:rFonts w:eastAsiaTheme="majorEastAsia" w:hint="eastAsia"/>
          <w:rtl/>
        </w:rPr>
        <w:t>עשויה</w:t>
      </w:r>
      <w:r w:rsidRPr="00232F31">
        <w:rPr>
          <w:rFonts w:eastAsiaTheme="majorEastAsia"/>
          <w:rtl/>
        </w:rPr>
        <w:t xml:space="preserve"> </w:t>
      </w:r>
      <w:r w:rsidRPr="00232F31">
        <w:rPr>
          <w:rFonts w:eastAsiaTheme="majorEastAsia" w:hint="eastAsia"/>
          <w:rtl/>
        </w:rPr>
        <w:t>להתמשך</w:t>
      </w:r>
      <w:r w:rsidRPr="00232F31">
        <w:rPr>
          <w:rFonts w:eastAsiaTheme="majorEastAsia"/>
          <w:rtl/>
        </w:rPr>
        <w:t xml:space="preserve"> </w:t>
      </w:r>
      <w:r w:rsidRPr="00232F31">
        <w:rPr>
          <w:rFonts w:eastAsiaTheme="majorEastAsia" w:hint="eastAsia"/>
          <w:rtl/>
        </w:rPr>
        <w:t>אין</w:t>
      </w:r>
      <w:r w:rsidRPr="00232F31">
        <w:rPr>
          <w:rFonts w:eastAsiaTheme="majorEastAsia"/>
          <w:rtl/>
        </w:rPr>
        <w:t xml:space="preserve"> </w:t>
      </w:r>
      <w:r w:rsidRPr="00232F31">
        <w:rPr>
          <w:rFonts w:eastAsiaTheme="majorEastAsia" w:hint="eastAsia"/>
          <w:rtl/>
        </w:rPr>
        <w:t>ההיעדרות</w:t>
      </w:r>
      <w:r w:rsidRPr="00232F31">
        <w:rPr>
          <w:rFonts w:eastAsiaTheme="majorEastAsia"/>
          <w:rtl/>
        </w:rPr>
        <w:t xml:space="preserve"> </w:t>
      </w:r>
      <w:r w:rsidRPr="00232F31">
        <w:rPr>
          <w:rFonts w:eastAsiaTheme="majorEastAsia" w:hint="eastAsia"/>
          <w:rtl/>
        </w:rPr>
        <w:t>מאבדת</w:t>
      </w:r>
      <w:r w:rsidRPr="00232F31">
        <w:rPr>
          <w:rFonts w:eastAsiaTheme="majorEastAsia"/>
          <w:rtl/>
        </w:rPr>
        <w:t xml:space="preserve"> </w:t>
      </w:r>
      <w:r w:rsidRPr="00232F31">
        <w:rPr>
          <w:rFonts w:eastAsiaTheme="majorEastAsia" w:hint="eastAsia"/>
          <w:rtl/>
        </w:rPr>
        <w:t>מארעיותה</w:t>
      </w:r>
      <w:r w:rsidRPr="00232F31">
        <w:rPr>
          <w:rFonts w:eastAsiaTheme="majorEastAsia"/>
          <w:rtl/>
        </w:rPr>
        <w:t xml:space="preserve">, </w:t>
      </w:r>
      <w:r w:rsidRPr="00232F31">
        <w:rPr>
          <w:rFonts w:eastAsiaTheme="majorEastAsia" w:hint="eastAsia"/>
          <w:rtl/>
        </w:rPr>
        <w:t>ואין</w:t>
      </w:r>
      <w:r w:rsidRPr="00232F31">
        <w:rPr>
          <w:rFonts w:eastAsiaTheme="majorEastAsia"/>
          <w:rtl/>
        </w:rPr>
        <w:t xml:space="preserve"> </w:t>
      </w:r>
      <w:r w:rsidRPr="00232F31">
        <w:rPr>
          <w:rFonts w:eastAsiaTheme="majorEastAsia" w:hint="eastAsia"/>
          <w:rtl/>
        </w:rPr>
        <w:t>היא</w:t>
      </w:r>
      <w:r w:rsidRPr="00232F31">
        <w:rPr>
          <w:rFonts w:eastAsiaTheme="majorEastAsia"/>
          <w:rtl/>
        </w:rPr>
        <w:t xml:space="preserve"> </w:t>
      </w:r>
      <w:r w:rsidRPr="00232F31">
        <w:rPr>
          <w:rFonts w:eastAsiaTheme="majorEastAsia" w:hint="eastAsia"/>
          <w:rtl/>
        </w:rPr>
        <w:t>בהכרח</w:t>
      </w:r>
      <w:r w:rsidRPr="00232F31">
        <w:rPr>
          <w:rFonts w:eastAsiaTheme="majorEastAsia"/>
          <w:rtl/>
        </w:rPr>
        <w:t xml:space="preserve"> </w:t>
      </w:r>
      <w:r w:rsidRPr="00232F31">
        <w:rPr>
          <w:rFonts w:eastAsiaTheme="majorEastAsia" w:hint="eastAsia"/>
          <w:rtl/>
        </w:rPr>
        <w:t>מנתקת</w:t>
      </w:r>
      <w:r w:rsidRPr="00232F31">
        <w:rPr>
          <w:rFonts w:eastAsiaTheme="majorEastAsia"/>
          <w:rtl/>
        </w:rPr>
        <w:t xml:space="preserve"> </w:t>
      </w:r>
      <w:r w:rsidRPr="00232F31">
        <w:rPr>
          <w:rFonts w:eastAsiaTheme="majorEastAsia" w:hint="eastAsia"/>
          <w:rtl/>
        </w:rPr>
        <w:t>את</w:t>
      </w:r>
      <w:r w:rsidRPr="00232F31">
        <w:rPr>
          <w:rFonts w:eastAsiaTheme="majorEastAsia"/>
          <w:rtl/>
        </w:rPr>
        <w:t xml:space="preserve"> </w:t>
      </w:r>
      <w:r w:rsidRPr="00232F31">
        <w:rPr>
          <w:rFonts w:eastAsiaTheme="majorEastAsia" w:hint="eastAsia"/>
          <w:rtl/>
        </w:rPr>
        <w:t>נושא</w:t>
      </w:r>
      <w:r w:rsidRPr="00232F31">
        <w:rPr>
          <w:rFonts w:eastAsiaTheme="majorEastAsia"/>
          <w:rtl/>
        </w:rPr>
        <w:t xml:space="preserve"> </w:t>
      </w:r>
      <w:r w:rsidRPr="00232F31">
        <w:rPr>
          <w:rFonts w:eastAsiaTheme="majorEastAsia" w:hint="eastAsia"/>
          <w:rtl/>
        </w:rPr>
        <w:t>התפקיד</w:t>
      </w:r>
      <w:r w:rsidRPr="00232F31">
        <w:rPr>
          <w:rFonts w:eastAsiaTheme="majorEastAsia"/>
          <w:rtl/>
        </w:rPr>
        <w:t xml:space="preserve"> </w:t>
      </w:r>
      <w:r w:rsidRPr="00232F31">
        <w:rPr>
          <w:rFonts w:eastAsiaTheme="majorEastAsia" w:hint="eastAsia"/>
          <w:rtl/>
        </w:rPr>
        <w:t>מזיקת</w:t>
      </w:r>
      <w:r w:rsidRPr="00232F31">
        <w:rPr>
          <w:rFonts w:eastAsiaTheme="majorEastAsia"/>
          <w:rtl/>
        </w:rPr>
        <w:t xml:space="preserve"> </w:t>
      </w:r>
      <w:r w:rsidRPr="00232F31">
        <w:rPr>
          <w:rFonts w:eastAsiaTheme="majorEastAsia" w:hint="eastAsia"/>
          <w:rtl/>
        </w:rPr>
        <w:t>המגורים</w:t>
      </w:r>
      <w:r w:rsidRPr="00232F31">
        <w:rPr>
          <w:rFonts w:eastAsiaTheme="majorEastAsia"/>
          <w:rtl/>
        </w:rPr>
        <w:t xml:space="preserve"> </w:t>
      </w:r>
      <w:r w:rsidRPr="00232F31">
        <w:rPr>
          <w:rFonts w:eastAsiaTheme="majorEastAsia" w:hint="eastAsia"/>
          <w:rtl/>
        </w:rPr>
        <w:t>לביתו</w:t>
      </w:r>
      <w:r w:rsidRPr="00232F31">
        <w:rPr>
          <w:rFonts w:eastAsiaTheme="majorEastAsia"/>
          <w:rtl/>
        </w:rPr>
        <w:t>"</w:t>
      </w:r>
      <w:r w:rsidRPr="00232F31">
        <w:rPr>
          <w:rtl/>
        </w:rPr>
        <w:t xml:space="preserve"> (</w:t>
      </w:r>
      <w:r w:rsidRPr="003D466D">
        <w:rPr>
          <w:rtl/>
        </w:rPr>
        <w:t xml:space="preserve">ע"א 4127/95 </w:t>
      </w:r>
      <w:proofErr w:type="spellStart"/>
      <w:r w:rsidRPr="003D466D">
        <w:rPr>
          <w:rFonts w:ascii="Century" w:hAnsi="Century" w:cs="Miriam"/>
          <w:b/>
          <w:spacing w:val="0"/>
          <w:szCs w:val="24"/>
          <w:rtl/>
        </w:rPr>
        <w:t>זלקינד</w:t>
      </w:r>
      <w:proofErr w:type="spellEnd"/>
      <w:r w:rsidRPr="003D466D">
        <w:rPr>
          <w:rFonts w:ascii="Century" w:hAnsi="Century" w:cs="Miriam"/>
          <w:b/>
          <w:spacing w:val="0"/>
          <w:szCs w:val="24"/>
          <w:rtl/>
        </w:rPr>
        <w:t xml:space="preserve"> נ' בית זית – מושב עובדים להתיישבות שיתופית בע"מ</w:t>
      </w:r>
      <w:r w:rsidRPr="003D466D">
        <w:rPr>
          <w:rtl/>
        </w:rPr>
        <w:t>, פ"ד נב</w:t>
      </w:r>
      <w:r w:rsidRPr="003D466D">
        <w:rPr>
          <w:rFonts w:hint="cs"/>
          <w:rtl/>
        </w:rPr>
        <w:t>(2) 306, 320-319 (1998)).</w:t>
      </w:r>
    </w:p>
    <w:p w:rsidR="00851A01" w:rsidRDefault="00851A01" w:rsidP="00851A01">
      <w:pPr>
        <w:pStyle w:val="Ruller5"/>
        <w:contextualSpacing/>
        <w:rPr>
          <w:rtl/>
        </w:rPr>
      </w:pPr>
    </w:p>
    <w:p w:rsidR="00851A01" w:rsidRPr="003D466D" w:rsidRDefault="00851A01" w:rsidP="00851A01">
      <w:pPr>
        <w:pStyle w:val="Ruller5"/>
        <w:contextualSpacing/>
        <w:rPr>
          <w:rtl/>
        </w:rPr>
      </w:pPr>
    </w:p>
    <w:p w:rsidR="00851A01" w:rsidRPr="003D466D" w:rsidRDefault="00851A01" w:rsidP="00851A01">
      <w:pPr>
        <w:pStyle w:val="Ruller41"/>
        <w:contextualSpacing/>
        <w:rPr>
          <w:rFonts w:ascii="Century" w:hAnsi="Century"/>
          <w:rtl/>
        </w:rPr>
      </w:pPr>
      <w:r>
        <w:rPr>
          <w:rFonts w:hint="cs"/>
          <w:rtl/>
        </w:rPr>
        <w:t>4.</w:t>
      </w:r>
      <w:r>
        <w:rPr>
          <w:rFonts w:hint="cs"/>
          <w:rtl/>
        </w:rPr>
        <w:tab/>
      </w:r>
      <w:r w:rsidRPr="003D466D">
        <w:rPr>
          <w:rFonts w:ascii="Century" w:hAnsi="Century" w:hint="cs"/>
          <w:rtl/>
        </w:rPr>
        <w:t xml:space="preserve">חברי סבור כי על פקיד השומה להתייחס ל"זיקת התרומה", קרי, תרומת הנישום לפיתוח היישוב, ועליו </w:t>
      </w:r>
      <w:proofErr w:type="spellStart"/>
      <w:r w:rsidRPr="003D466D">
        <w:rPr>
          <w:rFonts w:ascii="Century" w:hAnsi="Century" w:hint="cs"/>
          <w:rtl/>
        </w:rPr>
        <w:t>ליתן</w:t>
      </w:r>
      <w:proofErr w:type="spellEnd"/>
      <w:r w:rsidRPr="003D466D">
        <w:rPr>
          <w:rFonts w:ascii="Century" w:hAnsi="Century" w:hint="cs"/>
          <w:rtl/>
        </w:rPr>
        <w:t xml:space="preserve"> לנתון זה משקל סגולי בהשוואה לשאר הנתונים והזיקות הרלבנטיות (פסקה 24 לפסק דינו). </w:t>
      </w:r>
    </w:p>
    <w:p w:rsidR="00851A01" w:rsidRDefault="00851A01" w:rsidP="00851A01">
      <w:pPr>
        <w:pStyle w:val="Ruller41"/>
        <w:contextualSpacing/>
        <w:rPr>
          <w:rtl/>
        </w:rPr>
      </w:pPr>
    </w:p>
    <w:p w:rsidR="00851A01" w:rsidRDefault="00851A01" w:rsidP="00851A01">
      <w:pPr>
        <w:pStyle w:val="Ruller41"/>
        <w:contextualSpacing/>
        <w:rPr>
          <w:rtl/>
        </w:rPr>
      </w:pPr>
      <w:r>
        <w:rPr>
          <w:rtl/>
        </w:rPr>
        <w:tab/>
      </w:r>
      <w:r>
        <w:rPr>
          <w:rFonts w:hint="cs"/>
          <w:rtl/>
        </w:rPr>
        <w:t xml:space="preserve">תכלית ראויה של סעיף 11 לפקודה, היא פיזור אוכלוסין, עידוד התיישבות באזורי ספר או </w:t>
      </w:r>
      <w:proofErr w:type="spellStart"/>
      <w:r>
        <w:rPr>
          <w:rFonts w:hint="cs"/>
          <w:rtl/>
        </w:rPr>
        <w:t>באיזורים</w:t>
      </w:r>
      <w:proofErr w:type="spellEnd"/>
      <w:r>
        <w:rPr>
          <w:rFonts w:hint="cs"/>
          <w:rtl/>
        </w:rPr>
        <w:t xml:space="preserve"> מרוחקים מהמרכז, ובאופן כללי, חיזוק היישובים המזכים בהטבת מס. כל זאת, בדרך של עידוד "הגירה" לאותם יישובים, על מנת להגדיל את מספר התושבים ועל מנת לתרום לפיתוחם הכלכלי-חברתי (לקריטריונים, וליתר דיוק, להעדר הקריטריונים ששימשו לקביעת היישובים המוטבים על פי סעיף 11 לפקודה, ראו</w:t>
      </w:r>
      <w:r w:rsidRPr="0080290F">
        <w:rPr>
          <w:rFonts w:ascii="Century" w:hAnsi="Century" w:hint="cs"/>
          <w:rtl/>
        </w:rPr>
        <w:t xml:space="preserve"> </w:t>
      </w:r>
      <w:r w:rsidRPr="0080290F">
        <w:rPr>
          <w:rFonts w:ascii="Century" w:hAnsi="Century"/>
          <w:rtl/>
        </w:rPr>
        <w:t>בג"ץ 8300/02</w:t>
      </w:r>
      <w:r w:rsidRPr="0080290F">
        <w:rPr>
          <w:rFonts w:hint="cs"/>
          <w:rtl/>
        </w:rPr>
        <w:t xml:space="preserve"> </w:t>
      </w:r>
      <w:r w:rsidRPr="0080290F">
        <w:rPr>
          <w:rFonts w:ascii="Century" w:hAnsi="Century" w:cs="Miriam" w:hint="cs"/>
          <w:b/>
          <w:spacing w:val="0"/>
          <w:szCs w:val="24"/>
          <w:rtl/>
        </w:rPr>
        <w:t>מועצה מקומית מזרעה נ' מדינת ישראל</w:t>
      </w:r>
      <w:r>
        <w:rPr>
          <w:rFonts w:hint="cs"/>
          <w:rtl/>
        </w:rPr>
        <w:t xml:space="preserve"> (22.5.2012)). ההטבה תינתן למי שבפועל מתגורר ביישוב המוטב ומנהל שם את מרכז חייו. אך בבואנו לבחון מרכז חיים, אין להבחין בין תושב תורם לתושב נתרם, בין מי שתרומתו לפיתוח היישוב היא גבוהה למי שתרומתו היא אפסית או זניחה. קשה להלום כי לצורך קביעת "מרכז חיים" נתחיל להשוות בין תרומתו הסגולית ליישוב של רקטור מכללה, לבין תרומתו הסגולית ליישוב </w:t>
      </w:r>
      <w:r>
        <w:rPr>
          <w:rFonts w:hint="cs"/>
          <w:rtl/>
        </w:rPr>
        <w:lastRenderedPageBreak/>
        <w:t xml:space="preserve">של בעלת מינימרקט או של פלונית שמוצאת את פרנסתה כעוזרת בית בבתי התושבים ביישוב. ההבחנה שמציע חברי אינה שוויונית, אינה אובייקטיבית והיא גם קשה ליישום. </w:t>
      </w:r>
    </w:p>
    <w:p w:rsidR="00851A01" w:rsidRDefault="00851A01" w:rsidP="00851A01">
      <w:pPr>
        <w:pStyle w:val="Ruller41"/>
        <w:contextualSpacing/>
        <w:rPr>
          <w:rtl/>
        </w:rPr>
      </w:pPr>
    </w:p>
    <w:p w:rsidR="00851A01" w:rsidRDefault="00851A01" w:rsidP="00851A01">
      <w:pPr>
        <w:pStyle w:val="Ruller41"/>
        <w:contextualSpacing/>
        <w:rPr>
          <w:rtl/>
        </w:rPr>
      </w:pPr>
      <w:r>
        <w:rPr>
          <w:rFonts w:hint="cs"/>
          <w:rtl/>
        </w:rPr>
        <w:t>5.</w:t>
      </w:r>
      <w:r>
        <w:rPr>
          <w:rFonts w:hint="cs"/>
          <w:rtl/>
        </w:rPr>
        <w:tab/>
        <w:t xml:space="preserve">אני נכון להניח, כפי שציין חברי, כי לספורט המקצועני בכלל, ולכדורגל מקצועני בפרט, יש מאפיינים ייחודיים. בכך אין רבותא. גם לענף ההיי-טק יש מאפיינים ייחודיים, כמו גם לעסקים וענפי תעסוקה אחרים. בבואנו לבחון את מרכז החיים של ספורטאי, כמו גם של איש אקדמיה שמלמד במכללה ביישוב מוטב, עלינו לבחון את מרכז החיים על פי מדדים ומבחנים אובייקטיביים ככל שניתן, תוך התחשבות </w:t>
      </w:r>
      <w:r>
        <w:rPr>
          <w:rFonts w:ascii="David" w:hAnsi="David" w:hint="cs"/>
          <w:rtl/>
        </w:rPr>
        <w:t>ב</w:t>
      </w:r>
      <w:r>
        <w:rPr>
          <w:rFonts w:ascii="David" w:hAnsi="David"/>
          <w:rtl/>
        </w:rPr>
        <w:t>זיקות המשפחתיות, החברתיות</w:t>
      </w:r>
      <w:r>
        <w:rPr>
          <w:rFonts w:ascii="David" w:hAnsi="David" w:hint="cs"/>
          <w:rtl/>
        </w:rPr>
        <w:t xml:space="preserve">, </w:t>
      </w:r>
      <w:r>
        <w:rPr>
          <w:rFonts w:ascii="David" w:hAnsi="David"/>
          <w:rtl/>
        </w:rPr>
        <w:t>הכלכליות</w:t>
      </w:r>
      <w:r>
        <w:rPr>
          <w:rFonts w:ascii="David" w:hAnsi="David" w:hint="cs"/>
          <w:rtl/>
        </w:rPr>
        <w:t>, התרבותיות וכיו"ב</w:t>
      </w:r>
      <w:r>
        <w:rPr>
          <w:rFonts w:hint="cs"/>
          <w:rtl/>
        </w:rPr>
        <w:t xml:space="preserve">. למבחנים האובייקטיביים יש להוסיף גם את ההיבט הסובייקטיבי, קרי, היכן הנישום עצמו רואה את מרכז חייו. ניקח לדוגמה איש אקדמיה שעומד בראש מכללה ביישוב מוטב, שאין חולק על תרומתו הסגולית לבניינו ולפיתוחו של היישוב, ואשר בכל יום חול מגיע למכללה בשעות הבוקר וחוזר עם רדת החשכה לביתו ולמשפחתו בעיר הסמוכה. איני סבור כי יש לראותו כמי שמרכז חייו ביישוב המוטב, על אף העובדה שהוא עובד 60 שעות בשבוע באותו יישוב ועל אף תרומתו הסגולית לפיתוח היישוב המוטב. </w:t>
      </w:r>
    </w:p>
    <w:p w:rsidR="00851A01" w:rsidRDefault="00851A01" w:rsidP="00851A01">
      <w:pPr>
        <w:pStyle w:val="Ruller41"/>
        <w:contextualSpacing/>
        <w:rPr>
          <w:rtl/>
        </w:rPr>
      </w:pPr>
    </w:p>
    <w:p w:rsidR="00851A01" w:rsidRDefault="00851A01" w:rsidP="00851A01">
      <w:pPr>
        <w:pStyle w:val="Ruller41"/>
        <w:contextualSpacing/>
        <w:rPr>
          <w:rtl/>
        </w:rPr>
      </w:pPr>
      <w:r>
        <w:rPr>
          <w:rFonts w:hint="cs"/>
          <w:rtl/>
        </w:rPr>
        <w:t>6.</w:t>
      </w:r>
      <w:r>
        <w:rPr>
          <w:rFonts w:hint="cs"/>
          <w:rtl/>
        </w:rPr>
        <w:tab/>
        <w:t>אמירתו של חברי כי מרכז חייו של כדורגלן מקצועי היא קבוצתו, היא אמירה שובת לב, אך איני סבור כי ניתן לקבל אותה כמעין חזקה שעל פקיד השומה לסתור אותה. בבואנו לבחון את הסוגיה שלפנינו, עלינו לצאת משתי נקודות מוצא והן:</w:t>
      </w:r>
    </w:p>
    <w:p w:rsidR="00851A01" w:rsidRDefault="00851A01" w:rsidP="00851A01">
      <w:pPr>
        <w:pStyle w:val="Ruller41"/>
        <w:contextualSpacing/>
        <w:rPr>
          <w:rtl/>
        </w:rPr>
      </w:pPr>
    </w:p>
    <w:p w:rsidR="00851A01" w:rsidRDefault="00851A01" w:rsidP="00851A01">
      <w:pPr>
        <w:pStyle w:val="Ruller41"/>
        <w:contextualSpacing/>
        <w:rPr>
          <w:rtl/>
        </w:rPr>
      </w:pPr>
      <w:r>
        <w:rPr>
          <w:rtl/>
        </w:rPr>
        <w:tab/>
      </w:r>
      <w:r w:rsidRPr="001174C8">
        <w:rPr>
          <w:rFonts w:ascii="Century" w:hAnsi="Century" w:cs="Miriam" w:hint="cs"/>
          <w:b/>
          <w:spacing w:val="0"/>
          <w:szCs w:val="24"/>
          <w:rtl/>
        </w:rPr>
        <w:t>א</w:t>
      </w:r>
      <w:r>
        <w:rPr>
          <w:rFonts w:hint="cs"/>
          <w:rtl/>
        </w:rPr>
        <w:t>. מאחר שמדובר בהטבת מס, הרי שככל חריג, יש לפרשה באופן דווקני, כדי לשמור על עקרון השוויון ביחס לנישומים אחרים.</w:t>
      </w:r>
    </w:p>
    <w:p w:rsidR="00851A01" w:rsidRDefault="00851A01" w:rsidP="00851A01">
      <w:pPr>
        <w:pStyle w:val="Ruller41"/>
        <w:contextualSpacing/>
        <w:rPr>
          <w:rtl/>
        </w:rPr>
      </w:pPr>
    </w:p>
    <w:p w:rsidR="00851A01" w:rsidRDefault="00851A01" w:rsidP="00851A01">
      <w:pPr>
        <w:pStyle w:val="Ruller41"/>
        <w:contextualSpacing/>
        <w:rPr>
          <w:rtl/>
        </w:rPr>
      </w:pPr>
      <w:r>
        <w:rPr>
          <w:rtl/>
        </w:rPr>
        <w:tab/>
      </w:r>
      <w:r w:rsidRPr="001174C8">
        <w:rPr>
          <w:rFonts w:ascii="Century" w:hAnsi="Century" w:cs="Miriam" w:hint="cs"/>
          <w:b/>
          <w:spacing w:val="0"/>
          <w:szCs w:val="24"/>
          <w:rtl/>
        </w:rPr>
        <w:t>ב</w:t>
      </w:r>
      <w:r>
        <w:rPr>
          <w:rFonts w:hint="cs"/>
          <w:rtl/>
        </w:rPr>
        <w:t xml:space="preserve">. הנטל הוא על הטוען לזכאות להטבת המס הנובעת מסעיף 11 לפקודה. </w:t>
      </w:r>
    </w:p>
    <w:p w:rsidR="00851A01" w:rsidRDefault="00851A01" w:rsidP="00851A01">
      <w:pPr>
        <w:pStyle w:val="Ruller41"/>
        <w:contextualSpacing/>
        <w:rPr>
          <w:rtl/>
        </w:rPr>
      </w:pPr>
    </w:p>
    <w:p w:rsidR="00851A01" w:rsidRPr="00045941" w:rsidRDefault="00851A01" w:rsidP="00851A01">
      <w:pPr>
        <w:pStyle w:val="Ruller41"/>
        <w:rPr>
          <w:rFonts w:ascii="Century" w:hAnsi="Century"/>
          <w:rtl/>
        </w:rPr>
      </w:pPr>
      <w:r w:rsidRPr="00045941">
        <w:rPr>
          <w:rFonts w:ascii="Century" w:hAnsi="Century"/>
          <w:rtl/>
        </w:rPr>
        <w:tab/>
      </w:r>
      <w:r w:rsidRPr="00045941">
        <w:rPr>
          <w:rFonts w:ascii="Century" w:hAnsi="Century" w:hint="cs"/>
          <w:rtl/>
        </w:rPr>
        <w:t xml:space="preserve">(וראו </w:t>
      </w:r>
      <w:proofErr w:type="spellStart"/>
      <w:r w:rsidRPr="00045941">
        <w:rPr>
          <w:rFonts w:ascii="Century" w:hAnsi="Century"/>
          <w:rtl/>
        </w:rPr>
        <w:t>עמ"ה</w:t>
      </w:r>
      <w:proofErr w:type="spellEnd"/>
      <w:r w:rsidRPr="00045941">
        <w:rPr>
          <w:rFonts w:ascii="Century" w:hAnsi="Century"/>
          <w:rtl/>
        </w:rPr>
        <w:t xml:space="preserve"> (מחוזי חי</w:t>
      </w:r>
      <w:r w:rsidRPr="00045941">
        <w:rPr>
          <w:rFonts w:ascii="Century" w:hAnsi="Century" w:hint="cs"/>
          <w:rtl/>
        </w:rPr>
        <w:t>'</w:t>
      </w:r>
      <w:r w:rsidRPr="00045941">
        <w:rPr>
          <w:rFonts w:ascii="Century" w:hAnsi="Century"/>
          <w:rtl/>
        </w:rPr>
        <w:t xml:space="preserve">) 546/04 </w:t>
      </w:r>
      <w:proofErr w:type="spellStart"/>
      <w:r w:rsidRPr="00045941">
        <w:rPr>
          <w:rFonts w:ascii="Century" w:hAnsi="Century" w:cs="Miriam"/>
          <w:b/>
          <w:spacing w:val="0"/>
          <w:szCs w:val="24"/>
          <w:rtl/>
        </w:rPr>
        <w:t>נג'יב</w:t>
      </w:r>
      <w:proofErr w:type="spellEnd"/>
      <w:r w:rsidRPr="00045941">
        <w:rPr>
          <w:rFonts w:ascii="Century" w:hAnsi="Century" w:cs="Miriam"/>
          <w:b/>
          <w:spacing w:val="0"/>
          <w:szCs w:val="24"/>
          <w:rtl/>
        </w:rPr>
        <w:t xml:space="preserve"> נ' פקיד שומה עכו</w:t>
      </w:r>
      <w:r w:rsidRPr="00045941">
        <w:rPr>
          <w:rFonts w:ascii="Century" w:hAnsi="Century" w:hint="cs"/>
          <w:rtl/>
        </w:rPr>
        <w:t xml:space="preserve">, פסקה 9 והאסמכתאות שם (3.9.2006) (להלן: </w:t>
      </w:r>
      <w:r w:rsidRPr="00045941">
        <w:rPr>
          <w:rFonts w:ascii="Century" w:hAnsi="Century" w:hint="eastAsia"/>
          <w:rtl/>
        </w:rPr>
        <w:t>עניין</w:t>
      </w:r>
      <w:r w:rsidRPr="00045941">
        <w:rPr>
          <w:rFonts w:ascii="Century" w:hAnsi="Century" w:hint="cs"/>
          <w:rtl/>
        </w:rPr>
        <w:t xml:space="preserve"> </w:t>
      </w:r>
      <w:proofErr w:type="spellStart"/>
      <w:r w:rsidRPr="00045941">
        <w:rPr>
          <w:rFonts w:ascii="Century" w:hAnsi="Century" w:cs="Miriam" w:hint="cs"/>
          <w:b/>
          <w:spacing w:val="0"/>
          <w:szCs w:val="24"/>
          <w:rtl/>
        </w:rPr>
        <w:t>נג'יב</w:t>
      </w:r>
      <w:proofErr w:type="spellEnd"/>
      <w:r w:rsidRPr="00045941">
        <w:rPr>
          <w:rFonts w:ascii="Century" w:hAnsi="Century" w:hint="cs"/>
          <w:rtl/>
        </w:rPr>
        <w:t xml:space="preserve">); </w:t>
      </w:r>
      <w:proofErr w:type="spellStart"/>
      <w:r w:rsidRPr="00045941">
        <w:rPr>
          <w:rFonts w:ascii="Century" w:hAnsi="Century"/>
          <w:rtl/>
        </w:rPr>
        <w:t>עמ"ה</w:t>
      </w:r>
      <w:proofErr w:type="spellEnd"/>
      <w:r w:rsidRPr="00045941">
        <w:rPr>
          <w:rFonts w:ascii="Century" w:hAnsi="Century"/>
          <w:rtl/>
        </w:rPr>
        <w:t xml:space="preserve"> (</w:t>
      </w:r>
      <w:r w:rsidRPr="00045941">
        <w:rPr>
          <w:rFonts w:ascii="Century" w:hAnsi="Century" w:hint="cs"/>
          <w:rtl/>
        </w:rPr>
        <w:t xml:space="preserve">מחוזי </w:t>
      </w:r>
      <w:r w:rsidRPr="00045941">
        <w:rPr>
          <w:rFonts w:ascii="Century" w:hAnsi="Century"/>
          <w:rtl/>
        </w:rPr>
        <w:t>חי') 301/02</w:t>
      </w:r>
      <w:r w:rsidRPr="00045941">
        <w:rPr>
          <w:rFonts w:ascii="Century" w:hAnsi="Century" w:hint="cs"/>
          <w:rtl/>
        </w:rPr>
        <w:t xml:space="preserve"> </w:t>
      </w:r>
      <w:r w:rsidRPr="00045941">
        <w:rPr>
          <w:rFonts w:ascii="Century" w:hAnsi="Century" w:cs="Miriam" w:hint="cs"/>
          <w:b/>
          <w:spacing w:val="0"/>
          <w:szCs w:val="24"/>
          <w:rtl/>
        </w:rPr>
        <w:t>כץ נ' פקיד שומה עכו</w:t>
      </w:r>
      <w:r w:rsidRPr="00045941">
        <w:rPr>
          <w:rFonts w:ascii="Century" w:hAnsi="Century" w:hint="cs"/>
          <w:rtl/>
        </w:rPr>
        <w:t xml:space="preserve">, פסקה 6 והאסמכתאות שם (2.9.2003); </w:t>
      </w:r>
      <w:r w:rsidRPr="00045941">
        <w:rPr>
          <w:rFonts w:ascii="Century" w:hAnsi="Century"/>
          <w:rtl/>
        </w:rPr>
        <w:t>ע"מ 833/08 (מחוזי חי</w:t>
      </w:r>
      <w:r w:rsidRPr="00045941">
        <w:rPr>
          <w:rFonts w:ascii="Century" w:hAnsi="Century" w:hint="cs"/>
          <w:rtl/>
        </w:rPr>
        <w:t>'</w:t>
      </w:r>
      <w:r w:rsidRPr="00045941">
        <w:rPr>
          <w:rFonts w:ascii="Century" w:hAnsi="Century"/>
          <w:rtl/>
        </w:rPr>
        <w:t xml:space="preserve">) </w:t>
      </w:r>
      <w:r w:rsidRPr="00045941">
        <w:rPr>
          <w:rFonts w:ascii="Century" w:hAnsi="Century" w:cs="Miriam"/>
          <w:b/>
          <w:spacing w:val="0"/>
          <w:szCs w:val="24"/>
          <w:rtl/>
        </w:rPr>
        <w:t>צוקר-</w:t>
      </w:r>
      <w:proofErr w:type="spellStart"/>
      <w:r w:rsidRPr="00045941">
        <w:rPr>
          <w:rFonts w:ascii="Century" w:hAnsi="Century" w:cs="Miriam"/>
          <w:b/>
          <w:spacing w:val="0"/>
          <w:szCs w:val="24"/>
          <w:rtl/>
        </w:rPr>
        <w:t>לוגסי</w:t>
      </w:r>
      <w:proofErr w:type="spellEnd"/>
      <w:r w:rsidRPr="00045941">
        <w:rPr>
          <w:rFonts w:ascii="Century" w:hAnsi="Century" w:cs="Miriam"/>
          <w:b/>
          <w:spacing w:val="0"/>
          <w:szCs w:val="24"/>
          <w:rtl/>
        </w:rPr>
        <w:t xml:space="preserve"> נ' פקיד שומה עכו</w:t>
      </w:r>
      <w:r w:rsidRPr="00045941">
        <w:rPr>
          <w:rFonts w:ascii="Century" w:hAnsi="Century" w:hint="cs"/>
          <w:rtl/>
        </w:rPr>
        <w:t>, פסקה 21 והאסמכתאות שם</w:t>
      </w:r>
      <w:r w:rsidRPr="00045941">
        <w:rPr>
          <w:rFonts w:ascii="Century" w:hAnsi="Century"/>
          <w:rtl/>
        </w:rPr>
        <w:t xml:space="preserve"> (17.2.2010)</w:t>
      </w:r>
      <w:r w:rsidRPr="00045941">
        <w:rPr>
          <w:rFonts w:ascii="Century" w:hAnsi="Century" w:hint="cs"/>
          <w:rtl/>
        </w:rPr>
        <w:t xml:space="preserve"> (להלן: </w:t>
      </w:r>
      <w:r w:rsidRPr="00045941">
        <w:rPr>
          <w:rFonts w:ascii="Century" w:hAnsi="Century" w:hint="eastAsia"/>
          <w:rtl/>
        </w:rPr>
        <w:t>עניין</w:t>
      </w:r>
      <w:r w:rsidRPr="00045941">
        <w:rPr>
          <w:rFonts w:ascii="Century" w:hAnsi="Century" w:cs="Miriam" w:hint="cs"/>
          <w:b/>
          <w:spacing w:val="0"/>
          <w:szCs w:val="24"/>
          <w:rtl/>
        </w:rPr>
        <w:t xml:space="preserve"> צוקר-</w:t>
      </w:r>
      <w:proofErr w:type="spellStart"/>
      <w:r w:rsidRPr="00045941">
        <w:rPr>
          <w:rFonts w:ascii="Century" w:hAnsi="Century" w:cs="Miriam" w:hint="cs"/>
          <w:b/>
          <w:spacing w:val="0"/>
          <w:szCs w:val="24"/>
          <w:rtl/>
        </w:rPr>
        <w:t>לוגסי</w:t>
      </w:r>
      <w:proofErr w:type="spellEnd"/>
      <w:r w:rsidRPr="00045941">
        <w:rPr>
          <w:rFonts w:ascii="Century" w:hAnsi="Century" w:hint="cs"/>
          <w:rtl/>
        </w:rPr>
        <w:t xml:space="preserve">); </w:t>
      </w:r>
      <w:proofErr w:type="spellStart"/>
      <w:r w:rsidRPr="00045941">
        <w:rPr>
          <w:rFonts w:ascii="Century" w:hAnsi="Century"/>
          <w:rtl/>
        </w:rPr>
        <w:t>עמ"ה</w:t>
      </w:r>
      <w:proofErr w:type="spellEnd"/>
      <w:r w:rsidRPr="00045941">
        <w:rPr>
          <w:rFonts w:ascii="Century" w:hAnsi="Century"/>
          <w:rtl/>
        </w:rPr>
        <w:t xml:space="preserve"> (</w:t>
      </w:r>
      <w:r w:rsidRPr="00045941">
        <w:rPr>
          <w:rFonts w:ascii="Century" w:hAnsi="Century" w:hint="cs"/>
          <w:rtl/>
        </w:rPr>
        <w:t xml:space="preserve">מחוזי </w:t>
      </w:r>
      <w:r w:rsidRPr="00045941">
        <w:rPr>
          <w:rFonts w:ascii="Century" w:hAnsi="Century"/>
          <w:rtl/>
        </w:rPr>
        <w:t>חי') 151/92</w:t>
      </w:r>
      <w:r w:rsidRPr="00045941">
        <w:rPr>
          <w:rFonts w:ascii="Century" w:hAnsi="Century" w:hint="cs"/>
          <w:rtl/>
        </w:rPr>
        <w:t xml:space="preserve"> </w:t>
      </w:r>
      <w:proofErr w:type="spellStart"/>
      <w:r w:rsidRPr="00045941">
        <w:rPr>
          <w:rFonts w:ascii="Century" w:hAnsi="Century" w:cs="Miriam" w:hint="cs"/>
          <w:b/>
          <w:spacing w:val="0"/>
          <w:szCs w:val="24"/>
          <w:rtl/>
        </w:rPr>
        <w:t>דקוואר</w:t>
      </w:r>
      <w:proofErr w:type="spellEnd"/>
      <w:r w:rsidRPr="00045941">
        <w:rPr>
          <w:rFonts w:ascii="Century" w:hAnsi="Century" w:cs="Miriam" w:hint="cs"/>
          <w:b/>
          <w:spacing w:val="0"/>
          <w:szCs w:val="24"/>
          <w:rtl/>
        </w:rPr>
        <w:t xml:space="preserve"> נ' פקיד שומה חיפה</w:t>
      </w:r>
      <w:r w:rsidRPr="00045941">
        <w:rPr>
          <w:rFonts w:ascii="Century" w:hAnsi="Century" w:hint="cs"/>
          <w:rtl/>
        </w:rPr>
        <w:t xml:space="preserve"> (6.3.1994) (להלן: </w:t>
      </w:r>
      <w:r w:rsidRPr="00045941">
        <w:rPr>
          <w:rFonts w:ascii="Century" w:hAnsi="Century" w:hint="eastAsia"/>
          <w:rtl/>
        </w:rPr>
        <w:t>עניין</w:t>
      </w:r>
      <w:r w:rsidRPr="00045941">
        <w:rPr>
          <w:rFonts w:ascii="Century" w:hAnsi="Century" w:cs="Miriam" w:hint="cs"/>
          <w:b/>
          <w:spacing w:val="0"/>
          <w:szCs w:val="24"/>
          <w:rtl/>
        </w:rPr>
        <w:t xml:space="preserve"> </w:t>
      </w:r>
      <w:proofErr w:type="spellStart"/>
      <w:r w:rsidRPr="00045941">
        <w:rPr>
          <w:rFonts w:ascii="Century" w:hAnsi="Century" w:cs="Miriam" w:hint="cs"/>
          <w:b/>
          <w:spacing w:val="0"/>
          <w:szCs w:val="24"/>
          <w:rtl/>
        </w:rPr>
        <w:t>דקוואר</w:t>
      </w:r>
      <w:proofErr w:type="spellEnd"/>
      <w:r w:rsidRPr="00045941">
        <w:rPr>
          <w:rFonts w:ascii="Century" w:hAnsi="Century" w:hint="cs"/>
          <w:rtl/>
        </w:rPr>
        <w:t>)).</w:t>
      </w:r>
    </w:p>
    <w:p w:rsidR="00851A01" w:rsidRDefault="00851A01" w:rsidP="00851A01">
      <w:pPr>
        <w:pStyle w:val="Ruller41"/>
        <w:rPr>
          <w:rtl/>
        </w:rPr>
      </w:pPr>
    </w:p>
    <w:p w:rsidR="00851A01" w:rsidRPr="003D466D" w:rsidRDefault="00851A01" w:rsidP="00851A01">
      <w:pPr>
        <w:pStyle w:val="Ruller41"/>
        <w:contextualSpacing/>
        <w:rPr>
          <w:rFonts w:ascii="Century" w:hAnsi="Century"/>
          <w:rtl/>
        </w:rPr>
      </w:pPr>
      <w:r>
        <w:rPr>
          <w:rFonts w:hint="cs"/>
          <w:rtl/>
        </w:rPr>
        <w:t>7.</w:t>
      </w:r>
      <w:r>
        <w:rPr>
          <w:rFonts w:hint="cs"/>
          <w:rtl/>
        </w:rPr>
        <w:tab/>
      </w:r>
      <w:r w:rsidRPr="003D466D">
        <w:rPr>
          <w:rFonts w:ascii="Century" w:hAnsi="Century" w:hint="cs"/>
          <w:rtl/>
        </w:rPr>
        <w:t xml:space="preserve">לטעמי, דינו של כדורגלן מקצועי אינו שונה מדינם של </w:t>
      </w:r>
      <w:r>
        <w:rPr>
          <w:rFonts w:ascii="Century" w:hAnsi="Century" w:hint="cs"/>
          <w:rtl/>
        </w:rPr>
        <w:t xml:space="preserve">תחומים </w:t>
      </w:r>
      <w:r w:rsidRPr="003D466D">
        <w:rPr>
          <w:rFonts w:ascii="Century" w:hAnsi="Century" w:hint="cs"/>
          <w:rtl/>
        </w:rPr>
        <w:t xml:space="preserve">אחרים בבואנו לבחון את השאלה של "מרכז חיים". אף איני סבור כי עלינו להביא את לחמנו בנקודה זו מהמשפט בארצות הברית, בהתחשב בגודלה העצום של ארצות הברית. מטבע הדברים, </w:t>
      </w:r>
      <w:r w:rsidRPr="003D466D">
        <w:rPr>
          <w:rFonts w:ascii="Century" w:hAnsi="Century" w:hint="cs"/>
          <w:rtl/>
        </w:rPr>
        <w:lastRenderedPageBreak/>
        <w:t xml:space="preserve">מי שמשחק כדורסל מקצועני בקבוצה בחוף המערבי, יקשה עלינו לראותו כמי שמרכז חייו הוא במדינת ורמונט במזרח. לא כך ביחס לישראל הקטנה, ועוד טרם אדרש לעניינם הפרטני של </w:t>
      </w:r>
      <w:proofErr w:type="spellStart"/>
      <w:r w:rsidRPr="003D466D">
        <w:rPr>
          <w:rFonts w:ascii="Century" w:hAnsi="Century" w:hint="cs"/>
          <w:rtl/>
        </w:rPr>
        <w:t>עאבד</w:t>
      </w:r>
      <w:proofErr w:type="spellEnd"/>
      <w:r w:rsidRPr="003D466D">
        <w:rPr>
          <w:rFonts w:ascii="Century" w:hAnsi="Century" w:hint="cs"/>
          <w:rtl/>
        </w:rPr>
        <w:t xml:space="preserve"> ושל </w:t>
      </w:r>
      <w:proofErr w:type="spellStart"/>
      <w:r w:rsidRPr="003D466D">
        <w:rPr>
          <w:rFonts w:ascii="Century" w:hAnsi="Century" w:hint="cs"/>
          <w:rtl/>
        </w:rPr>
        <w:t>חסארמה</w:t>
      </w:r>
      <w:proofErr w:type="spellEnd"/>
      <w:r w:rsidRPr="003D466D">
        <w:rPr>
          <w:rFonts w:ascii="Century" w:hAnsi="Century" w:hint="cs"/>
          <w:rtl/>
        </w:rPr>
        <w:t xml:space="preserve">, אציין כי איננו מדברים במי שהתגוררו באילת קודם להצטרפותם לקבוצת </w:t>
      </w:r>
      <w:proofErr w:type="spellStart"/>
      <w:r w:rsidRPr="003D466D">
        <w:rPr>
          <w:rFonts w:ascii="Century" w:hAnsi="Century" w:hint="cs"/>
          <w:rtl/>
        </w:rPr>
        <w:t>קרית</w:t>
      </w:r>
      <w:proofErr w:type="spellEnd"/>
      <w:r w:rsidRPr="003D466D">
        <w:rPr>
          <w:rFonts w:ascii="Century" w:hAnsi="Century" w:hint="cs"/>
          <w:rtl/>
        </w:rPr>
        <w:t xml:space="preserve"> שמונה.</w:t>
      </w:r>
    </w:p>
    <w:p w:rsidR="00851A01" w:rsidRDefault="00851A01" w:rsidP="00851A01">
      <w:pPr>
        <w:pStyle w:val="Ruller41"/>
        <w:contextualSpacing/>
        <w:rPr>
          <w:rtl/>
        </w:rPr>
      </w:pPr>
    </w:p>
    <w:p w:rsidR="00851A01" w:rsidRDefault="00851A01" w:rsidP="00851A01">
      <w:pPr>
        <w:pStyle w:val="Ruller41"/>
        <w:contextualSpacing/>
        <w:rPr>
          <w:rtl/>
        </w:rPr>
      </w:pPr>
      <w:r>
        <w:rPr>
          <w:rFonts w:hint="cs"/>
          <w:rtl/>
        </w:rPr>
        <w:t>8.</w:t>
      </w:r>
      <w:r>
        <w:rPr>
          <w:rFonts w:hint="cs"/>
          <w:rtl/>
        </w:rPr>
        <w:tab/>
        <w:t xml:space="preserve">פשוטו של מקרא כי "מרכז חייו" של תושב הוא מקום מגורי הקבע שלו, הוא הגזע שממנו נשלחות הזיקות השונות ומכות שורשים ביישוב או במדינה (השוו לדברי </w:t>
      </w:r>
      <w:r w:rsidRPr="006A5A69">
        <w:rPr>
          <w:rFonts w:hint="cs"/>
          <w:rtl/>
        </w:rPr>
        <w:t xml:space="preserve">השופט </w:t>
      </w:r>
      <w:r w:rsidRPr="00232F31">
        <w:rPr>
          <w:rFonts w:ascii="Century" w:hAnsi="Century" w:cs="Miriam" w:hint="eastAsia"/>
          <w:b/>
          <w:spacing w:val="0"/>
          <w:szCs w:val="24"/>
          <w:rtl/>
        </w:rPr>
        <w:t>מ</w:t>
      </w:r>
      <w:r w:rsidRPr="00232F31">
        <w:rPr>
          <w:rFonts w:ascii="Century" w:hAnsi="Century" w:cs="Miriam"/>
          <w:b/>
          <w:spacing w:val="0"/>
          <w:szCs w:val="24"/>
          <w:rtl/>
        </w:rPr>
        <w:t xml:space="preserve">' </w:t>
      </w:r>
      <w:r w:rsidRPr="00232F31">
        <w:rPr>
          <w:rFonts w:ascii="Century" w:hAnsi="Century" w:cs="Miriam" w:hint="eastAsia"/>
          <w:b/>
          <w:spacing w:val="0"/>
          <w:szCs w:val="24"/>
          <w:rtl/>
        </w:rPr>
        <w:t>מזוז</w:t>
      </w:r>
      <w:r w:rsidRPr="006A5A69">
        <w:rPr>
          <w:rFonts w:hint="cs"/>
          <w:rtl/>
        </w:rPr>
        <w:t xml:space="preserve"> </w:t>
      </w:r>
      <w:r>
        <w:rPr>
          <w:rFonts w:hint="cs"/>
          <w:rtl/>
        </w:rPr>
        <w:t xml:space="preserve">בע"א 476/17 </w:t>
      </w:r>
      <w:r w:rsidRPr="007662C3">
        <w:rPr>
          <w:rFonts w:ascii="Century" w:hAnsi="Century" w:cs="Miriam" w:hint="cs"/>
          <w:b/>
          <w:spacing w:val="0"/>
          <w:szCs w:val="24"/>
          <w:rtl/>
        </w:rPr>
        <w:t>אמית נ' פקיד שומה חולון</w:t>
      </w:r>
      <w:r w:rsidRPr="007662C3">
        <w:rPr>
          <w:rFonts w:hint="cs"/>
          <w:rtl/>
        </w:rPr>
        <w:t xml:space="preserve"> </w:t>
      </w:r>
      <w:r>
        <w:rPr>
          <w:rFonts w:hint="cs"/>
          <w:rtl/>
        </w:rPr>
        <w:t>(9.10.2018)). מרכז חיים אינו מקום שאדם עומס על כתפו מדי סוף שבוע כאשר הוא חוזר אל חיק משפחתו, ולא מקום שלאדם יש אפשרות בכל עת לעזוב ולחזור למקום ממנו בא, ובחינת הדברים היא מהותית ולא טכנית (</w:t>
      </w:r>
      <w:r>
        <w:rPr>
          <w:rFonts w:ascii="David" w:hAnsi="David"/>
          <w:rtl/>
        </w:rPr>
        <w:t>בע"מ (מחוזי חי</w:t>
      </w:r>
      <w:r>
        <w:rPr>
          <w:rFonts w:ascii="David" w:hAnsi="David" w:hint="cs"/>
          <w:rtl/>
        </w:rPr>
        <w:t>'</w:t>
      </w:r>
      <w:r>
        <w:rPr>
          <w:rFonts w:ascii="David" w:hAnsi="David"/>
          <w:rtl/>
        </w:rPr>
        <w:t xml:space="preserve">) 21313-05-15 </w:t>
      </w:r>
      <w:r w:rsidRPr="002E51B1">
        <w:rPr>
          <w:rFonts w:ascii="Century" w:hAnsi="Century" w:cs="Miriam"/>
          <w:b/>
          <w:spacing w:val="0"/>
          <w:szCs w:val="24"/>
          <w:rtl/>
        </w:rPr>
        <w:t>יעקב נ' פקיד שומה עכו</w:t>
      </w:r>
      <w:r w:rsidRPr="002E51B1">
        <w:rPr>
          <w:rFonts w:ascii="David" w:hAnsi="David" w:hint="cs"/>
          <w:b/>
          <w:bCs/>
          <w:rtl/>
        </w:rPr>
        <w:t xml:space="preserve"> </w:t>
      </w:r>
      <w:r w:rsidRPr="002E51B1">
        <w:rPr>
          <w:rFonts w:ascii="Century" w:hAnsi="Century" w:hint="cs"/>
          <w:rtl/>
        </w:rPr>
        <w:t>(25.11.2016)).</w:t>
      </w:r>
      <w:r>
        <w:rPr>
          <w:rFonts w:ascii="David" w:hAnsi="David" w:hint="cs"/>
          <w:b/>
          <w:bCs/>
          <w:rtl/>
        </w:rPr>
        <w:t xml:space="preserve"> </w:t>
      </w:r>
      <w:r w:rsidRPr="00291999">
        <w:rPr>
          <w:rFonts w:ascii="Century" w:hAnsi="Century" w:hint="cs"/>
          <w:rtl/>
        </w:rPr>
        <w:t>ודוק:</w:t>
      </w:r>
      <w:r>
        <w:rPr>
          <w:rFonts w:ascii="David" w:hAnsi="David" w:hint="cs"/>
          <w:b/>
          <w:bCs/>
          <w:rtl/>
        </w:rPr>
        <w:t xml:space="preserve"> </w:t>
      </w:r>
      <w:r>
        <w:rPr>
          <w:rFonts w:hint="cs"/>
          <w:rtl/>
        </w:rPr>
        <w:t xml:space="preserve">המחוקק לא הסתפק במקום מגורים, וגם היותו של אדם בעל דירה ביישוב </w:t>
      </w:r>
      <w:proofErr w:type="spellStart"/>
      <w:r>
        <w:rPr>
          <w:rFonts w:hint="cs"/>
          <w:rtl/>
        </w:rPr>
        <w:t>מסויים</w:t>
      </w:r>
      <w:proofErr w:type="spellEnd"/>
      <w:r>
        <w:rPr>
          <w:rFonts w:hint="cs"/>
          <w:rtl/>
        </w:rPr>
        <w:t xml:space="preserve"> לא הופכת אותו למי שמרכז חייו באותו יישוב. כך, ב</w:t>
      </w:r>
      <w:r w:rsidRPr="009C2A89">
        <w:rPr>
          <w:rFonts w:ascii="Century" w:hAnsi="Century"/>
          <w:rtl/>
        </w:rPr>
        <w:t xml:space="preserve">ע"א 1117/92 </w:t>
      </w:r>
      <w:proofErr w:type="spellStart"/>
      <w:r w:rsidRPr="009C2A89">
        <w:rPr>
          <w:rFonts w:ascii="Century" w:hAnsi="Century" w:cs="Miriam"/>
          <w:b/>
          <w:spacing w:val="0"/>
          <w:szCs w:val="24"/>
          <w:rtl/>
        </w:rPr>
        <w:t>לונדנר</w:t>
      </w:r>
      <w:proofErr w:type="spellEnd"/>
      <w:r w:rsidRPr="009C2A89">
        <w:rPr>
          <w:rFonts w:ascii="Century" w:hAnsi="Century" w:cs="Miriam"/>
          <w:b/>
          <w:spacing w:val="0"/>
          <w:szCs w:val="24"/>
          <w:rtl/>
        </w:rPr>
        <w:t xml:space="preserve"> נ' מנהל מס ערך מ</w:t>
      </w:r>
      <w:r w:rsidRPr="006A5A69">
        <w:rPr>
          <w:rFonts w:ascii="Century" w:hAnsi="Century" w:cs="Miriam"/>
          <w:b/>
          <w:spacing w:val="0"/>
          <w:szCs w:val="24"/>
          <w:rtl/>
        </w:rPr>
        <w:t>וסף</w:t>
      </w:r>
      <w:r w:rsidRPr="00232F31">
        <w:rPr>
          <w:rFonts w:ascii="Century" w:hAnsi="Century" w:cs="Miriam"/>
          <w:b/>
          <w:spacing w:val="0"/>
          <w:szCs w:val="24"/>
          <w:rtl/>
        </w:rPr>
        <w:t xml:space="preserve">, </w:t>
      </w:r>
      <w:r w:rsidRPr="00232F31">
        <w:rPr>
          <w:rFonts w:ascii="Century" w:hAnsi="Century" w:cs="Miriam" w:hint="eastAsia"/>
          <w:b/>
          <w:spacing w:val="0"/>
          <w:szCs w:val="24"/>
          <w:rtl/>
        </w:rPr>
        <w:t>ירושלים</w:t>
      </w:r>
      <w:r w:rsidRPr="009C2A89">
        <w:rPr>
          <w:rFonts w:ascii="Century" w:hAnsi="Century"/>
          <w:rtl/>
        </w:rPr>
        <w:t xml:space="preserve">, פ"ד </w:t>
      </w:r>
      <w:proofErr w:type="spellStart"/>
      <w:r w:rsidRPr="009C2A89">
        <w:rPr>
          <w:rFonts w:ascii="Century" w:hAnsi="Century"/>
          <w:rtl/>
        </w:rPr>
        <w:t>מז</w:t>
      </w:r>
      <w:proofErr w:type="spellEnd"/>
      <w:r w:rsidRPr="009C2A89">
        <w:rPr>
          <w:rFonts w:ascii="Century" w:hAnsi="Century"/>
          <w:rtl/>
        </w:rPr>
        <w:t>(5)</w:t>
      </w:r>
      <w:r>
        <w:rPr>
          <w:rFonts w:ascii="Century" w:hAnsi="Century" w:hint="cs"/>
          <w:rtl/>
        </w:rPr>
        <w:t xml:space="preserve"> 91 (1993), נקבע כי אין לראות את המערערת, רופאת שיניים שעבדה מספר ימים בחודש באילת, כ"תושב אזור אילת" על אף שרכשה דירה באילת ועל אף ששינתה בהתאם את כתובתה במרשם האוכלוסין (וראו גם </w:t>
      </w:r>
      <w:r>
        <w:rPr>
          <w:rFonts w:hint="cs"/>
          <w:rtl/>
        </w:rPr>
        <w:t xml:space="preserve">ע"ש (מחוזי </w:t>
      </w:r>
      <w:proofErr w:type="spellStart"/>
      <w:r>
        <w:rPr>
          <w:rFonts w:hint="cs"/>
          <w:rtl/>
        </w:rPr>
        <w:t>נצ</w:t>
      </w:r>
      <w:proofErr w:type="spellEnd"/>
      <w:r>
        <w:rPr>
          <w:rFonts w:hint="cs"/>
          <w:rtl/>
        </w:rPr>
        <w:t xml:space="preserve">') 73/94 </w:t>
      </w:r>
      <w:proofErr w:type="spellStart"/>
      <w:r w:rsidRPr="00D40D87">
        <w:rPr>
          <w:rFonts w:ascii="Century" w:hAnsi="Century" w:cs="Miriam" w:hint="cs"/>
          <w:b/>
          <w:spacing w:val="0"/>
          <w:szCs w:val="24"/>
          <w:rtl/>
        </w:rPr>
        <w:t>סיטין</w:t>
      </w:r>
      <w:proofErr w:type="spellEnd"/>
      <w:r w:rsidRPr="00D40D87">
        <w:rPr>
          <w:rFonts w:ascii="Century" w:hAnsi="Century" w:cs="Miriam" w:hint="cs"/>
          <w:b/>
          <w:spacing w:val="0"/>
          <w:szCs w:val="24"/>
          <w:rtl/>
        </w:rPr>
        <w:t xml:space="preserve"> נ' מנהל מע"מ טבריה</w:t>
      </w:r>
      <w:r>
        <w:rPr>
          <w:rFonts w:cs="Miriam" w:hint="cs"/>
          <w:b/>
          <w:spacing w:val="0"/>
          <w:szCs w:val="24"/>
          <w:rtl/>
        </w:rPr>
        <w:t xml:space="preserve"> </w:t>
      </w:r>
      <w:r>
        <w:rPr>
          <w:rFonts w:hint="cs"/>
          <w:rtl/>
        </w:rPr>
        <w:t xml:space="preserve">פסקה 8 והאסמכתאות שם </w:t>
      </w:r>
      <w:r w:rsidRPr="00EC6DBA">
        <w:rPr>
          <w:rFonts w:ascii="Century" w:hAnsi="Century" w:hint="cs"/>
          <w:rtl/>
        </w:rPr>
        <w:t>(7.5.1995)</w:t>
      </w:r>
      <w:r>
        <w:rPr>
          <w:rFonts w:ascii="Century" w:hAnsi="Century" w:hint="cs"/>
          <w:rtl/>
        </w:rPr>
        <w:t xml:space="preserve">). </w:t>
      </w:r>
      <w:r>
        <w:rPr>
          <w:rFonts w:hint="cs"/>
          <w:rtl/>
        </w:rPr>
        <w:t xml:space="preserve">המחוקק נקט במילים "תושב היישוב", כאשר התכלית היא עידוד הגירה לאותו יישוב, ועל רקע תכלית זו יש לפרש את המילים "מרכז חיים". </w:t>
      </w:r>
    </w:p>
    <w:p w:rsidR="00851A01" w:rsidRDefault="00851A01" w:rsidP="00851A01">
      <w:pPr>
        <w:pStyle w:val="Ruller41"/>
        <w:contextualSpacing/>
        <w:rPr>
          <w:rtl/>
        </w:rPr>
      </w:pPr>
    </w:p>
    <w:p w:rsidR="00851A01" w:rsidRDefault="00851A01" w:rsidP="00851A01">
      <w:pPr>
        <w:pStyle w:val="Ruller41"/>
        <w:contextualSpacing/>
        <w:rPr>
          <w:rtl/>
        </w:rPr>
      </w:pPr>
      <w:r>
        <w:rPr>
          <w:rFonts w:hint="cs"/>
          <w:rtl/>
        </w:rPr>
        <w:t>9.</w:t>
      </w:r>
      <w:r>
        <w:rPr>
          <w:rtl/>
        </w:rPr>
        <w:tab/>
      </w:r>
      <w:r>
        <w:rPr>
          <w:rFonts w:hint="cs"/>
          <w:rtl/>
        </w:rPr>
        <w:t xml:space="preserve">ומהתם </w:t>
      </w:r>
      <w:proofErr w:type="spellStart"/>
      <w:r>
        <w:rPr>
          <w:rFonts w:hint="cs"/>
          <w:rtl/>
        </w:rPr>
        <w:t>להכא</w:t>
      </w:r>
      <w:proofErr w:type="spellEnd"/>
      <w:r>
        <w:rPr>
          <w:rFonts w:hint="cs"/>
          <w:rtl/>
        </w:rPr>
        <w:t xml:space="preserve">. על רקע עקרונות אלה נבחן את עניינם של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hint="cs"/>
          <w:rtl/>
        </w:rPr>
        <w:t xml:space="preserve">, ומסקנתי לגביהם נכונה ממילא גם לערעור הקבוצה בנושא זה. </w:t>
      </w:r>
    </w:p>
    <w:p w:rsidR="00851A01" w:rsidRDefault="00851A01" w:rsidP="00851A01">
      <w:pPr>
        <w:pStyle w:val="Ruller41"/>
        <w:contextualSpacing/>
        <w:rPr>
          <w:rtl/>
        </w:rPr>
      </w:pPr>
    </w:p>
    <w:p w:rsidR="00851A01" w:rsidRDefault="00851A01" w:rsidP="00851A01">
      <w:pPr>
        <w:pStyle w:val="Ruller41"/>
        <w:contextualSpacing/>
        <w:rPr>
          <w:rFonts w:ascii="Century" w:hAnsi="Century" w:cs="Miriam"/>
          <w:b/>
          <w:spacing w:val="0"/>
          <w:szCs w:val="24"/>
          <w:rtl/>
        </w:rPr>
      </w:pPr>
      <w:r w:rsidRPr="00A85854">
        <w:rPr>
          <w:rFonts w:ascii="Century" w:hAnsi="Century" w:cs="Miriam" w:hint="cs"/>
          <w:b/>
          <w:spacing w:val="0"/>
          <w:szCs w:val="24"/>
          <w:rtl/>
        </w:rPr>
        <w:t>ע</w:t>
      </w:r>
      <w:r>
        <w:rPr>
          <w:rFonts w:ascii="Century" w:hAnsi="Century" w:cs="Miriam" w:hint="cs"/>
          <w:b/>
          <w:spacing w:val="0"/>
          <w:szCs w:val="24"/>
          <w:rtl/>
        </w:rPr>
        <w:t xml:space="preserve">רעורו של </w:t>
      </w:r>
      <w:proofErr w:type="spellStart"/>
      <w:r>
        <w:rPr>
          <w:rFonts w:ascii="Century" w:hAnsi="Century" w:cs="Miriam" w:hint="cs"/>
          <w:b/>
          <w:spacing w:val="0"/>
          <w:szCs w:val="24"/>
          <w:rtl/>
        </w:rPr>
        <w:t>חסארמה</w:t>
      </w:r>
      <w:proofErr w:type="spellEnd"/>
      <w:r>
        <w:rPr>
          <w:rFonts w:ascii="Century" w:hAnsi="Century" w:cs="Miriam" w:hint="cs"/>
          <w:b/>
          <w:spacing w:val="0"/>
          <w:szCs w:val="24"/>
          <w:rtl/>
        </w:rPr>
        <w:t xml:space="preserve"> (ע</w:t>
      </w:r>
      <w:r w:rsidRPr="00A85854">
        <w:rPr>
          <w:rFonts w:ascii="Century" w:hAnsi="Century" w:cs="Miriam" w:hint="cs"/>
          <w:b/>
          <w:spacing w:val="0"/>
          <w:szCs w:val="24"/>
          <w:rtl/>
        </w:rPr>
        <w:t>"א 7719/21</w:t>
      </w:r>
      <w:r>
        <w:rPr>
          <w:rFonts w:ascii="Century" w:hAnsi="Century" w:cs="Miriam" w:hint="cs"/>
          <w:b/>
          <w:spacing w:val="0"/>
          <w:szCs w:val="24"/>
          <w:rtl/>
        </w:rPr>
        <w:t>)</w:t>
      </w:r>
    </w:p>
    <w:p w:rsidR="00851A01" w:rsidRPr="00A85854" w:rsidRDefault="00851A01" w:rsidP="00851A01">
      <w:pPr>
        <w:pStyle w:val="Ruller41"/>
        <w:contextualSpacing/>
        <w:rPr>
          <w:rFonts w:ascii="Century" w:hAnsi="Century" w:cs="Miriam"/>
          <w:b/>
          <w:spacing w:val="0"/>
          <w:szCs w:val="24"/>
          <w:rtl/>
        </w:rPr>
      </w:pPr>
    </w:p>
    <w:p w:rsidR="00851A01" w:rsidRDefault="00851A01" w:rsidP="00851A01">
      <w:pPr>
        <w:pStyle w:val="Ruller41"/>
        <w:contextualSpacing/>
        <w:rPr>
          <w:rtl/>
        </w:rPr>
      </w:pPr>
      <w:r>
        <w:rPr>
          <w:rFonts w:hint="cs"/>
          <w:rtl/>
        </w:rPr>
        <w:t>10.</w:t>
      </w:r>
      <w:r>
        <w:rPr>
          <w:rFonts w:hint="cs"/>
          <w:rtl/>
        </w:rPr>
        <w:tab/>
      </w:r>
      <w:proofErr w:type="spellStart"/>
      <w:r>
        <w:rPr>
          <w:rFonts w:hint="cs"/>
          <w:rtl/>
        </w:rPr>
        <w:t>חסארמה</w:t>
      </w:r>
      <w:proofErr w:type="spellEnd"/>
      <w:r>
        <w:rPr>
          <w:rFonts w:hint="cs"/>
          <w:rtl/>
        </w:rPr>
        <w:t xml:space="preserve"> שיחק </w:t>
      </w:r>
      <w:r w:rsidRPr="0052299C">
        <w:rPr>
          <w:rtl/>
        </w:rPr>
        <w:t xml:space="preserve">בקבוצת הכדורגל עירוני </w:t>
      </w:r>
      <w:proofErr w:type="spellStart"/>
      <w:r w:rsidRPr="0052299C">
        <w:rPr>
          <w:rtl/>
        </w:rPr>
        <w:t>קרית</w:t>
      </w:r>
      <w:proofErr w:type="spellEnd"/>
      <w:r w:rsidRPr="0052299C">
        <w:rPr>
          <w:rtl/>
        </w:rPr>
        <w:t xml:space="preserve"> שמונה</w:t>
      </w:r>
      <w:r>
        <w:rPr>
          <w:rFonts w:hint="cs"/>
          <w:rtl/>
        </w:rPr>
        <w:t xml:space="preserve"> משך שבע שנים, וערעורו מתמקד בשנות המס 2012-2011.</w:t>
      </w:r>
    </w:p>
    <w:p w:rsidR="00851A01" w:rsidRDefault="00851A01" w:rsidP="00851A01">
      <w:pPr>
        <w:pStyle w:val="Ruller41"/>
        <w:contextualSpacing/>
        <w:rPr>
          <w:rtl/>
        </w:rPr>
      </w:pPr>
    </w:p>
    <w:p w:rsidR="00851A01" w:rsidRDefault="00851A01" w:rsidP="00851A01">
      <w:pPr>
        <w:pStyle w:val="Ruller41"/>
        <w:contextualSpacing/>
        <w:rPr>
          <w:rtl/>
        </w:rPr>
      </w:pPr>
      <w:r>
        <w:rPr>
          <w:rtl/>
        </w:rPr>
        <w:tab/>
      </w:r>
      <w:proofErr w:type="spellStart"/>
      <w:r>
        <w:rPr>
          <w:rFonts w:hint="cs"/>
          <w:rtl/>
        </w:rPr>
        <w:t>חסארמה</w:t>
      </w:r>
      <w:proofErr w:type="spellEnd"/>
      <w:r>
        <w:rPr>
          <w:rFonts w:hint="cs"/>
          <w:rtl/>
        </w:rPr>
        <w:t xml:space="preserve"> נולד וגדל ב</w:t>
      </w:r>
      <w:r w:rsidRPr="0052299C">
        <w:rPr>
          <w:rtl/>
        </w:rPr>
        <w:t xml:space="preserve">כפר </w:t>
      </w:r>
      <w:proofErr w:type="spellStart"/>
      <w:r w:rsidRPr="0052299C">
        <w:rPr>
          <w:rtl/>
        </w:rPr>
        <w:t>בענה</w:t>
      </w:r>
      <w:proofErr w:type="spellEnd"/>
      <w:r>
        <w:rPr>
          <w:rFonts w:hint="cs"/>
          <w:rtl/>
        </w:rPr>
        <w:t xml:space="preserve">. </w:t>
      </w:r>
      <w:r w:rsidRPr="0052299C">
        <w:rPr>
          <w:rtl/>
        </w:rPr>
        <w:t>משפחתו</w:t>
      </w:r>
      <w:r>
        <w:rPr>
          <w:rFonts w:hint="cs"/>
          <w:rtl/>
        </w:rPr>
        <w:t xml:space="preserve"> המורחבת, </w:t>
      </w:r>
      <w:r w:rsidRPr="0052299C">
        <w:rPr>
          <w:rtl/>
        </w:rPr>
        <w:t>אשתו ו</w:t>
      </w:r>
      <w:r>
        <w:rPr>
          <w:rFonts w:hint="cs"/>
          <w:rtl/>
        </w:rPr>
        <w:t xml:space="preserve">ארבעת </w:t>
      </w:r>
      <w:r w:rsidRPr="0052299C">
        <w:rPr>
          <w:rtl/>
        </w:rPr>
        <w:t>ילדיו, עדיין מתגוררים ב</w:t>
      </w:r>
      <w:r>
        <w:rPr>
          <w:rFonts w:hint="cs"/>
          <w:rtl/>
        </w:rPr>
        <w:t xml:space="preserve">כפר </w:t>
      </w:r>
      <w:proofErr w:type="spellStart"/>
      <w:r>
        <w:rPr>
          <w:rFonts w:hint="cs"/>
          <w:rtl/>
        </w:rPr>
        <w:t>בענה</w:t>
      </w:r>
      <w:proofErr w:type="spellEnd"/>
      <w:r>
        <w:rPr>
          <w:rFonts w:hint="cs"/>
          <w:rtl/>
        </w:rPr>
        <w:t xml:space="preserve">, שם הוא </w:t>
      </w:r>
      <w:r w:rsidRPr="00232F31">
        <w:rPr>
          <w:rFonts w:hint="cs"/>
          <w:rtl/>
        </w:rPr>
        <w:t>ה</w:t>
      </w:r>
      <w:r w:rsidRPr="00232F31">
        <w:rPr>
          <w:rFonts w:hint="eastAsia"/>
          <w:rtl/>
        </w:rPr>
        <w:t>תגורר</w:t>
      </w:r>
      <w:r w:rsidRPr="00232F31">
        <w:rPr>
          <w:rtl/>
        </w:rPr>
        <w:t xml:space="preserve"> </w:t>
      </w:r>
      <w:r w:rsidRPr="00232F31">
        <w:rPr>
          <w:rFonts w:hint="eastAsia"/>
          <w:rtl/>
        </w:rPr>
        <w:t>דרך</w:t>
      </w:r>
      <w:r w:rsidRPr="00232F31">
        <w:rPr>
          <w:rtl/>
        </w:rPr>
        <w:t xml:space="preserve"> </w:t>
      </w:r>
      <w:r w:rsidRPr="00232F31">
        <w:rPr>
          <w:rFonts w:hint="eastAsia"/>
          <w:rtl/>
        </w:rPr>
        <w:t>קבע</w:t>
      </w:r>
      <w:r>
        <w:rPr>
          <w:rFonts w:hint="cs"/>
          <w:rtl/>
        </w:rPr>
        <w:t xml:space="preserve"> לפני שהחל לשחק בקבוצה ולאחר שסיים לשחק בקבוצה. המרחק בין </w:t>
      </w:r>
      <w:proofErr w:type="spellStart"/>
      <w:r>
        <w:rPr>
          <w:rFonts w:hint="cs"/>
          <w:rtl/>
        </w:rPr>
        <w:t>בענה</w:t>
      </w:r>
      <w:proofErr w:type="spellEnd"/>
      <w:r>
        <w:rPr>
          <w:rFonts w:hint="cs"/>
          <w:rtl/>
        </w:rPr>
        <w:t xml:space="preserve"> </w:t>
      </w:r>
      <w:proofErr w:type="spellStart"/>
      <w:r>
        <w:rPr>
          <w:rFonts w:hint="cs"/>
          <w:rtl/>
        </w:rPr>
        <w:t>לקרית</w:t>
      </w:r>
      <w:proofErr w:type="spellEnd"/>
      <w:r>
        <w:rPr>
          <w:rFonts w:hint="cs"/>
          <w:rtl/>
        </w:rPr>
        <w:t xml:space="preserve"> שמונה הוא 63 ק"מ, קצת פחות משעת נסיעה, זמן המאפשר נסיעה יומית לעבודה. </w:t>
      </w:r>
      <w:r w:rsidRPr="0052299C">
        <w:rPr>
          <w:rtl/>
        </w:rPr>
        <w:t xml:space="preserve">חשבון </w:t>
      </w:r>
      <w:r>
        <w:rPr>
          <w:rFonts w:hint="cs"/>
          <w:rtl/>
        </w:rPr>
        <w:t>ה</w:t>
      </w:r>
      <w:r w:rsidRPr="0052299C">
        <w:rPr>
          <w:rtl/>
        </w:rPr>
        <w:t xml:space="preserve">בנק </w:t>
      </w:r>
      <w:r>
        <w:rPr>
          <w:rFonts w:hint="cs"/>
          <w:rtl/>
        </w:rPr>
        <w:t xml:space="preserve">של </w:t>
      </w:r>
      <w:proofErr w:type="spellStart"/>
      <w:r>
        <w:rPr>
          <w:rFonts w:hint="cs"/>
          <w:rtl/>
        </w:rPr>
        <w:t>חסארמה</w:t>
      </w:r>
      <w:proofErr w:type="spellEnd"/>
      <w:r>
        <w:rPr>
          <w:rFonts w:hint="cs"/>
          <w:rtl/>
        </w:rPr>
        <w:t xml:space="preserve"> התנהל </w:t>
      </w:r>
      <w:r w:rsidRPr="0052299C">
        <w:rPr>
          <w:rtl/>
        </w:rPr>
        <w:t>בסניף שנמצא בסמוך לכפר</w:t>
      </w:r>
      <w:r>
        <w:rPr>
          <w:rFonts w:hint="cs"/>
          <w:rtl/>
        </w:rPr>
        <w:t xml:space="preserve"> ובתקופה הרלוונטית </w:t>
      </w:r>
      <w:r w:rsidRPr="0052299C">
        <w:rPr>
          <w:rtl/>
        </w:rPr>
        <w:t xml:space="preserve">הוא </w:t>
      </w:r>
      <w:r>
        <w:rPr>
          <w:rFonts w:hint="cs"/>
          <w:rtl/>
        </w:rPr>
        <w:t xml:space="preserve">היה </w:t>
      </w:r>
      <w:r w:rsidRPr="0052299C">
        <w:rPr>
          <w:rtl/>
        </w:rPr>
        <w:t xml:space="preserve">חבר קופת חולים כללית בסניף </w:t>
      </w:r>
      <w:proofErr w:type="spellStart"/>
      <w:r w:rsidRPr="0052299C">
        <w:rPr>
          <w:rtl/>
        </w:rPr>
        <w:t>בענה</w:t>
      </w:r>
      <w:proofErr w:type="spellEnd"/>
      <w:r>
        <w:rPr>
          <w:rFonts w:hint="cs"/>
          <w:rtl/>
        </w:rPr>
        <w:t xml:space="preserve">. </w:t>
      </w:r>
    </w:p>
    <w:p w:rsidR="00851A01" w:rsidRDefault="00851A01" w:rsidP="00851A01">
      <w:pPr>
        <w:pStyle w:val="Ruller41"/>
        <w:contextualSpacing/>
        <w:rPr>
          <w:rtl/>
        </w:rPr>
      </w:pPr>
    </w:p>
    <w:p w:rsidR="00851A01" w:rsidRDefault="00851A01" w:rsidP="00851A01">
      <w:pPr>
        <w:pStyle w:val="Ruller41"/>
        <w:contextualSpacing/>
        <w:rPr>
          <w:rtl/>
        </w:rPr>
      </w:pPr>
      <w:r>
        <w:rPr>
          <w:rtl/>
        </w:rPr>
        <w:lastRenderedPageBreak/>
        <w:tab/>
      </w:r>
      <w:r>
        <w:rPr>
          <w:rFonts w:hint="cs"/>
          <w:rtl/>
        </w:rPr>
        <w:t xml:space="preserve">על פי חוזי השכירות שצירף, </w:t>
      </w:r>
      <w:proofErr w:type="spellStart"/>
      <w:r>
        <w:rPr>
          <w:rFonts w:hint="cs"/>
          <w:rtl/>
        </w:rPr>
        <w:t>חסארמה</w:t>
      </w:r>
      <w:proofErr w:type="spellEnd"/>
      <w:r>
        <w:rPr>
          <w:rFonts w:hint="cs"/>
          <w:rtl/>
        </w:rPr>
        <w:t xml:space="preserve"> התגורר במהלך השנים ש</w:t>
      </w:r>
      <w:r>
        <w:rPr>
          <w:rtl/>
        </w:rPr>
        <w:t xml:space="preserve">שיחק בקבוצת הכדורגל עירוני </w:t>
      </w:r>
      <w:proofErr w:type="spellStart"/>
      <w:r>
        <w:rPr>
          <w:rtl/>
        </w:rPr>
        <w:t>קרי</w:t>
      </w:r>
      <w:r w:rsidRPr="0052299C">
        <w:rPr>
          <w:rtl/>
        </w:rPr>
        <w:t>ת</w:t>
      </w:r>
      <w:proofErr w:type="spellEnd"/>
      <w:r w:rsidRPr="0052299C">
        <w:rPr>
          <w:rtl/>
        </w:rPr>
        <w:t xml:space="preserve"> שמונה</w:t>
      </w:r>
      <w:r>
        <w:rPr>
          <w:rFonts w:hint="cs"/>
          <w:rtl/>
        </w:rPr>
        <w:t>,</w:t>
      </w:r>
      <w:r w:rsidRPr="0052299C">
        <w:rPr>
          <w:rtl/>
        </w:rPr>
        <w:t xml:space="preserve"> ב</w:t>
      </w:r>
      <w:r>
        <w:rPr>
          <w:rFonts w:hint="cs"/>
          <w:rtl/>
        </w:rPr>
        <w:t xml:space="preserve">יחידת דיור, במתחם שבו מספר יחידות דיור שבהן התגוררו </w:t>
      </w:r>
      <w:r w:rsidRPr="0052299C">
        <w:rPr>
          <w:rtl/>
        </w:rPr>
        <w:t>מספר שחקנים של הקבוצה</w:t>
      </w:r>
      <w:r>
        <w:rPr>
          <w:rFonts w:hint="cs"/>
          <w:rtl/>
        </w:rPr>
        <w:t xml:space="preserve">, כאשר כל יחידת דיור כוללת </w:t>
      </w:r>
      <w:r>
        <w:rPr>
          <w:rFonts w:ascii="David" w:hAnsi="David"/>
          <w:rtl/>
        </w:rPr>
        <w:t>חדר עם מטבחון ו</w:t>
      </w:r>
      <w:r>
        <w:rPr>
          <w:rFonts w:ascii="David" w:hAnsi="David" w:hint="cs"/>
          <w:rtl/>
        </w:rPr>
        <w:t>מקלחת.</w:t>
      </w:r>
      <w:r>
        <w:rPr>
          <w:rFonts w:hint="cs"/>
          <w:rtl/>
        </w:rPr>
        <w:t xml:space="preserve"> </w:t>
      </w:r>
      <w:proofErr w:type="spellStart"/>
      <w:r>
        <w:rPr>
          <w:rFonts w:hint="cs"/>
          <w:rtl/>
        </w:rPr>
        <w:t>חסארמה</w:t>
      </w:r>
      <w:proofErr w:type="spellEnd"/>
      <w:r>
        <w:rPr>
          <w:rFonts w:hint="cs"/>
          <w:rtl/>
        </w:rPr>
        <w:t xml:space="preserve"> לא חתום על חלק מהסכמי השכירות, לא שילם את </w:t>
      </w:r>
      <w:r w:rsidRPr="0052299C">
        <w:rPr>
          <w:rtl/>
        </w:rPr>
        <w:t xml:space="preserve">חשבונות </w:t>
      </w:r>
      <w:r>
        <w:rPr>
          <w:rFonts w:hint="cs"/>
          <w:rtl/>
        </w:rPr>
        <w:t>ה</w:t>
      </w:r>
      <w:r w:rsidRPr="0052299C">
        <w:rPr>
          <w:rtl/>
        </w:rPr>
        <w:t xml:space="preserve">חשמל, </w:t>
      </w:r>
      <w:r>
        <w:rPr>
          <w:rFonts w:hint="cs"/>
          <w:rtl/>
        </w:rPr>
        <w:t>ה</w:t>
      </w:r>
      <w:r w:rsidRPr="0052299C">
        <w:rPr>
          <w:rtl/>
        </w:rPr>
        <w:t>מים,</w:t>
      </w:r>
      <w:r>
        <w:rPr>
          <w:rFonts w:hint="cs"/>
          <w:rtl/>
        </w:rPr>
        <w:t xml:space="preserve"> הגז, ארנונה וכבלים </w:t>
      </w:r>
      <w:r w:rsidRPr="0052299C">
        <w:rPr>
          <w:rtl/>
        </w:rPr>
        <w:t>ל</w:t>
      </w:r>
      <w:r>
        <w:rPr>
          <w:rFonts w:hint="cs"/>
          <w:rtl/>
        </w:rPr>
        <w:t>יחידת הדיור ש</w:t>
      </w:r>
      <w:r w:rsidRPr="0052299C">
        <w:rPr>
          <w:rtl/>
        </w:rPr>
        <w:t>ב</w:t>
      </w:r>
      <w:r>
        <w:rPr>
          <w:rFonts w:hint="cs"/>
          <w:rtl/>
        </w:rPr>
        <w:t xml:space="preserve">ה התגורר, ואלה שולמו על ידי הקבוצה. בית משפט קמא ציין בפסק דינו כי </w:t>
      </w:r>
      <w:proofErr w:type="spellStart"/>
      <w:r>
        <w:rPr>
          <w:rFonts w:hint="cs"/>
          <w:rtl/>
        </w:rPr>
        <w:t>חסארמה</w:t>
      </w:r>
      <w:proofErr w:type="spellEnd"/>
      <w:r>
        <w:rPr>
          <w:rFonts w:hint="cs"/>
          <w:rtl/>
        </w:rPr>
        <w:t xml:space="preserve"> נמנע מלהציג </w:t>
      </w:r>
      <w:r w:rsidRPr="009A565B">
        <w:rPr>
          <w:rFonts w:ascii="Century" w:hAnsi="Century"/>
          <w:rtl/>
        </w:rPr>
        <w:t xml:space="preserve">חשבונות </w:t>
      </w:r>
      <w:r w:rsidRPr="009A565B">
        <w:rPr>
          <w:rtl/>
        </w:rPr>
        <w:t xml:space="preserve">חשמל ומים מהם ניתן </w:t>
      </w:r>
      <w:r>
        <w:rPr>
          <w:rFonts w:hint="cs"/>
          <w:rtl/>
        </w:rPr>
        <w:t xml:space="preserve">היה </w:t>
      </w:r>
      <w:r w:rsidRPr="009A565B">
        <w:rPr>
          <w:rtl/>
        </w:rPr>
        <w:t>ללמוד על היקף השימוש שנעשה בדירה במועדים הרלוונטיים</w:t>
      </w:r>
      <w:r>
        <w:rPr>
          <w:rFonts w:hint="cs"/>
          <w:rtl/>
        </w:rPr>
        <w:t>, על</w:t>
      </w:r>
      <w:r w:rsidRPr="009A565B">
        <w:rPr>
          <w:rtl/>
        </w:rPr>
        <w:t xml:space="preserve"> אף שהיה בידו להשיגם</w:t>
      </w:r>
      <w:r>
        <w:rPr>
          <w:rFonts w:hint="cs"/>
          <w:rtl/>
        </w:rPr>
        <w:t xml:space="preserve">. </w:t>
      </w:r>
      <w:proofErr w:type="spellStart"/>
      <w:r>
        <w:rPr>
          <w:rFonts w:hint="cs"/>
          <w:rtl/>
        </w:rPr>
        <w:t>חסארמה</w:t>
      </w:r>
      <w:proofErr w:type="spellEnd"/>
      <w:r>
        <w:rPr>
          <w:rFonts w:hint="cs"/>
          <w:rtl/>
        </w:rPr>
        <w:t xml:space="preserve"> אף לא הציג פירוט של כרטיסי אשראי מהם ניתן היה ללמוד על קניות שערך בקרית שמונה בתקופה הרלוונטית, ובית משפט קמא ציין כי הוא "</w:t>
      </w:r>
      <w:r>
        <w:rPr>
          <w:rFonts w:ascii="David" w:hAnsi="David"/>
          <w:rtl/>
        </w:rPr>
        <w:t>נמנע באופן שיטתי מצירוף מסמכים</w:t>
      </w:r>
      <w:r>
        <w:rPr>
          <w:rFonts w:ascii="David" w:hAnsi="David" w:hint="cs"/>
          <w:rtl/>
        </w:rPr>
        <w:t>"</w:t>
      </w:r>
      <w:r>
        <w:rPr>
          <w:rFonts w:hint="cs"/>
          <w:rtl/>
        </w:rPr>
        <w:t>.</w:t>
      </w:r>
      <w:r w:rsidRPr="009A565B">
        <w:rPr>
          <w:rtl/>
        </w:rPr>
        <w:t xml:space="preserve"> </w:t>
      </w:r>
    </w:p>
    <w:p w:rsidR="00851A01" w:rsidRDefault="00851A01" w:rsidP="00851A01">
      <w:pPr>
        <w:pStyle w:val="Ruller41"/>
        <w:contextualSpacing/>
        <w:rPr>
          <w:rtl/>
        </w:rPr>
      </w:pPr>
    </w:p>
    <w:p w:rsidR="00851A01" w:rsidRDefault="00851A01" w:rsidP="00851A01">
      <w:pPr>
        <w:pStyle w:val="Ruller41"/>
        <w:contextualSpacing/>
        <w:rPr>
          <w:rtl/>
        </w:rPr>
      </w:pPr>
      <w:r>
        <w:rPr>
          <w:rtl/>
        </w:rPr>
        <w:tab/>
      </w:r>
      <w:r>
        <w:rPr>
          <w:rFonts w:hint="cs"/>
          <w:rtl/>
        </w:rPr>
        <w:t xml:space="preserve">בתקופת הפגרה, בסופי שבוע, בחופשות, בסיום העונה וביום החופשי שהיה לשחקנים מדי שבוע, </w:t>
      </w:r>
      <w:proofErr w:type="spellStart"/>
      <w:r>
        <w:rPr>
          <w:rFonts w:hint="cs"/>
          <w:rtl/>
        </w:rPr>
        <w:t>חסארמה</w:t>
      </w:r>
      <w:proofErr w:type="spellEnd"/>
      <w:r>
        <w:rPr>
          <w:rFonts w:hint="cs"/>
          <w:rtl/>
        </w:rPr>
        <w:t xml:space="preserve"> שהה </w:t>
      </w:r>
      <w:proofErr w:type="spellStart"/>
      <w:r>
        <w:rPr>
          <w:rFonts w:hint="cs"/>
          <w:rtl/>
        </w:rPr>
        <w:t>בבענה</w:t>
      </w:r>
      <w:proofErr w:type="spellEnd"/>
      <w:r>
        <w:rPr>
          <w:rFonts w:hint="cs"/>
          <w:rtl/>
        </w:rPr>
        <w:t xml:space="preserve">. </w:t>
      </w:r>
    </w:p>
    <w:p w:rsidR="00851A01" w:rsidRDefault="00851A01" w:rsidP="00851A01">
      <w:pPr>
        <w:pStyle w:val="Ruller41"/>
        <w:contextualSpacing/>
        <w:rPr>
          <w:rtl/>
        </w:rPr>
      </w:pPr>
    </w:p>
    <w:p w:rsidR="00851A01" w:rsidRDefault="00851A01" w:rsidP="00851A01">
      <w:pPr>
        <w:pStyle w:val="Ruller41"/>
        <w:contextualSpacing/>
        <w:rPr>
          <w:rtl/>
        </w:rPr>
      </w:pPr>
      <w:r>
        <w:rPr>
          <w:rtl/>
        </w:rPr>
        <w:tab/>
      </w:r>
      <w:r>
        <w:rPr>
          <w:rFonts w:hint="cs"/>
          <w:rtl/>
        </w:rPr>
        <w:t xml:space="preserve">[במאמר מוסגר </w:t>
      </w:r>
      <w:r>
        <w:rPr>
          <w:rtl/>
        </w:rPr>
        <w:t>–</w:t>
      </w:r>
      <w:r>
        <w:rPr>
          <w:rFonts w:hint="cs"/>
          <w:rtl/>
        </w:rPr>
        <w:t xml:space="preserve"> בית משפט קמא לא הכריע במחלוקת שנפלה בין הצדדים באשר לאורך הפגרה בתום העונה, אם מדובר בחודש או חודשיים או שלושה חודשים. משכך, אותיר </w:t>
      </w:r>
      <w:proofErr w:type="spellStart"/>
      <w:r>
        <w:rPr>
          <w:rFonts w:hint="cs"/>
          <w:rtl/>
        </w:rPr>
        <w:t>בצריך</w:t>
      </w:r>
      <w:proofErr w:type="spellEnd"/>
      <w:r>
        <w:rPr>
          <w:rFonts w:hint="cs"/>
          <w:rtl/>
        </w:rPr>
        <w:t xml:space="preserve"> עיון את טענת המשיב לפיה הימצאות קבועה ביישוב אחר במהלך מלוא הפגרה, אינה מתיישבת עם הוראת סעיף 11(ב)(3) לפקודה ולפיה השהייה צריכה להיות לאורך כל שנת המס]. </w:t>
      </w:r>
    </w:p>
    <w:p w:rsidR="00851A01" w:rsidRDefault="00851A01" w:rsidP="00851A01">
      <w:pPr>
        <w:pStyle w:val="Ruller41"/>
        <w:contextualSpacing/>
        <w:rPr>
          <w:rtl/>
        </w:rPr>
      </w:pPr>
    </w:p>
    <w:p w:rsidR="00851A01" w:rsidRDefault="00851A01" w:rsidP="00851A01">
      <w:pPr>
        <w:pStyle w:val="Ruller41"/>
        <w:contextualSpacing/>
        <w:rPr>
          <w:rtl/>
        </w:rPr>
      </w:pPr>
      <w:r>
        <w:rPr>
          <w:rtl/>
        </w:rPr>
        <w:tab/>
      </w:r>
      <w:proofErr w:type="spellStart"/>
      <w:r>
        <w:rPr>
          <w:rFonts w:hint="cs"/>
          <w:rtl/>
        </w:rPr>
        <w:t>חסארמה</w:t>
      </w:r>
      <w:proofErr w:type="spellEnd"/>
      <w:r>
        <w:rPr>
          <w:rFonts w:hint="cs"/>
          <w:rtl/>
        </w:rPr>
        <w:t xml:space="preserve"> הציג </w:t>
      </w:r>
      <w:r w:rsidRPr="0052299C">
        <w:rPr>
          <w:rtl/>
        </w:rPr>
        <w:t xml:space="preserve">אישור תושבות מעיריית </w:t>
      </w:r>
      <w:proofErr w:type="spellStart"/>
      <w:r w:rsidRPr="0052299C">
        <w:rPr>
          <w:rtl/>
        </w:rPr>
        <w:t>קרית</w:t>
      </w:r>
      <w:proofErr w:type="spellEnd"/>
      <w:r w:rsidRPr="0052299C">
        <w:rPr>
          <w:rtl/>
        </w:rPr>
        <w:t xml:space="preserve"> שמונה</w:t>
      </w:r>
      <w:r>
        <w:rPr>
          <w:rFonts w:hint="cs"/>
          <w:rtl/>
        </w:rPr>
        <w:t>, שהוצא רטרואקטיבית בשנת 2017, אך אישר כי ה</w:t>
      </w:r>
      <w:r w:rsidRPr="00F02012">
        <w:rPr>
          <w:rtl/>
        </w:rPr>
        <w:t>חתימה באישור התושבות במקום בו רשום הצהרת המבקש אינה חתימתו</w:t>
      </w:r>
      <w:r>
        <w:rPr>
          <w:rFonts w:hint="cs"/>
          <w:rtl/>
        </w:rPr>
        <w:t xml:space="preserve">, וכי האמור באישור, כביכול </w:t>
      </w:r>
      <w:r w:rsidRPr="00F02012">
        <w:rPr>
          <w:rtl/>
        </w:rPr>
        <w:t xml:space="preserve">בני משפחתו מדרגה ראשונה מתגוררים </w:t>
      </w:r>
      <w:proofErr w:type="spellStart"/>
      <w:r w:rsidRPr="00F02012">
        <w:rPr>
          <w:rtl/>
        </w:rPr>
        <w:t>איתו</w:t>
      </w:r>
      <w:proofErr w:type="spellEnd"/>
      <w:r>
        <w:rPr>
          <w:rFonts w:hint="cs"/>
          <w:rtl/>
        </w:rPr>
        <w:t>, אינו נכון, מאחר שא</w:t>
      </w:r>
      <w:r w:rsidRPr="00F02012">
        <w:rPr>
          <w:rtl/>
        </w:rPr>
        <w:t xml:space="preserve">רבעת ילדיו </w:t>
      </w:r>
      <w:r>
        <w:rPr>
          <w:rFonts w:hint="cs"/>
          <w:rtl/>
        </w:rPr>
        <w:t xml:space="preserve">ואשתו התגוררו כל התקופה </w:t>
      </w:r>
      <w:proofErr w:type="spellStart"/>
      <w:r w:rsidRPr="00F02012">
        <w:rPr>
          <w:rtl/>
        </w:rPr>
        <w:t>בבענה</w:t>
      </w:r>
      <w:proofErr w:type="spellEnd"/>
      <w:r>
        <w:rPr>
          <w:rFonts w:hint="cs"/>
          <w:rtl/>
        </w:rPr>
        <w:t xml:space="preserve">. </w:t>
      </w:r>
    </w:p>
    <w:p w:rsidR="00851A01" w:rsidRDefault="00851A01" w:rsidP="00851A01">
      <w:pPr>
        <w:pStyle w:val="Ruller41"/>
        <w:contextualSpacing/>
        <w:rPr>
          <w:rtl/>
        </w:rPr>
      </w:pPr>
    </w:p>
    <w:p w:rsidR="00851A01" w:rsidRDefault="00851A01" w:rsidP="00851A01">
      <w:pPr>
        <w:pStyle w:val="Ruller41"/>
        <w:contextualSpacing/>
        <w:rPr>
          <w:rtl/>
        </w:rPr>
      </w:pPr>
      <w:r>
        <w:rPr>
          <w:rtl/>
        </w:rPr>
        <w:tab/>
      </w:r>
      <w:proofErr w:type="spellStart"/>
      <w:r>
        <w:rPr>
          <w:rFonts w:hint="cs"/>
          <w:rtl/>
        </w:rPr>
        <w:t>חסארמה</w:t>
      </w:r>
      <w:proofErr w:type="spellEnd"/>
      <w:r>
        <w:rPr>
          <w:rFonts w:hint="cs"/>
          <w:rtl/>
        </w:rPr>
        <w:t xml:space="preserve"> ייסד עמותה שמטרותיה היא לטובת ילדי הכפר </w:t>
      </w:r>
      <w:proofErr w:type="spellStart"/>
      <w:r>
        <w:rPr>
          <w:rFonts w:hint="cs"/>
          <w:rtl/>
        </w:rPr>
        <w:t>בענה</w:t>
      </w:r>
      <w:proofErr w:type="spellEnd"/>
      <w:r>
        <w:rPr>
          <w:rFonts w:hint="cs"/>
          <w:rtl/>
        </w:rPr>
        <w:t>, וכפי שציין בית משפט קמא:</w:t>
      </w:r>
    </w:p>
    <w:p w:rsidR="00851A01" w:rsidRDefault="00851A01" w:rsidP="00851A01">
      <w:pPr>
        <w:pStyle w:val="Ruller5"/>
        <w:contextualSpacing/>
        <w:rPr>
          <w:rtl/>
        </w:rPr>
      </w:pPr>
    </w:p>
    <w:p w:rsidR="00851A01" w:rsidRDefault="00851A01" w:rsidP="00851A01">
      <w:pPr>
        <w:pStyle w:val="Ruller5"/>
        <w:contextualSpacing/>
        <w:rPr>
          <w:rtl/>
        </w:rPr>
      </w:pPr>
      <w:r>
        <w:rPr>
          <w:rFonts w:hint="cs"/>
          <w:rtl/>
        </w:rPr>
        <w:t>"</w:t>
      </w:r>
      <w:r>
        <w:rPr>
          <w:rtl/>
        </w:rPr>
        <w:t xml:space="preserve">ברי, כי הקמת עמותה בכפר </w:t>
      </w:r>
      <w:proofErr w:type="spellStart"/>
      <w:r>
        <w:rPr>
          <w:rtl/>
        </w:rPr>
        <w:t>בענה</w:t>
      </w:r>
      <w:proofErr w:type="spellEnd"/>
      <w:r>
        <w:rPr>
          <w:rtl/>
        </w:rPr>
        <w:t xml:space="preserve">, בשנים בהן שיחק בקריית שמונה, מלמדת על הקשר החזק שנותר לו עם כפר </w:t>
      </w:r>
      <w:proofErr w:type="spellStart"/>
      <w:r>
        <w:rPr>
          <w:rtl/>
        </w:rPr>
        <w:t>בענה</w:t>
      </w:r>
      <w:proofErr w:type="spellEnd"/>
      <w:r>
        <w:rPr>
          <w:rtl/>
        </w:rPr>
        <w:t xml:space="preserve"> באותה עת והדבר תומך בזיקתו ליישוב האמור, בו התגוררו אשתו וילדיו וגם משפחתו המורחבת. מעורבות חברתית כאמור בכפר </w:t>
      </w:r>
      <w:proofErr w:type="spellStart"/>
      <w:r>
        <w:rPr>
          <w:rtl/>
        </w:rPr>
        <w:t>בענה</w:t>
      </w:r>
      <w:proofErr w:type="spellEnd"/>
      <w:r>
        <w:rPr>
          <w:rtl/>
        </w:rPr>
        <w:t xml:space="preserve"> מהותית בעת בחינת מירב זיקותיו של המערער</w:t>
      </w:r>
      <w:r>
        <w:rPr>
          <w:rFonts w:hint="cs"/>
          <w:rtl/>
        </w:rPr>
        <w:t>"</w:t>
      </w:r>
      <w:r>
        <w:rPr>
          <w:rtl/>
        </w:rPr>
        <w:t>.</w:t>
      </w:r>
    </w:p>
    <w:p w:rsidR="00851A01" w:rsidRDefault="00851A01" w:rsidP="00851A01">
      <w:pPr>
        <w:pStyle w:val="Ruller5"/>
        <w:contextualSpacing/>
        <w:rPr>
          <w:rtl/>
        </w:rPr>
      </w:pPr>
    </w:p>
    <w:p w:rsidR="00851A01" w:rsidRDefault="00851A01" w:rsidP="00851A01">
      <w:pPr>
        <w:pStyle w:val="Ruller5"/>
        <w:contextualSpacing/>
        <w:rPr>
          <w:rFonts w:asciiTheme="minorHAnsi" w:hAnsiTheme="minorHAnsi" w:cs="David"/>
          <w:spacing w:val="0"/>
          <w:szCs w:val="24"/>
        </w:rPr>
      </w:pPr>
      <w:r>
        <w:rPr>
          <w:rtl/>
        </w:rPr>
        <w:t xml:space="preserve"> </w:t>
      </w:r>
    </w:p>
    <w:p w:rsidR="00851A01" w:rsidRDefault="00851A01" w:rsidP="00851A01">
      <w:pPr>
        <w:pStyle w:val="Ruller41"/>
        <w:contextualSpacing/>
        <w:rPr>
          <w:rtl/>
        </w:rPr>
      </w:pPr>
      <w:r>
        <w:rPr>
          <w:rFonts w:hint="cs"/>
          <w:rtl/>
        </w:rPr>
        <w:lastRenderedPageBreak/>
        <w:t>11.</w:t>
      </w:r>
      <w:r>
        <w:rPr>
          <w:rFonts w:hint="cs"/>
          <w:rtl/>
        </w:rPr>
        <w:tab/>
        <w:t xml:space="preserve">בניגוד לנטען על ידי </w:t>
      </w:r>
      <w:proofErr w:type="spellStart"/>
      <w:r>
        <w:rPr>
          <w:rFonts w:hint="cs"/>
          <w:rtl/>
        </w:rPr>
        <w:t>חסארמה</w:t>
      </w:r>
      <w:proofErr w:type="spellEnd"/>
      <w:r>
        <w:rPr>
          <w:rFonts w:hint="cs"/>
          <w:rtl/>
        </w:rPr>
        <w:t xml:space="preserve"> והקבוצה, אין בהסכם ההעסקה שלו </w:t>
      </w:r>
      <w:r w:rsidRPr="00DE4593">
        <w:rPr>
          <w:rtl/>
        </w:rPr>
        <w:t xml:space="preserve">התחייבות </w:t>
      </w:r>
      <w:r w:rsidRPr="00DE4593">
        <w:rPr>
          <w:rFonts w:ascii="Century" w:hAnsi="Century"/>
          <w:rtl/>
        </w:rPr>
        <w:t>להתגורר בקרית שמונה ולא נקבע</w:t>
      </w:r>
      <w:r>
        <w:rPr>
          <w:rFonts w:ascii="Century" w:hAnsi="Century" w:hint="cs"/>
          <w:rtl/>
        </w:rPr>
        <w:t xml:space="preserve"> בהסכם </w:t>
      </w:r>
      <w:r w:rsidRPr="00DE4593">
        <w:rPr>
          <w:rFonts w:ascii="Century" w:hAnsi="Century"/>
          <w:rtl/>
        </w:rPr>
        <w:t xml:space="preserve">כי </w:t>
      </w:r>
      <w:r>
        <w:rPr>
          <w:rFonts w:ascii="Century" w:hAnsi="Century" w:hint="cs"/>
          <w:rtl/>
        </w:rPr>
        <w:t xml:space="preserve">הפרת התחייבות זו תהווה </w:t>
      </w:r>
      <w:r w:rsidRPr="00DE4593">
        <w:rPr>
          <w:rFonts w:ascii="Century" w:hAnsi="Century"/>
          <w:rtl/>
        </w:rPr>
        <w:t xml:space="preserve">עבירת משמעת. </w:t>
      </w:r>
    </w:p>
    <w:p w:rsidR="00851A01" w:rsidRDefault="00851A01" w:rsidP="00851A01">
      <w:pPr>
        <w:pStyle w:val="Ruller41"/>
        <w:contextualSpacing/>
        <w:rPr>
          <w:rtl/>
        </w:rPr>
      </w:pPr>
    </w:p>
    <w:p w:rsidR="00851A01" w:rsidRDefault="00851A01" w:rsidP="00851A01">
      <w:pPr>
        <w:pStyle w:val="Ruller41"/>
        <w:contextualSpacing/>
        <w:rPr>
          <w:rtl/>
        </w:rPr>
      </w:pPr>
      <w:r>
        <w:rPr>
          <w:rtl/>
        </w:rPr>
        <w:tab/>
      </w:r>
      <w:r>
        <w:rPr>
          <w:rFonts w:hint="cs"/>
          <w:rtl/>
        </w:rPr>
        <w:t xml:space="preserve">הקבוצה טענה כי אורח החיים של כדורגלן מקצועי, חייב את </w:t>
      </w:r>
      <w:proofErr w:type="spellStart"/>
      <w:r>
        <w:rPr>
          <w:rFonts w:hint="cs"/>
          <w:rtl/>
        </w:rPr>
        <w:t>חסארמה</w:t>
      </w:r>
      <w:proofErr w:type="spellEnd"/>
      <w:r>
        <w:rPr>
          <w:rFonts w:hint="cs"/>
          <w:rtl/>
        </w:rPr>
        <w:t xml:space="preserve"> לשהות מבוקר עד ערב בקרית שמונה, כך שלא נסע במהלך השבוע לביתו </w:t>
      </w:r>
      <w:proofErr w:type="spellStart"/>
      <w:r>
        <w:rPr>
          <w:rFonts w:hint="cs"/>
          <w:rtl/>
        </w:rPr>
        <w:t>בבענה</w:t>
      </w:r>
      <w:proofErr w:type="spellEnd"/>
      <w:r>
        <w:rPr>
          <w:rFonts w:hint="cs"/>
          <w:rtl/>
        </w:rPr>
        <w:t xml:space="preserve">. טענה זו מוקשית בעיני, בהינתן שאשתו וילדיו של </w:t>
      </w:r>
      <w:proofErr w:type="spellStart"/>
      <w:r>
        <w:rPr>
          <w:rFonts w:hint="cs"/>
          <w:rtl/>
        </w:rPr>
        <w:t>חסארמה</w:t>
      </w:r>
      <w:proofErr w:type="spellEnd"/>
      <w:r>
        <w:rPr>
          <w:rFonts w:hint="cs"/>
          <w:rtl/>
        </w:rPr>
        <w:t xml:space="preserve"> נותרו בכפר </w:t>
      </w:r>
      <w:proofErr w:type="spellStart"/>
      <w:r>
        <w:rPr>
          <w:rFonts w:hint="cs"/>
          <w:rtl/>
        </w:rPr>
        <w:t>בענה</w:t>
      </w:r>
      <w:proofErr w:type="spellEnd"/>
      <w:r>
        <w:rPr>
          <w:rFonts w:hint="cs"/>
          <w:rtl/>
        </w:rPr>
        <w:t xml:space="preserve"> ובהינתן המרחק הקצר יחסית בין </w:t>
      </w:r>
      <w:proofErr w:type="spellStart"/>
      <w:r>
        <w:rPr>
          <w:rFonts w:hint="cs"/>
          <w:rtl/>
        </w:rPr>
        <w:t>בענה</w:t>
      </w:r>
      <w:proofErr w:type="spellEnd"/>
      <w:r>
        <w:rPr>
          <w:rFonts w:hint="cs"/>
          <w:rtl/>
        </w:rPr>
        <w:t xml:space="preserve"> </w:t>
      </w:r>
      <w:proofErr w:type="spellStart"/>
      <w:r>
        <w:rPr>
          <w:rFonts w:hint="cs"/>
          <w:rtl/>
        </w:rPr>
        <w:t>לקרית</w:t>
      </w:r>
      <w:proofErr w:type="spellEnd"/>
      <w:r>
        <w:rPr>
          <w:rFonts w:hint="cs"/>
          <w:rtl/>
        </w:rPr>
        <w:t xml:space="preserve"> שמונה. עמד על כך בית משפט קמא בפסק דינו בציינו:</w:t>
      </w:r>
    </w:p>
    <w:p w:rsidR="00851A01" w:rsidRDefault="00851A01" w:rsidP="00851A01">
      <w:pPr>
        <w:pStyle w:val="Ruller41"/>
        <w:contextualSpacing/>
        <w:rPr>
          <w:rtl/>
        </w:rPr>
      </w:pPr>
    </w:p>
    <w:p w:rsidR="00851A01" w:rsidRDefault="00851A01" w:rsidP="00851A01">
      <w:pPr>
        <w:pStyle w:val="Ruller5"/>
        <w:contextualSpacing/>
        <w:rPr>
          <w:rtl/>
        </w:rPr>
      </w:pPr>
      <w:r>
        <w:rPr>
          <w:rFonts w:hint="cs"/>
          <w:rtl/>
        </w:rPr>
        <w:t>"</w:t>
      </w:r>
      <w:r>
        <w:rPr>
          <w:rtl/>
        </w:rPr>
        <w:t>הטענה לפיה המערער נדרש למנוחה לצורך ביצוע עבודתו והעובדה שסופקה לו דירה בקריית שמונה לצורך זה לא די בהן כדי ללמד בכמה מימי השבוע נותר ללון בקרית שמונה ובוודאי שאין בכך כדי ללמד בהכרח, כי הוא תושב העיר וזהו מרכז חייו לצורך סעיף 11 לפקודה</w:t>
      </w:r>
      <w:r>
        <w:rPr>
          <w:rFonts w:hint="cs"/>
          <w:rtl/>
        </w:rPr>
        <w:t>.</w:t>
      </w:r>
    </w:p>
    <w:p w:rsidR="00851A01" w:rsidRDefault="00851A01" w:rsidP="00851A01">
      <w:pPr>
        <w:pStyle w:val="Ruller5"/>
        <w:contextualSpacing/>
        <w:rPr>
          <w:rtl/>
        </w:rPr>
      </w:pPr>
    </w:p>
    <w:p w:rsidR="00851A01" w:rsidRDefault="00851A01" w:rsidP="00851A01">
      <w:pPr>
        <w:pStyle w:val="Ruller5"/>
        <w:contextualSpacing/>
        <w:rPr>
          <w:rtl/>
        </w:rPr>
      </w:pPr>
      <w:r>
        <w:rPr>
          <w:rFonts w:hint="cs"/>
          <w:rtl/>
        </w:rPr>
        <w:t xml:space="preserve">[...] </w:t>
      </w:r>
      <w:r>
        <w:rPr>
          <w:rtl/>
        </w:rPr>
        <w:t>בידי הקבוצה לדרוש את קביעת מקום מגוריו של השחקן אך אין בידה לדרוש את קביעת מרכז חייו, כאשר נתון זה נקבע על פי מכלול של נתונים שונים שאינם רלוונטיים לעבודתו בקבוצה</w:t>
      </w:r>
      <w:r>
        <w:rPr>
          <w:rFonts w:hint="cs"/>
          <w:rtl/>
        </w:rPr>
        <w:t>"</w:t>
      </w:r>
      <w:r>
        <w:rPr>
          <w:rtl/>
        </w:rPr>
        <w:t xml:space="preserve">. </w:t>
      </w:r>
    </w:p>
    <w:p w:rsidR="00851A01" w:rsidRDefault="00851A01" w:rsidP="00851A01">
      <w:pPr>
        <w:pStyle w:val="Ruller5"/>
        <w:contextualSpacing/>
        <w:rPr>
          <w:rtl/>
        </w:rPr>
      </w:pPr>
    </w:p>
    <w:p w:rsidR="00851A01" w:rsidRDefault="00851A01" w:rsidP="00851A01">
      <w:pPr>
        <w:pStyle w:val="Ruller41"/>
        <w:contextualSpacing/>
        <w:rPr>
          <w:rtl/>
        </w:rPr>
      </w:pPr>
    </w:p>
    <w:p w:rsidR="00851A01" w:rsidRDefault="00851A01" w:rsidP="00851A01">
      <w:pPr>
        <w:pStyle w:val="Ruller41"/>
        <w:contextualSpacing/>
        <w:rPr>
          <w:rtl/>
        </w:rPr>
      </w:pPr>
      <w:r>
        <w:rPr>
          <w:rtl/>
        </w:rPr>
        <w:tab/>
      </w:r>
      <w:r>
        <w:rPr>
          <w:rFonts w:hint="cs"/>
          <w:rtl/>
        </w:rPr>
        <w:t xml:space="preserve">מגוריו של </w:t>
      </w:r>
      <w:proofErr w:type="spellStart"/>
      <w:r>
        <w:rPr>
          <w:rFonts w:hint="cs"/>
          <w:rtl/>
        </w:rPr>
        <w:t>חסארמה</w:t>
      </w:r>
      <w:proofErr w:type="spellEnd"/>
      <w:r>
        <w:rPr>
          <w:rFonts w:hint="cs"/>
          <w:rtl/>
        </w:rPr>
        <w:t xml:space="preserve"> בדירה בקרית שמונה, מבלי שנדרש לעסוק כלל בכל הקשור בשכירת יחידת הדיור, אך מעידים על הארעיות של שהותו בקרית שמונה. המדובר בשהות לצרכי עבודה גרידא, לא שהות שיש לראות בה העתקה של מרכז חייו </w:t>
      </w:r>
      <w:proofErr w:type="spellStart"/>
      <w:r>
        <w:rPr>
          <w:rFonts w:hint="cs"/>
          <w:rtl/>
        </w:rPr>
        <w:t>לקרית</w:t>
      </w:r>
      <w:proofErr w:type="spellEnd"/>
      <w:r>
        <w:rPr>
          <w:rFonts w:hint="cs"/>
          <w:rtl/>
        </w:rPr>
        <w:t xml:space="preserve"> שמונה, תוך הותרת משפחתו הגרעינית מאחור. דומה כי גם מבחינה סובייקטיבית, </w:t>
      </w:r>
      <w:proofErr w:type="spellStart"/>
      <w:r>
        <w:rPr>
          <w:rFonts w:hint="cs"/>
          <w:rtl/>
        </w:rPr>
        <w:t>חסארמה</w:t>
      </w:r>
      <w:proofErr w:type="spellEnd"/>
      <w:r>
        <w:rPr>
          <w:rFonts w:hint="cs"/>
          <w:rtl/>
        </w:rPr>
        <w:t xml:space="preserve"> ראה את </w:t>
      </w:r>
      <w:proofErr w:type="spellStart"/>
      <w:r>
        <w:rPr>
          <w:rFonts w:hint="cs"/>
          <w:rtl/>
        </w:rPr>
        <w:t>בענה</w:t>
      </w:r>
      <w:proofErr w:type="spellEnd"/>
      <w:r>
        <w:rPr>
          <w:rFonts w:hint="cs"/>
          <w:rtl/>
        </w:rPr>
        <w:t xml:space="preserve"> כמרכז חייו, שם התגוררה משפחתו המורחבת והגרעינית, ושם בילה בכל יום חופשי ובכל פגרה בסיום העונה. כל אלה מעידים כי שורשיו ומירב זיקותיו נותרו </w:t>
      </w:r>
      <w:proofErr w:type="spellStart"/>
      <w:r>
        <w:rPr>
          <w:rFonts w:hint="cs"/>
          <w:rtl/>
        </w:rPr>
        <w:t>בבענה</w:t>
      </w:r>
      <w:proofErr w:type="spellEnd"/>
      <w:r>
        <w:rPr>
          <w:rFonts w:hint="cs"/>
          <w:rtl/>
        </w:rPr>
        <w:t xml:space="preserve">, ושהותו בקרית שמונה הייתה אך ורק לצרכי עבודתו.  </w:t>
      </w:r>
    </w:p>
    <w:p w:rsidR="00851A01" w:rsidRDefault="00851A01" w:rsidP="00851A01">
      <w:pPr>
        <w:pStyle w:val="Ruller41"/>
        <w:contextualSpacing/>
        <w:rPr>
          <w:rtl/>
        </w:rPr>
      </w:pPr>
    </w:p>
    <w:p w:rsidR="00851A01" w:rsidRDefault="00851A01" w:rsidP="00851A01">
      <w:pPr>
        <w:pStyle w:val="Ruller41"/>
        <w:contextualSpacing/>
        <w:rPr>
          <w:rtl/>
        </w:rPr>
      </w:pPr>
      <w:r>
        <w:rPr>
          <w:rtl/>
        </w:rPr>
        <w:tab/>
      </w:r>
      <w:r>
        <w:rPr>
          <w:rFonts w:hint="cs"/>
          <w:rtl/>
        </w:rPr>
        <w:t xml:space="preserve">התמונה המצטיירת היא שמכלול קשריו המשפחתיים והחברתיים של </w:t>
      </w:r>
      <w:proofErr w:type="spellStart"/>
      <w:r>
        <w:rPr>
          <w:rFonts w:hint="cs"/>
          <w:rtl/>
        </w:rPr>
        <w:t>חסארמה</w:t>
      </w:r>
      <w:proofErr w:type="spellEnd"/>
      <w:r>
        <w:rPr>
          <w:rFonts w:hint="cs"/>
          <w:rtl/>
        </w:rPr>
        <w:t xml:space="preserve"> היו ונותרו בכפר </w:t>
      </w:r>
      <w:proofErr w:type="spellStart"/>
      <w:r>
        <w:rPr>
          <w:rFonts w:hint="cs"/>
          <w:rtl/>
        </w:rPr>
        <w:t>בענה</w:t>
      </w:r>
      <w:proofErr w:type="spellEnd"/>
      <w:r>
        <w:rPr>
          <w:rFonts w:hint="cs"/>
          <w:rtl/>
        </w:rPr>
        <w:t xml:space="preserve">, ושם מרכז חייו. לאור האמור לעיל, לאור התשתית העובדתית הדלה שהניח </w:t>
      </w:r>
      <w:proofErr w:type="spellStart"/>
      <w:r>
        <w:rPr>
          <w:rFonts w:hint="cs"/>
          <w:rtl/>
        </w:rPr>
        <w:t>חסארמה</w:t>
      </w:r>
      <w:proofErr w:type="spellEnd"/>
      <w:r>
        <w:rPr>
          <w:rFonts w:hint="cs"/>
          <w:rtl/>
        </w:rPr>
        <w:t xml:space="preserve"> בפני בית המשפט, אני סבור כי הוא לא עמד כלל בנטל להוכיח כי בתקופה שבה שיחק בקבוצה העתיק את מרכז חייו </w:t>
      </w:r>
      <w:proofErr w:type="spellStart"/>
      <w:r>
        <w:rPr>
          <w:rFonts w:hint="cs"/>
          <w:rtl/>
        </w:rPr>
        <w:t>לקרית</w:t>
      </w:r>
      <w:proofErr w:type="spellEnd"/>
      <w:r>
        <w:rPr>
          <w:rFonts w:hint="cs"/>
          <w:rtl/>
        </w:rPr>
        <w:t xml:space="preserve"> שמונה. לו דעתי תישמע, אזי יש לדחות את ערעורו של </w:t>
      </w:r>
      <w:proofErr w:type="spellStart"/>
      <w:r>
        <w:rPr>
          <w:rFonts w:hint="cs"/>
          <w:rtl/>
        </w:rPr>
        <w:t>חסארמה</w:t>
      </w:r>
      <w:proofErr w:type="spellEnd"/>
      <w:r>
        <w:rPr>
          <w:rFonts w:hint="cs"/>
          <w:rtl/>
        </w:rPr>
        <w:t xml:space="preserve">. </w:t>
      </w:r>
    </w:p>
    <w:p w:rsidR="00851A01" w:rsidRDefault="00851A01" w:rsidP="00851A01">
      <w:pPr>
        <w:pStyle w:val="Ruller41"/>
        <w:contextualSpacing/>
        <w:rPr>
          <w:rtl/>
        </w:rPr>
      </w:pPr>
      <w:r>
        <w:rPr>
          <w:rtl/>
        </w:rPr>
        <w:tab/>
      </w:r>
      <w:r>
        <w:rPr>
          <w:rFonts w:hint="cs"/>
          <w:rtl/>
        </w:rPr>
        <w:t xml:space="preserve"> </w:t>
      </w:r>
    </w:p>
    <w:p w:rsidR="00851A01" w:rsidRPr="00217A32" w:rsidRDefault="00851A01" w:rsidP="00851A01">
      <w:pPr>
        <w:pStyle w:val="Ruller41"/>
        <w:contextualSpacing/>
        <w:rPr>
          <w:rFonts w:ascii="Century" w:hAnsi="Century" w:cs="Miriam"/>
          <w:b/>
          <w:spacing w:val="0"/>
          <w:szCs w:val="24"/>
          <w:rtl/>
        </w:rPr>
      </w:pPr>
      <w:r w:rsidRPr="00217A32">
        <w:rPr>
          <w:rFonts w:ascii="Century" w:hAnsi="Century" w:cs="Miriam" w:hint="cs"/>
          <w:b/>
          <w:spacing w:val="0"/>
          <w:szCs w:val="24"/>
          <w:rtl/>
        </w:rPr>
        <w:t xml:space="preserve">ערעורו של </w:t>
      </w:r>
      <w:proofErr w:type="spellStart"/>
      <w:r w:rsidRPr="00217A32">
        <w:rPr>
          <w:rFonts w:ascii="Century" w:hAnsi="Century" w:cs="Miriam" w:hint="cs"/>
          <w:b/>
          <w:spacing w:val="0"/>
          <w:szCs w:val="24"/>
          <w:rtl/>
        </w:rPr>
        <w:t>עאבד</w:t>
      </w:r>
      <w:proofErr w:type="spellEnd"/>
      <w:r w:rsidRPr="00217A32">
        <w:rPr>
          <w:rFonts w:ascii="Century" w:hAnsi="Century" w:cs="Miriam" w:hint="cs"/>
          <w:b/>
          <w:spacing w:val="0"/>
          <w:szCs w:val="24"/>
          <w:rtl/>
        </w:rPr>
        <w:t xml:space="preserve"> (ע"א 7730/21)</w:t>
      </w:r>
    </w:p>
    <w:p w:rsidR="00851A01" w:rsidRDefault="00851A01" w:rsidP="00851A01">
      <w:pPr>
        <w:pStyle w:val="Ruller41"/>
        <w:contextualSpacing/>
        <w:rPr>
          <w:rtl/>
        </w:rPr>
      </w:pPr>
    </w:p>
    <w:p w:rsidR="00851A01" w:rsidRDefault="00851A01" w:rsidP="00851A01">
      <w:pPr>
        <w:pStyle w:val="Ruller41"/>
        <w:contextualSpacing/>
        <w:rPr>
          <w:rtl/>
        </w:rPr>
      </w:pPr>
      <w:r>
        <w:rPr>
          <w:rFonts w:hint="cs"/>
          <w:rtl/>
        </w:rPr>
        <w:t>12.</w:t>
      </w:r>
      <w:r>
        <w:rPr>
          <w:rFonts w:hint="cs"/>
          <w:rtl/>
        </w:rPr>
        <w:tab/>
      </w:r>
      <w:proofErr w:type="spellStart"/>
      <w:r>
        <w:rPr>
          <w:rFonts w:hint="cs"/>
          <w:rtl/>
        </w:rPr>
        <w:t>עאבד</w:t>
      </w:r>
      <w:proofErr w:type="spellEnd"/>
      <w:r>
        <w:rPr>
          <w:rFonts w:hint="cs"/>
          <w:rtl/>
        </w:rPr>
        <w:t xml:space="preserve"> שיחק </w:t>
      </w:r>
      <w:r>
        <w:rPr>
          <w:rtl/>
        </w:rPr>
        <w:t xml:space="preserve">בקבוצת הכדורגל עירוני </w:t>
      </w:r>
      <w:proofErr w:type="spellStart"/>
      <w:r>
        <w:rPr>
          <w:rtl/>
        </w:rPr>
        <w:t>קרי</w:t>
      </w:r>
      <w:r w:rsidRPr="0052299C">
        <w:rPr>
          <w:rtl/>
        </w:rPr>
        <w:t>ת</w:t>
      </w:r>
      <w:proofErr w:type="spellEnd"/>
      <w:r w:rsidRPr="0052299C">
        <w:rPr>
          <w:rtl/>
        </w:rPr>
        <w:t xml:space="preserve"> שמונה</w:t>
      </w:r>
      <w:r>
        <w:rPr>
          <w:rFonts w:hint="cs"/>
          <w:rtl/>
        </w:rPr>
        <w:t xml:space="preserve"> משך שבע שנים, וערעורו מתמקד בשנות המס 2013-2011.</w:t>
      </w:r>
    </w:p>
    <w:p w:rsidR="00851A01" w:rsidRDefault="00851A01" w:rsidP="00851A01">
      <w:pPr>
        <w:pStyle w:val="Ruller41"/>
        <w:contextualSpacing/>
        <w:rPr>
          <w:rtl/>
        </w:rPr>
      </w:pPr>
    </w:p>
    <w:p w:rsidR="00851A01" w:rsidRDefault="00851A01" w:rsidP="00851A01">
      <w:pPr>
        <w:pStyle w:val="Ruller41"/>
        <w:contextualSpacing/>
        <w:rPr>
          <w:rFonts w:ascii="Century" w:hAnsi="Century"/>
          <w:rtl/>
        </w:rPr>
      </w:pPr>
      <w:r>
        <w:rPr>
          <w:rtl/>
        </w:rPr>
        <w:tab/>
      </w:r>
      <w:proofErr w:type="spellStart"/>
      <w:r>
        <w:rPr>
          <w:rFonts w:hint="cs"/>
          <w:rtl/>
        </w:rPr>
        <w:t>עאבד</w:t>
      </w:r>
      <w:proofErr w:type="spellEnd"/>
      <w:r>
        <w:rPr>
          <w:rFonts w:hint="cs"/>
          <w:rtl/>
        </w:rPr>
        <w:t xml:space="preserve"> </w:t>
      </w:r>
      <w:r>
        <w:rPr>
          <w:rtl/>
        </w:rPr>
        <w:t>נולד וגדל בנצרת</w:t>
      </w:r>
      <w:r>
        <w:rPr>
          <w:rFonts w:hint="cs"/>
          <w:rtl/>
        </w:rPr>
        <w:t xml:space="preserve"> ו</w:t>
      </w:r>
      <w:r>
        <w:rPr>
          <w:rtl/>
        </w:rPr>
        <w:t xml:space="preserve">משפחתו גרה שם עד היום. </w:t>
      </w:r>
      <w:r>
        <w:rPr>
          <w:rFonts w:hint="cs"/>
          <w:rtl/>
        </w:rPr>
        <w:t xml:space="preserve">המרחק בין נצרת </w:t>
      </w:r>
      <w:proofErr w:type="spellStart"/>
      <w:r>
        <w:rPr>
          <w:rFonts w:hint="cs"/>
          <w:rtl/>
        </w:rPr>
        <w:t>לקרית</w:t>
      </w:r>
      <w:proofErr w:type="spellEnd"/>
      <w:r>
        <w:rPr>
          <w:rFonts w:hint="cs"/>
          <w:rtl/>
        </w:rPr>
        <w:t xml:space="preserve"> שמונה הוא כ-80 ק"מ, וזמן הנסיעה עומד על כשעה ורבע. </w:t>
      </w:r>
      <w:r>
        <w:rPr>
          <w:rtl/>
        </w:rPr>
        <w:t>בשנ</w:t>
      </w:r>
      <w:r>
        <w:rPr>
          <w:rFonts w:hint="cs"/>
          <w:rtl/>
        </w:rPr>
        <w:t xml:space="preserve">ת המס 2013 </w:t>
      </w:r>
      <w:proofErr w:type="spellStart"/>
      <w:r>
        <w:rPr>
          <w:rFonts w:hint="cs"/>
          <w:rtl/>
        </w:rPr>
        <w:t>עאבד</w:t>
      </w:r>
      <w:proofErr w:type="spellEnd"/>
      <w:r>
        <w:rPr>
          <w:rFonts w:hint="cs"/>
          <w:rtl/>
        </w:rPr>
        <w:t xml:space="preserve"> התארס ו</w:t>
      </w:r>
      <w:r>
        <w:rPr>
          <w:rtl/>
        </w:rPr>
        <w:t>נישא בשנת 2014 לתושבת נצרת</w:t>
      </w:r>
      <w:r w:rsidRPr="0022572A">
        <w:rPr>
          <w:rFonts w:ascii="Century" w:hAnsi="Century"/>
          <w:rtl/>
        </w:rPr>
        <w:t>.</w:t>
      </w:r>
      <w:r>
        <w:rPr>
          <w:rFonts w:ascii="Century" w:hAnsi="Century" w:hint="cs"/>
          <w:rtl/>
        </w:rPr>
        <w:t xml:space="preserve"> כמו </w:t>
      </w:r>
      <w:proofErr w:type="spellStart"/>
      <w:r>
        <w:rPr>
          <w:rFonts w:ascii="Century" w:hAnsi="Century" w:hint="cs"/>
          <w:rtl/>
        </w:rPr>
        <w:t>חסארמה</w:t>
      </w:r>
      <w:proofErr w:type="spellEnd"/>
      <w:r>
        <w:rPr>
          <w:rFonts w:ascii="Century" w:hAnsi="Century" w:hint="cs"/>
          <w:rtl/>
        </w:rPr>
        <w:t xml:space="preserve">, </w:t>
      </w:r>
      <w:proofErr w:type="spellStart"/>
      <w:r>
        <w:rPr>
          <w:rFonts w:ascii="Century" w:hAnsi="Century" w:hint="cs"/>
          <w:rtl/>
        </w:rPr>
        <w:t>עאבד</w:t>
      </w:r>
      <w:proofErr w:type="spellEnd"/>
      <w:r>
        <w:rPr>
          <w:rFonts w:ascii="Century" w:hAnsi="Century" w:hint="cs"/>
          <w:rtl/>
        </w:rPr>
        <w:t xml:space="preserve"> לא התחייב בהסכם להתגורר בקרית שמונה ולא נקבע כי אם לא יעשה כן הדבר יהווה </w:t>
      </w:r>
      <w:r>
        <w:rPr>
          <w:rFonts w:ascii="David" w:hAnsi="David"/>
          <w:rtl/>
        </w:rPr>
        <w:t>עבירת משמעת</w:t>
      </w:r>
      <w:r>
        <w:rPr>
          <w:rFonts w:ascii="David" w:hAnsi="David" w:hint="cs"/>
          <w:rtl/>
        </w:rPr>
        <w:t xml:space="preserve">. </w:t>
      </w:r>
      <w:proofErr w:type="spellStart"/>
      <w:r>
        <w:rPr>
          <w:rFonts w:ascii="David" w:hAnsi="David" w:hint="cs"/>
          <w:rtl/>
        </w:rPr>
        <w:t>עאבד</w:t>
      </w:r>
      <w:proofErr w:type="spellEnd"/>
      <w:r>
        <w:rPr>
          <w:rFonts w:ascii="David" w:hAnsi="David" w:hint="cs"/>
          <w:rtl/>
        </w:rPr>
        <w:t xml:space="preserve"> </w:t>
      </w:r>
      <w:r>
        <w:rPr>
          <w:rFonts w:hint="cs"/>
          <w:rtl/>
        </w:rPr>
        <w:t>היה חבר ב</w:t>
      </w:r>
      <w:r>
        <w:rPr>
          <w:rtl/>
        </w:rPr>
        <w:t>סניף קופת חולים בנצרת</w:t>
      </w:r>
      <w:r>
        <w:rPr>
          <w:rFonts w:hint="cs"/>
          <w:rtl/>
        </w:rPr>
        <w:t xml:space="preserve">; סניף הבנק שלו נותר בנצרת; אף הוא </w:t>
      </w:r>
      <w:r w:rsidRPr="0022572A">
        <w:rPr>
          <w:rFonts w:ascii="Century" w:hAnsi="Century"/>
          <w:rtl/>
        </w:rPr>
        <w:t>לא הציג חשבונות חשמל, מים וגז ל</w:t>
      </w:r>
      <w:r>
        <w:rPr>
          <w:rFonts w:ascii="Century" w:hAnsi="Century" w:hint="cs"/>
          <w:rtl/>
        </w:rPr>
        <w:t xml:space="preserve">יחידת הדיור </w:t>
      </w:r>
      <w:r w:rsidRPr="0022572A">
        <w:rPr>
          <w:rFonts w:ascii="Century" w:hAnsi="Century"/>
          <w:rtl/>
        </w:rPr>
        <w:t>בקרית שמונה</w:t>
      </w:r>
      <w:r>
        <w:rPr>
          <w:rFonts w:ascii="Century" w:hAnsi="Century" w:hint="cs"/>
          <w:rtl/>
        </w:rPr>
        <w:t xml:space="preserve"> ולא הציג כל ראיה בכתב שיש בה כדי להעיד על כך שערך קניות בקרית שמונה או כל ראיה שיש בה כדי להעיד על היקף שהותו בקרית שמונה, ובית המשפט ציין גם לגביו כי "</w:t>
      </w:r>
      <w:r>
        <w:rPr>
          <w:rFonts w:ascii="David" w:hAnsi="David"/>
          <w:rtl/>
        </w:rPr>
        <w:t>נמנע באופן שיטתי מצירוף מסמכים</w:t>
      </w:r>
      <w:r>
        <w:rPr>
          <w:rFonts w:ascii="Century" w:hAnsi="Century" w:hint="cs"/>
          <w:rtl/>
        </w:rPr>
        <w:t xml:space="preserve">". כמו </w:t>
      </w:r>
      <w:proofErr w:type="spellStart"/>
      <w:r>
        <w:rPr>
          <w:rFonts w:ascii="Century" w:hAnsi="Century" w:hint="cs"/>
          <w:rtl/>
        </w:rPr>
        <w:t>חסארמה</w:t>
      </w:r>
      <w:proofErr w:type="spellEnd"/>
      <w:r>
        <w:rPr>
          <w:rFonts w:ascii="Century" w:hAnsi="Century" w:hint="cs"/>
          <w:rtl/>
        </w:rPr>
        <w:t xml:space="preserve">, גם </w:t>
      </w:r>
      <w:proofErr w:type="spellStart"/>
      <w:r>
        <w:rPr>
          <w:rFonts w:ascii="Century" w:hAnsi="Century" w:hint="cs"/>
          <w:rtl/>
        </w:rPr>
        <w:t>עאבד</w:t>
      </w:r>
      <w:proofErr w:type="spellEnd"/>
      <w:r>
        <w:rPr>
          <w:rFonts w:ascii="Century" w:hAnsi="Century" w:hint="cs"/>
          <w:rtl/>
        </w:rPr>
        <w:t xml:space="preserve"> שהה </w:t>
      </w:r>
      <w:r w:rsidRPr="0022572A">
        <w:rPr>
          <w:rFonts w:ascii="Century" w:hAnsi="Century"/>
          <w:rtl/>
        </w:rPr>
        <w:t>ב</w:t>
      </w:r>
      <w:r>
        <w:rPr>
          <w:rFonts w:ascii="Century" w:hAnsi="Century" w:hint="cs"/>
          <w:rtl/>
        </w:rPr>
        <w:t>ימי החופשה ובתקופת הפגרה בנצרת, כך שכל אימת ש</w:t>
      </w:r>
      <w:r w:rsidRPr="00D45E59">
        <w:rPr>
          <w:rFonts w:ascii="Century" w:hAnsi="Century"/>
          <w:rtl/>
        </w:rPr>
        <w:t xml:space="preserve">לא נדרש לשהות בקרית שמונה לצורך עבודתו </w:t>
      </w:r>
      <w:r>
        <w:rPr>
          <w:rFonts w:ascii="Century" w:hAnsi="Century" w:hint="cs"/>
          <w:rtl/>
        </w:rPr>
        <w:t xml:space="preserve">בקבוצת הכדורגל, </w:t>
      </w:r>
      <w:r w:rsidRPr="00D45E59">
        <w:rPr>
          <w:rFonts w:ascii="Century" w:hAnsi="Century"/>
          <w:rtl/>
        </w:rPr>
        <w:t xml:space="preserve">הוא בחר לנסוע לנצרת, </w:t>
      </w:r>
      <w:r>
        <w:rPr>
          <w:rFonts w:ascii="Century" w:hAnsi="Century" w:hint="cs"/>
          <w:rtl/>
        </w:rPr>
        <w:t xml:space="preserve">אל ארוסתו, משפחתו </w:t>
      </w:r>
      <w:r w:rsidRPr="00D45E59">
        <w:rPr>
          <w:rFonts w:ascii="Century" w:hAnsi="Century"/>
          <w:rtl/>
        </w:rPr>
        <w:t>וחבריו</w:t>
      </w:r>
      <w:r w:rsidRPr="00D45E59">
        <w:rPr>
          <w:rFonts w:ascii="Century" w:hAnsi="Century"/>
          <w:b/>
          <w:bCs/>
          <w:rtl/>
        </w:rPr>
        <w:t>.</w:t>
      </w:r>
      <w:r>
        <w:rPr>
          <w:rFonts w:ascii="Century" w:hAnsi="Century" w:hint="cs"/>
          <w:rtl/>
        </w:rPr>
        <w:t xml:space="preserve"> </w:t>
      </w:r>
      <w:proofErr w:type="spellStart"/>
      <w:r>
        <w:rPr>
          <w:rFonts w:ascii="Century" w:hAnsi="Century" w:hint="cs"/>
          <w:rtl/>
        </w:rPr>
        <w:t>עאבד</w:t>
      </w:r>
      <w:proofErr w:type="spellEnd"/>
      <w:r>
        <w:rPr>
          <w:rFonts w:ascii="Century" w:hAnsi="Century" w:hint="cs"/>
          <w:rtl/>
        </w:rPr>
        <w:t xml:space="preserve"> עצמו אישר בתצהירו כי </w:t>
      </w:r>
      <w:r w:rsidRPr="0053537E">
        <w:rPr>
          <w:rFonts w:ascii="Century" w:hAnsi="Century"/>
          <w:rtl/>
        </w:rPr>
        <w:t>נסע הרבה לנצרת לבקר את ארוסתו ו</w:t>
      </w:r>
      <w:r>
        <w:rPr>
          <w:rFonts w:ascii="Century" w:hAnsi="Century" w:hint="cs"/>
          <w:rtl/>
        </w:rPr>
        <w:t xml:space="preserve">את </w:t>
      </w:r>
      <w:r w:rsidRPr="0053537E">
        <w:rPr>
          <w:rFonts w:ascii="Century" w:hAnsi="Century"/>
          <w:rtl/>
        </w:rPr>
        <w:t>בני משפחתה</w:t>
      </w:r>
      <w:r>
        <w:rPr>
          <w:rFonts w:ascii="Century" w:hAnsi="Century" w:hint="cs"/>
          <w:rtl/>
        </w:rPr>
        <w:t xml:space="preserve">, וכי </w:t>
      </w:r>
      <w:r w:rsidRPr="0053537E">
        <w:rPr>
          <w:rFonts w:ascii="Century" w:hAnsi="Century"/>
          <w:rtl/>
        </w:rPr>
        <w:t>לעיתים נותר ללון בבית הוריו</w:t>
      </w:r>
      <w:r>
        <w:rPr>
          <w:rFonts w:ascii="Century" w:hAnsi="Century" w:hint="cs"/>
          <w:rtl/>
        </w:rPr>
        <w:t xml:space="preserve">, גם מאחר </w:t>
      </w:r>
      <w:r w:rsidRPr="0053537E">
        <w:rPr>
          <w:rFonts w:ascii="Century" w:hAnsi="Century"/>
          <w:rtl/>
        </w:rPr>
        <w:t>שהחל בבניית ביתו בנצרת</w:t>
      </w:r>
      <w:r>
        <w:rPr>
          <w:rFonts w:ascii="Century" w:hAnsi="Century" w:hint="cs"/>
          <w:rtl/>
        </w:rPr>
        <w:t xml:space="preserve">. כמו </w:t>
      </w:r>
      <w:proofErr w:type="spellStart"/>
      <w:r>
        <w:rPr>
          <w:rFonts w:ascii="Century" w:hAnsi="Century" w:hint="cs"/>
          <w:rtl/>
        </w:rPr>
        <w:t>חסארמה</w:t>
      </w:r>
      <w:proofErr w:type="spellEnd"/>
      <w:r>
        <w:rPr>
          <w:rFonts w:ascii="Century" w:hAnsi="Century" w:hint="cs"/>
          <w:rtl/>
        </w:rPr>
        <w:t xml:space="preserve">, גם </w:t>
      </w:r>
      <w:proofErr w:type="spellStart"/>
      <w:r>
        <w:rPr>
          <w:rFonts w:ascii="Century" w:hAnsi="Century" w:hint="cs"/>
          <w:rtl/>
        </w:rPr>
        <w:t>עאבד</w:t>
      </w:r>
      <w:proofErr w:type="spellEnd"/>
      <w:r>
        <w:rPr>
          <w:rFonts w:ascii="Century" w:hAnsi="Century" w:hint="cs"/>
          <w:rtl/>
        </w:rPr>
        <w:t xml:space="preserve"> הציג אישורי תושבות שהוצאו בדיעבד ובית משפט קמא ציין כי הם מעוררים תמיהות לגבי מהימנותם.</w:t>
      </w:r>
    </w:p>
    <w:p w:rsidR="00851A01" w:rsidRDefault="00851A01" w:rsidP="00851A01">
      <w:pPr>
        <w:pStyle w:val="Ruller41"/>
        <w:contextualSpacing/>
        <w:rPr>
          <w:rFonts w:ascii="Century" w:hAnsi="Century"/>
          <w:rtl/>
        </w:rPr>
      </w:pPr>
    </w:p>
    <w:p w:rsidR="00851A01" w:rsidRDefault="00851A01" w:rsidP="00851A01">
      <w:pPr>
        <w:pStyle w:val="Ruller41"/>
        <w:contextualSpacing/>
        <w:rPr>
          <w:rFonts w:ascii="Century" w:hAnsi="Century"/>
          <w:rtl/>
        </w:rPr>
      </w:pPr>
      <w:r>
        <w:rPr>
          <w:rFonts w:ascii="Century" w:hAnsi="Century" w:hint="cs"/>
          <w:rtl/>
        </w:rPr>
        <w:t>13.</w:t>
      </w:r>
      <w:r>
        <w:rPr>
          <w:rFonts w:ascii="Century" w:hAnsi="Century" w:hint="cs"/>
          <w:rtl/>
        </w:rPr>
        <w:tab/>
        <w:t xml:space="preserve">לטעמי, יש בכל אלה כדי להעיד שמרכז חייו של </w:t>
      </w:r>
      <w:proofErr w:type="spellStart"/>
      <w:r>
        <w:rPr>
          <w:rFonts w:ascii="Century" w:hAnsi="Century" w:hint="cs"/>
          <w:rtl/>
        </w:rPr>
        <w:t>חסארמה</w:t>
      </w:r>
      <w:proofErr w:type="spellEnd"/>
      <w:r>
        <w:rPr>
          <w:rFonts w:ascii="Century" w:hAnsi="Century" w:hint="cs"/>
          <w:rtl/>
        </w:rPr>
        <w:t xml:space="preserve"> נותר בנצרת </w:t>
      </w:r>
      <w:r>
        <w:rPr>
          <w:rFonts w:ascii="Century" w:hAnsi="Century"/>
          <w:rtl/>
        </w:rPr>
        <w:t>–</w:t>
      </w:r>
      <w:r>
        <w:rPr>
          <w:rFonts w:ascii="Century" w:hAnsi="Century" w:hint="cs"/>
          <w:rtl/>
        </w:rPr>
        <w:t xml:space="preserve"> שם נולד, שם התבגר, שם נמצאת משפחתו המורחבת, שם הקים משפחה, שם בנה את ביתו.</w:t>
      </w:r>
    </w:p>
    <w:p w:rsidR="00851A01" w:rsidRDefault="00851A01" w:rsidP="00851A01">
      <w:pPr>
        <w:pStyle w:val="Ruller41"/>
        <w:contextualSpacing/>
        <w:rPr>
          <w:rFonts w:ascii="Century" w:hAnsi="Century"/>
          <w:rtl/>
        </w:rPr>
      </w:pPr>
    </w:p>
    <w:p w:rsidR="00851A01" w:rsidRDefault="00851A01" w:rsidP="00851A01">
      <w:pPr>
        <w:pStyle w:val="Ruller41"/>
        <w:contextualSpacing/>
        <w:rPr>
          <w:rFonts w:ascii="Century" w:hAnsi="Century"/>
          <w:rtl/>
        </w:rPr>
      </w:pPr>
      <w:r>
        <w:rPr>
          <w:rFonts w:ascii="Century" w:hAnsi="Century"/>
          <w:rtl/>
        </w:rPr>
        <w:tab/>
      </w:r>
      <w:proofErr w:type="spellStart"/>
      <w:r>
        <w:rPr>
          <w:rFonts w:ascii="Century" w:hAnsi="Century" w:hint="cs"/>
          <w:rtl/>
        </w:rPr>
        <w:t>למיצער</w:t>
      </w:r>
      <w:proofErr w:type="spellEnd"/>
      <w:r>
        <w:rPr>
          <w:rFonts w:ascii="Century" w:hAnsi="Century" w:hint="cs"/>
          <w:rtl/>
        </w:rPr>
        <w:t xml:space="preserve">, ובהנחה המקלה ביותר עם </w:t>
      </w:r>
      <w:proofErr w:type="spellStart"/>
      <w:r>
        <w:rPr>
          <w:rFonts w:ascii="Century" w:hAnsi="Century" w:hint="cs"/>
          <w:rtl/>
        </w:rPr>
        <w:t>עאבד</w:t>
      </w:r>
      <w:proofErr w:type="spellEnd"/>
      <w:r>
        <w:rPr>
          <w:rFonts w:ascii="Century" w:hAnsi="Century" w:hint="cs"/>
          <w:rtl/>
        </w:rPr>
        <w:t>, ניתן להגיע למסקנה אליה הגיע בית משפט קמא ולפיה "</w:t>
      </w:r>
      <w:r>
        <w:rPr>
          <w:rtl/>
        </w:rPr>
        <w:t xml:space="preserve">מרכז חייו הוא במקום בו מתגוררת משפחתו ושם מירב הזיקות שלו </w:t>
      </w:r>
      <w:r w:rsidRPr="00776427">
        <w:rPr>
          <w:rFonts w:ascii="Century" w:hAnsi="Century" w:cs="Miriam"/>
          <w:b/>
          <w:spacing w:val="0"/>
          <w:szCs w:val="24"/>
          <w:rtl/>
        </w:rPr>
        <w:t>או לכל הפחות, כי מדובר במרכז חיים כפול</w:t>
      </w:r>
      <w:r>
        <w:rPr>
          <w:rFonts w:hint="cs"/>
          <w:rtl/>
        </w:rPr>
        <w:t xml:space="preserve">". אך גם בהנחה כי </w:t>
      </w:r>
      <w:proofErr w:type="spellStart"/>
      <w:r>
        <w:rPr>
          <w:rFonts w:hint="cs"/>
          <w:rtl/>
        </w:rPr>
        <w:t>לעאבד</w:t>
      </w:r>
      <w:proofErr w:type="spellEnd"/>
      <w:r>
        <w:rPr>
          <w:rFonts w:hint="cs"/>
          <w:rtl/>
        </w:rPr>
        <w:t xml:space="preserve"> היה מרכז חיים כפול בשנים הרלוונטיות, הרי שאין בכך כדי לזכות אותו </w:t>
      </w:r>
      <w:r>
        <w:rPr>
          <w:rtl/>
        </w:rPr>
        <w:t>בהטבת מ</w:t>
      </w:r>
      <w:r>
        <w:rPr>
          <w:rFonts w:hint="cs"/>
          <w:rtl/>
        </w:rPr>
        <w:t xml:space="preserve">ס של </w:t>
      </w:r>
      <w:r>
        <w:rPr>
          <w:rtl/>
        </w:rPr>
        <w:t xml:space="preserve">יישוב </w:t>
      </w:r>
      <w:r>
        <w:rPr>
          <w:rFonts w:hint="cs"/>
          <w:rtl/>
        </w:rPr>
        <w:t xml:space="preserve">מוטב. על הנישום להראות כי מרכז חייו </w:t>
      </w:r>
      <w:r w:rsidRPr="00776427">
        <w:rPr>
          <w:rFonts w:ascii="Century" w:hAnsi="Century" w:cs="Miriam" w:hint="cs"/>
          <w:b/>
          <w:spacing w:val="0"/>
          <w:szCs w:val="24"/>
          <w:rtl/>
        </w:rPr>
        <w:t>היחיד</w:t>
      </w:r>
      <w:r>
        <w:rPr>
          <w:rFonts w:hint="cs"/>
          <w:rtl/>
        </w:rPr>
        <w:t xml:space="preserve"> הוא ביישוב המוטב. מקום שבו הנישום </w:t>
      </w:r>
      <w:r w:rsidRPr="00D45E59">
        <w:rPr>
          <w:rtl/>
        </w:rPr>
        <w:t xml:space="preserve">מנהל </w:t>
      </w:r>
      <w:r>
        <w:rPr>
          <w:rFonts w:hint="cs"/>
          <w:rtl/>
        </w:rPr>
        <w:t>במקביל "חיים כפולים" ב</w:t>
      </w:r>
      <w:r w:rsidRPr="00D45E59">
        <w:rPr>
          <w:rtl/>
        </w:rPr>
        <w:t>שני מרכזי חיים</w:t>
      </w:r>
      <w:r>
        <w:rPr>
          <w:rFonts w:hint="cs"/>
          <w:rtl/>
        </w:rPr>
        <w:t xml:space="preserve"> ויש לו אפשרות </w:t>
      </w:r>
      <w:r w:rsidRPr="00D45E59">
        <w:rPr>
          <w:rtl/>
        </w:rPr>
        <w:t>לעזוב את היישוב ה</w:t>
      </w:r>
      <w:r>
        <w:rPr>
          <w:rFonts w:hint="cs"/>
          <w:rtl/>
        </w:rPr>
        <w:t xml:space="preserve">מוטב ולעבור </w:t>
      </w:r>
      <w:r w:rsidRPr="00D45E59">
        <w:rPr>
          <w:rtl/>
        </w:rPr>
        <w:t>לישוב השני</w:t>
      </w:r>
      <w:r>
        <w:rPr>
          <w:rFonts w:hint="cs"/>
          <w:rtl/>
        </w:rPr>
        <w:t xml:space="preserve">, אין לראותו כמי שמגשים את התכלית </w:t>
      </w:r>
      <w:r w:rsidRPr="00D45E59">
        <w:rPr>
          <w:rtl/>
        </w:rPr>
        <w:t xml:space="preserve">שבבסיס </w:t>
      </w:r>
      <w:r>
        <w:rPr>
          <w:rFonts w:hint="cs"/>
          <w:rtl/>
        </w:rPr>
        <w:t xml:space="preserve">הטבת המס. כך נקבע בפסיקה </w:t>
      </w:r>
      <w:proofErr w:type="spellStart"/>
      <w:r>
        <w:rPr>
          <w:rFonts w:hint="cs"/>
          <w:rtl/>
        </w:rPr>
        <w:t>ועאבד</w:t>
      </w:r>
      <w:proofErr w:type="spellEnd"/>
      <w:r>
        <w:rPr>
          <w:rFonts w:hint="cs"/>
          <w:rtl/>
        </w:rPr>
        <w:t xml:space="preserve"> אף לא חלק על כך בערעורו (וראו עניין </w:t>
      </w:r>
      <w:r w:rsidRPr="00776427">
        <w:rPr>
          <w:rFonts w:ascii="Century" w:hAnsi="Century" w:cs="Miriam" w:hint="cs"/>
          <w:b/>
          <w:spacing w:val="0"/>
          <w:szCs w:val="24"/>
          <w:rtl/>
        </w:rPr>
        <w:t>צוקר-</w:t>
      </w:r>
      <w:proofErr w:type="spellStart"/>
      <w:r w:rsidRPr="00776427">
        <w:rPr>
          <w:rFonts w:ascii="Century" w:hAnsi="Century" w:cs="Miriam" w:hint="cs"/>
          <w:b/>
          <w:spacing w:val="0"/>
          <w:szCs w:val="24"/>
          <w:rtl/>
        </w:rPr>
        <w:t>לוגסי</w:t>
      </w:r>
      <w:proofErr w:type="spellEnd"/>
      <w:r>
        <w:rPr>
          <w:rFonts w:hint="cs"/>
          <w:rtl/>
        </w:rPr>
        <w:t xml:space="preserve">; עניין </w:t>
      </w:r>
      <w:proofErr w:type="spellStart"/>
      <w:r w:rsidRPr="00776427">
        <w:rPr>
          <w:rFonts w:ascii="Century" w:hAnsi="Century" w:cs="Miriam" w:hint="cs"/>
          <w:b/>
          <w:spacing w:val="0"/>
          <w:szCs w:val="24"/>
          <w:rtl/>
        </w:rPr>
        <w:t>נג</w:t>
      </w:r>
      <w:r>
        <w:rPr>
          <w:rFonts w:ascii="Century" w:hAnsi="Century" w:cs="Miriam" w:hint="cs"/>
          <w:b/>
          <w:spacing w:val="0"/>
          <w:szCs w:val="24"/>
          <w:rtl/>
        </w:rPr>
        <w:t>'</w:t>
      </w:r>
      <w:r w:rsidRPr="00776427">
        <w:rPr>
          <w:rFonts w:ascii="Century" w:hAnsi="Century" w:cs="Miriam" w:hint="cs"/>
          <w:b/>
          <w:spacing w:val="0"/>
          <w:szCs w:val="24"/>
          <w:rtl/>
        </w:rPr>
        <w:t>יב</w:t>
      </w:r>
      <w:proofErr w:type="spellEnd"/>
      <w:r>
        <w:rPr>
          <w:rFonts w:hint="cs"/>
          <w:rtl/>
        </w:rPr>
        <w:t xml:space="preserve">; עניין </w:t>
      </w:r>
      <w:proofErr w:type="spellStart"/>
      <w:r w:rsidRPr="00776427">
        <w:rPr>
          <w:rFonts w:ascii="Century" w:hAnsi="Century" w:cs="Miriam" w:hint="cs"/>
          <w:b/>
          <w:spacing w:val="0"/>
          <w:szCs w:val="24"/>
          <w:rtl/>
        </w:rPr>
        <w:t>דקוואר</w:t>
      </w:r>
      <w:proofErr w:type="spellEnd"/>
      <w:r>
        <w:rPr>
          <w:rFonts w:hint="cs"/>
          <w:rtl/>
        </w:rPr>
        <w:t xml:space="preserve">; </w:t>
      </w:r>
      <w:proofErr w:type="spellStart"/>
      <w:r w:rsidRPr="00D45E59">
        <w:rPr>
          <w:rtl/>
        </w:rPr>
        <w:t>עמ"ה</w:t>
      </w:r>
      <w:proofErr w:type="spellEnd"/>
      <w:r w:rsidRPr="00D45E59">
        <w:rPr>
          <w:rtl/>
        </w:rPr>
        <w:t xml:space="preserve"> (מחוזי חי</w:t>
      </w:r>
      <w:r>
        <w:rPr>
          <w:rFonts w:hint="cs"/>
          <w:rtl/>
        </w:rPr>
        <w:t>'</w:t>
      </w:r>
      <w:r w:rsidRPr="00D45E59">
        <w:rPr>
          <w:rtl/>
        </w:rPr>
        <w:t xml:space="preserve">) 858/06 </w:t>
      </w:r>
      <w:r w:rsidRPr="00776427">
        <w:rPr>
          <w:rFonts w:ascii="Century" w:hAnsi="Century" w:cs="Miriam"/>
          <w:b/>
          <w:spacing w:val="0"/>
          <w:szCs w:val="24"/>
          <w:rtl/>
        </w:rPr>
        <w:t>הרשקו נ' פקיד שומה עכו</w:t>
      </w:r>
      <w:r w:rsidRPr="00D45E59">
        <w:rPr>
          <w:rtl/>
        </w:rPr>
        <w:t>,</w:t>
      </w:r>
      <w:r>
        <w:rPr>
          <w:rFonts w:hint="cs"/>
          <w:rtl/>
        </w:rPr>
        <w:t xml:space="preserve"> פסקה 2</w:t>
      </w:r>
      <w:r w:rsidRPr="00D45E59">
        <w:rPr>
          <w:rtl/>
        </w:rPr>
        <w:t xml:space="preserve"> </w:t>
      </w:r>
      <w:r>
        <w:rPr>
          <w:rFonts w:hint="cs"/>
          <w:rtl/>
        </w:rPr>
        <w:t xml:space="preserve">(15.6.2009); </w:t>
      </w:r>
      <w:r w:rsidRPr="00D45E59">
        <w:rPr>
          <w:rtl/>
        </w:rPr>
        <w:t>בע"מ (מחוזי חי</w:t>
      </w:r>
      <w:r>
        <w:rPr>
          <w:rFonts w:hint="cs"/>
          <w:rtl/>
        </w:rPr>
        <w:t>'</w:t>
      </w:r>
      <w:r w:rsidRPr="00D45E59">
        <w:rPr>
          <w:rtl/>
        </w:rPr>
        <w:t>) 880</w:t>
      </w:r>
      <w:r>
        <w:rPr>
          <w:rFonts w:hint="cs"/>
          <w:rtl/>
        </w:rPr>
        <w:t>/</w:t>
      </w:r>
      <w:r w:rsidRPr="00D45E59">
        <w:rPr>
          <w:rtl/>
        </w:rPr>
        <w:t xml:space="preserve">08 </w:t>
      </w:r>
      <w:r w:rsidRPr="00776427">
        <w:rPr>
          <w:rFonts w:ascii="Century" w:hAnsi="Century" w:cs="Miriam"/>
          <w:b/>
          <w:spacing w:val="0"/>
          <w:szCs w:val="24"/>
          <w:rtl/>
        </w:rPr>
        <w:t>הלפמן נ' פקיד שומה חדרה</w:t>
      </w:r>
      <w:r>
        <w:rPr>
          <w:rFonts w:hint="cs"/>
          <w:rtl/>
        </w:rPr>
        <w:t xml:space="preserve">, פסקה 8 (10.8.2010); </w:t>
      </w:r>
      <w:proofErr w:type="spellStart"/>
      <w:r w:rsidRPr="00690D6F">
        <w:rPr>
          <w:rFonts w:ascii="Century" w:hAnsi="Century" w:hint="cs"/>
          <w:rtl/>
        </w:rPr>
        <w:t>עמ"ה</w:t>
      </w:r>
      <w:proofErr w:type="spellEnd"/>
      <w:r>
        <w:rPr>
          <w:rFonts w:ascii="Century" w:hAnsi="Century" w:hint="cs"/>
          <w:rtl/>
        </w:rPr>
        <w:t xml:space="preserve"> (מחוזי חי')</w:t>
      </w:r>
      <w:r w:rsidRPr="00690D6F">
        <w:rPr>
          <w:rFonts w:ascii="Century" w:hAnsi="Century" w:hint="cs"/>
          <w:rtl/>
        </w:rPr>
        <w:t xml:space="preserve"> 46/93 </w:t>
      </w:r>
      <w:proofErr w:type="spellStart"/>
      <w:r w:rsidRPr="00690D6F">
        <w:rPr>
          <w:rFonts w:ascii="Century" w:hAnsi="Century" w:cs="Miriam" w:hint="cs"/>
          <w:b/>
          <w:spacing w:val="0"/>
          <w:szCs w:val="24"/>
          <w:rtl/>
        </w:rPr>
        <w:t>סאדר</w:t>
      </w:r>
      <w:proofErr w:type="spellEnd"/>
      <w:r w:rsidRPr="00690D6F">
        <w:rPr>
          <w:rFonts w:ascii="Century" w:hAnsi="Century" w:cs="Miriam" w:hint="cs"/>
          <w:b/>
          <w:spacing w:val="0"/>
          <w:szCs w:val="24"/>
          <w:rtl/>
        </w:rPr>
        <w:t xml:space="preserve"> נ' </w:t>
      </w:r>
      <w:proofErr w:type="spellStart"/>
      <w:r w:rsidRPr="00690D6F">
        <w:rPr>
          <w:rFonts w:ascii="Century" w:hAnsi="Century" w:cs="Miriam" w:hint="cs"/>
          <w:b/>
          <w:spacing w:val="0"/>
          <w:szCs w:val="24"/>
          <w:rtl/>
        </w:rPr>
        <w:t>פ"ש</w:t>
      </w:r>
      <w:proofErr w:type="spellEnd"/>
      <w:r w:rsidRPr="00690D6F">
        <w:rPr>
          <w:rFonts w:ascii="Century" w:hAnsi="Century" w:hint="cs"/>
          <w:rtl/>
        </w:rPr>
        <w:t xml:space="preserve"> </w:t>
      </w:r>
      <w:r w:rsidRPr="00232F31">
        <w:rPr>
          <w:rFonts w:ascii="Century" w:hAnsi="Century" w:cs="Miriam" w:hint="eastAsia"/>
          <w:b/>
          <w:spacing w:val="0"/>
          <w:szCs w:val="24"/>
          <w:rtl/>
        </w:rPr>
        <w:t>חיפה</w:t>
      </w:r>
      <w:r w:rsidRPr="00690D6F">
        <w:rPr>
          <w:rFonts w:ascii="Century" w:hAnsi="Century" w:hint="cs"/>
          <w:rtl/>
        </w:rPr>
        <w:t>, מיסים ח/5 ה-118 (1994)</w:t>
      </w:r>
      <w:r>
        <w:rPr>
          <w:rFonts w:ascii="Century" w:hAnsi="Century" w:hint="cs"/>
          <w:rtl/>
        </w:rPr>
        <w:t xml:space="preserve">; </w:t>
      </w:r>
      <w:r>
        <w:rPr>
          <w:rFonts w:hint="cs"/>
          <w:rtl/>
        </w:rPr>
        <w:t xml:space="preserve">והשוו גם לע"מ (מחוזי </w:t>
      </w:r>
      <w:proofErr w:type="spellStart"/>
      <w:r>
        <w:rPr>
          <w:rFonts w:hint="cs"/>
          <w:rtl/>
        </w:rPr>
        <w:t>נצ</w:t>
      </w:r>
      <w:proofErr w:type="spellEnd"/>
      <w:r>
        <w:rPr>
          <w:rFonts w:hint="cs"/>
          <w:rtl/>
        </w:rPr>
        <w:t xml:space="preserve">') </w:t>
      </w:r>
      <w:r w:rsidRPr="00232F31">
        <w:rPr>
          <w:rFonts w:ascii="Century" w:hAnsi="Century"/>
          <w:rtl/>
        </w:rPr>
        <w:t xml:space="preserve">21/72 </w:t>
      </w:r>
      <w:proofErr w:type="spellStart"/>
      <w:r w:rsidRPr="00915EFB">
        <w:rPr>
          <w:rFonts w:ascii="Century" w:hAnsi="Century" w:cs="Miriam" w:hint="eastAsia"/>
          <w:b/>
          <w:spacing w:val="0"/>
          <w:szCs w:val="24"/>
          <w:rtl/>
        </w:rPr>
        <w:t>הלפרן</w:t>
      </w:r>
      <w:proofErr w:type="spellEnd"/>
      <w:r w:rsidRPr="00915EFB">
        <w:rPr>
          <w:rFonts w:ascii="Century" w:hAnsi="Century" w:cs="Miriam"/>
          <w:b/>
          <w:spacing w:val="0"/>
          <w:szCs w:val="24"/>
          <w:rtl/>
        </w:rPr>
        <w:t xml:space="preserve"> </w:t>
      </w:r>
      <w:r w:rsidRPr="00915EFB">
        <w:rPr>
          <w:rFonts w:ascii="Century" w:hAnsi="Century" w:cs="Miriam" w:hint="eastAsia"/>
          <w:b/>
          <w:spacing w:val="0"/>
          <w:szCs w:val="24"/>
          <w:rtl/>
        </w:rPr>
        <w:t>נ</w:t>
      </w:r>
      <w:r w:rsidRPr="00915EFB">
        <w:rPr>
          <w:rFonts w:ascii="Century" w:hAnsi="Century" w:cs="Miriam"/>
          <w:b/>
          <w:spacing w:val="0"/>
          <w:szCs w:val="24"/>
          <w:rtl/>
        </w:rPr>
        <w:t xml:space="preserve">' </w:t>
      </w:r>
      <w:proofErr w:type="spellStart"/>
      <w:r w:rsidRPr="00915EFB">
        <w:rPr>
          <w:rFonts w:ascii="Century" w:hAnsi="Century" w:cs="Miriam" w:hint="eastAsia"/>
          <w:b/>
          <w:spacing w:val="0"/>
          <w:szCs w:val="24"/>
          <w:rtl/>
        </w:rPr>
        <w:t>פ</w:t>
      </w:r>
      <w:r w:rsidRPr="00915EFB">
        <w:rPr>
          <w:rFonts w:ascii="Century" w:hAnsi="Century" w:cs="Miriam"/>
          <w:b/>
          <w:spacing w:val="0"/>
          <w:szCs w:val="24"/>
          <w:rtl/>
        </w:rPr>
        <w:t>"</w:t>
      </w:r>
      <w:r w:rsidRPr="00915EFB">
        <w:rPr>
          <w:rFonts w:ascii="Century" w:hAnsi="Century" w:cs="Miriam" w:hint="eastAsia"/>
          <w:b/>
          <w:spacing w:val="0"/>
          <w:szCs w:val="24"/>
          <w:rtl/>
        </w:rPr>
        <w:t>ש</w:t>
      </w:r>
      <w:proofErr w:type="spellEnd"/>
      <w:r w:rsidRPr="00915EFB">
        <w:rPr>
          <w:rFonts w:ascii="Century" w:hAnsi="Century" w:cs="Miriam"/>
          <w:b/>
          <w:spacing w:val="0"/>
          <w:szCs w:val="24"/>
          <w:rtl/>
        </w:rPr>
        <w:t xml:space="preserve"> </w:t>
      </w:r>
      <w:r w:rsidRPr="00915EFB">
        <w:rPr>
          <w:rFonts w:ascii="Century" w:hAnsi="Century" w:cs="Miriam" w:hint="eastAsia"/>
          <w:b/>
          <w:spacing w:val="0"/>
          <w:szCs w:val="24"/>
          <w:rtl/>
        </w:rPr>
        <w:t>עפולה</w:t>
      </w:r>
      <w:r w:rsidRPr="00915EFB">
        <w:rPr>
          <w:rFonts w:ascii="Century" w:hAnsi="Century"/>
          <w:rtl/>
        </w:rPr>
        <w:t xml:space="preserve">, </w:t>
      </w:r>
      <w:r w:rsidRPr="00915EFB">
        <w:rPr>
          <w:rFonts w:ascii="Century" w:hAnsi="Century" w:hint="eastAsia"/>
          <w:rtl/>
        </w:rPr>
        <w:t>פ</w:t>
      </w:r>
      <w:r>
        <w:rPr>
          <w:rFonts w:ascii="Century" w:hAnsi="Century" w:hint="cs"/>
          <w:rtl/>
        </w:rPr>
        <w:t>"</w:t>
      </w:r>
      <w:r w:rsidRPr="00915EFB">
        <w:rPr>
          <w:rFonts w:ascii="Century" w:hAnsi="Century" w:hint="eastAsia"/>
          <w:rtl/>
        </w:rPr>
        <w:t>ד</w:t>
      </w:r>
      <w:r w:rsidRPr="00915EFB">
        <w:rPr>
          <w:rFonts w:ascii="Century" w:hAnsi="Century"/>
          <w:rtl/>
        </w:rPr>
        <w:t xml:space="preserve"> </w:t>
      </w:r>
      <w:r w:rsidRPr="00915EFB">
        <w:rPr>
          <w:rFonts w:ascii="Century" w:hAnsi="Century" w:hint="eastAsia"/>
          <w:rtl/>
        </w:rPr>
        <w:t>ו</w:t>
      </w:r>
      <w:r w:rsidRPr="00915EFB">
        <w:rPr>
          <w:rFonts w:ascii="Century" w:hAnsi="Century"/>
          <w:rtl/>
        </w:rPr>
        <w:t xml:space="preserve"> 341</w:t>
      </w:r>
      <w:r>
        <w:rPr>
          <w:rFonts w:ascii="Century" w:hAnsi="Century" w:hint="cs"/>
          <w:rtl/>
        </w:rPr>
        <w:t xml:space="preserve"> (1973), שם נאמר כי "</w:t>
      </w:r>
      <w:r w:rsidRPr="00915EFB">
        <w:rPr>
          <w:rFonts w:ascii="Century" w:hAnsi="Century" w:hint="cs"/>
          <w:rtl/>
        </w:rPr>
        <w:t>אין אדם יכול לגור ברציפות בעת ובעונה אחת בשני מקומות</w:t>
      </w:r>
      <w:r>
        <w:rPr>
          <w:rFonts w:ascii="Century" w:hAnsi="Century" w:hint="cs"/>
          <w:rtl/>
        </w:rPr>
        <w:t>,</w:t>
      </w:r>
      <w:r w:rsidRPr="00915EFB">
        <w:rPr>
          <w:rFonts w:ascii="Century" w:hAnsi="Century" w:hint="cs"/>
          <w:rtl/>
        </w:rPr>
        <w:t xml:space="preserve"> שונים</w:t>
      </w:r>
      <w:r>
        <w:rPr>
          <w:rFonts w:ascii="Century" w:hAnsi="Century" w:hint="cs"/>
          <w:rtl/>
        </w:rPr>
        <w:t>")).</w:t>
      </w:r>
    </w:p>
    <w:p w:rsidR="00851A01" w:rsidRDefault="00851A01" w:rsidP="00851A01">
      <w:pPr>
        <w:pStyle w:val="Ruller41"/>
        <w:contextualSpacing/>
        <w:rPr>
          <w:rFonts w:ascii="Century" w:hAnsi="Century"/>
          <w:rtl/>
        </w:rPr>
      </w:pPr>
    </w:p>
    <w:p w:rsidR="00851A01" w:rsidRDefault="00851A01" w:rsidP="00851A01">
      <w:pPr>
        <w:pStyle w:val="Ruller41"/>
        <w:contextualSpacing/>
        <w:rPr>
          <w:rtl/>
        </w:rPr>
      </w:pPr>
      <w:r>
        <w:rPr>
          <w:rFonts w:hint="cs"/>
          <w:rtl/>
        </w:rPr>
        <w:lastRenderedPageBreak/>
        <w:t>14.</w:t>
      </w:r>
      <w:r>
        <w:rPr>
          <w:rFonts w:hint="cs"/>
          <w:rtl/>
        </w:rPr>
        <w:tab/>
        <w:t xml:space="preserve">לסיכום, התמונה המצטיירת היא שמכלול קשריו המשפחתיים והחברתיים של </w:t>
      </w:r>
      <w:proofErr w:type="spellStart"/>
      <w:r>
        <w:rPr>
          <w:rFonts w:hint="cs"/>
          <w:rtl/>
        </w:rPr>
        <w:t>עאבד</w:t>
      </w:r>
      <w:proofErr w:type="spellEnd"/>
      <w:r>
        <w:rPr>
          <w:rFonts w:hint="cs"/>
          <w:rtl/>
        </w:rPr>
        <w:t xml:space="preserve"> היו ונותרו בנצרת, </w:t>
      </w:r>
      <w:proofErr w:type="spellStart"/>
      <w:r>
        <w:rPr>
          <w:rFonts w:hint="cs"/>
          <w:rtl/>
        </w:rPr>
        <w:t>ולמיצער</w:t>
      </w:r>
      <w:proofErr w:type="spellEnd"/>
      <w:r>
        <w:rPr>
          <w:rFonts w:hint="cs"/>
          <w:rtl/>
        </w:rPr>
        <w:t xml:space="preserve">, כי הוא ניהל שני מרכזי חיים. לאור האמור לעיל, לנוכח התשתית העובדתית הדלה שהניח </w:t>
      </w:r>
      <w:proofErr w:type="spellStart"/>
      <w:r>
        <w:rPr>
          <w:rFonts w:hint="cs"/>
          <w:rtl/>
        </w:rPr>
        <w:t>עאבד</w:t>
      </w:r>
      <w:proofErr w:type="spellEnd"/>
      <w:r>
        <w:rPr>
          <w:rFonts w:hint="cs"/>
          <w:rtl/>
        </w:rPr>
        <w:t xml:space="preserve"> בפני בית המשפט, ולו דעתי תישמע, אזי יש לדחות גם את ערעורו של </w:t>
      </w:r>
      <w:proofErr w:type="spellStart"/>
      <w:r>
        <w:rPr>
          <w:rFonts w:hint="cs"/>
          <w:rtl/>
        </w:rPr>
        <w:t>עאבד</w:t>
      </w:r>
      <w:proofErr w:type="spellEnd"/>
      <w:r>
        <w:rPr>
          <w:rFonts w:hint="cs"/>
          <w:rtl/>
        </w:rPr>
        <w:t xml:space="preserve">. </w:t>
      </w:r>
    </w:p>
    <w:p w:rsidR="00851A01" w:rsidRDefault="00851A01" w:rsidP="00851A01">
      <w:pPr>
        <w:pStyle w:val="Ruller41"/>
        <w:contextualSpacing/>
        <w:rPr>
          <w:rFonts w:ascii="Century" w:hAnsi="Century"/>
          <w:rtl/>
        </w:rPr>
      </w:pPr>
    </w:p>
    <w:p w:rsidR="00851A01" w:rsidRPr="00690D6F" w:rsidRDefault="00851A01" w:rsidP="00851A01">
      <w:pPr>
        <w:pStyle w:val="Ruller41"/>
        <w:contextualSpacing/>
        <w:rPr>
          <w:rFonts w:ascii="Century" w:hAnsi="Century" w:cs="Miriam"/>
          <w:b/>
          <w:spacing w:val="0"/>
          <w:szCs w:val="24"/>
          <w:rtl/>
        </w:rPr>
      </w:pPr>
      <w:r w:rsidRPr="00690D6F">
        <w:rPr>
          <w:rFonts w:ascii="Century" w:hAnsi="Century" w:cs="Miriam" w:hint="cs"/>
          <w:b/>
          <w:spacing w:val="0"/>
          <w:szCs w:val="24"/>
          <w:rtl/>
        </w:rPr>
        <w:t>הערה לפני סיום</w:t>
      </w:r>
    </w:p>
    <w:p w:rsidR="00851A01" w:rsidRDefault="00851A01" w:rsidP="00851A01">
      <w:pPr>
        <w:pStyle w:val="Ruller41"/>
        <w:contextualSpacing/>
        <w:rPr>
          <w:rtl/>
        </w:rPr>
      </w:pPr>
    </w:p>
    <w:p w:rsidR="00851A01" w:rsidRDefault="00851A01" w:rsidP="00851A01">
      <w:pPr>
        <w:pStyle w:val="Ruller41"/>
        <w:contextualSpacing/>
        <w:rPr>
          <w:rFonts w:ascii="Century" w:hAnsi="Century"/>
          <w:rtl/>
        </w:rPr>
      </w:pPr>
      <w:r>
        <w:rPr>
          <w:rFonts w:hint="cs"/>
          <w:rtl/>
        </w:rPr>
        <w:t>15.</w:t>
      </w:r>
      <w:r>
        <w:rPr>
          <w:rtl/>
        </w:rPr>
        <w:tab/>
      </w:r>
      <w:r w:rsidRPr="00232F31">
        <w:rPr>
          <w:rFonts w:hint="eastAsia"/>
          <w:rtl/>
        </w:rPr>
        <w:t>מאחר</w:t>
      </w:r>
      <w:r w:rsidRPr="00232F31">
        <w:rPr>
          <w:rtl/>
        </w:rPr>
        <w:t xml:space="preserve"> </w:t>
      </w:r>
      <w:proofErr w:type="spellStart"/>
      <w:r w:rsidRPr="00232F31">
        <w:rPr>
          <w:rFonts w:hint="eastAsia"/>
          <w:rtl/>
        </w:rPr>
        <w:t>שחסארמה</w:t>
      </w:r>
      <w:proofErr w:type="spellEnd"/>
      <w:r w:rsidRPr="00232F31">
        <w:rPr>
          <w:rtl/>
        </w:rPr>
        <w:t xml:space="preserve"> </w:t>
      </w:r>
      <w:proofErr w:type="spellStart"/>
      <w:r w:rsidRPr="00232F31">
        <w:rPr>
          <w:rtl/>
        </w:rPr>
        <w:t>ועאבד</w:t>
      </w:r>
      <w:proofErr w:type="spellEnd"/>
      <w:r w:rsidRPr="00232F31">
        <w:rPr>
          <w:rtl/>
        </w:rPr>
        <w:t xml:space="preserve"> נכללו גם בשומת הניכויים שהוצאה לקבוצת עירוני </w:t>
      </w:r>
      <w:proofErr w:type="spellStart"/>
      <w:r w:rsidRPr="00232F31">
        <w:rPr>
          <w:rtl/>
        </w:rPr>
        <w:t>קרית</w:t>
      </w:r>
      <w:proofErr w:type="spellEnd"/>
      <w:r w:rsidRPr="00232F31">
        <w:rPr>
          <w:rtl/>
        </w:rPr>
        <w:t xml:space="preserve"> שמונה, אזי ברי כי אין מקום לחיוב כפול, ויש לחייב את הקבוצה או </w:t>
      </w:r>
      <w:r>
        <w:rPr>
          <w:rFonts w:hint="cs"/>
          <w:rtl/>
        </w:rPr>
        <w:t xml:space="preserve">את </w:t>
      </w:r>
      <w:proofErr w:type="spellStart"/>
      <w:r w:rsidRPr="00232F31">
        <w:rPr>
          <w:rFonts w:hint="eastAsia"/>
          <w:rtl/>
        </w:rPr>
        <w:t>עאבד</w:t>
      </w:r>
      <w:proofErr w:type="spellEnd"/>
      <w:r w:rsidRPr="00232F31">
        <w:rPr>
          <w:rtl/>
        </w:rPr>
        <w:t xml:space="preserve"> </w:t>
      </w:r>
      <w:proofErr w:type="spellStart"/>
      <w:r w:rsidRPr="00232F31">
        <w:rPr>
          <w:rFonts w:hint="eastAsia"/>
          <w:rtl/>
        </w:rPr>
        <w:t>וחסארמה</w:t>
      </w:r>
      <w:proofErr w:type="spellEnd"/>
      <w:r w:rsidRPr="00232F31">
        <w:rPr>
          <w:rtl/>
        </w:rPr>
        <w:t>.</w:t>
      </w:r>
      <w:r>
        <w:rPr>
          <w:rFonts w:hint="cs"/>
          <w:rtl/>
        </w:rPr>
        <w:t xml:space="preserve"> לא למותר להזכיר כי </w:t>
      </w:r>
      <w:r w:rsidRPr="007E3B20">
        <w:rPr>
          <w:rFonts w:ascii="Century" w:hAnsi="Century"/>
          <w:rtl/>
        </w:rPr>
        <w:t>טופסי 101 לא הוגשו על ידי ה</w:t>
      </w:r>
      <w:r>
        <w:rPr>
          <w:rFonts w:ascii="Century" w:hAnsi="Century" w:hint="cs"/>
          <w:rtl/>
        </w:rPr>
        <w:t xml:space="preserve">קבוצה, על אף חובתה לעשות כן בהיותה המעבידה של השניים. חברי רואה בכך כשל טכני, אך מאחר שעל המעביד להסתמך על אישורי תושב שהעובד מגיש, טופס מיוחד לצורך קבלת הנחה במס הכנסה (טופס 1312), ובהינתן שאישורים אלה לא הוגשו על ידי </w:t>
      </w:r>
      <w:proofErr w:type="spellStart"/>
      <w:r>
        <w:rPr>
          <w:rFonts w:ascii="Century" w:hAnsi="Century" w:hint="cs"/>
          <w:rtl/>
        </w:rPr>
        <w:t>חסארמה</w:t>
      </w:r>
      <w:proofErr w:type="spellEnd"/>
      <w:r>
        <w:rPr>
          <w:rFonts w:ascii="Century" w:hAnsi="Century" w:hint="cs"/>
          <w:rtl/>
        </w:rPr>
        <w:t xml:space="preserve"> </w:t>
      </w:r>
      <w:proofErr w:type="spellStart"/>
      <w:r>
        <w:rPr>
          <w:rFonts w:ascii="Century" w:hAnsi="Century" w:hint="cs"/>
          <w:rtl/>
        </w:rPr>
        <w:t>ועאבד</w:t>
      </w:r>
      <w:proofErr w:type="spellEnd"/>
      <w:r>
        <w:rPr>
          <w:rFonts w:ascii="Century" w:hAnsi="Century" w:hint="cs"/>
          <w:rtl/>
        </w:rPr>
        <w:t xml:space="preserve"> בזמן אמת (אלא הוצאו בדיעבד באופן המעורר תמיהות), איני סבור כי המדובר בכשל טכני בלבד. </w:t>
      </w:r>
    </w:p>
    <w:p w:rsidR="00851A01" w:rsidRDefault="00851A01" w:rsidP="00851A01">
      <w:pPr>
        <w:pStyle w:val="Ruller41"/>
        <w:contextualSpacing/>
        <w:rPr>
          <w:rFonts w:ascii="Century" w:hAnsi="Century"/>
          <w:rtl/>
        </w:rPr>
      </w:pPr>
    </w:p>
    <w:p w:rsidR="00851A01" w:rsidRDefault="00851A01" w:rsidP="00851A01">
      <w:pPr>
        <w:pStyle w:val="Ruller41"/>
        <w:contextualSpacing/>
        <w:rPr>
          <w:rFonts w:ascii="Century" w:hAnsi="Century"/>
          <w:rtl/>
        </w:rPr>
      </w:pPr>
      <w:r>
        <w:rPr>
          <w:rFonts w:ascii="Century" w:hAnsi="Century" w:hint="cs"/>
          <w:rtl/>
        </w:rPr>
        <w:t>16.</w:t>
      </w:r>
      <w:r>
        <w:rPr>
          <w:rFonts w:ascii="Century" w:hAnsi="Century" w:hint="cs"/>
          <w:rtl/>
        </w:rPr>
        <w:tab/>
        <w:t xml:space="preserve">אני מצטרף לפסק דינו של חברי השופט </w:t>
      </w:r>
      <w:r w:rsidRPr="00E249B5">
        <w:rPr>
          <w:rFonts w:ascii="Century" w:hAnsi="Century" w:cs="Miriam" w:hint="cs"/>
          <w:b/>
          <w:spacing w:val="0"/>
          <w:szCs w:val="24"/>
          <w:rtl/>
        </w:rPr>
        <w:t>א' שטיין</w:t>
      </w:r>
      <w:r w:rsidRPr="00E249B5">
        <w:rPr>
          <w:rFonts w:ascii="Century" w:hAnsi="Century" w:hint="cs"/>
          <w:rtl/>
        </w:rPr>
        <w:t xml:space="preserve"> </w:t>
      </w:r>
      <w:r>
        <w:rPr>
          <w:rFonts w:ascii="Century" w:hAnsi="Century" w:hint="cs"/>
          <w:rtl/>
        </w:rPr>
        <w:t xml:space="preserve">בכל הקשור לדחיית ערעור הקבוצה. </w:t>
      </w:r>
    </w:p>
    <w:p w:rsidR="00851A01" w:rsidRDefault="00851A01" w:rsidP="00851A01">
      <w:pPr>
        <w:pStyle w:val="Ruller41"/>
        <w:contextualSpacing/>
        <w:rPr>
          <w:rFonts w:ascii="Century" w:hAnsi="Century"/>
          <w:rtl/>
        </w:rPr>
      </w:pPr>
    </w:p>
    <w:p w:rsidR="00851A01" w:rsidRDefault="00851A01" w:rsidP="00851A01">
      <w:pPr>
        <w:pStyle w:val="Ruller41"/>
        <w:contextualSpacing/>
        <w:rPr>
          <w:rFonts w:ascii="Century" w:hAnsi="Century"/>
          <w:rtl/>
        </w:rPr>
      </w:pPr>
      <w:r>
        <w:rPr>
          <w:rFonts w:ascii="Century" w:hAnsi="Century"/>
          <w:rtl/>
        </w:rPr>
        <w:tab/>
      </w:r>
      <w:r>
        <w:rPr>
          <w:rFonts w:ascii="Century" w:hAnsi="Century" w:hint="cs"/>
          <w:rtl/>
        </w:rPr>
        <w:t xml:space="preserve">אשר לקנסות שהוטלו </w:t>
      </w:r>
      <w:r>
        <w:rPr>
          <w:rFonts w:ascii="Century" w:hAnsi="Century"/>
          <w:rtl/>
        </w:rPr>
        <w:t>–</w:t>
      </w:r>
      <w:r>
        <w:rPr>
          <w:rFonts w:ascii="Century" w:hAnsi="Century" w:hint="cs"/>
          <w:rtl/>
        </w:rPr>
        <w:t xml:space="preserve"> על אף התוצאה אליה הגעתי, ומאחר שנתגלעה מחלוקת בתום-לב בין הקבוצה לבין פקיד השומה, אני מצטרף גם בעניין זה לחברי.</w:t>
      </w:r>
    </w:p>
    <w:p w:rsidR="00851A01" w:rsidRDefault="00851A01" w:rsidP="00851A01">
      <w:pPr>
        <w:pStyle w:val="Ruller41"/>
        <w:contextualSpacing/>
        <w:rPr>
          <w:rFonts w:ascii="Century" w:hAnsi="Century"/>
          <w:rtl/>
        </w:rPr>
      </w:pPr>
    </w:p>
    <w:p w:rsidR="0073750B" w:rsidRDefault="0073750B" w:rsidP="00F00127">
      <w:pPr>
        <w:pStyle w:val="BODYVERDICT"/>
        <w:rPr>
          <w:rFonts w:cs="Miriam"/>
          <w:sz w:val="24"/>
          <w:szCs w:val="24"/>
          <w:u w:val="single"/>
          <w:rtl/>
        </w:rPr>
      </w:pPr>
    </w:p>
    <w:tbl>
      <w:tblPr>
        <w:bidiVisual/>
        <w:tblW w:w="8363" w:type="dxa"/>
        <w:tblLook w:val="01E0" w:firstRow="1" w:lastRow="1" w:firstColumn="1" w:lastColumn="1" w:noHBand="0" w:noVBand="0"/>
      </w:tblPr>
      <w:tblGrid>
        <w:gridCol w:w="2786"/>
        <w:gridCol w:w="2787"/>
        <w:gridCol w:w="2790"/>
      </w:tblGrid>
      <w:tr w:rsidR="00F00127" w:rsidTr="00B809A5">
        <w:tc>
          <w:tcPr>
            <w:tcW w:w="2786" w:type="dxa"/>
            <w:shd w:val="clear" w:color="auto" w:fill="auto"/>
          </w:tcPr>
          <w:p w:rsidR="0073750B" w:rsidRDefault="0073750B" w:rsidP="00B31694">
            <w:pPr>
              <w:pStyle w:val="Ruller41"/>
              <w:rPr>
                <w:rtl/>
              </w:rPr>
            </w:pPr>
          </w:p>
        </w:tc>
        <w:tc>
          <w:tcPr>
            <w:tcW w:w="2787" w:type="dxa"/>
            <w:shd w:val="clear" w:color="auto" w:fill="auto"/>
          </w:tcPr>
          <w:p w:rsidR="00F00127" w:rsidRDefault="00F00127" w:rsidP="00B31694">
            <w:pPr>
              <w:pStyle w:val="Ruller41"/>
              <w:jc w:val="center"/>
              <w:rPr>
                <w:rtl/>
              </w:rPr>
            </w:pPr>
          </w:p>
        </w:tc>
        <w:tc>
          <w:tcPr>
            <w:tcW w:w="2790" w:type="dxa"/>
            <w:shd w:val="clear" w:color="auto" w:fill="auto"/>
          </w:tcPr>
          <w:p w:rsidR="00F00127" w:rsidRDefault="00F00127" w:rsidP="00B31694">
            <w:pPr>
              <w:pStyle w:val="Ruller41"/>
              <w:jc w:val="right"/>
              <w:rPr>
                <w:rtl/>
              </w:rPr>
            </w:pPr>
            <w:r>
              <w:rPr>
                <w:rtl/>
              </w:rPr>
              <w:t>ש ו פ ט</w:t>
            </w:r>
          </w:p>
        </w:tc>
      </w:tr>
    </w:tbl>
    <w:p w:rsidR="00B809A5" w:rsidRDefault="00B809A5" w:rsidP="00B809A5">
      <w:pPr>
        <w:pStyle w:val="Ruller41"/>
        <w:rPr>
          <w:rtl/>
        </w:rPr>
      </w:pPr>
    </w:p>
    <w:p w:rsidR="00B809A5" w:rsidRDefault="00B809A5" w:rsidP="008674E3">
      <w:pPr>
        <w:pStyle w:val="Ruller41"/>
        <w:rPr>
          <w:rtl/>
        </w:rPr>
      </w:pPr>
      <w:r w:rsidRPr="00F00127">
        <w:rPr>
          <w:rFonts w:ascii="Century" w:hAnsi="Century" w:cs="Miriam" w:hint="cs"/>
          <w:b/>
          <w:spacing w:val="0"/>
          <w:szCs w:val="24"/>
          <w:u w:val="single"/>
          <w:rtl/>
        </w:rPr>
        <w:t>השופט ח' כבוב</w:t>
      </w:r>
      <w:r>
        <w:rPr>
          <w:rFonts w:hint="cs"/>
          <w:rtl/>
        </w:rPr>
        <w:t>:</w:t>
      </w:r>
    </w:p>
    <w:p w:rsidR="008674E3" w:rsidRDefault="008674E3" w:rsidP="008674E3">
      <w:pPr>
        <w:pStyle w:val="Ruller4"/>
        <w:numPr>
          <w:ilvl w:val="0"/>
          <w:numId w:val="0"/>
        </w:numPr>
        <w:spacing w:before="240" w:after="240"/>
      </w:pPr>
      <w:r>
        <w:rPr>
          <w:rFonts w:hint="cs"/>
          <w:rtl/>
        </w:rPr>
        <w:t>1.</w:t>
      </w:r>
      <w:r>
        <w:rPr>
          <w:rFonts w:hint="cs"/>
          <w:rtl/>
        </w:rPr>
        <w:tab/>
      </w:r>
      <w:r w:rsidRPr="00014FD9">
        <w:rPr>
          <w:rFonts w:hint="cs"/>
          <w:rtl/>
        </w:rPr>
        <w:t xml:space="preserve">חוות דעת מקיפה ומפורטת כתב חברי, השופט </w:t>
      </w:r>
      <w:r>
        <w:rPr>
          <w:rFonts w:cs="Miriam" w:hint="cs"/>
          <w:b/>
          <w:spacing w:val="0"/>
          <w:szCs w:val="24"/>
          <w:rtl/>
        </w:rPr>
        <w:t>א</w:t>
      </w:r>
      <w:r w:rsidRPr="00670A26">
        <w:rPr>
          <w:rFonts w:cs="Miriam" w:hint="cs"/>
          <w:b/>
          <w:spacing w:val="0"/>
          <w:szCs w:val="24"/>
          <w:rtl/>
        </w:rPr>
        <w:t xml:space="preserve">' </w:t>
      </w:r>
      <w:r>
        <w:rPr>
          <w:rFonts w:cs="Miriam" w:hint="cs"/>
          <w:b/>
          <w:spacing w:val="0"/>
          <w:szCs w:val="24"/>
          <w:rtl/>
        </w:rPr>
        <w:t>שטיין</w:t>
      </w:r>
      <w:r w:rsidRPr="00014FD9">
        <w:rPr>
          <w:rFonts w:hint="cs"/>
          <w:rtl/>
        </w:rPr>
        <w:t>. לשיטתו, יש לה</w:t>
      </w:r>
      <w:r>
        <w:rPr>
          <w:rFonts w:hint="cs"/>
          <w:rtl/>
        </w:rPr>
        <w:t>י</w:t>
      </w:r>
      <w:r w:rsidRPr="00014FD9">
        <w:rPr>
          <w:rFonts w:hint="cs"/>
          <w:rtl/>
        </w:rPr>
        <w:t>עתר לערעור</w:t>
      </w:r>
      <w:r>
        <w:rPr>
          <w:rFonts w:hint="cs"/>
          <w:rtl/>
        </w:rPr>
        <w:t xml:space="preserve">ם של השחקנים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hint="cs"/>
          <w:rtl/>
        </w:rPr>
        <w:t xml:space="preserve"> (ע"א 7719/21 וע"א 7730/21, בהתאמה)</w:t>
      </w:r>
      <w:r w:rsidRPr="00014FD9">
        <w:rPr>
          <w:rFonts w:hint="cs"/>
          <w:rtl/>
        </w:rPr>
        <w:t xml:space="preserve"> ולקבוע כי</w:t>
      </w:r>
      <w:r>
        <w:rPr>
          <w:rFonts w:hint="cs"/>
          <w:rtl/>
        </w:rPr>
        <w:t xml:space="preserve"> הם קבעו את מרכז חייהם בעיר </w:t>
      </w:r>
      <w:proofErr w:type="spellStart"/>
      <w:r>
        <w:rPr>
          <w:rFonts w:hint="cs"/>
          <w:rtl/>
        </w:rPr>
        <w:t>קרית</w:t>
      </w:r>
      <w:proofErr w:type="spellEnd"/>
      <w:r>
        <w:rPr>
          <w:rFonts w:hint="cs"/>
          <w:rtl/>
        </w:rPr>
        <w:t xml:space="preserve"> שמונה, עת שיחקו בקבוצת הכדורגל של העיר</w:t>
      </w:r>
      <w:r w:rsidRPr="00014FD9">
        <w:rPr>
          <w:rFonts w:hint="cs"/>
          <w:rtl/>
        </w:rPr>
        <w:t>.</w:t>
      </w:r>
      <w:r>
        <w:rPr>
          <w:rFonts w:hint="cs"/>
          <w:rtl/>
        </w:rPr>
        <w:t xml:space="preserve"> </w:t>
      </w:r>
    </w:p>
    <w:p w:rsidR="008674E3" w:rsidRDefault="008674E3" w:rsidP="008674E3">
      <w:pPr>
        <w:pStyle w:val="Ruller4"/>
        <w:numPr>
          <w:ilvl w:val="0"/>
          <w:numId w:val="0"/>
        </w:numPr>
        <w:spacing w:before="240" w:after="240"/>
      </w:pPr>
      <w:r>
        <w:rPr>
          <w:rtl/>
        </w:rPr>
        <w:tab/>
      </w:r>
      <w:r>
        <w:rPr>
          <w:rFonts w:hint="cs"/>
          <w:rtl/>
        </w:rPr>
        <w:t xml:space="preserve">מנגד, סבור חברי, השופט </w:t>
      </w:r>
      <w:r w:rsidRPr="00FC7B0A">
        <w:rPr>
          <w:rFonts w:ascii="Century" w:hAnsi="Century" w:cs="Miriam" w:hint="cs"/>
          <w:b/>
          <w:spacing w:val="0"/>
          <w:sz w:val="22"/>
          <w:szCs w:val="24"/>
          <w:rtl/>
        </w:rPr>
        <w:t>י' עמית</w:t>
      </w:r>
      <w:r>
        <w:rPr>
          <w:rFonts w:hint="cs"/>
          <w:rtl/>
        </w:rPr>
        <w:t>, כי יש לדחות את ערעוריהם.</w:t>
      </w:r>
    </w:p>
    <w:p w:rsidR="008674E3" w:rsidRPr="00B61C81" w:rsidRDefault="008674E3" w:rsidP="008674E3">
      <w:pPr>
        <w:pStyle w:val="Ruller4"/>
        <w:numPr>
          <w:ilvl w:val="0"/>
          <w:numId w:val="0"/>
        </w:numPr>
        <w:spacing w:before="240" w:after="240"/>
        <w:rPr>
          <w:rtl/>
        </w:rPr>
      </w:pPr>
      <w:r>
        <w:rPr>
          <w:rtl/>
        </w:rPr>
        <w:tab/>
      </w:r>
      <w:r>
        <w:rPr>
          <w:rFonts w:ascii="FrankRuehl" w:hAnsi="FrankRuehl"/>
          <w:color w:val="000000"/>
          <w:sz w:val="28"/>
          <w:rtl/>
        </w:rPr>
        <w:t xml:space="preserve">המחלוקת העיקרית בין חבריי, השופט </w:t>
      </w:r>
      <w:r>
        <w:rPr>
          <w:rFonts w:ascii="Century" w:hAnsi="Century" w:cs="Miriam" w:hint="cs"/>
          <w:b/>
          <w:spacing w:val="0"/>
          <w:szCs w:val="24"/>
          <w:rtl/>
        </w:rPr>
        <w:t>שטיין</w:t>
      </w:r>
      <w:r>
        <w:rPr>
          <w:rFonts w:ascii="FrankRuehl" w:hAnsi="FrankRuehl"/>
          <w:color w:val="000000"/>
          <w:sz w:val="28"/>
          <w:rtl/>
        </w:rPr>
        <w:t xml:space="preserve"> והשופט </w:t>
      </w:r>
      <w:r>
        <w:rPr>
          <w:rFonts w:ascii="Century" w:hAnsi="Century" w:cs="Miriam" w:hint="cs"/>
          <w:b/>
          <w:spacing w:val="0"/>
          <w:szCs w:val="24"/>
          <w:rtl/>
        </w:rPr>
        <w:t>עמית</w:t>
      </w:r>
      <w:r>
        <w:rPr>
          <w:rFonts w:ascii="Century" w:hAnsi="Century"/>
          <w:rtl/>
        </w:rPr>
        <w:t>,</w:t>
      </w:r>
      <w:r>
        <w:rPr>
          <w:rFonts w:ascii="FrankRuehl" w:hAnsi="FrankRuehl"/>
          <w:color w:val="000000"/>
          <w:sz w:val="28"/>
          <w:rtl/>
        </w:rPr>
        <w:t xml:space="preserve"> נוגעת </w:t>
      </w:r>
      <w:r>
        <w:rPr>
          <w:rFonts w:ascii="FrankRuehl" w:hAnsi="FrankRuehl" w:hint="cs"/>
          <w:color w:val="000000"/>
          <w:sz w:val="28"/>
          <w:rtl/>
        </w:rPr>
        <w:t>לשאלת</w:t>
      </w:r>
      <w:r>
        <w:rPr>
          <w:rFonts w:ascii="FrankRuehl" w:hAnsi="FrankRuehl"/>
          <w:color w:val="000000"/>
          <w:sz w:val="28"/>
          <w:rtl/>
        </w:rPr>
        <w:t xml:space="preserve"> </w:t>
      </w:r>
      <w:r>
        <w:rPr>
          <w:rFonts w:hint="cs"/>
          <w:rtl/>
        </w:rPr>
        <w:t xml:space="preserve">"מרכז חייו" של מי שהוא "'תושב' ביישוב מסוים" </w:t>
      </w:r>
      <w:r>
        <w:rPr>
          <w:rtl/>
        </w:rPr>
        <w:t>–</w:t>
      </w:r>
      <w:r>
        <w:rPr>
          <w:rFonts w:hint="cs"/>
          <w:rtl/>
        </w:rPr>
        <w:t xml:space="preserve"> </w:t>
      </w:r>
      <w:proofErr w:type="spellStart"/>
      <w:r>
        <w:rPr>
          <w:rFonts w:hint="cs"/>
          <w:rtl/>
        </w:rPr>
        <w:t>ונפקותה</w:t>
      </w:r>
      <w:proofErr w:type="spellEnd"/>
      <w:r>
        <w:rPr>
          <w:rFonts w:hint="cs"/>
          <w:rtl/>
        </w:rPr>
        <w:t xml:space="preserve"> בכל הנוגע להטבת מס </w:t>
      </w:r>
      <w:r>
        <w:rPr>
          <w:rFonts w:hint="cs"/>
          <w:rtl/>
        </w:rPr>
        <w:lastRenderedPageBreak/>
        <w:t xml:space="preserve">ביישוב, המעוגנת בגדרי סעיף 11 לפקודת מס הכנסה [נוסח חדש], התשכ"א-1961 (להלן: </w:t>
      </w:r>
      <w:r w:rsidRPr="0033153A">
        <w:rPr>
          <w:rFonts w:ascii="Century" w:hAnsi="Century" w:cs="Miriam" w:hint="cs"/>
          <w:b/>
          <w:spacing w:val="0"/>
          <w:sz w:val="22"/>
          <w:szCs w:val="24"/>
          <w:rtl/>
        </w:rPr>
        <w:t>הפקודה</w:t>
      </w:r>
      <w:r>
        <w:rPr>
          <w:rFonts w:hint="cs"/>
          <w:rtl/>
        </w:rPr>
        <w:t>).</w:t>
      </w:r>
      <w:r w:rsidRPr="00B61C81">
        <w:rPr>
          <w:rtl/>
        </w:rPr>
        <w:t xml:space="preserve"> </w:t>
      </w:r>
      <w:r>
        <w:rPr>
          <w:rtl/>
        </w:rPr>
        <w:t>מחלוק</w:t>
      </w:r>
      <w:r w:rsidRPr="00B61C81">
        <w:rPr>
          <w:rtl/>
        </w:rPr>
        <w:t xml:space="preserve">ת </w:t>
      </w:r>
      <w:r>
        <w:rPr>
          <w:rFonts w:hint="cs"/>
          <w:rtl/>
        </w:rPr>
        <w:t>זו</w:t>
      </w:r>
      <w:r w:rsidRPr="00B61C81">
        <w:rPr>
          <w:rtl/>
        </w:rPr>
        <w:t xml:space="preserve"> הובילו את חבריי לתוצאות שונות בנוגע לסיווג </w:t>
      </w:r>
      <w:r>
        <w:rPr>
          <w:rFonts w:hint="cs"/>
          <w:rtl/>
        </w:rPr>
        <w:t>מרכז חייהם של</w:t>
      </w:r>
      <w:r w:rsidRPr="00B61C81">
        <w:rPr>
          <w:rtl/>
        </w:rPr>
        <w:t xml:space="preserve"> </w:t>
      </w:r>
      <w:r>
        <w:rPr>
          <w:rFonts w:hint="cs"/>
          <w:rtl/>
        </w:rPr>
        <w:t xml:space="preserve">המערערים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hint="cs"/>
          <w:rtl/>
        </w:rPr>
        <w:t>, וכפועל יוצא מכך לתוצאות שונות באשר לערעוריהם.</w:t>
      </w:r>
    </w:p>
    <w:p w:rsidR="008674E3" w:rsidRPr="00B61C81" w:rsidRDefault="008674E3" w:rsidP="008674E3">
      <w:pPr>
        <w:pStyle w:val="Ruller4"/>
        <w:numPr>
          <w:ilvl w:val="0"/>
          <w:numId w:val="0"/>
        </w:numPr>
        <w:spacing w:before="240" w:after="240"/>
        <w:rPr>
          <w:rtl/>
        </w:rPr>
      </w:pPr>
      <w:r>
        <w:rPr>
          <w:rFonts w:hint="cs"/>
          <w:rtl/>
        </w:rPr>
        <w:t>2.</w:t>
      </w:r>
      <w:r>
        <w:rPr>
          <w:rFonts w:hint="cs"/>
          <w:rtl/>
        </w:rPr>
        <w:tab/>
      </w:r>
      <w:r>
        <w:rPr>
          <w:rtl/>
        </w:rPr>
        <w:t>עיינתי בחוות הדעת של חבריי</w:t>
      </w:r>
      <w:r>
        <w:rPr>
          <w:rFonts w:hint="cs"/>
          <w:rtl/>
        </w:rPr>
        <w:t xml:space="preserve">. </w:t>
      </w:r>
      <w:r w:rsidRPr="00B61C81">
        <w:rPr>
          <w:rtl/>
        </w:rPr>
        <w:t>כל אחד מהם – טעמיו עמו. בסופו של</w:t>
      </w:r>
      <w:r>
        <w:rPr>
          <w:rFonts w:hint="cs"/>
          <w:rtl/>
        </w:rPr>
        <w:t xml:space="preserve"> יום</w:t>
      </w:r>
      <w:r w:rsidRPr="00B61C81">
        <w:rPr>
          <w:rtl/>
        </w:rPr>
        <w:t xml:space="preserve">, </w:t>
      </w:r>
      <w:r>
        <w:rPr>
          <w:rFonts w:hint="cs"/>
          <w:rtl/>
        </w:rPr>
        <w:t>ולאחר שהפכתי בדברים, סבורני</w:t>
      </w:r>
      <w:r w:rsidRPr="00B61C81">
        <w:rPr>
          <w:rtl/>
        </w:rPr>
        <w:t xml:space="preserve"> כי התוצאה שאליה הגיע חברי</w:t>
      </w:r>
      <w:r>
        <w:rPr>
          <w:rFonts w:hint="cs"/>
          <w:rtl/>
        </w:rPr>
        <w:t>,</w:t>
      </w:r>
      <w:r w:rsidRPr="00B61C81">
        <w:rPr>
          <w:rtl/>
        </w:rPr>
        <w:t xml:space="preserve"> השופט </w:t>
      </w:r>
      <w:r w:rsidRPr="0033153A">
        <w:rPr>
          <w:rFonts w:ascii="Century" w:hAnsi="Century" w:cs="Miriam" w:hint="cs"/>
          <w:b/>
          <w:spacing w:val="0"/>
          <w:sz w:val="22"/>
          <w:szCs w:val="24"/>
          <w:rtl/>
        </w:rPr>
        <w:t>עמית</w:t>
      </w:r>
      <w:r w:rsidRPr="00B61C81">
        <w:rPr>
          <w:rtl/>
        </w:rPr>
        <w:t>, מתיישבת טוב יותר עם</w:t>
      </w:r>
      <w:r>
        <w:rPr>
          <w:rFonts w:hint="cs"/>
          <w:rtl/>
        </w:rPr>
        <w:t xml:space="preserve"> תכליות דיני המס והתלם שנחרש בעניין זה.</w:t>
      </w:r>
      <w:r>
        <w:rPr>
          <w:rtl/>
        </w:rPr>
        <w:t xml:space="preserve"> </w:t>
      </w:r>
    </w:p>
    <w:p w:rsidR="008674E3" w:rsidRDefault="008674E3" w:rsidP="008674E3">
      <w:pPr>
        <w:pStyle w:val="Ruller4"/>
        <w:numPr>
          <w:ilvl w:val="0"/>
          <w:numId w:val="0"/>
        </w:numPr>
        <w:spacing w:before="240" w:after="240"/>
      </w:pPr>
      <w:r>
        <w:rPr>
          <w:rFonts w:hint="cs"/>
          <w:rtl/>
        </w:rPr>
        <w:t>3.</w:t>
      </w:r>
      <w:r>
        <w:rPr>
          <w:rFonts w:hint="cs"/>
          <w:rtl/>
        </w:rPr>
        <w:tab/>
        <w:t xml:space="preserve">גם אני, כמו השופט </w:t>
      </w:r>
      <w:r w:rsidRPr="006F159F">
        <w:rPr>
          <w:rFonts w:ascii="Century" w:hAnsi="Century" w:cs="Miriam" w:hint="cs"/>
          <w:b/>
          <w:spacing w:val="0"/>
          <w:sz w:val="22"/>
          <w:szCs w:val="24"/>
          <w:rtl/>
        </w:rPr>
        <w:t>עמית</w:t>
      </w:r>
      <w:r>
        <w:rPr>
          <w:rFonts w:hint="cs"/>
          <w:rtl/>
        </w:rPr>
        <w:t xml:space="preserve">, סבור, כי בבואנו לבחון האם מרכז חייו של אדם הוא ביישוב מסוים המזכה בהטבת מס, שומה עלינו לבחון את </w:t>
      </w:r>
      <w:r w:rsidRPr="00132C4C">
        <w:rPr>
          <w:rFonts w:ascii="Century" w:hAnsi="Century" w:cs="Miriam" w:hint="cs"/>
          <w:b/>
          <w:spacing w:val="0"/>
          <w:sz w:val="22"/>
          <w:szCs w:val="24"/>
          <w:rtl/>
        </w:rPr>
        <w:t>מכלול הזיקות</w:t>
      </w:r>
      <w:r w:rsidRPr="00132C4C">
        <w:rPr>
          <w:rFonts w:hint="cs"/>
          <w:rtl/>
        </w:rPr>
        <w:t xml:space="preserve"> </w:t>
      </w:r>
      <w:r>
        <w:rPr>
          <w:rFonts w:hint="cs"/>
          <w:rtl/>
        </w:rPr>
        <w:t xml:space="preserve">אשר קושרות אותו ליישוב; ועלינו לעשות כן, בעיקרו של דבר, על סמך האינדיקציות שסיפק המחוקק בגדרי סעיף 1 לפקודה. כאשר את ההטבה נכון שיקבל רק מי שבפועל מתגורר ביישוב המוטב ומנהל שם, באופן מהותי </w:t>
      </w:r>
      <w:proofErr w:type="spellStart"/>
      <w:r>
        <w:rPr>
          <w:rFonts w:hint="cs"/>
          <w:rtl/>
        </w:rPr>
        <w:t>ו</w:t>
      </w:r>
      <w:r>
        <w:rPr>
          <w:rtl/>
        </w:rPr>
        <w:t>אֲמִיתִּי</w:t>
      </w:r>
      <w:proofErr w:type="spellEnd"/>
      <w:r>
        <w:rPr>
          <w:rFonts w:hint="cs"/>
          <w:rtl/>
        </w:rPr>
        <w:t xml:space="preserve">, את מרכז חייו. בדיקה של שומה עצמית הגורסת בתושבות מזכה, מצריכה, אפוא, בירור עובדתי קונקרטי, תוך מתן משקל הולם, בנסיבות כל מקרה, למכלול האינדיקציות הרלבנטיות. במקרה דנן, ברי הוא כי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hint="cs"/>
          <w:rtl/>
        </w:rPr>
        <w:t xml:space="preserve"> לא עמדו בנטל ההוכחה שהנוח לפתחם; ודי בכך כדי לדחות את ערעורם.</w:t>
      </w:r>
    </w:p>
    <w:p w:rsidR="008674E3" w:rsidRDefault="008674E3" w:rsidP="008674E3">
      <w:pPr>
        <w:pStyle w:val="Ruller4"/>
        <w:numPr>
          <w:ilvl w:val="0"/>
          <w:numId w:val="0"/>
        </w:numPr>
        <w:spacing w:before="240" w:after="240"/>
        <w:rPr>
          <w:rtl/>
        </w:rPr>
      </w:pPr>
      <w:r>
        <w:rPr>
          <w:rtl/>
        </w:rPr>
        <w:tab/>
      </w:r>
      <w:r>
        <w:rPr>
          <w:rFonts w:hint="cs"/>
          <w:rtl/>
        </w:rPr>
        <w:t xml:space="preserve">כפועל יוצא של האמור לעיל, </w:t>
      </w:r>
      <w:r>
        <w:rPr>
          <w:rtl/>
        </w:rPr>
        <w:t>אף לדידי אין מקום לקבוע נקודת מוצא</w:t>
      </w:r>
      <w:r>
        <w:rPr>
          <w:rFonts w:hint="cs"/>
          <w:rtl/>
        </w:rPr>
        <w:t xml:space="preserve">, בדמות מעין חזקה שעל פקיד השומה לסתור, לפיה מרכז חייו של כדורגלן מקצועני הולך אחר קבוצתו. זאת, בין היתר, מהטעמים שמנה השופט </w:t>
      </w:r>
      <w:r w:rsidRPr="00994187">
        <w:rPr>
          <w:rFonts w:ascii="Century" w:hAnsi="Century" w:cs="Miriam" w:hint="cs"/>
          <w:b/>
          <w:spacing w:val="0"/>
          <w:sz w:val="22"/>
          <w:szCs w:val="24"/>
          <w:rtl/>
        </w:rPr>
        <w:t>עמית</w:t>
      </w:r>
      <w:r w:rsidRPr="00994187">
        <w:rPr>
          <w:rFonts w:hint="cs"/>
          <w:rtl/>
        </w:rPr>
        <w:t xml:space="preserve"> </w:t>
      </w:r>
      <w:r>
        <w:rPr>
          <w:rFonts w:hint="cs"/>
          <w:rtl/>
        </w:rPr>
        <w:t xml:space="preserve">בפסקאות 6-5 לחוות דעתו. אוסיף ואדגיש, כי </w:t>
      </w:r>
      <w:r w:rsidRPr="003A678C">
        <w:rPr>
          <w:rFonts w:ascii="Century" w:hAnsi="Century" w:hint="cs"/>
          <w:b/>
          <w:spacing w:val="0"/>
          <w:sz w:val="22"/>
          <w:rtl/>
        </w:rPr>
        <w:t>גם אני סבור</w:t>
      </w:r>
      <w:r>
        <w:rPr>
          <w:rFonts w:hint="cs"/>
          <w:rtl/>
        </w:rPr>
        <w:t xml:space="preserve"> שהתפיסה המקובלת בארצות הברית של אמריקה, אינה ישימה כבסיס לחזקה כאמור, בארצנו. בצד זאת יוער, כי אם אכן היה מדובר במי שגרו מרחק רב עד מאוד, קודם להצטרפותם לקבוצה, אזי ייתכן שנקודת האיזון הייתה משתנה. אך משאלה לא פני הדברים, לא אקבע מסמרות בעניין זה. לסיכום, אשוב ואדגיש, כי לשיטתי יש לבחון כל מקרה לגופו, בהתאם לנסיבותיו ובשים לב לראיות שהציג הנישום.                                                           </w:t>
      </w:r>
    </w:p>
    <w:p w:rsidR="008674E3" w:rsidRDefault="008674E3" w:rsidP="008674E3">
      <w:pPr>
        <w:pStyle w:val="Ruller4"/>
        <w:numPr>
          <w:ilvl w:val="0"/>
          <w:numId w:val="0"/>
        </w:numPr>
        <w:spacing w:before="240" w:after="240"/>
        <w:rPr>
          <w:rtl/>
        </w:rPr>
      </w:pPr>
      <w:r>
        <w:rPr>
          <w:rFonts w:hint="cs"/>
          <w:rtl/>
        </w:rPr>
        <w:t>4.</w:t>
      </w:r>
      <w:r>
        <w:rPr>
          <w:rFonts w:hint="cs"/>
          <w:rtl/>
        </w:rPr>
        <w:tab/>
        <w:t>נוכח האמור, סבורני, כי קביעה גורפת בעניין מסוג זה (הגם ביחס לקבוצה מצומצמת של נישומים), היא מוקשית, ויש בה משום סטייה מעקרון ה</w:t>
      </w:r>
      <w:r w:rsidRPr="00B60C6A">
        <w:rPr>
          <w:rtl/>
        </w:rPr>
        <w:t>שוויון בין נישומים ו</w:t>
      </w:r>
      <w:r>
        <w:rPr>
          <w:rFonts w:hint="cs"/>
          <w:rtl/>
        </w:rPr>
        <w:t>החתירה לשמירה</w:t>
      </w:r>
      <w:r w:rsidRPr="00B60C6A">
        <w:rPr>
          <w:rtl/>
        </w:rPr>
        <w:t xml:space="preserve"> על ניטרליות</w:t>
      </w:r>
      <w:r>
        <w:rPr>
          <w:rFonts w:hint="cs"/>
          <w:rtl/>
        </w:rPr>
        <w:t>,</w:t>
      </w:r>
      <w:r w:rsidRPr="00B60C6A">
        <w:rPr>
          <w:rtl/>
        </w:rPr>
        <w:t xml:space="preserve"> המאפיינת </w:t>
      </w:r>
      <w:r>
        <w:rPr>
          <w:rFonts w:hint="cs"/>
          <w:rtl/>
        </w:rPr>
        <w:t xml:space="preserve">את </w:t>
      </w:r>
      <w:r w:rsidRPr="00B60C6A">
        <w:rPr>
          <w:rtl/>
        </w:rPr>
        <w:t xml:space="preserve">חקיקת </w:t>
      </w:r>
      <w:r>
        <w:rPr>
          <w:rFonts w:hint="cs"/>
          <w:rtl/>
        </w:rPr>
        <w:t>ה</w:t>
      </w:r>
      <w:r w:rsidRPr="00B60C6A">
        <w:rPr>
          <w:rtl/>
        </w:rPr>
        <w:t xml:space="preserve">מס </w:t>
      </w:r>
      <w:r>
        <w:rPr>
          <w:rFonts w:hint="cs"/>
          <w:rtl/>
        </w:rPr>
        <w:t xml:space="preserve">בכלל ואת מס ההכנסה בפרט </w:t>
      </w:r>
      <w:r>
        <w:rPr>
          <w:rtl/>
        </w:rPr>
        <w:t>–</w:t>
      </w:r>
      <w:r>
        <w:rPr>
          <w:rFonts w:hint="cs"/>
          <w:rtl/>
        </w:rPr>
        <w:t xml:space="preserve"> בהיותו מס, אשר מוטל כידוע, על עצם הגידול השנתי ביכולת הצריכה של הנישום.</w:t>
      </w:r>
    </w:p>
    <w:p w:rsidR="008674E3" w:rsidRDefault="008674E3" w:rsidP="008674E3">
      <w:pPr>
        <w:pStyle w:val="Ruller4"/>
        <w:numPr>
          <w:ilvl w:val="0"/>
          <w:numId w:val="0"/>
        </w:numPr>
        <w:spacing w:before="240" w:after="240"/>
        <w:rPr>
          <w:rtl/>
        </w:rPr>
      </w:pPr>
      <w:r>
        <w:rPr>
          <w:rtl/>
        </w:rPr>
        <w:tab/>
      </w:r>
      <w:r>
        <w:rPr>
          <w:rFonts w:hint="cs"/>
          <w:rtl/>
        </w:rPr>
        <w:t xml:space="preserve">קביעה גורפת ביחס למקצוע כזה או אחר, המוצאת ביטוי בדמות הטבה בשיעור מס ההכנסה המושלם </w:t>
      </w:r>
      <w:r>
        <w:rPr>
          <w:rtl/>
        </w:rPr>
        <w:t>–</w:t>
      </w:r>
      <w:r>
        <w:rPr>
          <w:rFonts w:hint="cs"/>
          <w:rtl/>
        </w:rPr>
        <w:t xml:space="preserve"> מקום בו ההטבה נועדה להכווין התנהגות, בדרך של עידוד התיישבות באזורי </w:t>
      </w:r>
      <w:proofErr w:type="spellStart"/>
      <w:r w:rsidRPr="0003701C">
        <w:rPr>
          <w:rtl/>
        </w:rPr>
        <w:t>סְפַ‏ר</w:t>
      </w:r>
      <w:proofErr w:type="spellEnd"/>
      <w:r>
        <w:rPr>
          <w:rFonts w:hint="cs"/>
          <w:rtl/>
        </w:rPr>
        <w:t xml:space="preserve"> </w:t>
      </w:r>
      <w:r>
        <w:rPr>
          <w:rtl/>
        </w:rPr>
        <w:t>–</w:t>
      </w:r>
      <w:r>
        <w:rPr>
          <w:rFonts w:hint="cs"/>
          <w:rtl/>
        </w:rPr>
        <w:t xml:space="preserve"> נכון שתעשה על-ידי המדינה, ולא על ידנו; וניסיון החיים מלמד כי כבר היו דברים מעולם, גם אם באמצעים נוספים על הטבת היישוב המוטב. כך, </w:t>
      </w:r>
      <w:r>
        <w:rPr>
          <w:rFonts w:hint="cs"/>
          <w:rtl/>
        </w:rPr>
        <w:lastRenderedPageBreak/>
        <w:t xml:space="preserve">לדוגמה, נעשה ביחס למענקים במקצועות רפואה שנמצא כי הם במצוקת כוח אדם בפריפריה הגיאוגרפית או החברתית, על-ידי האגף לשכר והסכמי עבודה במשרד האוצר; וכפי שנעשה במערך התמריצים והתגמולים לעובדי הוראה בבתי ספר שנמצא כי יש בהם מחסור בכוח אדם, בשל ריחוק גיאוגרפי. </w:t>
      </w:r>
    </w:p>
    <w:p w:rsidR="008674E3" w:rsidRDefault="008674E3" w:rsidP="008674E3">
      <w:pPr>
        <w:pStyle w:val="Ruller4"/>
        <w:numPr>
          <w:ilvl w:val="0"/>
          <w:numId w:val="0"/>
        </w:numPr>
        <w:spacing w:before="240" w:after="240"/>
        <w:rPr>
          <w:rtl/>
        </w:rPr>
      </w:pPr>
      <w:r>
        <w:rPr>
          <w:rFonts w:hint="cs"/>
          <w:rtl/>
        </w:rPr>
        <w:t>5.</w:t>
      </w:r>
      <w:r>
        <w:rPr>
          <w:rFonts w:hint="cs"/>
          <w:rtl/>
        </w:rPr>
        <w:tab/>
        <w:t>ברם, אל לנו, לדידי, לעשות כן באמצעות מתן בכורה או משקל סגולי למשלח יד זה או אחר; על תרומתו הנטענת או המסתברת בעינינו.</w:t>
      </w:r>
    </w:p>
    <w:p w:rsidR="008674E3" w:rsidRDefault="008674E3" w:rsidP="008674E3">
      <w:pPr>
        <w:pStyle w:val="Ruller4"/>
        <w:numPr>
          <w:ilvl w:val="0"/>
          <w:numId w:val="0"/>
        </w:numPr>
        <w:spacing w:before="240" w:after="240"/>
        <w:rPr>
          <w:rtl/>
        </w:rPr>
      </w:pPr>
      <w:r>
        <w:rPr>
          <w:rFonts w:ascii="Century" w:hAnsi="Century" w:hint="cs"/>
          <w:sz w:val="22"/>
          <w:rtl/>
        </w:rPr>
        <w:t>6</w:t>
      </w:r>
      <w:r w:rsidRPr="0013019E">
        <w:rPr>
          <w:rFonts w:ascii="Century" w:hAnsi="Century" w:hint="cs"/>
          <w:sz w:val="22"/>
          <w:rtl/>
        </w:rPr>
        <w:t>.</w:t>
      </w:r>
      <w:r w:rsidRPr="0013019E">
        <w:rPr>
          <w:rFonts w:ascii="Century" w:hAnsi="Century" w:hint="cs"/>
          <w:sz w:val="22"/>
          <w:rtl/>
        </w:rPr>
        <w:tab/>
      </w:r>
      <w:r w:rsidRPr="00CF03E8">
        <w:rPr>
          <w:rFonts w:ascii="Century" w:hAnsi="Century" w:cs="Miriam"/>
          <w:b/>
          <w:spacing w:val="0"/>
          <w:sz w:val="22"/>
          <w:szCs w:val="24"/>
          <w:rtl/>
        </w:rPr>
        <w:t>סוף דבר</w:t>
      </w:r>
      <w:r w:rsidRPr="00B61C81">
        <w:rPr>
          <w:rtl/>
        </w:rPr>
        <w:t>:</w:t>
      </w:r>
      <w:r>
        <w:rPr>
          <w:rFonts w:ascii="FrankRuehl" w:hAnsi="FrankRuehl"/>
          <w:color w:val="000000"/>
          <w:sz w:val="28"/>
          <w:shd w:val="clear" w:color="auto" w:fill="FFFFFF"/>
          <w:rtl/>
        </w:rPr>
        <w:t xml:space="preserve"> </w:t>
      </w:r>
      <w:r w:rsidRPr="000375BC">
        <w:rPr>
          <w:rFonts w:ascii="FrankRuehl" w:hAnsi="FrankRuehl" w:hint="cs"/>
          <w:color w:val="000000"/>
          <w:sz w:val="28"/>
          <w:shd w:val="clear" w:color="auto" w:fill="FFFFFF"/>
          <w:rtl/>
        </w:rPr>
        <w:t xml:space="preserve">בכל הנוגע לערעוריהם של </w:t>
      </w:r>
      <w:proofErr w:type="spellStart"/>
      <w:r>
        <w:rPr>
          <w:rFonts w:hint="cs"/>
          <w:rtl/>
        </w:rPr>
        <w:t>חסארמה</w:t>
      </w:r>
      <w:proofErr w:type="spellEnd"/>
      <w:r>
        <w:rPr>
          <w:rFonts w:hint="cs"/>
          <w:rtl/>
        </w:rPr>
        <w:t xml:space="preserve"> </w:t>
      </w:r>
      <w:proofErr w:type="spellStart"/>
      <w:r>
        <w:rPr>
          <w:rFonts w:hint="cs"/>
          <w:rtl/>
        </w:rPr>
        <w:t>ועאבד</w:t>
      </w:r>
      <w:proofErr w:type="spellEnd"/>
      <w:r>
        <w:rPr>
          <w:rFonts w:ascii="FrankRuehl" w:hAnsi="FrankRuehl" w:hint="cs"/>
          <w:color w:val="000000"/>
          <w:sz w:val="28"/>
          <w:shd w:val="clear" w:color="auto" w:fill="FFFFFF"/>
          <w:rtl/>
        </w:rPr>
        <w:t xml:space="preserve"> (</w:t>
      </w:r>
      <w:r>
        <w:rPr>
          <w:rFonts w:hint="cs"/>
          <w:rtl/>
        </w:rPr>
        <w:t>ע"א 7719/21 וע"א 7730/21, בהתאמה)</w:t>
      </w:r>
      <w:r w:rsidRPr="000375BC">
        <w:rPr>
          <w:rFonts w:ascii="FrankRuehl" w:hAnsi="FrankRuehl" w:hint="cs"/>
          <w:color w:val="000000"/>
          <w:sz w:val="28"/>
          <w:shd w:val="clear" w:color="auto" w:fill="FFFFFF"/>
          <w:rtl/>
        </w:rPr>
        <w:t xml:space="preserve"> </w:t>
      </w:r>
      <w:r w:rsidRPr="000375BC">
        <w:rPr>
          <w:rFonts w:ascii="FrankRuehl" w:hAnsi="FrankRuehl"/>
          <w:color w:val="000000"/>
          <w:sz w:val="28"/>
          <w:shd w:val="clear" w:color="auto" w:fill="FFFFFF"/>
          <w:rtl/>
        </w:rPr>
        <w:t>–</w:t>
      </w:r>
      <w:r w:rsidRPr="000375BC">
        <w:rPr>
          <w:rFonts w:ascii="FrankRuehl" w:hAnsi="FrankRuehl" w:hint="cs"/>
          <w:color w:val="000000"/>
          <w:sz w:val="28"/>
          <w:shd w:val="clear" w:color="auto" w:fill="FFFFFF"/>
          <w:rtl/>
        </w:rPr>
        <w:t xml:space="preserve"> </w:t>
      </w:r>
      <w:r w:rsidRPr="000375BC">
        <w:rPr>
          <w:rFonts w:ascii="FrankRuehl" w:hAnsi="FrankRuehl"/>
          <w:color w:val="000000"/>
          <w:sz w:val="28"/>
          <w:shd w:val="clear" w:color="auto" w:fill="FFFFFF"/>
          <w:rtl/>
        </w:rPr>
        <w:t>אני מצטר</w:t>
      </w:r>
      <w:r w:rsidRPr="000375BC">
        <w:rPr>
          <w:rFonts w:ascii="FrankRuehl" w:hAnsi="FrankRuehl" w:hint="cs"/>
          <w:color w:val="000000"/>
          <w:sz w:val="28"/>
          <w:shd w:val="clear" w:color="auto" w:fill="FFFFFF"/>
          <w:rtl/>
        </w:rPr>
        <w:t>ף</w:t>
      </w:r>
      <w:r w:rsidRPr="000375BC">
        <w:rPr>
          <w:rFonts w:ascii="FrankRuehl" w:hAnsi="FrankRuehl"/>
          <w:color w:val="000000"/>
          <w:sz w:val="28"/>
          <w:shd w:val="clear" w:color="auto" w:fill="FFFFFF"/>
          <w:rtl/>
        </w:rPr>
        <w:t xml:space="preserve"> לתוצאה שאליה הגיע השופט </w:t>
      </w:r>
      <w:r w:rsidRPr="000375BC">
        <w:rPr>
          <w:rFonts w:ascii="Miriam" w:hAnsi="Miriam" w:cs="Miriam" w:hint="cs"/>
          <w:color w:val="000000"/>
          <w:szCs w:val="24"/>
          <w:shd w:val="clear" w:color="auto" w:fill="FFFFFF"/>
          <w:rtl/>
        </w:rPr>
        <w:t>עמית</w:t>
      </w:r>
      <w:r w:rsidRPr="000375BC">
        <w:rPr>
          <w:rFonts w:ascii="FrankRuehl" w:hAnsi="FrankRuehl"/>
          <w:color w:val="000000"/>
          <w:sz w:val="28"/>
          <w:shd w:val="clear" w:color="auto" w:fill="FFFFFF"/>
          <w:rtl/>
        </w:rPr>
        <w:t xml:space="preserve"> </w:t>
      </w:r>
      <w:r w:rsidRPr="000375BC">
        <w:rPr>
          <w:rFonts w:ascii="FrankRuehl" w:hAnsi="FrankRuehl" w:hint="cs"/>
          <w:color w:val="000000"/>
          <w:sz w:val="28"/>
          <w:shd w:val="clear" w:color="auto" w:fill="FFFFFF"/>
          <w:rtl/>
        </w:rPr>
        <w:t>ול</w:t>
      </w:r>
      <w:r w:rsidRPr="000375BC">
        <w:rPr>
          <w:rFonts w:ascii="FrankRuehl" w:hAnsi="FrankRuehl"/>
          <w:color w:val="000000"/>
          <w:sz w:val="28"/>
          <w:shd w:val="clear" w:color="auto" w:fill="FFFFFF"/>
          <w:rtl/>
        </w:rPr>
        <w:t>נימוקיו</w:t>
      </w:r>
      <w:r w:rsidRPr="000375BC">
        <w:rPr>
          <w:rFonts w:ascii="FrankRuehl" w:hAnsi="FrankRuehl" w:hint="cs"/>
          <w:color w:val="000000"/>
          <w:sz w:val="28"/>
          <w:shd w:val="clear" w:color="auto" w:fill="FFFFFF"/>
          <w:rtl/>
        </w:rPr>
        <w:t xml:space="preserve">; </w:t>
      </w:r>
      <w:r>
        <w:rPr>
          <w:rFonts w:hint="cs"/>
          <w:rtl/>
        </w:rPr>
        <w:t xml:space="preserve">אשר </w:t>
      </w:r>
      <w:r w:rsidRPr="00F86D23">
        <w:rPr>
          <w:rFonts w:hint="eastAsia"/>
          <w:rtl/>
        </w:rPr>
        <w:t>לדחיית</w:t>
      </w:r>
      <w:r>
        <w:rPr>
          <w:rFonts w:hint="cs"/>
          <w:rtl/>
        </w:rPr>
        <w:t xml:space="preserve"> ערעור הקבוצה (ע"א 7722/21) וסוגיית הקנסות </w:t>
      </w:r>
      <w:r>
        <w:rPr>
          <w:rtl/>
        </w:rPr>
        <w:t>–</w:t>
      </w:r>
      <w:r>
        <w:rPr>
          <w:rFonts w:hint="cs"/>
          <w:rtl/>
        </w:rPr>
        <w:t xml:space="preserve"> אני מצטרף לדעת חבריי, השופטים </w:t>
      </w:r>
      <w:r w:rsidRPr="000375BC">
        <w:rPr>
          <w:rFonts w:ascii="Century" w:hAnsi="Century" w:cs="Miriam" w:hint="cs"/>
          <w:b/>
          <w:spacing w:val="0"/>
          <w:sz w:val="22"/>
          <w:szCs w:val="24"/>
          <w:rtl/>
        </w:rPr>
        <w:t>שטיין</w:t>
      </w:r>
      <w:r w:rsidRPr="000375BC">
        <w:rPr>
          <w:rFonts w:hint="cs"/>
          <w:rtl/>
        </w:rPr>
        <w:t xml:space="preserve"> </w:t>
      </w:r>
      <w:r>
        <w:rPr>
          <w:rFonts w:hint="cs"/>
          <w:rtl/>
        </w:rPr>
        <w:t>ו</w:t>
      </w:r>
      <w:r w:rsidRPr="000375BC">
        <w:rPr>
          <w:rFonts w:ascii="Century" w:hAnsi="Century" w:cs="Miriam" w:hint="cs"/>
          <w:b/>
          <w:spacing w:val="0"/>
          <w:sz w:val="22"/>
          <w:szCs w:val="24"/>
          <w:rtl/>
        </w:rPr>
        <w:t>עמית</w:t>
      </w:r>
      <w:r>
        <w:rPr>
          <w:rFonts w:hint="cs"/>
          <w:rtl/>
        </w:rPr>
        <w:t xml:space="preserve">. </w:t>
      </w:r>
    </w:p>
    <w:p w:rsidR="008674E3" w:rsidRDefault="008674E3" w:rsidP="008674E3">
      <w:pPr>
        <w:pStyle w:val="Ruller4"/>
        <w:numPr>
          <w:ilvl w:val="0"/>
          <w:numId w:val="0"/>
        </w:numPr>
        <w:spacing w:before="240" w:after="240"/>
        <w:rPr>
          <w:rFonts w:ascii="Century" w:hAnsi="Century" w:cs="Miriam"/>
          <w:b/>
          <w:spacing w:val="0"/>
          <w:sz w:val="22"/>
          <w:szCs w:val="24"/>
          <w:rtl/>
        </w:rPr>
      </w:pPr>
      <w:r w:rsidRPr="00F86D23">
        <w:rPr>
          <w:rFonts w:ascii="Century" w:hAnsi="Century" w:cs="Miriam" w:hint="eastAsia"/>
          <w:b/>
          <w:spacing w:val="0"/>
          <w:sz w:val="22"/>
          <w:szCs w:val="24"/>
          <w:rtl/>
        </w:rPr>
        <w:t>עוללות</w:t>
      </w:r>
    </w:p>
    <w:p w:rsidR="008674E3" w:rsidRDefault="008674E3" w:rsidP="008674E3">
      <w:pPr>
        <w:pStyle w:val="Ruller4"/>
        <w:numPr>
          <w:ilvl w:val="0"/>
          <w:numId w:val="0"/>
        </w:numPr>
        <w:spacing w:before="240" w:after="240"/>
        <w:rPr>
          <w:rFonts w:ascii="Century" w:hAnsi="Century"/>
          <w:sz w:val="22"/>
          <w:rtl/>
        </w:rPr>
      </w:pPr>
      <w:r>
        <w:rPr>
          <w:rFonts w:ascii="Century" w:hAnsi="Century" w:hint="cs"/>
          <w:sz w:val="22"/>
          <w:rtl/>
        </w:rPr>
        <w:t>7</w:t>
      </w:r>
      <w:r w:rsidRPr="0013019E">
        <w:rPr>
          <w:rFonts w:ascii="Century" w:hAnsi="Century" w:hint="cs"/>
          <w:sz w:val="22"/>
          <w:rtl/>
        </w:rPr>
        <w:t>.</w:t>
      </w:r>
      <w:r w:rsidRPr="0013019E">
        <w:rPr>
          <w:rFonts w:ascii="Century" w:hAnsi="Century" w:hint="cs"/>
          <w:sz w:val="22"/>
          <w:rtl/>
        </w:rPr>
        <w:tab/>
      </w:r>
      <w:r>
        <w:rPr>
          <w:rFonts w:ascii="Century" w:hAnsi="Century" w:hint="cs"/>
          <w:sz w:val="22"/>
          <w:rtl/>
        </w:rPr>
        <w:t xml:space="preserve">אחר דברים אלה אבקש להתייחס, בתמצית, לאמור בסעיף 86 לחוות דעתו של חברי, השופט </w:t>
      </w:r>
      <w:r w:rsidRPr="00F86D23">
        <w:rPr>
          <w:rFonts w:ascii="Century" w:hAnsi="Century" w:cs="Miriam" w:hint="eastAsia"/>
          <w:b/>
          <w:spacing w:val="0"/>
          <w:sz w:val="22"/>
          <w:szCs w:val="24"/>
          <w:rtl/>
        </w:rPr>
        <w:t>א</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שטיין</w:t>
      </w:r>
      <w:r w:rsidRPr="00F86D23">
        <w:rPr>
          <w:rFonts w:ascii="Century" w:hAnsi="Century"/>
          <w:sz w:val="22"/>
          <w:rtl/>
        </w:rPr>
        <w:t xml:space="preserve">. </w:t>
      </w:r>
    </w:p>
    <w:p w:rsidR="008674E3" w:rsidRPr="00F86D23" w:rsidRDefault="008674E3" w:rsidP="008674E3">
      <w:pPr>
        <w:pStyle w:val="Ruller4"/>
        <w:numPr>
          <w:ilvl w:val="0"/>
          <w:numId w:val="0"/>
        </w:numPr>
        <w:spacing w:before="240" w:after="240"/>
        <w:rPr>
          <w:rFonts w:ascii="Century" w:hAnsi="Century"/>
          <w:sz w:val="22"/>
          <w:rtl/>
        </w:rPr>
      </w:pPr>
      <w:r>
        <w:rPr>
          <w:rFonts w:ascii="Century" w:hAnsi="Century"/>
          <w:sz w:val="22"/>
          <w:rtl/>
        </w:rPr>
        <w:tab/>
      </w:r>
      <w:r>
        <w:rPr>
          <w:rFonts w:ascii="Century" w:hAnsi="Century" w:hint="cs"/>
          <w:sz w:val="22"/>
          <w:rtl/>
        </w:rPr>
        <w:t xml:space="preserve">לשיטתי, בשים לב לכללים הנודעים באשר לחלוקת </w:t>
      </w:r>
      <w:proofErr w:type="spellStart"/>
      <w:r>
        <w:rPr>
          <w:rFonts w:ascii="Century" w:hAnsi="Century" w:hint="cs"/>
          <w:sz w:val="22"/>
          <w:rtl/>
        </w:rPr>
        <w:t>הנטלים</w:t>
      </w:r>
      <w:proofErr w:type="spellEnd"/>
      <w:r>
        <w:rPr>
          <w:rFonts w:ascii="Century" w:hAnsi="Century" w:hint="cs"/>
          <w:sz w:val="22"/>
          <w:rtl/>
        </w:rPr>
        <w:t xml:space="preserve"> וחובת הראיה בדיני מס (ולהרחבה בנדון ראו החלקים הרלבנטיים בע״א 5072/</w:t>
      </w:r>
      <w:r w:rsidRPr="00F86D23">
        <w:rPr>
          <w:rFonts w:ascii="Century" w:hAnsi="Century" w:cs="Miriam"/>
          <w:b/>
          <w:spacing w:val="0"/>
          <w:sz w:val="22"/>
          <w:szCs w:val="24"/>
          <w:rtl/>
        </w:rPr>
        <w:t xml:space="preserve">19 </w:t>
      </w:r>
      <w:r w:rsidRPr="00FF18FD">
        <w:rPr>
          <w:rFonts w:ascii="Century" w:hAnsi="Century" w:cs="Miriam" w:hint="cs"/>
          <w:b/>
          <w:spacing w:val="0"/>
          <w:sz w:val="22"/>
          <w:szCs w:val="24"/>
          <w:rtl/>
        </w:rPr>
        <w:t>שווארמה א.ש בע״מ נ׳ פקיד שומה חדרה</w:t>
      </w:r>
      <w:r>
        <w:rPr>
          <w:rFonts w:ascii="Century" w:hAnsi="Century" w:hint="cs"/>
          <w:sz w:val="22"/>
          <w:rtl/>
        </w:rPr>
        <w:t xml:space="preserve">, פסקאות 34-13 (09.05.2021), וכן </w:t>
      </w:r>
      <w:r w:rsidRPr="00F86D23">
        <w:rPr>
          <w:rFonts w:ascii="Century" w:hAnsi="Century" w:hint="eastAsia"/>
          <w:sz w:val="22"/>
          <w:rtl/>
        </w:rPr>
        <w:t>רע</w:t>
      </w:r>
      <w:r w:rsidRPr="00F86D23">
        <w:rPr>
          <w:rFonts w:ascii="Century" w:hAnsi="Century"/>
          <w:sz w:val="22"/>
          <w:rtl/>
        </w:rPr>
        <w:t>"</w:t>
      </w:r>
      <w:r w:rsidRPr="00F86D23">
        <w:rPr>
          <w:rFonts w:ascii="Century" w:hAnsi="Century" w:hint="eastAsia"/>
          <w:sz w:val="22"/>
          <w:rtl/>
        </w:rPr>
        <w:t>א</w:t>
      </w:r>
      <w:r w:rsidRPr="00F86D23">
        <w:rPr>
          <w:rFonts w:ascii="Century" w:hAnsi="Century"/>
          <w:sz w:val="22"/>
          <w:rtl/>
        </w:rPr>
        <w:t xml:space="preserve"> 1436/</w:t>
      </w:r>
      <w:r w:rsidRPr="00F86D23">
        <w:rPr>
          <w:rFonts w:ascii="Century" w:hAnsi="Century" w:cs="Miriam"/>
          <w:b/>
          <w:spacing w:val="0"/>
          <w:sz w:val="22"/>
          <w:szCs w:val="24"/>
          <w:rtl/>
        </w:rPr>
        <w:t xml:space="preserve">90 </w:t>
      </w:r>
      <w:r w:rsidRPr="00F86D23">
        <w:rPr>
          <w:rFonts w:ascii="Century" w:hAnsi="Century" w:cs="Miriam" w:hint="eastAsia"/>
          <w:b/>
          <w:spacing w:val="0"/>
          <w:sz w:val="22"/>
          <w:szCs w:val="24"/>
          <w:rtl/>
        </w:rPr>
        <w:t>ארד</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חברה</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לניהול</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השקעות</w:t>
      </w:r>
      <w:r w:rsidRPr="00F86D23">
        <w:rPr>
          <w:rFonts w:ascii="Century" w:hAnsi="Century" w:cs="Miriam"/>
          <w:b/>
          <w:spacing w:val="0"/>
          <w:sz w:val="22"/>
          <w:szCs w:val="24"/>
          <w:rtl/>
        </w:rPr>
        <w:t xml:space="preserve"> </w:t>
      </w:r>
      <w:proofErr w:type="spellStart"/>
      <w:r w:rsidRPr="00F86D23">
        <w:rPr>
          <w:rFonts w:ascii="Century" w:hAnsi="Century" w:cs="Miriam" w:hint="eastAsia"/>
          <w:b/>
          <w:spacing w:val="0"/>
          <w:sz w:val="22"/>
          <w:szCs w:val="24"/>
          <w:rtl/>
        </w:rPr>
        <w:t>ושרותים</w:t>
      </w:r>
      <w:proofErr w:type="spellEnd"/>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בע</w:t>
      </w:r>
      <w:r w:rsidRPr="00F86D23">
        <w:rPr>
          <w:rFonts w:ascii="Century" w:hAnsi="Century" w:cs="Miriam"/>
          <w:b/>
          <w:spacing w:val="0"/>
          <w:sz w:val="22"/>
          <w:szCs w:val="24"/>
          <w:rtl/>
        </w:rPr>
        <w:t>"</w:t>
      </w:r>
      <w:r w:rsidRPr="00F86D23">
        <w:rPr>
          <w:rFonts w:ascii="Century" w:hAnsi="Century" w:cs="Miriam" w:hint="eastAsia"/>
          <w:b/>
          <w:spacing w:val="0"/>
          <w:sz w:val="22"/>
          <w:szCs w:val="24"/>
          <w:rtl/>
        </w:rPr>
        <w:t>מ</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נ</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מנהל</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מס</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ערך</w:t>
      </w:r>
      <w:r w:rsidRPr="00F86D23">
        <w:rPr>
          <w:rFonts w:ascii="Century" w:hAnsi="Century" w:cs="Miriam"/>
          <w:b/>
          <w:spacing w:val="0"/>
          <w:sz w:val="22"/>
          <w:szCs w:val="24"/>
          <w:rtl/>
        </w:rPr>
        <w:t xml:space="preserve"> </w:t>
      </w:r>
      <w:r w:rsidRPr="00F86D23">
        <w:rPr>
          <w:rFonts w:ascii="Century" w:hAnsi="Century" w:cs="Miriam" w:hint="eastAsia"/>
          <w:b/>
          <w:spacing w:val="0"/>
          <w:sz w:val="22"/>
          <w:szCs w:val="24"/>
          <w:rtl/>
        </w:rPr>
        <w:t>מוסף</w:t>
      </w:r>
      <w:r w:rsidRPr="00F86D23">
        <w:rPr>
          <w:rFonts w:ascii="Century" w:hAnsi="Century"/>
          <w:sz w:val="22"/>
          <w:rtl/>
        </w:rPr>
        <w:t xml:space="preserve">, </w:t>
      </w:r>
      <w:r w:rsidRPr="00F86D23">
        <w:rPr>
          <w:rFonts w:ascii="Century" w:hAnsi="Century" w:hint="eastAsia"/>
          <w:sz w:val="22"/>
          <w:rtl/>
        </w:rPr>
        <w:t>פ</w:t>
      </w:r>
      <w:r w:rsidRPr="00F86D23">
        <w:rPr>
          <w:rFonts w:ascii="Century" w:hAnsi="Century"/>
          <w:sz w:val="22"/>
          <w:rtl/>
        </w:rPr>
        <w:t>"</w:t>
      </w:r>
      <w:r w:rsidRPr="00F86D23">
        <w:rPr>
          <w:rFonts w:ascii="Century" w:hAnsi="Century" w:hint="eastAsia"/>
          <w:sz w:val="22"/>
          <w:rtl/>
        </w:rPr>
        <w:t>ד</w:t>
      </w:r>
      <w:r w:rsidRPr="00F86D23">
        <w:rPr>
          <w:rFonts w:ascii="Century" w:hAnsi="Century"/>
          <w:sz w:val="22"/>
          <w:rtl/>
        </w:rPr>
        <w:t xml:space="preserve"> </w:t>
      </w:r>
      <w:r w:rsidRPr="00F86D23">
        <w:rPr>
          <w:rFonts w:ascii="Century" w:hAnsi="Century" w:hint="eastAsia"/>
          <w:sz w:val="22"/>
          <w:rtl/>
        </w:rPr>
        <w:t>מו</w:t>
      </w:r>
      <w:r>
        <w:rPr>
          <w:rFonts w:ascii="Century" w:hAnsi="Century"/>
          <w:sz w:val="22"/>
          <w:rtl/>
        </w:rPr>
        <w:t xml:space="preserve">(5) </w:t>
      </w:r>
      <w:r>
        <w:rPr>
          <w:rFonts w:ascii="Century" w:hAnsi="Century" w:hint="cs"/>
          <w:sz w:val="22"/>
          <w:rtl/>
        </w:rPr>
        <w:t>101), ומשמצאנו כי ״דינו של כדורגלן מקצועי אינו שונה מדינם של תחומים</w:t>
      </w:r>
      <w:r w:rsidR="00FF18F6">
        <w:rPr>
          <w:rFonts w:ascii="Century" w:hAnsi="Century" w:hint="cs"/>
          <w:sz w:val="22"/>
          <w:rtl/>
        </w:rPr>
        <w:t xml:space="preserve"> אחרים</w:t>
      </w:r>
      <w:r>
        <w:rPr>
          <w:rFonts w:ascii="Century" w:hAnsi="Century" w:hint="cs"/>
          <w:sz w:val="22"/>
          <w:rtl/>
        </w:rPr>
        <w:t xml:space="preserve">״ (פסקה 7 לחוות דעתו של השופט </w:t>
      </w:r>
      <w:r w:rsidRPr="00F86D23">
        <w:rPr>
          <w:rFonts w:ascii="Century" w:hAnsi="Century" w:cs="Miriam" w:hint="eastAsia"/>
          <w:b/>
          <w:spacing w:val="0"/>
          <w:sz w:val="22"/>
          <w:szCs w:val="24"/>
          <w:rtl/>
        </w:rPr>
        <w:t>עמית</w:t>
      </w:r>
      <w:r>
        <w:rPr>
          <w:rFonts w:ascii="Century" w:hAnsi="Century" w:hint="cs"/>
          <w:sz w:val="22"/>
          <w:rtl/>
        </w:rPr>
        <w:t xml:space="preserve">), </w:t>
      </w:r>
      <w:r>
        <w:rPr>
          <w:rFonts w:hint="cs"/>
          <w:rtl/>
        </w:rPr>
        <w:t xml:space="preserve">עמדת חברי השופט </w:t>
      </w:r>
      <w:r w:rsidRPr="00F86D23">
        <w:rPr>
          <w:rFonts w:ascii="Century" w:hAnsi="Century" w:cs="Miriam" w:hint="eastAsia"/>
          <w:b/>
          <w:spacing w:val="0"/>
          <w:sz w:val="22"/>
          <w:szCs w:val="24"/>
          <w:rtl/>
        </w:rPr>
        <w:t>שטיין</w:t>
      </w:r>
      <w:r>
        <w:rPr>
          <w:rFonts w:hint="cs"/>
          <w:rtl/>
        </w:rPr>
        <w:t xml:space="preserve">, לא מתיישבת עם נקודת המוצא בערעורי מס </w:t>
      </w:r>
      <w:r>
        <w:rPr>
          <w:rFonts w:cs="Times New Roman"/>
          <w:rtl/>
        </w:rPr>
        <w:t>–</w:t>
      </w:r>
      <w:r>
        <w:rPr>
          <w:rFonts w:hint="cs"/>
          <w:rtl/>
        </w:rPr>
        <w:t xml:space="preserve"> שלפיה, כידוע, המוציא מחברו הוא הנישום המערער על ההחלטה של פקיד השומה (</w:t>
      </w:r>
      <w:r w:rsidRPr="00F86D23">
        <w:rPr>
          <w:rFonts w:hint="eastAsia"/>
          <w:rtl/>
        </w:rPr>
        <w:t>ע</w:t>
      </w:r>
      <w:r w:rsidRPr="00F86D23">
        <w:rPr>
          <w:rtl/>
        </w:rPr>
        <w:t>"</w:t>
      </w:r>
      <w:r w:rsidRPr="00F86D23">
        <w:rPr>
          <w:rFonts w:hint="eastAsia"/>
          <w:rtl/>
        </w:rPr>
        <w:t>א</w:t>
      </w:r>
      <w:r w:rsidRPr="00F86D23">
        <w:rPr>
          <w:rtl/>
        </w:rPr>
        <w:t xml:space="preserve"> 943/16</w:t>
      </w:r>
      <w:r>
        <w:rPr>
          <w:rFonts w:hint="cs"/>
          <w:rtl/>
        </w:rPr>
        <w:t xml:space="preserve"> </w:t>
      </w:r>
      <w:proofErr w:type="spellStart"/>
      <w:r w:rsidRPr="00D07D75">
        <w:rPr>
          <w:rFonts w:ascii="Century" w:hAnsi="Century" w:cs="Miriam" w:hint="cs"/>
          <w:b/>
          <w:spacing w:val="0"/>
          <w:sz w:val="22"/>
          <w:szCs w:val="24"/>
          <w:rtl/>
        </w:rPr>
        <w:t>קונטירה</w:t>
      </w:r>
      <w:proofErr w:type="spellEnd"/>
      <w:r w:rsidRPr="00D07D75">
        <w:rPr>
          <w:rFonts w:ascii="Century" w:hAnsi="Century" w:cs="Miriam" w:hint="cs"/>
          <w:b/>
          <w:spacing w:val="0"/>
          <w:sz w:val="22"/>
          <w:szCs w:val="24"/>
          <w:rtl/>
        </w:rPr>
        <w:t xml:space="preserve"> טכנולוגיות בע"מ נ' פקיד שומה תל אביב 3</w:t>
      </w:r>
      <w:r>
        <w:rPr>
          <w:rFonts w:hint="cs"/>
          <w:rtl/>
        </w:rPr>
        <w:t>, פסקה 47 (22.04.2018)). ו</w:t>
      </w:r>
      <w:r>
        <w:rPr>
          <w:rFonts w:ascii="Century" w:hAnsi="Century" w:hint="cs"/>
          <w:sz w:val="22"/>
          <w:rtl/>
        </w:rPr>
        <w:t xml:space="preserve">הדברים מקבלים משנה תוקף, בהינתן קביעותיו של בית משפט קמא בכל הנוגע </w:t>
      </w:r>
      <w:proofErr w:type="spellStart"/>
      <w:r>
        <w:rPr>
          <w:rFonts w:ascii="Century" w:hAnsi="Century" w:hint="cs"/>
          <w:sz w:val="22"/>
          <w:rtl/>
        </w:rPr>
        <w:t>ל׳דרישתו</w:t>
      </w:r>
      <w:proofErr w:type="spellEnd"/>
      <w:r>
        <w:rPr>
          <w:rFonts w:ascii="Century" w:hAnsi="Century" w:hint="cs"/>
          <w:sz w:val="22"/>
          <w:rtl/>
        </w:rPr>
        <w:t xml:space="preserve"> של </w:t>
      </w:r>
      <w:proofErr w:type="spellStart"/>
      <w:r>
        <w:rPr>
          <w:rFonts w:ascii="Century" w:hAnsi="Century" w:hint="cs"/>
          <w:sz w:val="22"/>
          <w:rtl/>
        </w:rPr>
        <w:t>שרצקי</w:t>
      </w:r>
      <w:proofErr w:type="spellEnd"/>
      <w:r>
        <w:rPr>
          <w:rFonts w:ascii="Century" w:hAnsi="Century" w:hint="cs"/>
          <w:sz w:val="22"/>
          <w:rtl/>
        </w:rPr>
        <w:t xml:space="preserve">׳ או ׳מדיניות הקבוצה׳, שלא עוגנו בהסכם בכתב, כפי שציין השופט </w:t>
      </w:r>
      <w:r w:rsidRPr="00F86D23">
        <w:rPr>
          <w:rFonts w:ascii="Century" w:hAnsi="Century" w:cs="Miriam" w:hint="eastAsia"/>
          <w:b/>
          <w:spacing w:val="0"/>
          <w:sz w:val="22"/>
          <w:szCs w:val="24"/>
          <w:rtl/>
        </w:rPr>
        <w:t>עמית</w:t>
      </w:r>
      <w:r>
        <w:rPr>
          <w:rFonts w:ascii="Century" w:hAnsi="Century" w:hint="cs"/>
          <w:sz w:val="22"/>
          <w:rtl/>
        </w:rPr>
        <w:t xml:space="preserve"> בפסקה 11 לחוות דעתו. משכך, סבורני, כי במקרה דנן לא ניתן לראות בדירות שהושכרו עבור </w:t>
      </w:r>
      <w:proofErr w:type="spellStart"/>
      <w:r>
        <w:rPr>
          <w:rFonts w:ascii="Century" w:hAnsi="Century" w:hint="cs"/>
          <w:sz w:val="22"/>
          <w:rtl/>
        </w:rPr>
        <w:t>חסארמה</w:t>
      </w:r>
      <w:proofErr w:type="spellEnd"/>
      <w:r>
        <w:rPr>
          <w:rFonts w:ascii="Century" w:hAnsi="Century" w:hint="cs"/>
          <w:sz w:val="22"/>
          <w:rtl/>
        </w:rPr>
        <w:t xml:space="preserve"> </w:t>
      </w:r>
      <w:proofErr w:type="spellStart"/>
      <w:r>
        <w:rPr>
          <w:rFonts w:ascii="Century" w:hAnsi="Century" w:hint="cs"/>
          <w:sz w:val="22"/>
          <w:rtl/>
        </w:rPr>
        <w:t>ועאבד</w:t>
      </w:r>
      <w:proofErr w:type="spellEnd"/>
      <w:r>
        <w:rPr>
          <w:rFonts w:ascii="Century" w:hAnsi="Century" w:hint="cs"/>
          <w:sz w:val="22"/>
          <w:rtl/>
        </w:rPr>
        <w:t xml:space="preserve"> ״הנאה שכולה או עיקרה צורך התפקיד״, שאינה חייבת במס הכנסה.</w:t>
      </w:r>
    </w:p>
    <w:p w:rsidR="00245254" w:rsidRDefault="00245254" w:rsidP="00B809A5">
      <w:pPr>
        <w:pStyle w:val="Ruller41"/>
        <w:rPr>
          <w:rtl/>
        </w:rPr>
      </w:pPr>
    </w:p>
    <w:tbl>
      <w:tblPr>
        <w:bidiVisual/>
        <w:tblW w:w="8363" w:type="dxa"/>
        <w:tblLook w:val="01E0" w:firstRow="1" w:lastRow="1" w:firstColumn="1" w:lastColumn="1" w:noHBand="0" w:noVBand="0"/>
      </w:tblPr>
      <w:tblGrid>
        <w:gridCol w:w="2786"/>
        <w:gridCol w:w="2787"/>
        <w:gridCol w:w="2790"/>
      </w:tblGrid>
      <w:tr w:rsidR="00B809A5" w:rsidTr="001B7B22">
        <w:tc>
          <w:tcPr>
            <w:tcW w:w="2842" w:type="dxa"/>
            <w:shd w:val="clear" w:color="auto" w:fill="auto"/>
          </w:tcPr>
          <w:p w:rsidR="00B809A5" w:rsidRDefault="00B809A5" w:rsidP="001B7B22">
            <w:pPr>
              <w:pStyle w:val="Ruller41"/>
              <w:rPr>
                <w:rtl/>
              </w:rPr>
            </w:pPr>
          </w:p>
        </w:tc>
        <w:tc>
          <w:tcPr>
            <w:tcW w:w="2843" w:type="dxa"/>
            <w:shd w:val="clear" w:color="auto" w:fill="auto"/>
          </w:tcPr>
          <w:p w:rsidR="00B809A5" w:rsidRDefault="00B809A5" w:rsidP="001B7B22">
            <w:pPr>
              <w:pStyle w:val="Ruller41"/>
              <w:jc w:val="center"/>
              <w:rPr>
                <w:rtl/>
              </w:rPr>
            </w:pPr>
          </w:p>
        </w:tc>
        <w:tc>
          <w:tcPr>
            <w:tcW w:w="2843" w:type="dxa"/>
            <w:shd w:val="clear" w:color="auto" w:fill="auto"/>
          </w:tcPr>
          <w:p w:rsidR="00B809A5" w:rsidRDefault="00B809A5" w:rsidP="001B7B22">
            <w:pPr>
              <w:pStyle w:val="Ruller41"/>
              <w:jc w:val="right"/>
              <w:rPr>
                <w:rtl/>
              </w:rPr>
            </w:pPr>
            <w:r>
              <w:rPr>
                <w:rtl/>
              </w:rPr>
              <w:t>ש ו פ ט</w:t>
            </w:r>
          </w:p>
        </w:tc>
      </w:tr>
    </w:tbl>
    <w:p w:rsidR="00B809A5" w:rsidRDefault="00B809A5" w:rsidP="00B809A5">
      <w:pPr>
        <w:pStyle w:val="Ruller41"/>
        <w:rPr>
          <w:rtl/>
        </w:rPr>
      </w:pPr>
    </w:p>
    <w:p w:rsidR="00B809A5" w:rsidRDefault="00B75DB9" w:rsidP="00B809A5">
      <w:pPr>
        <w:pStyle w:val="Ruller41"/>
        <w:rPr>
          <w:rtl/>
        </w:rPr>
      </w:pPr>
      <w:r>
        <w:rPr>
          <w:rtl/>
        </w:rPr>
        <w:tab/>
      </w:r>
      <w:r>
        <w:rPr>
          <w:rtl/>
        </w:rPr>
        <w:tab/>
        <w:t xml:space="preserve">ניתן היום, </w:t>
      </w:r>
      <w:r>
        <w:rPr>
          <w:rFonts w:hint="eastAsia"/>
          <w:rtl/>
        </w:rPr>
        <w:t>‏י</w:t>
      </w:r>
      <w:r>
        <w:rPr>
          <w:rtl/>
        </w:rPr>
        <w:t xml:space="preserve">"ג באייר </w:t>
      </w:r>
      <w:proofErr w:type="spellStart"/>
      <w:r>
        <w:rPr>
          <w:rtl/>
        </w:rPr>
        <w:t>התשפ"ג</w:t>
      </w:r>
      <w:proofErr w:type="spellEnd"/>
      <w:r>
        <w:rPr>
          <w:rtl/>
        </w:rPr>
        <w:t xml:space="preserve"> (</w:t>
      </w:r>
      <w:r>
        <w:rPr>
          <w:rFonts w:hint="eastAsia"/>
          <w:rtl/>
        </w:rPr>
        <w:t>‏</w:t>
      </w:r>
      <w:r>
        <w:rPr>
          <w:rtl/>
        </w:rPr>
        <w:t>4.5.2023).</w:t>
      </w:r>
    </w:p>
    <w:p w:rsidR="00B75DB9" w:rsidRDefault="00B75DB9" w:rsidP="00B809A5">
      <w:pPr>
        <w:pStyle w:val="Ruller41"/>
        <w:rPr>
          <w:rtl/>
        </w:rPr>
      </w:pPr>
    </w:p>
    <w:p w:rsidR="00B75DB9" w:rsidRDefault="00B75DB9" w:rsidP="00B75DB9">
      <w:pPr>
        <w:pStyle w:val="Ruller41"/>
        <w:rPr>
          <w:rtl/>
        </w:rPr>
      </w:pPr>
      <w:r>
        <w:rPr>
          <w:rtl/>
        </w:rPr>
        <w:lastRenderedPageBreak/>
        <w:tab/>
      </w:r>
      <w:r>
        <w:rPr>
          <w:rFonts w:hint="cs"/>
          <w:rtl/>
        </w:rPr>
        <w:t xml:space="preserve">בעניין זכאות המערערים בע"א 7719/21 ובע"א 7730/21 ושאר שחקני הקבוצה עירוני קריית שמונה להטבה לפי סעיף 11 לפקודת מס הכנסה [נוסח חדש], התשכ"א-1961, הוחלט ברוב דעות לדחות את הערעורים, כאמור בפסק דינו של השופט </w:t>
      </w:r>
      <w:r w:rsidRPr="00B75DB9">
        <w:rPr>
          <w:rFonts w:ascii="Century" w:hAnsi="Century" w:cs="Miriam" w:hint="cs"/>
          <w:b/>
          <w:spacing w:val="0"/>
          <w:szCs w:val="24"/>
          <w:rtl/>
        </w:rPr>
        <w:t>י' עמית</w:t>
      </w:r>
      <w:r>
        <w:rPr>
          <w:rFonts w:hint="cs"/>
          <w:rtl/>
        </w:rPr>
        <w:t xml:space="preserve">,  כנגד דעתו החולקת של השופט </w:t>
      </w:r>
      <w:r w:rsidRPr="00B75DB9">
        <w:rPr>
          <w:rFonts w:ascii="Century" w:hAnsi="Century" w:cs="Miriam" w:hint="cs"/>
          <w:b/>
          <w:spacing w:val="0"/>
          <w:szCs w:val="24"/>
          <w:rtl/>
        </w:rPr>
        <w:t>א' שטיין</w:t>
      </w:r>
      <w:r>
        <w:rPr>
          <w:rFonts w:hint="cs"/>
          <w:rtl/>
        </w:rPr>
        <w:t xml:space="preserve">. באשר לדחיית ערעור הקבוצה, ע"א 7722/21, וקבלה חלקית של ערעורה בעניין הקנסות, הוחלט פה-אחד כאמור בפסק דינו של השופט </w:t>
      </w:r>
      <w:r w:rsidRPr="00B75DB9">
        <w:rPr>
          <w:rFonts w:ascii="Century" w:hAnsi="Century" w:cs="Miriam" w:hint="cs"/>
          <w:b/>
          <w:spacing w:val="0"/>
          <w:szCs w:val="24"/>
          <w:rtl/>
        </w:rPr>
        <w:t>א' שטיין</w:t>
      </w:r>
      <w:r>
        <w:rPr>
          <w:rFonts w:hint="cs"/>
          <w:rtl/>
        </w:rPr>
        <w:t xml:space="preserve">. באשר להוצאות ההליך, הוחלט פה-אחד כאמור בפסק דינו של השופט </w:t>
      </w:r>
      <w:r w:rsidRPr="00B75DB9">
        <w:rPr>
          <w:rFonts w:ascii="Century" w:hAnsi="Century" w:cs="Miriam" w:hint="cs"/>
          <w:b/>
          <w:spacing w:val="0"/>
          <w:szCs w:val="24"/>
          <w:rtl/>
        </w:rPr>
        <w:t>א' שטיין</w:t>
      </w:r>
      <w:r>
        <w:rPr>
          <w:rFonts w:hint="cs"/>
          <w:rtl/>
        </w:rPr>
        <w:t>.</w:t>
      </w:r>
    </w:p>
    <w:p w:rsidR="00B809A5" w:rsidRDefault="00B809A5" w:rsidP="00A51FAE">
      <w:pPr>
        <w:pStyle w:val="Ruller41"/>
        <w:rPr>
          <w:rtl/>
        </w:rPr>
      </w:pPr>
    </w:p>
    <w:p w:rsidR="00B809A5" w:rsidRDefault="00B809A5" w:rsidP="00A51FAE">
      <w:pPr>
        <w:pStyle w:val="Ruller41"/>
        <w:rPr>
          <w:rtl/>
        </w:rPr>
      </w:pPr>
    </w:p>
    <w:tbl>
      <w:tblPr>
        <w:bidiVisual/>
        <w:tblW w:w="8363" w:type="dxa"/>
        <w:tblLook w:val="01E0" w:firstRow="1" w:lastRow="1" w:firstColumn="1" w:lastColumn="1" w:noHBand="0" w:noVBand="0"/>
      </w:tblPr>
      <w:tblGrid>
        <w:gridCol w:w="2787"/>
        <w:gridCol w:w="2788"/>
        <w:gridCol w:w="2788"/>
      </w:tblGrid>
      <w:tr w:rsidR="001A0164" w:rsidTr="00B809A5">
        <w:tc>
          <w:tcPr>
            <w:tcW w:w="2787" w:type="dxa"/>
            <w:shd w:val="clear" w:color="auto" w:fill="auto"/>
          </w:tcPr>
          <w:p w:rsidR="00016EF1" w:rsidRDefault="003C1978" w:rsidP="00A51FAE">
            <w:pPr>
              <w:pStyle w:val="Ruller41"/>
              <w:rPr>
                <w:rtl/>
              </w:rPr>
            </w:pPr>
            <w:r>
              <w:rPr>
                <w:rtl/>
              </w:rPr>
              <w:t>ש ו פ ט</w:t>
            </w:r>
          </w:p>
        </w:tc>
        <w:tc>
          <w:tcPr>
            <w:tcW w:w="2788" w:type="dxa"/>
            <w:shd w:val="clear" w:color="auto" w:fill="auto"/>
          </w:tcPr>
          <w:p w:rsidR="001A0164" w:rsidRDefault="003C1978" w:rsidP="00BA0B08">
            <w:pPr>
              <w:pStyle w:val="Ruller41"/>
              <w:jc w:val="center"/>
              <w:rPr>
                <w:rtl/>
              </w:rPr>
            </w:pPr>
            <w:r>
              <w:rPr>
                <w:rtl/>
              </w:rPr>
              <w:t>ש ו פ ט</w:t>
            </w:r>
          </w:p>
        </w:tc>
        <w:tc>
          <w:tcPr>
            <w:tcW w:w="2788" w:type="dxa"/>
            <w:shd w:val="clear" w:color="auto" w:fill="auto"/>
          </w:tcPr>
          <w:p w:rsidR="001A0164" w:rsidRDefault="003C1978" w:rsidP="00490B4A">
            <w:pPr>
              <w:pStyle w:val="Ruller41"/>
              <w:jc w:val="right"/>
              <w:rPr>
                <w:rtl/>
              </w:rPr>
            </w:pPr>
            <w:r>
              <w:rPr>
                <w:rtl/>
              </w:rPr>
              <w:t>ש ו פ ט</w:t>
            </w: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3C1978">
        <w:rPr>
          <w:sz w:val="16"/>
        </w:rPr>
        <w:t xml:space="preserve">21077190_F12.docx   </w:t>
      </w:r>
      <w:r w:rsidR="003C1978">
        <w:rPr>
          <w:sz w:val="16"/>
          <w:rtl/>
        </w:rPr>
        <w:t>עב</w:t>
      </w:r>
    </w:p>
    <w:p w:rsidR="003F1F97" w:rsidRDefault="00591983" w:rsidP="00B809A5">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FC0252" w:rsidRPr="00BB4C68">
          <w:rPr>
            <w:rStyle w:val="Hyperlink"/>
            <w:sz w:val="16"/>
          </w:rPr>
          <w:t>https://supreme.court.gov.il</w:t>
        </w:r>
      </w:hyperlink>
    </w:p>
    <w:sectPr w:rsidR="003F1F9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978" w:rsidRDefault="003C197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5" w:name="footer_line"/>
    <w:bookmarkEnd w:id="5"/>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905B85">
      <w:rPr>
        <w:rStyle w:val="a4"/>
        <w:noProof/>
        <w:rtl/>
      </w:rPr>
      <w:t>36</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691A9BFE"/>
    <w:lvl w:ilvl="0" w:tplc="AD787FC0">
      <w:start w:val="1"/>
      <w:numFmt w:val="decimal"/>
      <w:pStyle w:val="Ruller4"/>
      <w:lvlText w:val="%1."/>
      <w:lvlJc w:val="left"/>
      <w:pPr>
        <w:tabs>
          <w:tab w:val="num" w:pos="907"/>
        </w:tabs>
        <w:ind w:left="0" w:firstLine="0"/>
      </w:pPr>
      <w:rPr>
        <w:rFonts w:hint="default"/>
        <w:lang w:bidi="he-IL"/>
      </w:rPr>
    </w:lvl>
    <w:lvl w:ilvl="1" w:tplc="6EA07B08" w:tentative="1">
      <w:start w:val="1"/>
      <w:numFmt w:val="lowerLetter"/>
      <w:lvlText w:val="%2."/>
      <w:lvlJc w:val="left"/>
      <w:pPr>
        <w:tabs>
          <w:tab w:val="num" w:pos="1440"/>
        </w:tabs>
        <w:ind w:left="1440" w:hanging="360"/>
      </w:pPr>
    </w:lvl>
    <w:lvl w:ilvl="2" w:tplc="4380E81C" w:tentative="1">
      <w:start w:val="1"/>
      <w:numFmt w:val="lowerRoman"/>
      <w:lvlText w:val="%3."/>
      <w:lvlJc w:val="right"/>
      <w:pPr>
        <w:tabs>
          <w:tab w:val="num" w:pos="2160"/>
        </w:tabs>
        <w:ind w:left="2160" w:hanging="180"/>
      </w:pPr>
    </w:lvl>
    <w:lvl w:ilvl="3" w:tplc="363050B8" w:tentative="1">
      <w:start w:val="1"/>
      <w:numFmt w:val="decimal"/>
      <w:lvlText w:val="%4."/>
      <w:lvlJc w:val="left"/>
      <w:pPr>
        <w:tabs>
          <w:tab w:val="num" w:pos="2880"/>
        </w:tabs>
        <w:ind w:left="2880" w:hanging="360"/>
      </w:pPr>
    </w:lvl>
    <w:lvl w:ilvl="4" w:tplc="301CF6E2" w:tentative="1">
      <w:start w:val="1"/>
      <w:numFmt w:val="lowerLetter"/>
      <w:lvlText w:val="%5."/>
      <w:lvlJc w:val="left"/>
      <w:pPr>
        <w:tabs>
          <w:tab w:val="num" w:pos="3600"/>
        </w:tabs>
        <w:ind w:left="3600" w:hanging="360"/>
      </w:pPr>
    </w:lvl>
    <w:lvl w:ilvl="5" w:tplc="EE70CA96" w:tentative="1">
      <w:start w:val="1"/>
      <w:numFmt w:val="lowerRoman"/>
      <w:lvlText w:val="%6."/>
      <w:lvlJc w:val="right"/>
      <w:pPr>
        <w:tabs>
          <w:tab w:val="num" w:pos="4320"/>
        </w:tabs>
        <w:ind w:left="4320" w:hanging="180"/>
      </w:pPr>
    </w:lvl>
    <w:lvl w:ilvl="6" w:tplc="74CE876E" w:tentative="1">
      <w:start w:val="1"/>
      <w:numFmt w:val="decimal"/>
      <w:lvlText w:val="%7."/>
      <w:lvlJc w:val="left"/>
      <w:pPr>
        <w:tabs>
          <w:tab w:val="num" w:pos="5040"/>
        </w:tabs>
        <w:ind w:left="5040" w:hanging="360"/>
      </w:pPr>
    </w:lvl>
    <w:lvl w:ilvl="7" w:tplc="2564E206" w:tentative="1">
      <w:start w:val="1"/>
      <w:numFmt w:val="lowerLetter"/>
      <w:lvlText w:val="%8."/>
      <w:lvlJc w:val="left"/>
      <w:pPr>
        <w:tabs>
          <w:tab w:val="num" w:pos="5760"/>
        </w:tabs>
        <w:ind w:left="5760" w:hanging="360"/>
      </w:pPr>
    </w:lvl>
    <w:lvl w:ilvl="8" w:tplc="8404EEDE" w:tentative="1">
      <w:start w:val="1"/>
      <w:numFmt w:val="lowerRoman"/>
      <w:lvlText w:val="%9."/>
      <w:lvlJc w:val="right"/>
      <w:pPr>
        <w:tabs>
          <w:tab w:val="num" w:pos="6480"/>
        </w:tabs>
        <w:ind w:left="6480" w:hanging="180"/>
      </w:pPr>
    </w:lvl>
  </w:abstractNum>
  <w:abstractNum w:abstractNumId="11" w15:restartNumberingAfterBreak="0">
    <w:nsid w:val="0A95145C"/>
    <w:multiLevelType w:val="hybridMultilevel"/>
    <w:tmpl w:val="8DC660C8"/>
    <w:lvl w:ilvl="0" w:tplc="EF8A27D2">
      <w:start w:val="1"/>
      <w:numFmt w:val="hebrew1"/>
      <w:lvlText w:val="%1."/>
      <w:lvlJc w:val="center"/>
      <w:pPr>
        <w:ind w:left="720" w:hanging="360"/>
      </w:pPr>
    </w:lvl>
    <w:lvl w:ilvl="1" w:tplc="11EA890E" w:tentative="1">
      <w:start w:val="1"/>
      <w:numFmt w:val="lowerLetter"/>
      <w:lvlText w:val="%2."/>
      <w:lvlJc w:val="left"/>
      <w:pPr>
        <w:ind w:left="1440" w:hanging="360"/>
      </w:pPr>
    </w:lvl>
    <w:lvl w:ilvl="2" w:tplc="791A7622" w:tentative="1">
      <w:start w:val="1"/>
      <w:numFmt w:val="lowerRoman"/>
      <w:lvlText w:val="%3."/>
      <w:lvlJc w:val="right"/>
      <w:pPr>
        <w:ind w:left="2160" w:hanging="180"/>
      </w:pPr>
    </w:lvl>
    <w:lvl w:ilvl="3" w:tplc="8460BE4A" w:tentative="1">
      <w:start w:val="1"/>
      <w:numFmt w:val="decimal"/>
      <w:lvlText w:val="%4."/>
      <w:lvlJc w:val="left"/>
      <w:pPr>
        <w:ind w:left="2880" w:hanging="360"/>
      </w:pPr>
    </w:lvl>
    <w:lvl w:ilvl="4" w:tplc="BE8CB09A" w:tentative="1">
      <w:start w:val="1"/>
      <w:numFmt w:val="lowerLetter"/>
      <w:lvlText w:val="%5."/>
      <w:lvlJc w:val="left"/>
      <w:pPr>
        <w:ind w:left="3600" w:hanging="360"/>
      </w:pPr>
    </w:lvl>
    <w:lvl w:ilvl="5" w:tplc="A35ED948" w:tentative="1">
      <w:start w:val="1"/>
      <w:numFmt w:val="lowerRoman"/>
      <w:lvlText w:val="%6."/>
      <w:lvlJc w:val="right"/>
      <w:pPr>
        <w:ind w:left="4320" w:hanging="180"/>
      </w:pPr>
    </w:lvl>
    <w:lvl w:ilvl="6" w:tplc="37CE6522" w:tentative="1">
      <w:start w:val="1"/>
      <w:numFmt w:val="decimal"/>
      <w:lvlText w:val="%7."/>
      <w:lvlJc w:val="left"/>
      <w:pPr>
        <w:ind w:left="5040" w:hanging="360"/>
      </w:pPr>
    </w:lvl>
    <w:lvl w:ilvl="7" w:tplc="252C7B56" w:tentative="1">
      <w:start w:val="1"/>
      <w:numFmt w:val="lowerLetter"/>
      <w:lvlText w:val="%8."/>
      <w:lvlJc w:val="left"/>
      <w:pPr>
        <w:ind w:left="5760" w:hanging="360"/>
      </w:pPr>
    </w:lvl>
    <w:lvl w:ilvl="8" w:tplc="03F635A8" w:tentative="1">
      <w:start w:val="1"/>
      <w:numFmt w:val="lowerRoman"/>
      <w:lvlText w:val="%9."/>
      <w:lvlJc w:val="right"/>
      <w:pPr>
        <w:ind w:left="6480" w:hanging="180"/>
      </w:pPr>
    </w:lvl>
  </w:abstractNum>
  <w:abstractNum w:abstractNumId="12" w15:restartNumberingAfterBreak="0">
    <w:nsid w:val="14982E71"/>
    <w:multiLevelType w:val="hybridMultilevel"/>
    <w:tmpl w:val="7472B792"/>
    <w:lvl w:ilvl="0" w:tplc="FBD6C93A">
      <w:start w:val="1"/>
      <w:numFmt w:val="decimal"/>
      <w:lvlText w:val="(%1)"/>
      <w:lvlJc w:val="left"/>
      <w:pPr>
        <w:ind w:left="720" w:hanging="360"/>
      </w:pPr>
      <w:rPr>
        <w:rFonts w:hint="default"/>
        <w:sz w:val="28"/>
      </w:rPr>
    </w:lvl>
    <w:lvl w:ilvl="1" w:tplc="310AD4B4" w:tentative="1">
      <w:start w:val="1"/>
      <w:numFmt w:val="lowerLetter"/>
      <w:lvlText w:val="%2."/>
      <w:lvlJc w:val="left"/>
      <w:pPr>
        <w:ind w:left="1440" w:hanging="360"/>
      </w:pPr>
    </w:lvl>
    <w:lvl w:ilvl="2" w:tplc="AFC8FF0C" w:tentative="1">
      <w:start w:val="1"/>
      <w:numFmt w:val="lowerRoman"/>
      <w:lvlText w:val="%3."/>
      <w:lvlJc w:val="right"/>
      <w:pPr>
        <w:ind w:left="2160" w:hanging="180"/>
      </w:pPr>
    </w:lvl>
    <w:lvl w:ilvl="3" w:tplc="22183C12" w:tentative="1">
      <w:start w:val="1"/>
      <w:numFmt w:val="decimal"/>
      <w:lvlText w:val="%4."/>
      <w:lvlJc w:val="left"/>
      <w:pPr>
        <w:ind w:left="2880" w:hanging="360"/>
      </w:pPr>
    </w:lvl>
    <w:lvl w:ilvl="4" w:tplc="D18A4CC4" w:tentative="1">
      <w:start w:val="1"/>
      <w:numFmt w:val="lowerLetter"/>
      <w:lvlText w:val="%5."/>
      <w:lvlJc w:val="left"/>
      <w:pPr>
        <w:ind w:left="3600" w:hanging="360"/>
      </w:pPr>
    </w:lvl>
    <w:lvl w:ilvl="5" w:tplc="57D60DA8" w:tentative="1">
      <w:start w:val="1"/>
      <w:numFmt w:val="lowerRoman"/>
      <w:lvlText w:val="%6."/>
      <w:lvlJc w:val="right"/>
      <w:pPr>
        <w:ind w:left="4320" w:hanging="180"/>
      </w:pPr>
    </w:lvl>
    <w:lvl w:ilvl="6" w:tplc="6264F8C4" w:tentative="1">
      <w:start w:val="1"/>
      <w:numFmt w:val="decimal"/>
      <w:lvlText w:val="%7."/>
      <w:lvlJc w:val="left"/>
      <w:pPr>
        <w:ind w:left="5040" w:hanging="360"/>
      </w:pPr>
    </w:lvl>
    <w:lvl w:ilvl="7" w:tplc="15FCE62C" w:tentative="1">
      <w:start w:val="1"/>
      <w:numFmt w:val="lowerLetter"/>
      <w:lvlText w:val="%8."/>
      <w:lvlJc w:val="left"/>
      <w:pPr>
        <w:ind w:left="5760" w:hanging="360"/>
      </w:pPr>
    </w:lvl>
    <w:lvl w:ilvl="8" w:tplc="DCC86916" w:tentative="1">
      <w:start w:val="1"/>
      <w:numFmt w:val="lowerRoman"/>
      <w:lvlText w:val="%9."/>
      <w:lvlJc w:val="right"/>
      <w:pPr>
        <w:ind w:left="6480" w:hanging="180"/>
      </w:pPr>
    </w:lvl>
  </w:abstractNum>
  <w:abstractNum w:abstractNumId="13" w15:restartNumberingAfterBreak="0">
    <w:nsid w:val="1B6070C4"/>
    <w:multiLevelType w:val="hybridMultilevel"/>
    <w:tmpl w:val="8834C46C"/>
    <w:lvl w:ilvl="0" w:tplc="24A2CED2">
      <w:start w:val="1"/>
      <w:numFmt w:val="hebrew1"/>
      <w:lvlText w:val="%1."/>
      <w:lvlJc w:val="left"/>
      <w:pPr>
        <w:ind w:left="1155" w:hanging="360"/>
      </w:pPr>
      <w:rPr>
        <w:rFonts w:hint="default"/>
        <w:sz w:val="28"/>
      </w:rPr>
    </w:lvl>
    <w:lvl w:ilvl="1" w:tplc="D4CAD77E" w:tentative="1">
      <w:start w:val="1"/>
      <w:numFmt w:val="lowerLetter"/>
      <w:lvlText w:val="%2."/>
      <w:lvlJc w:val="left"/>
      <w:pPr>
        <w:ind w:left="1875" w:hanging="360"/>
      </w:pPr>
    </w:lvl>
    <w:lvl w:ilvl="2" w:tplc="A9081090" w:tentative="1">
      <w:start w:val="1"/>
      <w:numFmt w:val="lowerRoman"/>
      <w:lvlText w:val="%3."/>
      <w:lvlJc w:val="right"/>
      <w:pPr>
        <w:ind w:left="2595" w:hanging="180"/>
      </w:pPr>
    </w:lvl>
    <w:lvl w:ilvl="3" w:tplc="EA008A10" w:tentative="1">
      <w:start w:val="1"/>
      <w:numFmt w:val="decimal"/>
      <w:lvlText w:val="%4."/>
      <w:lvlJc w:val="left"/>
      <w:pPr>
        <w:ind w:left="3315" w:hanging="360"/>
      </w:pPr>
    </w:lvl>
    <w:lvl w:ilvl="4" w:tplc="F20EC138" w:tentative="1">
      <w:start w:val="1"/>
      <w:numFmt w:val="lowerLetter"/>
      <w:lvlText w:val="%5."/>
      <w:lvlJc w:val="left"/>
      <w:pPr>
        <w:ind w:left="4035" w:hanging="360"/>
      </w:pPr>
    </w:lvl>
    <w:lvl w:ilvl="5" w:tplc="2B48E094" w:tentative="1">
      <w:start w:val="1"/>
      <w:numFmt w:val="lowerRoman"/>
      <w:lvlText w:val="%6."/>
      <w:lvlJc w:val="right"/>
      <w:pPr>
        <w:ind w:left="4755" w:hanging="180"/>
      </w:pPr>
    </w:lvl>
    <w:lvl w:ilvl="6" w:tplc="4EC8D688" w:tentative="1">
      <w:start w:val="1"/>
      <w:numFmt w:val="decimal"/>
      <w:lvlText w:val="%7."/>
      <w:lvlJc w:val="left"/>
      <w:pPr>
        <w:ind w:left="5475" w:hanging="360"/>
      </w:pPr>
    </w:lvl>
    <w:lvl w:ilvl="7" w:tplc="D050181C" w:tentative="1">
      <w:start w:val="1"/>
      <w:numFmt w:val="lowerLetter"/>
      <w:lvlText w:val="%8."/>
      <w:lvlJc w:val="left"/>
      <w:pPr>
        <w:ind w:left="6195" w:hanging="360"/>
      </w:pPr>
    </w:lvl>
    <w:lvl w:ilvl="8" w:tplc="52A4CBE2" w:tentative="1">
      <w:start w:val="1"/>
      <w:numFmt w:val="lowerRoman"/>
      <w:lvlText w:val="%9."/>
      <w:lvlJc w:val="right"/>
      <w:pPr>
        <w:ind w:left="6915" w:hanging="180"/>
      </w:pPr>
    </w:lvl>
  </w:abstractNum>
  <w:abstractNum w:abstractNumId="14" w15:restartNumberingAfterBreak="0">
    <w:nsid w:val="4B6A62CA"/>
    <w:multiLevelType w:val="hybridMultilevel"/>
    <w:tmpl w:val="45F4225A"/>
    <w:lvl w:ilvl="0" w:tplc="EB524F3C">
      <w:start w:val="1"/>
      <w:numFmt w:val="hebrew1"/>
      <w:lvlText w:val="%1."/>
      <w:lvlJc w:val="center"/>
      <w:pPr>
        <w:ind w:left="720" w:hanging="360"/>
      </w:pPr>
    </w:lvl>
    <w:lvl w:ilvl="1" w:tplc="46769810" w:tentative="1">
      <w:start w:val="1"/>
      <w:numFmt w:val="lowerLetter"/>
      <w:lvlText w:val="%2."/>
      <w:lvlJc w:val="left"/>
      <w:pPr>
        <w:ind w:left="1440" w:hanging="360"/>
      </w:pPr>
    </w:lvl>
    <w:lvl w:ilvl="2" w:tplc="41E8D596" w:tentative="1">
      <w:start w:val="1"/>
      <w:numFmt w:val="lowerRoman"/>
      <w:lvlText w:val="%3."/>
      <w:lvlJc w:val="right"/>
      <w:pPr>
        <w:ind w:left="2160" w:hanging="180"/>
      </w:pPr>
    </w:lvl>
    <w:lvl w:ilvl="3" w:tplc="7EF2854E" w:tentative="1">
      <w:start w:val="1"/>
      <w:numFmt w:val="decimal"/>
      <w:lvlText w:val="%4."/>
      <w:lvlJc w:val="left"/>
      <w:pPr>
        <w:ind w:left="2880" w:hanging="360"/>
      </w:pPr>
    </w:lvl>
    <w:lvl w:ilvl="4" w:tplc="617AE6BC" w:tentative="1">
      <w:start w:val="1"/>
      <w:numFmt w:val="lowerLetter"/>
      <w:lvlText w:val="%5."/>
      <w:lvlJc w:val="left"/>
      <w:pPr>
        <w:ind w:left="3600" w:hanging="360"/>
      </w:pPr>
    </w:lvl>
    <w:lvl w:ilvl="5" w:tplc="5E4E43DA" w:tentative="1">
      <w:start w:val="1"/>
      <w:numFmt w:val="lowerRoman"/>
      <w:lvlText w:val="%6."/>
      <w:lvlJc w:val="right"/>
      <w:pPr>
        <w:ind w:left="4320" w:hanging="180"/>
      </w:pPr>
    </w:lvl>
    <w:lvl w:ilvl="6" w:tplc="939083E0" w:tentative="1">
      <w:start w:val="1"/>
      <w:numFmt w:val="decimal"/>
      <w:lvlText w:val="%7."/>
      <w:lvlJc w:val="left"/>
      <w:pPr>
        <w:ind w:left="5040" w:hanging="360"/>
      </w:pPr>
    </w:lvl>
    <w:lvl w:ilvl="7" w:tplc="C2A0088A" w:tentative="1">
      <w:start w:val="1"/>
      <w:numFmt w:val="lowerLetter"/>
      <w:lvlText w:val="%8."/>
      <w:lvlJc w:val="left"/>
      <w:pPr>
        <w:ind w:left="5760" w:hanging="360"/>
      </w:pPr>
    </w:lvl>
    <w:lvl w:ilvl="8" w:tplc="E5B85F84" w:tentative="1">
      <w:start w:val="1"/>
      <w:numFmt w:val="lowerRoman"/>
      <w:lvlText w:val="%9."/>
      <w:lvlJc w:val="right"/>
      <w:pPr>
        <w:ind w:left="6480" w:hanging="180"/>
      </w:pPr>
    </w:lvl>
  </w:abstractNum>
  <w:abstractNum w:abstractNumId="15" w15:restartNumberingAfterBreak="0">
    <w:nsid w:val="4FE70B62"/>
    <w:multiLevelType w:val="hybridMultilevel"/>
    <w:tmpl w:val="ADA8711E"/>
    <w:lvl w:ilvl="0" w:tplc="7A72EFC8">
      <w:start w:val="1"/>
      <w:numFmt w:val="hebrew1"/>
      <w:pStyle w:val="Ruller40"/>
      <w:lvlText w:val="%1."/>
      <w:lvlJc w:val="left"/>
      <w:pPr>
        <w:tabs>
          <w:tab w:val="num" w:pos="907"/>
        </w:tabs>
        <w:ind w:left="0" w:firstLine="0"/>
      </w:pPr>
      <w:rPr>
        <w:rFonts w:hint="default"/>
      </w:rPr>
    </w:lvl>
    <w:lvl w:ilvl="1" w:tplc="75723846" w:tentative="1">
      <w:start w:val="1"/>
      <w:numFmt w:val="lowerLetter"/>
      <w:lvlText w:val="%2."/>
      <w:lvlJc w:val="left"/>
      <w:pPr>
        <w:tabs>
          <w:tab w:val="num" w:pos="1440"/>
        </w:tabs>
        <w:ind w:left="1440" w:hanging="360"/>
      </w:pPr>
    </w:lvl>
    <w:lvl w:ilvl="2" w:tplc="509AB2B2" w:tentative="1">
      <w:start w:val="1"/>
      <w:numFmt w:val="lowerRoman"/>
      <w:lvlText w:val="%3."/>
      <w:lvlJc w:val="right"/>
      <w:pPr>
        <w:tabs>
          <w:tab w:val="num" w:pos="2160"/>
        </w:tabs>
        <w:ind w:left="2160" w:hanging="180"/>
      </w:pPr>
    </w:lvl>
    <w:lvl w:ilvl="3" w:tplc="FD74045A" w:tentative="1">
      <w:start w:val="1"/>
      <w:numFmt w:val="decimal"/>
      <w:lvlText w:val="%4."/>
      <w:lvlJc w:val="left"/>
      <w:pPr>
        <w:tabs>
          <w:tab w:val="num" w:pos="2880"/>
        </w:tabs>
        <w:ind w:left="2880" w:hanging="360"/>
      </w:pPr>
    </w:lvl>
    <w:lvl w:ilvl="4" w:tplc="29400AEC" w:tentative="1">
      <w:start w:val="1"/>
      <w:numFmt w:val="lowerLetter"/>
      <w:lvlText w:val="%5."/>
      <w:lvlJc w:val="left"/>
      <w:pPr>
        <w:tabs>
          <w:tab w:val="num" w:pos="3600"/>
        </w:tabs>
        <w:ind w:left="3600" w:hanging="360"/>
      </w:pPr>
    </w:lvl>
    <w:lvl w:ilvl="5" w:tplc="55201D68" w:tentative="1">
      <w:start w:val="1"/>
      <w:numFmt w:val="lowerRoman"/>
      <w:lvlText w:val="%6."/>
      <w:lvlJc w:val="right"/>
      <w:pPr>
        <w:tabs>
          <w:tab w:val="num" w:pos="4320"/>
        </w:tabs>
        <w:ind w:left="4320" w:hanging="180"/>
      </w:pPr>
    </w:lvl>
    <w:lvl w:ilvl="6" w:tplc="92C07A7A" w:tentative="1">
      <w:start w:val="1"/>
      <w:numFmt w:val="decimal"/>
      <w:lvlText w:val="%7."/>
      <w:lvlJc w:val="left"/>
      <w:pPr>
        <w:tabs>
          <w:tab w:val="num" w:pos="5040"/>
        </w:tabs>
        <w:ind w:left="5040" w:hanging="360"/>
      </w:pPr>
    </w:lvl>
    <w:lvl w:ilvl="7" w:tplc="06B0FC58" w:tentative="1">
      <w:start w:val="1"/>
      <w:numFmt w:val="lowerLetter"/>
      <w:lvlText w:val="%8."/>
      <w:lvlJc w:val="left"/>
      <w:pPr>
        <w:tabs>
          <w:tab w:val="num" w:pos="5760"/>
        </w:tabs>
        <w:ind w:left="5760" w:hanging="360"/>
      </w:pPr>
    </w:lvl>
    <w:lvl w:ilvl="8" w:tplc="4EB86DFE" w:tentative="1">
      <w:start w:val="1"/>
      <w:numFmt w:val="lowerRoman"/>
      <w:lvlText w:val="%9."/>
      <w:lvlJc w:val="right"/>
      <w:pPr>
        <w:tabs>
          <w:tab w:val="num" w:pos="6480"/>
        </w:tabs>
        <w:ind w:left="6480" w:hanging="180"/>
      </w:pPr>
    </w:lvl>
  </w:abstractNum>
  <w:abstractNum w:abstractNumId="16" w15:restartNumberingAfterBreak="0">
    <w:nsid w:val="51D2190D"/>
    <w:multiLevelType w:val="hybridMultilevel"/>
    <w:tmpl w:val="168C3EE8"/>
    <w:lvl w:ilvl="0" w:tplc="CC8829C0">
      <w:start w:val="1"/>
      <w:numFmt w:val="hebrew1"/>
      <w:lvlText w:val="%1."/>
      <w:lvlJc w:val="left"/>
      <w:pPr>
        <w:tabs>
          <w:tab w:val="num" w:pos="720"/>
        </w:tabs>
        <w:ind w:left="0" w:firstLine="0"/>
      </w:pPr>
      <w:rPr>
        <w:lang w:val="en-US"/>
      </w:rPr>
    </w:lvl>
    <w:lvl w:ilvl="1" w:tplc="1DAC9D06">
      <w:start w:val="1"/>
      <w:numFmt w:val="decimal"/>
      <w:lvlText w:val="%2."/>
      <w:lvlJc w:val="left"/>
      <w:pPr>
        <w:tabs>
          <w:tab w:val="num" w:pos="1440"/>
        </w:tabs>
        <w:ind w:left="1440" w:hanging="360"/>
      </w:pPr>
    </w:lvl>
    <w:lvl w:ilvl="2" w:tplc="657E1068">
      <w:start w:val="1"/>
      <w:numFmt w:val="decimal"/>
      <w:lvlText w:val="%3."/>
      <w:lvlJc w:val="left"/>
      <w:pPr>
        <w:tabs>
          <w:tab w:val="num" w:pos="2160"/>
        </w:tabs>
        <w:ind w:left="2160" w:hanging="360"/>
      </w:pPr>
    </w:lvl>
    <w:lvl w:ilvl="3" w:tplc="BC580BCA">
      <w:start w:val="1"/>
      <w:numFmt w:val="decimal"/>
      <w:lvlText w:val="%4."/>
      <w:lvlJc w:val="left"/>
      <w:pPr>
        <w:tabs>
          <w:tab w:val="num" w:pos="2880"/>
        </w:tabs>
        <w:ind w:left="2880" w:hanging="360"/>
      </w:pPr>
    </w:lvl>
    <w:lvl w:ilvl="4" w:tplc="8A8479F6">
      <w:start w:val="1"/>
      <w:numFmt w:val="decimal"/>
      <w:lvlText w:val="%5."/>
      <w:lvlJc w:val="left"/>
      <w:pPr>
        <w:tabs>
          <w:tab w:val="num" w:pos="3600"/>
        </w:tabs>
        <w:ind w:left="3600" w:hanging="360"/>
      </w:pPr>
    </w:lvl>
    <w:lvl w:ilvl="5" w:tplc="3FEEF270">
      <w:start w:val="1"/>
      <w:numFmt w:val="decimal"/>
      <w:lvlText w:val="%6."/>
      <w:lvlJc w:val="left"/>
      <w:pPr>
        <w:tabs>
          <w:tab w:val="num" w:pos="4320"/>
        </w:tabs>
        <w:ind w:left="4320" w:hanging="360"/>
      </w:pPr>
    </w:lvl>
    <w:lvl w:ilvl="6" w:tplc="4FC83428">
      <w:start w:val="1"/>
      <w:numFmt w:val="decimal"/>
      <w:lvlText w:val="%7."/>
      <w:lvlJc w:val="left"/>
      <w:pPr>
        <w:tabs>
          <w:tab w:val="num" w:pos="5040"/>
        </w:tabs>
        <w:ind w:left="5040" w:hanging="360"/>
      </w:pPr>
    </w:lvl>
    <w:lvl w:ilvl="7" w:tplc="32901778">
      <w:start w:val="1"/>
      <w:numFmt w:val="decimal"/>
      <w:lvlText w:val="%8."/>
      <w:lvlJc w:val="left"/>
      <w:pPr>
        <w:tabs>
          <w:tab w:val="num" w:pos="5760"/>
        </w:tabs>
        <w:ind w:left="5760" w:hanging="360"/>
      </w:pPr>
    </w:lvl>
    <w:lvl w:ilvl="8" w:tplc="A924347E">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1"/>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lvlOverride w:ilvl="0">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062E3"/>
    <w:rsid w:val="00134A67"/>
    <w:rsid w:val="001A0164"/>
    <w:rsid w:val="00200D6B"/>
    <w:rsid w:val="00245254"/>
    <w:rsid w:val="00265F6E"/>
    <w:rsid w:val="002876BF"/>
    <w:rsid w:val="002A4A7A"/>
    <w:rsid w:val="002A4BF3"/>
    <w:rsid w:val="002F7BB6"/>
    <w:rsid w:val="00341076"/>
    <w:rsid w:val="003448B2"/>
    <w:rsid w:val="00361DB2"/>
    <w:rsid w:val="0037622E"/>
    <w:rsid w:val="00377102"/>
    <w:rsid w:val="0039709B"/>
    <w:rsid w:val="003C1978"/>
    <w:rsid w:val="003D72DA"/>
    <w:rsid w:val="003F1F97"/>
    <w:rsid w:val="0041048F"/>
    <w:rsid w:val="004340F5"/>
    <w:rsid w:val="00437D59"/>
    <w:rsid w:val="004610A4"/>
    <w:rsid w:val="00490B4A"/>
    <w:rsid w:val="004B29FF"/>
    <w:rsid w:val="004C7868"/>
    <w:rsid w:val="004E6EA8"/>
    <w:rsid w:val="00503A3E"/>
    <w:rsid w:val="00527F02"/>
    <w:rsid w:val="005803E2"/>
    <w:rsid w:val="0058440A"/>
    <w:rsid w:val="00591983"/>
    <w:rsid w:val="00624A42"/>
    <w:rsid w:val="0065522F"/>
    <w:rsid w:val="006A30F7"/>
    <w:rsid w:val="006C42AD"/>
    <w:rsid w:val="00725345"/>
    <w:rsid w:val="0073750B"/>
    <w:rsid w:val="00741CC0"/>
    <w:rsid w:val="007B512F"/>
    <w:rsid w:val="007E5E3D"/>
    <w:rsid w:val="007F7512"/>
    <w:rsid w:val="00810894"/>
    <w:rsid w:val="008143AB"/>
    <w:rsid w:val="0083345F"/>
    <w:rsid w:val="00836667"/>
    <w:rsid w:val="00851A01"/>
    <w:rsid w:val="00866D0F"/>
    <w:rsid w:val="008674E3"/>
    <w:rsid w:val="008C2F11"/>
    <w:rsid w:val="008D78B9"/>
    <w:rsid w:val="008E3F85"/>
    <w:rsid w:val="009051E8"/>
    <w:rsid w:val="00905B85"/>
    <w:rsid w:val="00914156"/>
    <w:rsid w:val="00916FF8"/>
    <w:rsid w:val="00922093"/>
    <w:rsid w:val="00930C85"/>
    <w:rsid w:val="00962A08"/>
    <w:rsid w:val="009B38DA"/>
    <w:rsid w:val="009F2F53"/>
    <w:rsid w:val="009F4187"/>
    <w:rsid w:val="00A12E0F"/>
    <w:rsid w:val="00A51FAE"/>
    <w:rsid w:val="00A80845"/>
    <w:rsid w:val="00AB69F7"/>
    <w:rsid w:val="00AD097B"/>
    <w:rsid w:val="00AD64B9"/>
    <w:rsid w:val="00AE022B"/>
    <w:rsid w:val="00B009CC"/>
    <w:rsid w:val="00B0782A"/>
    <w:rsid w:val="00B619F3"/>
    <w:rsid w:val="00B62B8C"/>
    <w:rsid w:val="00B63343"/>
    <w:rsid w:val="00B75DB9"/>
    <w:rsid w:val="00B809A5"/>
    <w:rsid w:val="00B87FF7"/>
    <w:rsid w:val="00BA0B08"/>
    <w:rsid w:val="00BC0E82"/>
    <w:rsid w:val="00BD40F9"/>
    <w:rsid w:val="00C41C86"/>
    <w:rsid w:val="00C63A6C"/>
    <w:rsid w:val="00CA13AF"/>
    <w:rsid w:val="00CA1444"/>
    <w:rsid w:val="00CB1590"/>
    <w:rsid w:val="00CB7600"/>
    <w:rsid w:val="00CC0E9D"/>
    <w:rsid w:val="00CC3639"/>
    <w:rsid w:val="00D00B1D"/>
    <w:rsid w:val="00D00CB7"/>
    <w:rsid w:val="00D25F16"/>
    <w:rsid w:val="00E21CA9"/>
    <w:rsid w:val="00E31063"/>
    <w:rsid w:val="00E36FE9"/>
    <w:rsid w:val="00E73E98"/>
    <w:rsid w:val="00E75223"/>
    <w:rsid w:val="00E90D72"/>
    <w:rsid w:val="00EA0BE1"/>
    <w:rsid w:val="00EC23AC"/>
    <w:rsid w:val="00EC2992"/>
    <w:rsid w:val="00EC3F10"/>
    <w:rsid w:val="00ED46A4"/>
    <w:rsid w:val="00ED6FD9"/>
    <w:rsid w:val="00EE3810"/>
    <w:rsid w:val="00F00127"/>
    <w:rsid w:val="00F63C3B"/>
    <w:rsid w:val="00F959DB"/>
    <w:rsid w:val="00F9692E"/>
    <w:rsid w:val="00FC0252"/>
    <w:rsid w:val="00FF1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13B7"/>
  <w15:chartTrackingRefBased/>
  <w15:docId w15:val="{CDF396C8-269E-4589-8568-0B0A38A9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link w:val="Ruller43"/>
    <w:rsid w:val="00F9692E"/>
    <w:pPr>
      <w:numPr>
        <w:numId w:val="11"/>
      </w:numPr>
    </w:pPr>
    <w:rPr>
      <w:rFonts w:ascii="Garamond" w:hAnsi="Garamond"/>
      <w:sz w:val="24"/>
    </w:rPr>
  </w:style>
  <w:style w:type="paragraph" w:customStyle="1" w:styleId="Ruller40">
    <w:name w:val="Ruller4 אלפביתי"/>
    <w:basedOn w:val="Ruller41"/>
    <w:next w:val="Ruller41"/>
    <w:rsid w:val="00F9692E"/>
    <w:pPr>
      <w:numPr>
        <w:numId w:val="12"/>
      </w:numPr>
    </w:pPr>
  </w:style>
  <w:style w:type="character" w:customStyle="1" w:styleId="Ruller42">
    <w:name w:val="Ruller4 תו"/>
    <w:link w:val="Ruller41"/>
    <w:locked/>
    <w:rsid w:val="00F9692E"/>
    <w:rPr>
      <w:rFonts w:ascii="Arial TUR" w:hAnsi="Arial TUR" w:cs="FrankRuehl"/>
      <w:spacing w:val="10"/>
      <w:sz w:val="22"/>
      <w:szCs w:val="28"/>
    </w:rPr>
  </w:style>
  <w:style w:type="paragraph" w:styleId="ae">
    <w:name w:val="Revision"/>
    <w:hidden/>
    <w:uiPriority w:val="99"/>
    <w:semiHidden/>
    <w:rsid w:val="00F9692E"/>
    <w:rPr>
      <w:rFonts w:ascii="Century" w:hAnsi="Century" w:cs="FrankRuehl"/>
      <w:spacing w:val="10"/>
      <w:szCs w:val="28"/>
    </w:rPr>
  </w:style>
  <w:style w:type="paragraph" w:customStyle="1" w:styleId="p00">
    <w:name w:val="p00"/>
    <w:basedOn w:val="a"/>
    <w:rsid w:val="00F9692E"/>
    <w:pPr>
      <w:overflowPunct/>
      <w:autoSpaceDE/>
      <w:autoSpaceDN/>
      <w:bidi w:val="0"/>
      <w:adjustRightInd/>
      <w:spacing w:before="100" w:beforeAutospacing="1" w:after="100" w:afterAutospacing="1"/>
      <w:textAlignment w:val="auto"/>
    </w:pPr>
    <w:rPr>
      <w:rFonts w:cs="Times New Roman"/>
      <w:sz w:val="24"/>
    </w:rPr>
  </w:style>
  <w:style w:type="character" w:customStyle="1" w:styleId="default">
    <w:name w:val="default"/>
    <w:basedOn w:val="a0"/>
    <w:rsid w:val="00F9692E"/>
  </w:style>
  <w:style w:type="paragraph" w:customStyle="1" w:styleId="ruller44">
    <w:name w:val="ruller4"/>
    <w:basedOn w:val="a"/>
    <w:rsid w:val="00F9692E"/>
    <w:pPr>
      <w:overflowPunct/>
      <w:autoSpaceDE/>
      <w:autoSpaceDN/>
      <w:bidi w:val="0"/>
      <w:adjustRightInd/>
      <w:spacing w:before="100" w:beforeAutospacing="1" w:after="100" w:afterAutospacing="1"/>
      <w:textAlignment w:val="auto"/>
    </w:pPr>
    <w:rPr>
      <w:rFonts w:cs="Times New Roman"/>
      <w:sz w:val="24"/>
    </w:rPr>
  </w:style>
  <w:style w:type="character" w:customStyle="1" w:styleId="af">
    <w:name w:val="חוות דעת תו"/>
    <w:link w:val="af0"/>
    <w:locked/>
    <w:rsid w:val="00F9692E"/>
    <w:rPr>
      <w:rFonts w:cs="FrankRuehl"/>
      <w:sz w:val="28"/>
      <w:szCs w:val="28"/>
    </w:rPr>
  </w:style>
  <w:style w:type="paragraph" w:customStyle="1" w:styleId="af0">
    <w:name w:val="חוות דעת"/>
    <w:basedOn w:val="a"/>
    <w:link w:val="af"/>
    <w:rsid w:val="00F9692E"/>
    <w:pPr>
      <w:overflowPunct/>
      <w:autoSpaceDE/>
      <w:autoSpaceDN/>
      <w:adjustRightInd/>
      <w:spacing w:line="360" w:lineRule="auto"/>
      <w:jc w:val="both"/>
      <w:textAlignment w:val="auto"/>
    </w:pPr>
    <w:rPr>
      <w:rFonts w:cs="FrankRuehl"/>
      <w:sz w:val="28"/>
      <w:szCs w:val="28"/>
    </w:rPr>
  </w:style>
  <w:style w:type="character" w:customStyle="1" w:styleId="Ruller50">
    <w:name w:val="Ruller5 תו"/>
    <w:link w:val="Ruller5"/>
    <w:locked/>
    <w:rsid w:val="00F9692E"/>
    <w:rPr>
      <w:rFonts w:ascii="Arial TUR" w:hAnsi="Arial TUR" w:cs="FrankRuehl"/>
      <w:spacing w:val="10"/>
      <w:sz w:val="22"/>
      <w:szCs w:val="28"/>
    </w:rPr>
  </w:style>
  <w:style w:type="paragraph" w:customStyle="1" w:styleId="ruller31">
    <w:name w:val="ruller 3"/>
    <w:basedOn w:val="Casenameintextbody"/>
    <w:rsid w:val="00F9692E"/>
    <w:pPr>
      <w:jc w:val="left"/>
    </w:pPr>
    <w:rPr>
      <w:rFonts w:cs="David"/>
      <w:b w:val="0"/>
      <w:bCs w:val="0"/>
      <w:sz w:val="22"/>
      <w:u w:val="none"/>
    </w:rPr>
  </w:style>
  <w:style w:type="character" w:customStyle="1" w:styleId="Ruller43">
    <w:name w:val="Ruller 4 ממוספר תו"/>
    <w:link w:val="Ruller4"/>
    <w:locked/>
    <w:rsid w:val="00B809A5"/>
    <w:rPr>
      <w:rFonts w:ascii="Garamond"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BB20-37D0-422E-8571-DC0DA6D4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12798</Words>
  <Characters>60346</Characters>
  <Application>Microsoft Office Word</Application>
  <DocSecurity>0</DocSecurity>
  <Lines>502</Lines>
  <Paragraphs>145</Paragraphs>
  <ScaleCrop>false</ScaleCrop>
  <HeadingPairs>
    <vt:vector size="2" baseType="variant">
      <vt:variant>
        <vt:lpstr>שם</vt:lpstr>
      </vt:variant>
      <vt:variant>
        <vt:i4>1</vt:i4>
      </vt:variant>
    </vt:vector>
  </HeadingPairs>
  <TitlesOfParts>
    <vt:vector size="1" baseType="lpstr">
      <vt:lpstr>פסק-דין בתיק ע"א  7719/21</vt:lpstr>
    </vt:vector>
  </TitlesOfParts>
  <Company/>
  <LinksUpToDate>false</LinksUpToDate>
  <CharactersWithSpaces>72999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2023-05-08T04:47:18Z</cp:lastPrinted>
  <dcterms:created xsi:type="dcterms:W3CDTF">2023-05-08T04:47:18Z</dcterms:created>
  <dcterms:modified xsi:type="dcterms:W3CDTF">2023-05-08T04:47:18Z</dcterms:modified>
</cp:coreProperties>
</file>