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510797">
        <w:tc>
          <w:tcPr>
            <w:tcW w:w="8363" w:type="dxa"/>
          </w:tcPr>
          <w:p w:rsidR="00916FF8" w:rsidRPr="00624A42" w:rsidRDefault="0063549B"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63549B" w:rsidP="00ED79F5">
            <w:pPr>
              <w:pStyle w:val="FileNumber"/>
              <w:rPr>
                <w:sz w:val="28"/>
                <w:szCs w:val="28"/>
              </w:rPr>
            </w:pPr>
            <w:bookmarkStart w:id="0" w:name="casename_body"/>
            <w:r>
              <w:rPr>
                <w:sz w:val="28"/>
                <w:szCs w:val="28"/>
                <w:rtl/>
              </w:rPr>
              <w:t>ע"א 550/22</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63549B">
            <w:pPr>
              <w:pStyle w:val="BodyRuller"/>
            </w:pPr>
            <w:r>
              <w:rPr>
                <w:rtl/>
              </w:rPr>
              <w:t xml:space="preserve">כבוד השופט נ' </w:t>
            </w:r>
            <w:proofErr w:type="spellStart"/>
            <w:r>
              <w:rPr>
                <w:rtl/>
              </w:rPr>
              <w:t>סולברג</w:t>
            </w:r>
            <w:proofErr w:type="spellEnd"/>
          </w:p>
        </w:tc>
      </w:tr>
      <w:tr w:rsidR="0063549B" w:rsidTr="00EC23AC">
        <w:trPr>
          <w:trHeight w:val="287"/>
        </w:trPr>
        <w:tc>
          <w:tcPr>
            <w:tcW w:w="3261" w:type="dxa"/>
          </w:tcPr>
          <w:p w:rsidR="0063549B" w:rsidRDefault="0063549B">
            <w:pPr>
              <w:pStyle w:val="BodyRuller"/>
              <w:rPr>
                <w:rtl/>
              </w:rPr>
            </w:pPr>
          </w:p>
        </w:tc>
        <w:tc>
          <w:tcPr>
            <w:tcW w:w="5239" w:type="dxa"/>
          </w:tcPr>
          <w:p w:rsidR="0063549B" w:rsidRDefault="0063549B">
            <w:pPr>
              <w:pStyle w:val="BodyRuller"/>
              <w:rPr>
                <w:rtl/>
              </w:rPr>
            </w:pPr>
            <w:r>
              <w:rPr>
                <w:rtl/>
              </w:rPr>
              <w:t>כבוד השופטת ג' כנפי-שטייניץ</w:t>
            </w:r>
          </w:p>
        </w:tc>
      </w:tr>
      <w:tr w:rsidR="0063549B" w:rsidTr="00EC23AC">
        <w:trPr>
          <w:trHeight w:val="287"/>
        </w:trPr>
        <w:tc>
          <w:tcPr>
            <w:tcW w:w="3261" w:type="dxa"/>
          </w:tcPr>
          <w:p w:rsidR="0063549B" w:rsidRDefault="0063549B">
            <w:pPr>
              <w:pStyle w:val="BodyRuller"/>
              <w:rPr>
                <w:rtl/>
              </w:rPr>
            </w:pPr>
          </w:p>
        </w:tc>
        <w:tc>
          <w:tcPr>
            <w:tcW w:w="5239" w:type="dxa"/>
          </w:tcPr>
          <w:p w:rsidR="0063549B" w:rsidRDefault="0063549B">
            <w:pPr>
              <w:pStyle w:val="BodyRuller"/>
              <w:rPr>
                <w:rtl/>
              </w:rPr>
            </w:pPr>
            <w:r>
              <w:rPr>
                <w:rtl/>
              </w:rPr>
              <w:t>כבוד השופטת ר' רונן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63549B" w:rsidP="00DD6306">
            <w:pPr>
              <w:pStyle w:val="BodyRuller"/>
              <w:rPr>
                <w:rFonts w:ascii="David" w:hAnsi="David"/>
              </w:rPr>
            </w:pPr>
            <w:r>
              <w:rPr>
                <w:rFonts w:ascii="David" w:hAnsi="David"/>
                <w:rtl/>
              </w:rPr>
              <w:t>המערער:</w:t>
            </w:r>
          </w:p>
        </w:tc>
        <w:tc>
          <w:tcPr>
            <w:tcW w:w="5239" w:type="dxa"/>
          </w:tcPr>
          <w:p w:rsidR="00D00CB7" w:rsidRDefault="0063549B" w:rsidP="00DD6306">
            <w:pPr>
              <w:pStyle w:val="BodyRuller"/>
            </w:pPr>
            <w:r>
              <w:rPr>
                <w:rtl/>
              </w:rPr>
              <w:t>ישראל דניאל עמרם</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63549B" w:rsidP="00DD6306">
            <w:pPr>
              <w:pStyle w:val="BodyRuller"/>
              <w:rPr>
                <w:rFonts w:ascii="David" w:hAnsi="David"/>
              </w:rPr>
            </w:pPr>
            <w:r>
              <w:rPr>
                <w:rFonts w:ascii="David" w:hAnsi="David"/>
                <w:rtl/>
              </w:rPr>
              <w:t>המשיבים:</w:t>
            </w:r>
          </w:p>
        </w:tc>
        <w:tc>
          <w:tcPr>
            <w:tcW w:w="5239" w:type="dxa"/>
          </w:tcPr>
          <w:p w:rsidR="0083345F" w:rsidRDefault="0063549B" w:rsidP="00DD6306">
            <w:pPr>
              <w:pStyle w:val="BodyRuller"/>
            </w:pPr>
            <w:r>
              <w:rPr>
                <w:rtl/>
              </w:rPr>
              <w:t>1. פקיד שומה ירושלים 3</w:t>
            </w:r>
          </w:p>
        </w:tc>
      </w:tr>
      <w:tr w:rsidR="0063549B" w:rsidTr="00DD6306">
        <w:trPr>
          <w:trHeight w:val="287"/>
        </w:trPr>
        <w:tc>
          <w:tcPr>
            <w:tcW w:w="3261" w:type="dxa"/>
          </w:tcPr>
          <w:p w:rsidR="0063549B" w:rsidRDefault="0063549B" w:rsidP="00DD6306">
            <w:pPr>
              <w:pStyle w:val="BodyRuller"/>
              <w:rPr>
                <w:rFonts w:ascii="David" w:hAnsi="David"/>
                <w:rtl/>
              </w:rPr>
            </w:pPr>
          </w:p>
        </w:tc>
        <w:tc>
          <w:tcPr>
            <w:tcW w:w="5239" w:type="dxa"/>
          </w:tcPr>
          <w:p w:rsidR="0063549B" w:rsidRDefault="0063549B" w:rsidP="00DD6306">
            <w:pPr>
              <w:pStyle w:val="BodyRuller"/>
              <w:rPr>
                <w:rtl/>
              </w:rPr>
            </w:pPr>
            <w:r>
              <w:rPr>
                <w:rtl/>
              </w:rPr>
              <w:t>2. ספירה ואופק בע"מ</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63549B" w:rsidP="00ED79F5">
            <w:pPr>
              <w:pStyle w:val="BodyRuller"/>
              <w:jc w:val="both"/>
              <w:rPr>
                <w:sz w:val="24"/>
                <w:szCs w:val="24"/>
              </w:rPr>
            </w:pPr>
            <w:r>
              <w:rPr>
                <w:sz w:val="24"/>
                <w:szCs w:val="24"/>
                <w:rtl/>
              </w:rPr>
              <w:t>ערעור על פסק דינו של בית המשפט המחוזי ירושלים מיום 16.</w:t>
            </w:r>
            <w:r w:rsidR="00ED79F5">
              <w:rPr>
                <w:rFonts w:hint="cs"/>
                <w:sz w:val="24"/>
                <w:szCs w:val="24"/>
                <w:rtl/>
              </w:rPr>
              <w:t>8</w:t>
            </w:r>
            <w:r>
              <w:rPr>
                <w:sz w:val="24"/>
                <w:szCs w:val="24"/>
                <w:rtl/>
              </w:rPr>
              <w:t>.2021 בע</w:t>
            </w:r>
            <w:r w:rsidR="00ED79F5">
              <w:rPr>
                <w:rFonts w:hint="cs"/>
                <w:sz w:val="24"/>
                <w:szCs w:val="24"/>
                <w:rtl/>
              </w:rPr>
              <w:t>"</w:t>
            </w:r>
            <w:r>
              <w:rPr>
                <w:sz w:val="24"/>
                <w:szCs w:val="24"/>
                <w:rtl/>
              </w:rPr>
              <w:t>מ 2995-03-17</w:t>
            </w:r>
            <w:r w:rsidR="00ED79F5">
              <w:rPr>
                <w:rFonts w:hint="cs"/>
                <w:sz w:val="24"/>
                <w:szCs w:val="24"/>
                <w:rtl/>
              </w:rPr>
              <w:t xml:space="preserve"> ובע"מ 47383-01-18 שניתן על ידי כב' השופט א' דורות</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3578"/>
        <w:gridCol w:w="1555"/>
      </w:tblGrid>
      <w:tr w:rsidR="008C2F11" w:rsidTr="00D00A1A">
        <w:tc>
          <w:tcPr>
            <w:tcW w:w="3230"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3578" w:type="dxa"/>
            <w:tcBorders>
              <w:top w:val="nil"/>
              <w:left w:val="nil"/>
              <w:bottom w:val="nil"/>
              <w:right w:val="nil"/>
            </w:tcBorders>
          </w:tcPr>
          <w:p w:rsidR="008C2F11" w:rsidRDefault="00D00A1A">
            <w:pPr>
              <w:pStyle w:val="BodyRuller"/>
              <w:rPr>
                <w:rtl/>
              </w:rPr>
            </w:pPr>
            <w:r>
              <w:rPr>
                <w:rFonts w:hint="cs"/>
                <w:sz w:val="24"/>
                <w:szCs w:val="24"/>
                <w:rtl/>
              </w:rPr>
              <w:t xml:space="preserve">א' בשבט </w:t>
            </w:r>
            <w:proofErr w:type="spellStart"/>
            <w:r>
              <w:rPr>
                <w:rFonts w:hint="cs"/>
                <w:sz w:val="24"/>
                <w:szCs w:val="24"/>
                <w:rtl/>
              </w:rPr>
              <w:t>התשפ"ג</w:t>
            </w:r>
            <w:proofErr w:type="spellEnd"/>
            <w:r>
              <w:rPr>
                <w:rFonts w:hint="cs"/>
                <w:sz w:val="24"/>
                <w:szCs w:val="24"/>
                <w:rtl/>
              </w:rPr>
              <w:t xml:space="preserve"> (23.1.2023)</w:t>
            </w:r>
            <w:r w:rsidR="008C2F11">
              <w:t xml:space="preserve">       </w:t>
            </w:r>
          </w:p>
        </w:tc>
        <w:tc>
          <w:tcPr>
            <w:tcW w:w="1555" w:type="dxa"/>
            <w:tcBorders>
              <w:top w:val="nil"/>
              <w:left w:val="nil"/>
              <w:bottom w:val="nil"/>
              <w:right w:val="nil"/>
            </w:tcBorders>
          </w:tcPr>
          <w:p w:rsidR="008C2F11" w:rsidRDefault="008C2F11">
            <w:pPr>
              <w:pStyle w:val="BodyRuller"/>
              <w:rPr>
                <w:sz w:val="24"/>
                <w:szCs w:val="24"/>
                <w:rtl/>
              </w:rPr>
            </w:pP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036227" w:rsidTr="00D00B1D">
        <w:tc>
          <w:tcPr>
            <w:tcW w:w="3257" w:type="dxa"/>
            <w:tcBorders>
              <w:top w:val="nil"/>
              <w:left w:val="nil"/>
              <w:bottom w:val="nil"/>
              <w:right w:val="nil"/>
            </w:tcBorders>
          </w:tcPr>
          <w:p w:rsidR="00036227" w:rsidRDefault="0063549B">
            <w:pPr>
              <w:pStyle w:val="BodyRuller"/>
            </w:pPr>
            <w:r>
              <w:rPr>
                <w:rtl/>
              </w:rPr>
              <w:t>בשם המערער:</w:t>
            </w:r>
          </w:p>
        </w:tc>
        <w:tc>
          <w:tcPr>
            <w:tcW w:w="5238" w:type="dxa"/>
            <w:tcBorders>
              <w:top w:val="nil"/>
              <w:left w:val="nil"/>
              <w:bottom w:val="nil"/>
              <w:right w:val="nil"/>
            </w:tcBorders>
          </w:tcPr>
          <w:p w:rsidR="00036227" w:rsidRDefault="00D00A1A" w:rsidP="00D00A1A">
            <w:pPr>
              <w:pStyle w:val="BodyRuller"/>
            </w:pPr>
            <w:r>
              <w:rPr>
                <w:rFonts w:hint="cs"/>
                <w:rtl/>
              </w:rPr>
              <w:t xml:space="preserve">עו"ד </w:t>
            </w:r>
            <w:r>
              <w:rPr>
                <w:rtl/>
              </w:rPr>
              <w:t>שלומי לזר</w:t>
            </w:r>
            <w:r>
              <w:rPr>
                <w:rFonts w:hint="cs"/>
                <w:rtl/>
              </w:rPr>
              <w:t xml:space="preserve">; </w:t>
            </w:r>
            <w:r w:rsidR="0063549B">
              <w:rPr>
                <w:rtl/>
              </w:rPr>
              <w:t xml:space="preserve">עו"ד </w:t>
            </w:r>
            <w:r>
              <w:rPr>
                <w:rFonts w:hint="cs"/>
                <w:rtl/>
              </w:rPr>
              <w:t xml:space="preserve">יהושע חבר; עו"ד יהונתן </w:t>
            </w:r>
            <w:proofErr w:type="spellStart"/>
            <w:r>
              <w:rPr>
                <w:rFonts w:hint="cs"/>
                <w:rtl/>
              </w:rPr>
              <w:t>אוליאל</w:t>
            </w:r>
            <w:proofErr w:type="spellEnd"/>
            <w:r w:rsidR="0063549B">
              <w:rPr>
                <w:rtl/>
              </w:rPr>
              <w:t xml:space="preserve"> </w:t>
            </w:r>
          </w:p>
        </w:tc>
      </w:tr>
    </w:tbl>
    <w:p w:rsidR="00916FF8" w:rsidRDefault="00916FF8" w:rsidP="00510797">
      <w:pPr>
        <w:pStyle w:val="Ruller3"/>
        <w:spacing w:line="240" w:lineRule="auto"/>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5153"/>
      </w:tblGrid>
      <w:tr w:rsidR="00036227" w:rsidTr="00D00B1D">
        <w:tc>
          <w:tcPr>
            <w:tcW w:w="3257" w:type="dxa"/>
            <w:tcBorders>
              <w:top w:val="nil"/>
              <w:left w:val="nil"/>
              <w:bottom w:val="nil"/>
              <w:right w:val="nil"/>
            </w:tcBorders>
          </w:tcPr>
          <w:p w:rsidR="00036227" w:rsidRDefault="0063549B" w:rsidP="00D00A1A">
            <w:pPr>
              <w:pStyle w:val="BodyRuller"/>
            </w:pPr>
            <w:r>
              <w:rPr>
                <w:rtl/>
              </w:rPr>
              <w:t>בשם המשי</w:t>
            </w:r>
            <w:r w:rsidR="00D00A1A">
              <w:rPr>
                <w:rFonts w:hint="cs"/>
                <w:rtl/>
              </w:rPr>
              <w:t>ב 1</w:t>
            </w:r>
            <w:r>
              <w:rPr>
                <w:rtl/>
              </w:rPr>
              <w:t>:</w:t>
            </w:r>
          </w:p>
        </w:tc>
        <w:tc>
          <w:tcPr>
            <w:tcW w:w="5238" w:type="dxa"/>
            <w:tcBorders>
              <w:top w:val="nil"/>
              <w:left w:val="nil"/>
              <w:bottom w:val="nil"/>
              <w:right w:val="nil"/>
            </w:tcBorders>
          </w:tcPr>
          <w:p w:rsidR="00036227" w:rsidRDefault="0063549B" w:rsidP="00D00A1A">
            <w:pPr>
              <w:pStyle w:val="BodyRuller"/>
            </w:pPr>
            <w:r>
              <w:rPr>
                <w:rtl/>
              </w:rPr>
              <w:t xml:space="preserve">עו"ד </w:t>
            </w:r>
            <w:r w:rsidR="00D00A1A">
              <w:rPr>
                <w:rFonts w:hint="cs"/>
                <w:rtl/>
              </w:rPr>
              <w:t xml:space="preserve">עמנואל </w:t>
            </w:r>
            <w:proofErr w:type="spellStart"/>
            <w:r w:rsidR="00D00A1A">
              <w:rPr>
                <w:rFonts w:hint="cs"/>
                <w:rtl/>
              </w:rPr>
              <w:t>לינדר</w:t>
            </w:r>
            <w:proofErr w:type="spellEnd"/>
          </w:p>
        </w:tc>
      </w:tr>
    </w:tbl>
    <w:p w:rsidR="00D00A1A" w:rsidRDefault="00D00A1A" w:rsidP="00510797">
      <w:pPr>
        <w:tabs>
          <w:tab w:val="left" w:pos="2552"/>
        </w:tabs>
        <w:spacing w:line="480" w:lineRule="auto"/>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63549B">
            <w:pPr>
              <w:pStyle w:val="DocumentHead"/>
            </w:pPr>
            <w:bookmarkStart w:id="1" w:name="secretary"/>
            <w:bookmarkStart w:id="2" w:name="BeginProtocol"/>
            <w:bookmarkEnd w:id="1"/>
            <w:bookmarkEnd w:id="2"/>
            <w:r>
              <w:rPr>
                <w:rtl/>
              </w:rPr>
              <w:t>פסק-דין</w:t>
            </w:r>
          </w:p>
        </w:tc>
      </w:tr>
    </w:tbl>
    <w:p w:rsidR="00D00A1A" w:rsidRDefault="00D00A1A" w:rsidP="00510797">
      <w:pPr>
        <w:pStyle w:val="BODYVERDICT"/>
        <w:spacing w:line="276" w:lineRule="auto"/>
        <w:rPr>
          <w:rtl/>
        </w:rPr>
      </w:pPr>
    </w:p>
    <w:p w:rsidR="00916FF8" w:rsidRPr="00503A3E" w:rsidRDefault="0063549B">
      <w:pPr>
        <w:pStyle w:val="BODYVERDICT"/>
        <w:rPr>
          <w:rFonts w:cs="Miriam"/>
          <w:sz w:val="24"/>
          <w:szCs w:val="24"/>
          <w:u w:val="single"/>
          <w:rtl/>
        </w:rPr>
      </w:pPr>
      <w:bookmarkStart w:id="3" w:name="Writer_Name"/>
      <w:bookmarkEnd w:id="3"/>
      <w:r>
        <w:rPr>
          <w:rFonts w:cs="Miriam"/>
          <w:sz w:val="24"/>
          <w:szCs w:val="24"/>
          <w:u w:val="single"/>
          <w:rtl/>
        </w:rPr>
        <w:t>השופטת ר' רונן:</w:t>
      </w:r>
    </w:p>
    <w:p w:rsidR="00ED79F5" w:rsidRDefault="00ED79F5" w:rsidP="00ED79F5">
      <w:pPr>
        <w:pStyle w:val="Ruller41"/>
        <w:rPr>
          <w:u w:val="single"/>
          <w:rtl/>
        </w:rPr>
      </w:pPr>
      <w:bookmarkStart w:id="4" w:name="Start_Write"/>
      <w:bookmarkEnd w:id="4"/>
    </w:p>
    <w:p w:rsidR="00ED79F5" w:rsidRDefault="00ED79F5" w:rsidP="00ED79F5">
      <w:pPr>
        <w:pStyle w:val="Ruller41"/>
        <w:rPr>
          <w:rtl/>
        </w:rPr>
      </w:pPr>
      <w:r>
        <w:rPr>
          <w:rtl/>
        </w:rPr>
        <w:tab/>
      </w:r>
      <w:r>
        <w:rPr>
          <w:rFonts w:hint="cs"/>
          <w:rtl/>
        </w:rPr>
        <w:t xml:space="preserve">לפנינו ערעור על פסק דינו של בית המשפט המחוזי בירושלים (כב' השופט </w:t>
      </w:r>
      <w:r w:rsidRPr="009D151A">
        <w:rPr>
          <w:rFonts w:ascii="Century" w:hAnsi="Century" w:cs="Miriam" w:hint="cs"/>
          <w:b/>
          <w:spacing w:val="0"/>
          <w:szCs w:val="24"/>
          <w:rtl/>
        </w:rPr>
        <w:t>א' דורות</w:t>
      </w:r>
      <w:r>
        <w:rPr>
          <w:rFonts w:hint="cs"/>
          <w:rtl/>
        </w:rPr>
        <w:t xml:space="preserve">) מיום 16.8.2021 בע"מ 2995-03-17 ובע"מ 47383-01-18, אשר דחה את ערעורי המס שהגיש המערער על צווי השומה שנקבעו לו לשנות המס 2013-2011. </w:t>
      </w:r>
    </w:p>
    <w:p w:rsidR="00ED79F5" w:rsidRDefault="00ED79F5" w:rsidP="00ED79F5">
      <w:pPr>
        <w:pStyle w:val="Ruller41"/>
        <w:rPr>
          <w:rtl/>
        </w:rPr>
      </w:pPr>
    </w:p>
    <w:p w:rsidR="00ED79F5" w:rsidRDefault="00ED79F5" w:rsidP="00ED79F5">
      <w:pPr>
        <w:pStyle w:val="Ruller41"/>
        <w:rPr>
          <w:rFonts w:ascii="Century" w:hAnsi="Century" w:cs="Miriam"/>
          <w:b/>
          <w:spacing w:val="0"/>
          <w:szCs w:val="24"/>
          <w:rtl/>
        </w:rPr>
      </w:pPr>
      <w:r>
        <w:rPr>
          <w:rFonts w:ascii="Century" w:hAnsi="Century" w:cs="Miriam" w:hint="cs"/>
          <w:b/>
          <w:spacing w:val="0"/>
          <w:szCs w:val="24"/>
          <w:rtl/>
        </w:rPr>
        <w:t>הרקע לערעור ופסק דינו של בית משפט קמא</w:t>
      </w:r>
    </w:p>
    <w:p w:rsidR="00ED79F5" w:rsidRDefault="00ED79F5" w:rsidP="00ED79F5">
      <w:pPr>
        <w:pStyle w:val="Ruller41"/>
        <w:rPr>
          <w:rFonts w:ascii="Century" w:hAnsi="Century"/>
          <w:rtl/>
        </w:rPr>
      </w:pPr>
    </w:p>
    <w:p w:rsidR="00ED79F5" w:rsidRDefault="00ED79F5" w:rsidP="00ED79F5">
      <w:pPr>
        <w:pStyle w:val="Ruller4"/>
        <w:rPr>
          <w:rtl/>
        </w:rPr>
      </w:pPr>
      <w:r>
        <w:rPr>
          <w:rFonts w:hint="cs"/>
          <w:rtl/>
        </w:rPr>
        <w:t>המערער הוא מהנדס אלקטרוניקה ומחשבים בהשכלתו. בשנת 1999 רשם המערער בצרפת סימן מסחרי בשם "</w:t>
      </w:r>
      <w:r>
        <w:t>SEPHIRA</w:t>
      </w:r>
      <w:r>
        <w:rPr>
          <w:rFonts w:hint="cs"/>
          <w:rtl/>
        </w:rPr>
        <w:t xml:space="preserve">" (להלן: </w:t>
      </w:r>
      <w:r>
        <w:rPr>
          <w:rFonts w:ascii="Century" w:hAnsi="Century" w:cs="Miriam" w:hint="cs"/>
          <w:b/>
          <w:spacing w:val="0"/>
          <w:sz w:val="22"/>
          <w:szCs w:val="24"/>
          <w:rtl/>
        </w:rPr>
        <w:t>ה</w:t>
      </w:r>
      <w:r w:rsidRPr="00340940">
        <w:rPr>
          <w:rFonts w:ascii="Century" w:hAnsi="Century" w:cs="Miriam" w:hint="cs"/>
          <w:b/>
          <w:spacing w:val="0"/>
          <w:sz w:val="22"/>
          <w:szCs w:val="24"/>
          <w:rtl/>
        </w:rPr>
        <w:t>סימן המסחר</w:t>
      </w:r>
      <w:r>
        <w:rPr>
          <w:rFonts w:ascii="Century" w:hAnsi="Century" w:cs="Miriam" w:hint="cs"/>
          <w:b/>
          <w:spacing w:val="0"/>
          <w:sz w:val="22"/>
          <w:szCs w:val="24"/>
          <w:rtl/>
        </w:rPr>
        <w:t>י</w:t>
      </w:r>
      <w:r>
        <w:rPr>
          <w:rFonts w:hint="cs"/>
          <w:rtl/>
        </w:rPr>
        <w:t>), והקים חברה צרפתית בשם "</w:t>
      </w:r>
      <w:r>
        <w:rPr>
          <w:rFonts w:hint="cs"/>
        </w:rPr>
        <w:t>SEPHIRA SAS</w:t>
      </w:r>
      <w:r>
        <w:rPr>
          <w:rFonts w:hint="cs"/>
          <w:rtl/>
        </w:rPr>
        <w:t xml:space="preserve">" (להלן: </w:t>
      </w:r>
      <w:r w:rsidRPr="00340940">
        <w:rPr>
          <w:rFonts w:ascii="Century" w:hAnsi="Century" w:cs="Miriam" w:hint="cs"/>
          <w:b/>
          <w:spacing w:val="0"/>
          <w:sz w:val="22"/>
          <w:szCs w:val="24"/>
          <w:rtl/>
        </w:rPr>
        <w:t>ספירה צרפת</w:t>
      </w:r>
      <w:r>
        <w:rPr>
          <w:rFonts w:hint="cs"/>
          <w:rtl/>
        </w:rPr>
        <w:t xml:space="preserve">). </w:t>
      </w:r>
    </w:p>
    <w:p w:rsidR="00ED79F5" w:rsidRDefault="00ED79F5" w:rsidP="00ED79F5">
      <w:pPr>
        <w:pStyle w:val="Ruller41"/>
        <w:rPr>
          <w:rtl/>
        </w:rPr>
      </w:pPr>
    </w:p>
    <w:p w:rsidR="00ED79F5" w:rsidRDefault="00ED79F5" w:rsidP="00ED79F5">
      <w:pPr>
        <w:pStyle w:val="Ruller4"/>
        <w:rPr>
          <w:rtl/>
        </w:rPr>
      </w:pPr>
      <w:r>
        <w:rPr>
          <w:rFonts w:hint="cs"/>
          <w:rtl/>
        </w:rPr>
        <w:t xml:space="preserve">בשנת 2003 עלה המערער לישראל, והקים בה את חברת ספירה ואופק בע"מ (היא המשיבה 2; להלן: </w:t>
      </w:r>
      <w:r w:rsidRPr="00340940">
        <w:rPr>
          <w:rFonts w:ascii="Century" w:hAnsi="Century" w:cs="Miriam" w:hint="cs"/>
          <w:b/>
          <w:spacing w:val="0"/>
          <w:szCs w:val="24"/>
          <w:rtl/>
        </w:rPr>
        <w:t>ספירה ישראל</w:t>
      </w:r>
      <w:r>
        <w:rPr>
          <w:rFonts w:hint="cs"/>
          <w:rtl/>
        </w:rPr>
        <w:t xml:space="preserve"> או </w:t>
      </w:r>
      <w:r w:rsidRPr="005F1680">
        <w:rPr>
          <w:rFonts w:ascii="Century" w:hAnsi="Century" w:cs="Miriam" w:hint="cs"/>
          <w:b/>
          <w:spacing w:val="0"/>
          <w:sz w:val="22"/>
          <w:szCs w:val="24"/>
          <w:rtl/>
        </w:rPr>
        <w:t>החברה</w:t>
      </w:r>
      <w:r>
        <w:rPr>
          <w:rFonts w:hint="cs"/>
          <w:rtl/>
        </w:rPr>
        <w:t>). בעת הרלוונטית החזיק המערער ב-81% ממניות החברה, ויתר מניותיה הוחזקו על ידי גיסו. כמו כן, המערער כיהן כמנכ"ל ספירה ישראל.</w:t>
      </w:r>
    </w:p>
    <w:p w:rsidR="00ED79F5" w:rsidRDefault="00ED79F5" w:rsidP="00ED79F5">
      <w:pPr>
        <w:pStyle w:val="Ruller41"/>
        <w:rPr>
          <w:rtl/>
        </w:rPr>
      </w:pPr>
    </w:p>
    <w:p w:rsidR="00ED79F5" w:rsidRDefault="00ED79F5" w:rsidP="00ED79F5">
      <w:pPr>
        <w:pStyle w:val="Ruller4"/>
        <w:rPr>
          <w:rtl/>
        </w:rPr>
      </w:pPr>
      <w:r>
        <w:rPr>
          <w:rFonts w:hint="cs"/>
          <w:rtl/>
        </w:rPr>
        <w:t xml:space="preserve">לאחר מספר שנים, ביום 1.7.2011, חתם המערער עם ספירה ישראל על הסכם למכירת זכויותיו בסימן המסחרי בתמורה ל-8.4 מיליון אירו (להלן: </w:t>
      </w:r>
      <w:r w:rsidRPr="00340940">
        <w:rPr>
          <w:rFonts w:ascii="Century" w:hAnsi="Century" w:cs="Miriam" w:hint="cs"/>
          <w:b/>
          <w:spacing w:val="0"/>
          <w:szCs w:val="24"/>
          <w:rtl/>
        </w:rPr>
        <w:t xml:space="preserve">עסקת </w:t>
      </w:r>
      <w:r>
        <w:rPr>
          <w:rFonts w:ascii="Century" w:hAnsi="Century" w:cs="Miriam" w:hint="cs"/>
          <w:b/>
          <w:spacing w:val="0"/>
          <w:szCs w:val="24"/>
          <w:rtl/>
        </w:rPr>
        <w:t>ה</w:t>
      </w:r>
      <w:r w:rsidRPr="00340940">
        <w:rPr>
          <w:rFonts w:ascii="Century" w:hAnsi="Century" w:cs="Miriam" w:hint="cs"/>
          <w:b/>
          <w:spacing w:val="0"/>
          <w:szCs w:val="24"/>
          <w:rtl/>
        </w:rPr>
        <w:t>מכר</w:t>
      </w:r>
      <w:r>
        <w:rPr>
          <w:rFonts w:hint="cs"/>
          <w:rtl/>
        </w:rPr>
        <w:t xml:space="preserve">). התמורה מעסקת המכר, בסך כולל של כ-41 מיליון ש"ח, הועברה למערער בתוך תקופה של כ-4 שנים, כאשר התשלום האחרון בוצע במאי 2015. כספי התמורה דווחו על ידי המערער בדו"חות ההכנסה שלו כרווח הון פטור ממס בהתאם לסעיף 97(ב) לפקודת מס הכנסה [נוסח חדש], התשכ"א-1961 (להלן: </w:t>
      </w:r>
      <w:r w:rsidRPr="00F77EC9">
        <w:rPr>
          <w:rFonts w:ascii="Century" w:hAnsi="Century" w:cs="Miriam" w:hint="cs"/>
          <w:b/>
          <w:spacing w:val="0"/>
          <w:sz w:val="22"/>
          <w:szCs w:val="24"/>
          <w:rtl/>
        </w:rPr>
        <w:t>הפקודה</w:t>
      </w:r>
      <w:r w:rsidRPr="00F77EC9">
        <w:rPr>
          <w:rFonts w:hint="cs"/>
          <w:rtl/>
        </w:rPr>
        <w:t xml:space="preserve"> </w:t>
      </w:r>
      <w:r>
        <w:rPr>
          <w:rFonts w:hint="cs"/>
          <w:rtl/>
        </w:rPr>
        <w:t xml:space="preserve">או </w:t>
      </w:r>
      <w:r w:rsidRPr="00F77EC9">
        <w:rPr>
          <w:rFonts w:ascii="Century" w:hAnsi="Century" w:cs="Miriam" w:hint="cs"/>
          <w:b/>
          <w:spacing w:val="0"/>
          <w:sz w:val="22"/>
          <w:szCs w:val="24"/>
          <w:rtl/>
        </w:rPr>
        <w:t>פקודת מס הכנסה</w:t>
      </w:r>
      <w:r>
        <w:rPr>
          <w:rFonts w:hint="cs"/>
          <w:rtl/>
        </w:rPr>
        <w:t>).</w:t>
      </w:r>
    </w:p>
    <w:p w:rsidR="00ED79F5" w:rsidRDefault="00ED79F5" w:rsidP="00ED79F5">
      <w:pPr>
        <w:pStyle w:val="Ruller41"/>
        <w:rPr>
          <w:rtl/>
        </w:rPr>
      </w:pPr>
    </w:p>
    <w:p w:rsidR="00ED79F5" w:rsidRDefault="00ED79F5" w:rsidP="00ED79F5">
      <w:pPr>
        <w:pStyle w:val="Ruller4"/>
        <w:rPr>
          <w:rtl/>
        </w:rPr>
      </w:pPr>
      <w:r>
        <w:rPr>
          <w:rFonts w:hint="cs"/>
          <w:rtl/>
        </w:rPr>
        <w:t xml:space="preserve">לאחר שבחנו נציגי המשיב 1 </w:t>
      </w:r>
      <w:r>
        <w:rPr>
          <w:rtl/>
        </w:rPr>
        <w:t>–</w:t>
      </w:r>
      <w:r>
        <w:rPr>
          <w:rFonts w:hint="cs"/>
          <w:rtl/>
        </w:rPr>
        <w:t xml:space="preserve"> פקיד שומה ירושלים 3 (להלן: </w:t>
      </w:r>
      <w:r w:rsidRPr="00340940">
        <w:rPr>
          <w:rFonts w:ascii="Century" w:hAnsi="Century" w:cs="Miriam" w:hint="cs"/>
          <w:b/>
          <w:spacing w:val="0"/>
          <w:sz w:val="22"/>
          <w:szCs w:val="24"/>
          <w:rtl/>
        </w:rPr>
        <w:t>המשיב</w:t>
      </w:r>
      <w:r>
        <w:rPr>
          <w:rFonts w:hint="cs"/>
          <w:rtl/>
        </w:rPr>
        <w:t>)</w:t>
      </w:r>
      <w:r w:rsidR="00D00A1A">
        <w:rPr>
          <w:rFonts w:hint="cs"/>
          <w:rtl/>
        </w:rPr>
        <w:t>,</w:t>
      </w:r>
      <w:r>
        <w:rPr>
          <w:rFonts w:hint="cs"/>
          <w:rtl/>
        </w:rPr>
        <w:t xml:space="preserve"> את עסקת המכר, ולאחר שהתנהל מול המשיב הליך השגה, הוצאו למערער צווי שומה לשנים 2013-2011, בהם נקבע כי עסקת המכר היא עסקה מלאכותית שיש להתעלם ממנה לצורכי קביעת המס. זאת, בהתאם לסעיף 86 לפקודת מס הכנסה.</w:t>
      </w:r>
    </w:p>
    <w:p w:rsidR="00ED79F5" w:rsidRDefault="00ED79F5" w:rsidP="00ED79F5">
      <w:pPr>
        <w:pStyle w:val="Ruller41"/>
        <w:rPr>
          <w:rtl/>
        </w:rPr>
      </w:pPr>
    </w:p>
    <w:p w:rsidR="00ED79F5" w:rsidRDefault="00ED79F5" w:rsidP="00ED79F5">
      <w:pPr>
        <w:pStyle w:val="Ruller41"/>
        <w:rPr>
          <w:rtl/>
        </w:rPr>
      </w:pPr>
      <w:r>
        <w:rPr>
          <w:rtl/>
        </w:rPr>
        <w:tab/>
      </w:r>
      <w:r>
        <w:rPr>
          <w:rFonts w:hint="cs"/>
          <w:rtl/>
        </w:rPr>
        <w:t>לנוכח קביעה זו, קבע המשיב כי יש לבטל את כל ההשפעות של עסקת המכר על דו"חות ההכנסה של המערער לשנים 2013-2011, ובכלל זאת לבטל את רווח ההון הפטור ממס עליו דיווח המערער בעקבות עסקת המכר. חלף זאת, קבע המשיב כי יש לראות בכספים שמשך המערער מספירה ישראל בין השנים 2013-2011 (בניכוי הכנסות התגמולים שהתקבלו בגין הסימן המסחרי באותן שנים) כהכנסה ממשכורת החייבת בתשלום מס מכוח סעיף 2(2) לפקודה. לחלופין נקבע כי יש לראות בכספים אלה כהכנסה מדיבידנד החייבת במס מכוח סעיף 2(4) לפקודה. יצוין כי הסכום הכולל שסווג כהכנסה ממשכורת בשנות המס הרלוונטיות עומד על כ-16 מיליון ש"ח, והוא שמצוי במוקד המחלוקת בערעור שלפנינו.</w:t>
      </w:r>
    </w:p>
    <w:p w:rsidR="00ED79F5" w:rsidRDefault="00ED79F5" w:rsidP="00ED79F5">
      <w:pPr>
        <w:pStyle w:val="Ruller41"/>
        <w:rPr>
          <w:rtl/>
        </w:rPr>
      </w:pPr>
    </w:p>
    <w:p w:rsidR="00ED79F5" w:rsidRDefault="00ED79F5" w:rsidP="00ED79F5">
      <w:pPr>
        <w:pStyle w:val="Ruller41"/>
        <w:rPr>
          <w:rtl/>
        </w:rPr>
      </w:pPr>
      <w:r>
        <w:rPr>
          <w:rtl/>
        </w:rPr>
        <w:tab/>
      </w:r>
      <w:r>
        <w:rPr>
          <w:rFonts w:hint="cs"/>
          <w:rtl/>
        </w:rPr>
        <w:t>מעבר לכך, קבע המשיב כי הואיל והמערער לא הוכיח כי לא התרשל בעריכת דו"חות ההכנסה שהגיש לרשויות המס, יוטל עליו קנס גירעון בשיעור של 15% לפי סעיף 191 לפקודת מס הכנסה.</w:t>
      </w:r>
    </w:p>
    <w:p w:rsidR="00ED79F5" w:rsidRDefault="00ED79F5" w:rsidP="00ED79F5">
      <w:pPr>
        <w:pStyle w:val="Ruller41"/>
        <w:rPr>
          <w:rtl/>
        </w:rPr>
      </w:pPr>
    </w:p>
    <w:p w:rsidR="00ED79F5" w:rsidRDefault="00ED79F5" w:rsidP="00ED79F5">
      <w:pPr>
        <w:pStyle w:val="Ruller4"/>
        <w:rPr>
          <w:rtl/>
        </w:rPr>
      </w:pPr>
      <w:r>
        <w:rPr>
          <w:rFonts w:hint="cs"/>
          <w:rtl/>
        </w:rPr>
        <w:t xml:space="preserve">המערער הגיש לבית המשפט המחוזי בירושלים ערעורי מס על צווי השומה שנקבעו לו לשנים 2013-2011. עיקר טענותיו של המערער בערעורים אלה התמקד </w:t>
      </w:r>
      <w:r>
        <w:rPr>
          <w:rFonts w:hint="cs"/>
          <w:rtl/>
        </w:rPr>
        <w:lastRenderedPageBreak/>
        <w:t xml:space="preserve">בקביעת המשיב לפיה יש לראות בעסקת המכר של הסימן המסחרי כעסקה מלאכותית. כפי שיפורט להלן, במסגרת הדיון שהתקיים לפנינו זנח המערער את טענותיו לעניין זה ולכן לא ראיתי צורך לפרטן. </w:t>
      </w:r>
    </w:p>
    <w:p w:rsidR="00ED79F5" w:rsidRDefault="00ED79F5" w:rsidP="00ED79F5">
      <w:pPr>
        <w:pStyle w:val="Ruller41"/>
        <w:rPr>
          <w:rtl/>
        </w:rPr>
      </w:pPr>
    </w:p>
    <w:p w:rsidR="00ED79F5" w:rsidRPr="001B58C8" w:rsidRDefault="00ED79F5" w:rsidP="00ED79F5">
      <w:pPr>
        <w:pStyle w:val="Ruller41"/>
        <w:rPr>
          <w:rtl/>
        </w:rPr>
      </w:pPr>
      <w:r>
        <w:rPr>
          <w:rtl/>
        </w:rPr>
        <w:tab/>
      </w:r>
      <w:r>
        <w:rPr>
          <w:rFonts w:hint="cs"/>
          <w:rtl/>
        </w:rPr>
        <w:t>בשולי הדברים, העלה המערער טענה חלופית לפיה היה מקום לסווג את הכספים שנמשכו על ידיו מספירה ישראל כדיבידנד ולא כהכנסה ממשכורת, משום שאין ספק כי הכספים הללו לא התקבלו אצלו בכובעו כעובד, אלא לכל היותר בכובעו כבעל מניות בחברה.</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מעבר לכך, העלה המערער גם טענות ביחס לקנס הגירעון שהוטל עליו. לעניין זה נטען כי הדיווח על הרווח מעסקת המכר כרווח הון פטור ממס נעשה תוך גילוי מלא ונאות של העובדות, ומבלי שהוסתרו מהמשיב פרטים כלשהם. משכך, לא ניתן לקבוע כי הייתה התרשלות כלשהי בעריכת הדו"חות. המערער הדגיש כי החיוב בקנס גירעון לפי סעיף 191 לפקודת מס הכנסה נועד למקרים בהם הנישום נוקט בעמדה בלתי סבירה בעליל, כאשר ברור מראש שעמדתו לא תתקבל בבית המשפט. במקרה זה לעומת זאת, נקט המערער בעמדה סבירה ולגיטימית, ולא פעל ברשלנות. </w:t>
      </w:r>
    </w:p>
    <w:p w:rsidR="00ED79F5" w:rsidRPr="00340940" w:rsidRDefault="00ED79F5" w:rsidP="00ED79F5">
      <w:pPr>
        <w:pStyle w:val="Ruller41"/>
        <w:rPr>
          <w:rtl/>
        </w:rPr>
      </w:pPr>
    </w:p>
    <w:p w:rsidR="00ED79F5" w:rsidRDefault="00ED79F5" w:rsidP="00ED79F5">
      <w:pPr>
        <w:pStyle w:val="Ruller4"/>
      </w:pPr>
      <w:r>
        <w:rPr>
          <w:rFonts w:hint="cs"/>
          <w:rtl/>
        </w:rPr>
        <w:t>ביום 16.8.2021 ניתן פסק דין הדוחה את ערעורי המס שהגיש המערער. בפסק דינו, קבע בית משפט קמא כי הדיווח על עסקת המכר כעסקה פטורה ממס לפי סעיף 97(ב) לפקודת מס הכנסה אינו בגדר תכנון מס לגיטימי; וכי לא הוכח קיומו של טעם מסחרי יסודי לביצוע עסקת המכר</w:t>
      </w:r>
      <w:r w:rsidR="009F0E7F">
        <w:rPr>
          <w:rFonts w:hint="cs"/>
          <w:rtl/>
        </w:rPr>
        <w:t>. משכך, נקבע כי צדק המשיב בקביעת</w:t>
      </w:r>
      <w:r>
        <w:rPr>
          <w:rFonts w:hint="cs"/>
          <w:rtl/>
        </w:rPr>
        <w:t xml:space="preserve">ו כי מדובר בעסקה מלאכותית אשר בבסיסה עומד תכנון מס שלילי. </w:t>
      </w:r>
    </w:p>
    <w:p w:rsidR="00ED79F5" w:rsidRDefault="00ED79F5" w:rsidP="00ED79F5">
      <w:pPr>
        <w:pStyle w:val="Ruller4"/>
        <w:numPr>
          <w:ilvl w:val="0"/>
          <w:numId w:val="0"/>
        </w:numPr>
        <w:rPr>
          <w:rtl/>
        </w:rPr>
      </w:pPr>
    </w:p>
    <w:p w:rsidR="00ED79F5" w:rsidRDefault="00ED79F5" w:rsidP="00ED79F5">
      <w:pPr>
        <w:pStyle w:val="Ruller4"/>
        <w:numPr>
          <w:ilvl w:val="0"/>
          <w:numId w:val="0"/>
        </w:numPr>
        <w:rPr>
          <w:rtl/>
        </w:rPr>
      </w:pPr>
      <w:r>
        <w:rPr>
          <w:rtl/>
        </w:rPr>
        <w:tab/>
      </w:r>
      <w:r>
        <w:rPr>
          <w:rFonts w:hint="cs"/>
          <w:rtl/>
        </w:rPr>
        <w:t>בדונו בסוגיה זו ציין בית המשפט, בין היתר, כי עסקת המכר הביאה להפחתת סכום המס שהיה צריך להשתלם על ידי המערער על משיכות הכספים שביצע מספירה ישראל. בהקשר זה, צוין כי "</w:t>
      </w:r>
      <w:r w:rsidRPr="0017521F">
        <w:rPr>
          <w:rFonts w:ascii="Century" w:hAnsi="Century" w:cs="Miriam" w:hint="cs"/>
          <w:b/>
          <w:spacing w:val="0"/>
          <w:sz w:val="22"/>
          <w:szCs w:val="24"/>
          <w:rtl/>
        </w:rPr>
        <w:t>בעל מניות המושך כספים מחברה שבשליטתו מבלי</w:t>
      </w:r>
      <w:r>
        <w:rPr>
          <w:rFonts w:ascii="Century" w:hAnsi="Century" w:cs="Miriam" w:hint="cs"/>
          <w:b/>
          <w:spacing w:val="0"/>
          <w:sz w:val="22"/>
          <w:szCs w:val="24"/>
          <w:rtl/>
        </w:rPr>
        <w:t xml:space="preserve"> להשיבם</w:t>
      </w:r>
      <w:r w:rsidRPr="0017521F">
        <w:rPr>
          <w:rFonts w:ascii="Century" w:hAnsi="Century" w:cs="Miriam" w:hint="cs"/>
          <w:b/>
          <w:spacing w:val="0"/>
          <w:sz w:val="22"/>
          <w:szCs w:val="24"/>
          <w:rtl/>
        </w:rPr>
        <w:t>, מחויב במס על המשיכות ורואים אותן כדיבידנד החייב במס</w:t>
      </w:r>
      <w:r>
        <w:rPr>
          <w:rFonts w:hint="cs"/>
          <w:rtl/>
        </w:rPr>
        <w:t>" (פסקה 127 לפסק הדין). כן צוין כי "</w:t>
      </w:r>
      <w:r w:rsidRPr="0017521F">
        <w:rPr>
          <w:rFonts w:ascii="Century" w:hAnsi="Century" w:cs="Miriam" w:hint="cs"/>
          <w:b/>
          <w:spacing w:val="0"/>
          <w:sz w:val="22"/>
          <w:szCs w:val="24"/>
          <w:rtl/>
        </w:rPr>
        <w:t>בשנים קודמות קיבל המערער שכר מ</w:t>
      </w:r>
      <w:r>
        <w:rPr>
          <w:rFonts w:hint="cs"/>
          <w:rtl/>
        </w:rPr>
        <w:t xml:space="preserve">[ספירה ישראל] </w:t>
      </w:r>
      <w:r w:rsidRPr="0017521F">
        <w:rPr>
          <w:rFonts w:ascii="Century" w:hAnsi="Century" w:cs="Miriam" w:hint="cs"/>
          <w:b/>
          <w:spacing w:val="0"/>
          <w:sz w:val="22"/>
          <w:szCs w:val="24"/>
          <w:rtl/>
        </w:rPr>
        <w:t>ושילם בגינו מס הכנסה. סמוך למכירת הסימן המסחרי, הפסיק המערער למשוך שכר ומשך כספים מ</w:t>
      </w:r>
      <w:r>
        <w:rPr>
          <w:rFonts w:hint="cs"/>
          <w:rtl/>
        </w:rPr>
        <w:t>[ספירה ישראל]</w:t>
      </w:r>
      <w:r w:rsidRPr="0017521F">
        <w:rPr>
          <w:rFonts w:ascii="Century" w:hAnsi="Century" w:cs="Miriam" w:hint="cs"/>
          <w:b/>
          <w:spacing w:val="0"/>
          <w:sz w:val="22"/>
          <w:szCs w:val="24"/>
          <w:rtl/>
        </w:rPr>
        <w:t xml:space="preserve">, חלף המשכורת וזאת באמצעות משיכת יתרת הזכות שנוצרה לו בעקבות העסקה (יתרת זכות של עשרות מיליוני </w:t>
      </w:r>
      <w:r>
        <w:rPr>
          <w:rFonts w:ascii="Miriam" w:hAnsi="Miriam" w:cs="Miriam"/>
          <w:b/>
          <w:spacing w:val="0"/>
          <w:sz w:val="22"/>
          <w:szCs w:val="24"/>
          <w:rtl/>
        </w:rPr>
        <w:t>₪</w:t>
      </w:r>
      <w:r w:rsidRPr="0017521F">
        <w:rPr>
          <w:rFonts w:ascii="Century" w:hAnsi="Century" w:cs="Miriam" w:hint="cs"/>
          <w:b/>
          <w:spacing w:val="0"/>
          <w:sz w:val="22"/>
          <w:szCs w:val="24"/>
          <w:rtl/>
        </w:rPr>
        <w:t>), אשר בגינה היה זכאי המערער להפרשי הצמדה הפטורים ממס</w:t>
      </w:r>
      <w:r>
        <w:rPr>
          <w:rFonts w:hint="cs"/>
          <w:rtl/>
        </w:rPr>
        <w:t>" (שם).</w:t>
      </w:r>
    </w:p>
    <w:p w:rsidR="00ED79F5" w:rsidRDefault="00ED79F5" w:rsidP="00ED79F5">
      <w:pPr>
        <w:pStyle w:val="Ruller41"/>
        <w:rPr>
          <w:rtl/>
        </w:rPr>
      </w:pPr>
    </w:p>
    <w:p w:rsidR="00ED79F5" w:rsidRPr="0017521F" w:rsidRDefault="00ED79F5" w:rsidP="00ED79F5">
      <w:pPr>
        <w:pStyle w:val="Ruller41"/>
        <w:rPr>
          <w:rtl/>
        </w:rPr>
      </w:pPr>
      <w:r>
        <w:rPr>
          <w:rtl/>
        </w:rPr>
        <w:tab/>
      </w:r>
      <w:r>
        <w:rPr>
          <w:rFonts w:hint="cs"/>
          <w:rtl/>
        </w:rPr>
        <w:t xml:space="preserve">בשלהי פסק הדין קבע בית משפט קמא כי לנוכח הדיון בסוגיית מכירת הסימן המסחרי אכן היה מקום להטיל על המערער קנס גירעון. הוא הדגיש כי עסקת המכר </w:t>
      </w:r>
      <w:r>
        <w:rPr>
          <w:rFonts w:hint="cs"/>
          <w:rtl/>
        </w:rPr>
        <w:lastRenderedPageBreak/>
        <w:t xml:space="preserve">היוותה תכנון מס שלילי, בלתי לגיטימי, שנעדר טעם מסחרי יסודי; וכפועל יוצא </w:t>
      </w:r>
      <w:r>
        <w:rPr>
          <w:rtl/>
        </w:rPr>
        <w:t>–</w:t>
      </w:r>
      <w:r>
        <w:rPr>
          <w:rFonts w:hint="cs"/>
          <w:rtl/>
        </w:rPr>
        <w:t xml:space="preserve"> כי התנהלות המערער אכן מלמדת על רשלנות בעריכת דו"חות ההכנסה שמטרתה הפחתת תשלום המס.</w:t>
      </w:r>
    </w:p>
    <w:p w:rsidR="00ED79F5" w:rsidRDefault="00ED79F5" w:rsidP="00ED79F5">
      <w:pPr>
        <w:pStyle w:val="Ruller41"/>
        <w:rPr>
          <w:rFonts w:ascii="Century" w:hAnsi="Century"/>
          <w:rtl/>
        </w:rPr>
      </w:pPr>
    </w:p>
    <w:p w:rsidR="00ED79F5" w:rsidRDefault="00ED79F5" w:rsidP="00ED79F5">
      <w:pPr>
        <w:pStyle w:val="Ruller41"/>
        <w:rPr>
          <w:rFonts w:ascii="Century" w:hAnsi="Century"/>
          <w:rtl/>
        </w:rPr>
      </w:pPr>
      <w:r>
        <w:rPr>
          <w:rFonts w:ascii="Century" w:hAnsi="Century"/>
          <w:rtl/>
        </w:rPr>
        <w:tab/>
      </w:r>
      <w:r>
        <w:rPr>
          <w:rFonts w:ascii="Century" w:hAnsi="Century" w:hint="cs"/>
          <w:rtl/>
        </w:rPr>
        <w:t>יוער כי בית משפט קמא לא דן בפסק דינו בטענתו החלופית של המערער לעניין סיווג הכספים כדיבידנד ולא כמשכורת.</w:t>
      </w:r>
    </w:p>
    <w:p w:rsidR="00ED79F5" w:rsidRDefault="00ED79F5" w:rsidP="00ED79F5">
      <w:pPr>
        <w:pStyle w:val="Ruller41"/>
        <w:rPr>
          <w:rFonts w:ascii="Century" w:hAnsi="Century"/>
          <w:rtl/>
        </w:rPr>
      </w:pPr>
    </w:p>
    <w:p w:rsidR="00ED79F5" w:rsidRPr="00491163" w:rsidRDefault="00ED79F5" w:rsidP="00ED79F5">
      <w:pPr>
        <w:pStyle w:val="Ruller4"/>
        <w:rPr>
          <w:rFonts w:ascii="Arial TUR" w:hAnsi="Arial TUR"/>
          <w:rtl/>
        </w:rPr>
      </w:pPr>
      <w:r>
        <w:rPr>
          <w:rFonts w:hint="cs"/>
          <w:rtl/>
        </w:rPr>
        <w:t>להשלמת התמונה יצוין כי יחד עם ערעורי המס של המערער, נדון גם ערעור מס שהגישה ספירה ישראל ביחס לצווי השומה שנקבעו לה לשנים 2013-2011.</w:t>
      </w:r>
      <w:r>
        <w:rPr>
          <w:rFonts w:ascii="Arial TUR" w:hAnsi="Arial TUR" w:hint="cs"/>
          <w:rtl/>
        </w:rPr>
        <w:t xml:space="preserve"> ערעור זה התקבל בחלקו על ידי בית משפט קמא.</w:t>
      </w:r>
    </w:p>
    <w:p w:rsidR="00ED79F5" w:rsidRDefault="00ED79F5" w:rsidP="00ED79F5">
      <w:pPr>
        <w:pStyle w:val="Ruller41"/>
        <w:rPr>
          <w:rFonts w:ascii="Century" w:hAnsi="Century"/>
          <w:rtl/>
        </w:rPr>
      </w:pPr>
    </w:p>
    <w:p w:rsidR="00ED79F5" w:rsidRDefault="00ED79F5" w:rsidP="00ED79F5">
      <w:pPr>
        <w:pStyle w:val="Ruller41"/>
        <w:rPr>
          <w:rFonts w:ascii="Century" w:hAnsi="Century" w:cs="Miriam"/>
          <w:b/>
          <w:spacing w:val="0"/>
          <w:szCs w:val="24"/>
          <w:rtl/>
        </w:rPr>
      </w:pPr>
      <w:r w:rsidRPr="00DB0E51">
        <w:rPr>
          <w:rFonts w:ascii="Century" w:hAnsi="Century" w:cs="Miriam" w:hint="cs"/>
          <w:b/>
          <w:spacing w:val="0"/>
          <w:szCs w:val="24"/>
          <w:rtl/>
        </w:rPr>
        <w:t>הערעור</w:t>
      </w:r>
    </w:p>
    <w:p w:rsidR="00ED79F5" w:rsidRDefault="00ED79F5" w:rsidP="00ED79F5">
      <w:pPr>
        <w:pStyle w:val="Ruller41"/>
        <w:rPr>
          <w:rFonts w:ascii="Century" w:hAnsi="Century"/>
          <w:rtl/>
        </w:rPr>
      </w:pPr>
    </w:p>
    <w:p w:rsidR="00ED79F5" w:rsidRPr="00DB0E51" w:rsidRDefault="00ED79F5" w:rsidP="00ED79F5">
      <w:pPr>
        <w:pStyle w:val="Ruller4"/>
        <w:rPr>
          <w:rtl/>
        </w:rPr>
      </w:pPr>
      <w:r>
        <w:rPr>
          <w:rFonts w:hint="cs"/>
          <w:rtl/>
        </w:rPr>
        <w:t xml:space="preserve">משלא השלים המערער עם פסק הדין, הוא הגיש ביום 23.1.2022 ערעור לבית משפט זה, בו העלה שלוש טענות עיקריות: </w:t>
      </w:r>
      <w:r>
        <w:rPr>
          <w:rFonts w:ascii="Century" w:hAnsi="Century" w:cs="Miriam" w:hint="cs"/>
          <w:b/>
          <w:spacing w:val="0"/>
          <w:sz w:val="22"/>
          <w:szCs w:val="24"/>
          <w:rtl/>
        </w:rPr>
        <w:t xml:space="preserve">הטענה </w:t>
      </w:r>
      <w:r w:rsidRPr="00DB0E51">
        <w:rPr>
          <w:rFonts w:ascii="Century" w:hAnsi="Century" w:cs="Miriam" w:hint="cs"/>
          <w:b/>
          <w:spacing w:val="0"/>
          <w:sz w:val="22"/>
          <w:szCs w:val="24"/>
          <w:rtl/>
        </w:rPr>
        <w:t>הראשונה</w:t>
      </w:r>
      <w:r w:rsidRPr="00DB0E51">
        <w:rPr>
          <w:rFonts w:hint="cs"/>
          <w:rtl/>
        </w:rPr>
        <w:t xml:space="preserve"> </w:t>
      </w:r>
      <w:r>
        <w:rPr>
          <w:rFonts w:hint="cs"/>
          <w:rtl/>
        </w:rPr>
        <w:t xml:space="preserve">עסקה בקביעה כי עסקת המכר היא עסקה מלאכותית לפי סעיף 86 לפקודת מס הכנסה. </w:t>
      </w:r>
      <w:r w:rsidRPr="00DB0E51">
        <w:rPr>
          <w:rFonts w:ascii="Century" w:hAnsi="Century" w:cs="Miriam" w:hint="cs"/>
          <w:b/>
          <w:spacing w:val="0"/>
          <w:sz w:val="22"/>
          <w:szCs w:val="24"/>
          <w:rtl/>
        </w:rPr>
        <w:t>הטענה השנייה</w:t>
      </w:r>
      <w:r w:rsidRPr="00DB0E51">
        <w:rPr>
          <w:rFonts w:hint="cs"/>
          <w:rtl/>
        </w:rPr>
        <w:t xml:space="preserve"> </w:t>
      </w:r>
      <w:r>
        <w:rPr>
          <w:rFonts w:hint="cs"/>
          <w:rtl/>
        </w:rPr>
        <w:t xml:space="preserve">הועלתה כטענה חלופית, ולפיה בהנחה כי אכן מדובר בעסקה מלאכותית </w:t>
      </w:r>
      <w:r>
        <w:rPr>
          <w:rtl/>
        </w:rPr>
        <w:t>–</w:t>
      </w:r>
      <w:r>
        <w:rPr>
          <w:rFonts w:hint="cs"/>
          <w:rtl/>
        </w:rPr>
        <w:t xml:space="preserve"> הרי שהיה מקום לסווג את כספי התמורה שקיבל המערער מספירה ישראל כדיבידנד ולא כמשכורת. </w:t>
      </w:r>
      <w:r w:rsidRPr="00DB0E51">
        <w:rPr>
          <w:rFonts w:ascii="Century" w:hAnsi="Century" w:cs="Miriam" w:hint="cs"/>
          <w:b/>
          <w:spacing w:val="0"/>
          <w:sz w:val="22"/>
          <w:szCs w:val="24"/>
          <w:rtl/>
        </w:rPr>
        <w:t>הטענה השלישית</w:t>
      </w:r>
      <w:r w:rsidRPr="00DB0E51">
        <w:rPr>
          <w:rFonts w:hint="cs"/>
          <w:rtl/>
        </w:rPr>
        <w:t xml:space="preserve"> </w:t>
      </w:r>
      <w:r>
        <w:rPr>
          <w:rFonts w:hint="cs"/>
          <w:rtl/>
        </w:rPr>
        <w:t>התמקדה בקנס הגירעון שהוטל על המערער.</w:t>
      </w:r>
    </w:p>
    <w:p w:rsidR="00ED79F5" w:rsidRDefault="00ED79F5" w:rsidP="00ED79F5">
      <w:pPr>
        <w:pStyle w:val="Ruller41"/>
        <w:rPr>
          <w:rFonts w:ascii="Century" w:hAnsi="Century"/>
          <w:rtl/>
        </w:rPr>
      </w:pPr>
    </w:p>
    <w:p w:rsidR="00ED79F5" w:rsidRPr="00DB0E51" w:rsidRDefault="00ED79F5" w:rsidP="00ED79F5">
      <w:pPr>
        <w:pStyle w:val="Ruller4"/>
        <w:ind w:firstLine="720"/>
        <w:rPr>
          <w:rtl/>
        </w:rPr>
      </w:pPr>
      <w:r>
        <w:rPr>
          <w:rFonts w:hint="cs"/>
          <w:rtl/>
        </w:rPr>
        <w:t>ביום 23.1.2023 התקיים לפנינו דיון בערעור. בתום הדיון, חזר בו המערער בהמלצתנו מטענתו הראשונה לעניין הקביעה כי מדובר בעסקה מלאכותית, וביקש למקד את ערעורו בשתי הטענות האחרות: קרי בסיווג מחדש של תשלומי התמורה שקיבל מהחברה ובהטלת קנס הגירעון. משכך יפורטו להלן טענות הצדדים ביחס לסוגיות אלה בלבד.</w:t>
      </w:r>
    </w:p>
    <w:p w:rsidR="00A034E9" w:rsidRDefault="00A034E9" w:rsidP="00ED79F5">
      <w:pPr>
        <w:pStyle w:val="Ruller41"/>
        <w:rPr>
          <w:rFonts w:ascii="Century" w:hAnsi="Century"/>
          <w:rtl/>
        </w:rPr>
      </w:pPr>
    </w:p>
    <w:p w:rsidR="00ED79F5" w:rsidRPr="00510797" w:rsidRDefault="00ED79F5" w:rsidP="00ED79F5">
      <w:pPr>
        <w:pStyle w:val="Ruller41"/>
        <w:rPr>
          <w:rFonts w:ascii="Century" w:hAnsi="Century" w:cs="Miriam"/>
          <w:b/>
          <w:spacing w:val="0"/>
          <w:szCs w:val="24"/>
          <w:rtl/>
        </w:rPr>
      </w:pPr>
      <w:r w:rsidRPr="00510797">
        <w:rPr>
          <w:rFonts w:ascii="Century" w:hAnsi="Century" w:cs="Miriam" w:hint="cs"/>
          <w:b/>
          <w:spacing w:val="0"/>
          <w:szCs w:val="24"/>
          <w:rtl/>
        </w:rPr>
        <w:t>טענות הצדדים</w:t>
      </w:r>
    </w:p>
    <w:p w:rsidR="00ED79F5" w:rsidRDefault="00ED79F5" w:rsidP="00ED79F5">
      <w:pPr>
        <w:pStyle w:val="Ruller41"/>
        <w:rPr>
          <w:rtl/>
        </w:rPr>
      </w:pPr>
    </w:p>
    <w:p w:rsidR="00ED79F5" w:rsidRDefault="00ED79F5" w:rsidP="00ED79F5">
      <w:pPr>
        <w:pStyle w:val="Ruller4"/>
        <w:rPr>
          <w:rtl/>
        </w:rPr>
      </w:pPr>
      <w:r>
        <w:rPr>
          <w:rFonts w:hint="cs"/>
          <w:rtl/>
        </w:rPr>
        <w:t xml:space="preserve">לטענת המערער, משנקבע כי עסקת המכר היא עסקה מלאכותית, היה מקום לסווג את כספי התמורה שנמשכו על ידיו מספירה ישראל כדיבידנד ולא כמשכורת. </w:t>
      </w:r>
      <w:r w:rsidRPr="003D34BD">
        <w:rPr>
          <w:rFonts w:ascii="Century" w:hAnsi="Century" w:hint="cs"/>
          <w:sz w:val="22"/>
          <w:rtl/>
        </w:rPr>
        <w:t>ראשית</w:t>
      </w:r>
      <w:r>
        <w:rPr>
          <w:rFonts w:hint="cs"/>
          <w:rtl/>
        </w:rPr>
        <w:t xml:space="preserve">, נטען כי בהתאם לפסיקה, השאלה אם תשלום מסוים יחשב כדיבידנד אם לאו תלויה במהותו של התשלום. לגישת המערער, מכלול הנסיבות שהתקיימו בענייננו מלמד כי מבחינה מהותית מדובר בדיבידנד ולא בשכר. בין היתר, טוען המערער כי בשנים 2013-2012 הוא כלל לא היה עובד של החברה, ולראיה הוא לא קיבל ממנה משכורת; </w:t>
      </w:r>
      <w:r>
        <w:rPr>
          <w:rFonts w:hint="cs"/>
          <w:rtl/>
        </w:rPr>
        <w:lastRenderedPageBreak/>
        <w:t xml:space="preserve">וכי בשנת 2011 הוא אומנם קיבל שכר מהחברה אך השקיע את מרבית זמנו בעבודה בחברה אחרת, ממנה הוא קיבל שכר גבוה בהרבה. עוד נטען כי הסכומים שנמשכו על ידי המערער בשנות המס הרלוונטיות אינם נושאים אופי של שכר עבודה, אשר נקבע מראש והוא תוצר של היקף העבודה ומהותה ושל כישורי העובד. בענייננו, כך נטען, השונות הגדולה בין סכומי המשיכות שבוצעו על ידי המערער בשנים השונות מעידה שאין מדובר בשכר קבוע מראש, אלא במשיכות רווחים שהיקפם תלוי בתוצאות הפעילות של החברה המשתנות מידי שנה. עוד מוסיף המערער כי המשיב לא הבהיר את מהות העבודה שבגינה הוא קיבל שכר כה גבוה ואת היקפה.  </w:t>
      </w:r>
    </w:p>
    <w:p w:rsidR="00ED79F5" w:rsidRDefault="00ED79F5" w:rsidP="00ED79F5">
      <w:pPr>
        <w:pStyle w:val="Ruller41"/>
        <w:rPr>
          <w:rtl/>
        </w:rPr>
      </w:pPr>
    </w:p>
    <w:p w:rsidR="00ED79F5" w:rsidRDefault="00ED79F5" w:rsidP="00ED79F5">
      <w:pPr>
        <w:pStyle w:val="Ruller41"/>
        <w:rPr>
          <w:rtl/>
        </w:rPr>
      </w:pPr>
      <w:r>
        <w:rPr>
          <w:rtl/>
        </w:rPr>
        <w:tab/>
      </w:r>
      <w:r>
        <w:rPr>
          <w:rFonts w:hint="cs"/>
          <w:rtl/>
        </w:rPr>
        <w:t>זאת ועוד, לטענת המערער גם מבחינה כמותית אין זה סביר לסווג תמורה בסך של כ-40 מיליון ש"ח שנמשכה על ידיו בגין עסקת המכר כמשכורת. זאת, הן בהשוואה לשכר העובדים המקובל בספירה ישראל, אשר סכומו הכולל בכל שנה עמד על בין 3.5 ל-4 מיליון ש"ח; הן בהשוואה לסכומי השכר המקובלים בשוק; והן בהשוואה לגובה השכר ששולם למערער בשנים שקדמו לעסקת המכר, אשר עמד על כ-240,000 ש"ח לשנה בלבד. המערער מציין בהקשר זה כי בשנות המס נושא הערעור הוא לא הגדיל את היקף משרתו ולא השקיע "שעות נוספות" בעבודה בספירה ישראל, באופן שיכול היה לזכותו בתמורה גבוהה זו.</w:t>
      </w:r>
    </w:p>
    <w:p w:rsidR="00ED79F5" w:rsidRDefault="00ED79F5" w:rsidP="00ED79F5">
      <w:pPr>
        <w:pStyle w:val="Ruller41"/>
        <w:rPr>
          <w:rtl/>
        </w:rPr>
      </w:pPr>
    </w:p>
    <w:p w:rsidR="00ED79F5" w:rsidRDefault="00ED79F5" w:rsidP="00ED79F5">
      <w:pPr>
        <w:pStyle w:val="Ruller41"/>
        <w:rPr>
          <w:rtl/>
        </w:rPr>
      </w:pPr>
      <w:r>
        <w:rPr>
          <w:rtl/>
        </w:rPr>
        <w:tab/>
      </w:r>
      <w:r>
        <w:rPr>
          <w:rFonts w:hint="cs"/>
          <w:rtl/>
        </w:rPr>
        <w:t>עוד טוען המערער כי מאחר שבתקופה הרלוונטית היו די עודפים בספירה ישראל, הרי שבהתאם לסעיף 302 לחוק החברות, התשנ"ט-1999 הוא היה זכאי למשוך את כספי התמורה כדיבידנד. מכאן שככל שלא הייתה מתבצעת עסקת המכר, ברי כי הוא היה מושך את רווחי החברה כדיבידנד בכובעו כבעל מניות. הוא מוסיף כי גישת המשיב היא אבסורדית, שכן משמעותה היא שבעל מניות שהוא גם עובד בחברה לעולם לא יוכל למשוך דיבידנד.</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אם בכך לא די, גורס המערער כי בעמדת המשיב קיימת סתירה פנימית. כך, נטען כי קביעתו של המשיב לפיה עסקת המכר היא עסקה מלאכותית נבעה מכך שהמערער </w:t>
      </w:r>
      <w:r>
        <w:rPr>
          <w:rtl/>
        </w:rPr>
        <w:t>–</w:t>
      </w:r>
      <w:r>
        <w:rPr>
          <w:rFonts w:hint="cs"/>
          <w:rtl/>
        </w:rPr>
        <w:t xml:space="preserve"> כבעל מניות הרוב </w:t>
      </w:r>
      <w:r>
        <w:rPr>
          <w:rtl/>
        </w:rPr>
        <w:t>–</w:t>
      </w:r>
      <w:r>
        <w:rPr>
          <w:rFonts w:hint="cs"/>
          <w:rtl/>
        </w:rPr>
        <w:t xml:space="preserve"> שלט באופן אפקטיבי בספירה ישראל. לכן הבעלות בסימן המסחרי לא השתנתה באופן מהותי בעקבות המכירה. לשיטת המערער, לא יתכן מצב בו מחד גיסא קובע המשיב כי מדובר בעסקה מלאכותית בהסתמך על זיהויו של המערער כבעל מניות בספירה ישראל; ומאידך גיסא הוא מסווג את התמורה מעסקה זו כשכר עבודה בהסתמך על זיהויו של המערער כעובד בחברה. כן מציין המערער כי גם המשיב בעצמו קבע בצווי השומה אפשרות חלופית לפיה יש לסווג את תשלומי התמורה כדיבידנד, ובכך הוא הודה כי סיווג זה מהווה פרשנות שקולה ולגיטימית בנסיבות העניין. משכך, בהתאם </w:t>
      </w:r>
      <w:r>
        <w:rPr>
          <w:rFonts w:hint="cs"/>
          <w:rtl/>
        </w:rPr>
        <w:lastRenderedPageBreak/>
        <w:t>לכלל הפרשנות לטובת הנישום, יש להעדיף את הפרשנות המטיבה עם המערער ולסווג את כספי התמורה כדיבידנד.</w:t>
      </w:r>
    </w:p>
    <w:p w:rsidR="00ED79F5" w:rsidRDefault="00ED79F5" w:rsidP="00ED79F5">
      <w:pPr>
        <w:pStyle w:val="Ruller41"/>
        <w:rPr>
          <w:rtl/>
        </w:rPr>
      </w:pPr>
    </w:p>
    <w:p w:rsidR="00ED79F5" w:rsidRDefault="00ED79F5" w:rsidP="00ED79F5">
      <w:pPr>
        <w:pStyle w:val="Ruller4"/>
        <w:numPr>
          <w:ilvl w:val="0"/>
          <w:numId w:val="0"/>
        </w:numPr>
        <w:rPr>
          <w:rtl/>
        </w:rPr>
      </w:pPr>
      <w:r>
        <w:rPr>
          <w:rtl/>
        </w:rPr>
        <w:tab/>
      </w:r>
      <w:r>
        <w:rPr>
          <w:rFonts w:hint="cs"/>
          <w:rtl/>
        </w:rPr>
        <w:t xml:space="preserve">לבסוף, טוען המערער כי גם מבחינה נורמטיבית </w:t>
      </w:r>
      <w:r>
        <w:rPr>
          <w:rtl/>
        </w:rPr>
        <w:t>–</w:t>
      </w:r>
      <w:r>
        <w:rPr>
          <w:rFonts w:hint="cs"/>
          <w:rtl/>
        </w:rPr>
        <w:t xml:space="preserve"> ברירת המחדל החוקית היא סיווג משיכת בעלים כדיבידנד. בטענה זו מתבסס המערער על סעיף 3(ט1)(2) לפקודת מס הכנסה שנכנס לתוקף רק בשנת 2017, ושלפיו משיכת כספים על ידי בעל מניות מהותי תסווג כדיבידנד אם היו רווחים בחברה, ובהתאם לחלקו בהם. עוד הוא טוען כי גם הדין שקדם לחקיקתו של סעיף 3(ט1) לפקודה תומך בעמדתו. כך, נטען כי סעיף 3(ט)(1) לפקודה מסדיר את הכללים לסיווג משיכות כספים מהחברה; ומלשונו עולה כי משיכת כספים על ידי בעל מניות בחברה תסווג כהכנסת עבודה אך ורק אם נעשתה בקשר ליחסי עובד-מעביד, ואלמלא כן היא תסווג כדיבידנד. על כן, הואיל ובמקרה דנן כספי התמורה לא התקבלו בקשר ליחסי עובד-מעביד, יש לסווגם כדיבידנד. לעניין זה, מבהיר המערער כי המשיב רשאי לסווג את המשיכות שבוצעו כדיבידנד, וזאת אף שחלוקתם לא נעשתה פרו-</w:t>
      </w:r>
      <w:proofErr w:type="spellStart"/>
      <w:r>
        <w:rPr>
          <w:rFonts w:hint="cs"/>
          <w:rtl/>
        </w:rPr>
        <w:t>רטה</w:t>
      </w:r>
      <w:proofErr w:type="spellEnd"/>
      <w:r>
        <w:rPr>
          <w:rFonts w:hint="cs"/>
          <w:rtl/>
        </w:rPr>
        <w:t xml:space="preserve"> בין כל בעלי המניות בחברה.</w:t>
      </w:r>
    </w:p>
    <w:p w:rsidR="00ED79F5" w:rsidRDefault="00ED79F5" w:rsidP="00ED79F5">
      <w:pPr>
        <w:pStyle w:val="Ruller41"/>
        <w:rPr>
          <w:rtl/>
        </w:rPr>
      </w:pPr>
    </w:p>
    <w:p w:rsidR="00ED79F5" w:rsidRPr="008A09A1" w:rsidRDefault="00ED79F5" w:rsidP="00ED79F5">
      <w:pPr>
        <w:pStyle w:val="Ruller4"/>
        <w:rPr>
          <w:rtl/>
        </w:rPr>
      </w:pPr>
      <w:r w:rsidRPr="001440BC">
        <w:rPr>
          <w:rFonts w:ascii="Century" w:hAnsi="Century" w:hint="cs"/>
          <w:sz w:val="22"/>
          <w:rtl/>
        </w:rPr>
        <w:t>בכל הנוגע לקנס</w:t>
      </w:r>
      <w:r w:rsidRPr="001440BC">
        <w:rPr>
          <w:rFonts w:hint="cs"/>
          <w:rtl/>
        </w:rPr>
        <w:t xml:space="preserve"> </w:t>
      </w:r>
      <w:r>
        <w:rPr>
          <w:rFonts w:hint="cs"/>
          <w:rtl/>
        </w:rPr>
        <w:t xml:space="preserve">הגירעון שהוטל עליו </w:t>
      </w:r>
      <w:r>
        <w:rPr>
          <w:rtl/>
        </w:rPr>
        <w:t>–</w:t>
      </w:r>
      <w:r>
        <w:rPr>
          <w:rFonts w:hint="cs"/>
          <w:rtl/>
        </w:rPr>
        <w:t xml:space="preserve"> טוען המערער </w:t>
      </w:r>
      <w:r w:rsidRPr="001440BC">
        <w:rPr>
          <w:rFonts w:ascii="Century" w:hAnsi="Century" w:cs="Miriam" w:hint="cs"/>
          <w:b/>
          <w:spacing w:val="0"/>
          <w:sz w:val="22"/>
          <w:szCs w:val="24"/>
          <w:rtl/>
        </w:rPr>
        <w:t>ראשית</w:t>
      </w:r>
      <w:r w:rsidRPr="001440BC">
        <w:rPr>
          <w:rFonts w:hint="cs"/>
          <w:rtl/>
        </w:rPr>
        <w:t xml:space="preserve"> </w:t>
      </w:r>
      <w:r>
        <w:rPr>
          <w:rFonts w:hint="cs"/>
          <w:rtl/>
        </w:rPr>
        <w:t xml:space="preserve">כי הסמכות להטיל קנס גירעון מסורה אך ורק לפקיד השומה עצמו או למפקח שהוסמך באופן מפורש על ידיו להטיל קנס כאמור. בענייננו, כך נטען, קנס הגירעון הוטל על ידי רכזת החוליה במשיב אשר לא הוסמכה לעשות כן, ולכן הקנס בטל. </w:t>
      </w:r>
      <w:r w:rsidRPr="001440BC">
        <w:rPr>
          <w:rFonts w:ascii="Century" w:hAnsi="Century" w:hint="cs"/>
          <w:sz w:val="22"/>
          <w:rtl/>
        </w:rPr>
        <w:t>כן</w:t>
      </w:r>
      <w:r w:rsidRPr="001440BC">
        <w:rPr>
          <w:rFonts w:hint="cs"/>
          <w:rtl/>
        </w:rPr>
        <w:t xml:space="preserve"> </w:t>
      </w:r>
      <w:r>
        <w:rPr>
          <w:rFonts w:hint="cs"/>
          <w:rtl/>
        </w:rPr>
        <w:t>נטען כי גם ההליך המנהלי של הטלת קנס הגירעון היה פגום, שכן ההחלטה על הטלתו לא נומקה כנדרש, ולא התקיים שימוע בטרם הטלתו.</w:t>
      </w:r>
    </w:p>
    <w:p w:rsidR="00ED79F5" w:rsidRDefault="00ED79F5" w:rsidP="00ED79F5">
      <w:pPr>
        <w:pStyle w:val="Ruller41"/>
        <w:rPr>
          <w:rtl/>
        </w:rPr>
      </w:pPr>
    </w:p>
    <w:p w:rsidR="00ED79F5" w:rsidRDefault="00ED79F5" w:rsidP="00ED79F5">
      <w:pPr>
        <w:pStyle w:val="Ruller41"/>
        <w:rPr>
          <w:rFonts w:ascii="Century" w:hAnsi="Century" w:cs="Miriam"/>
          <w:b/>
          <w:spacing w:val="0"/>
          <w:szCs w:val="24"/>
          <w:rtl/>
        </w:rPr>
      </w:pPr>
      <w:r>
        <w:rPr>
          <w:rtl/>
        </w:rPr>
        <w:tab/>
      </w:r>
      <w:r w:rsidRPr="008362EA">
        <w:rPr>
          <w:rFonts w:ascii="Century" w:hAnsi="Century" w:cs="Miriam" w:hint="cs"/>
          <w:b/>
          <w:spacing w:val="0"/>
          <w:szCs w:val="24"/>
          <w:rtl/>
        </w:rPr>
        <w:t>שנית</w:t>
      </w:r>
      <w:r>
        <w:rPr>
          <w:rFonts w:hint="cs"/>
          <w:rtl/>
        </w:rPr>
        <w:t xml:space="preserve">, נטען כי סעיף 191 נועד להטיל קנס גירעון רק במקרים של התרשלות בגין נאותות הדיווח לרשויות המס. לגישת המערער, הואיל ובענייננו הוא נקט בעמדה לגיטימית לפיה עסקת המכר פטורה ממס; הדיווח לרשויות המס על העסקה נעשה בכנות ובתום לב; וניתן גילוי מלא ביחס לפרטיה באופן </w:t>
      </w:r>
      <w:proofErr w:type="spellStart"/>
      <w:r>
        <w:rPr>
          <w:rFonts w:hint="cs"/>
          <w:rtl/>
        </w:rPr>
        <w:t>שאיפשר</w:t>
      </w:r>
      <w:proofErr w:type="spellEnd"/>
      <w:r>
        <w:rPr>
          <w:rFonts w:hint="cs"/>
          <w:rtl/>
        </w:rPr>
        <w:t xml:space="preserve"> לפקיד השומה לבקר את עמדתו של המערער </w:t>
      </w:r>
      <w:r>
        <w:rPr>
          <w:rtl/>
        </w:rPr>
        <w:t>–</w:t>
      </w:r>
      <w:r>
        <w:rPr>
          <w:rFonts w:hint="cs"/>
          <w:rtl/>
        </w:rPr>
        <w:t xml:space="preserve"> לא היה מקום לקבוע כי הוא התרשל בעריכת הדו"חות, וזאת אף אם בסופו של דבר סווגה עסקת המכר כעסקה מלאכותית.</w:t>
      </w:r>
    </w:p>
    <w:p w:rsidR="00ED79F5" w:rsidRDefault="00ED79F5" w:rsidP="00ED79F5">
      <w:pPr>
        <w:pStyle w:val="Ruller41"/>
        <w:rPr>
          <w:rFonts w:ascii="Century" w:hAnsi="Century" w:cs="Miriam"/>
          <w:b/>
          <w:spacing w:val="0"/>
          <w:szCs w:val="24"/>
          <w:rtl/>
        </w:rPr>
      </w:pPr>
    </w:p>
    <w:p w:rsidR="00ED79F5" w:rsidRDefault="00ED79F5" w:rsidP="00ED79F5">
      <w:pPr>
        <w:pStyle w:val="Ruller41"/>
        <w:rPr>
          <w:rtl/>
        </w:rPr>
      </w:pPr>
      <w:r>
        <w:rPr>
          <w:rFonts w:ascii="Century" w:hAnsi="Century" w:cs="Miriam"/>
          <w:b/>
          <w:spacing w:val="0"/>
          <w:szCs w:val="24"/>
          <w:rtl/>
        </w:rPr>
        <w:tab/>
      </w:r>
      <w:r w:rsidRPr="0078737B">
        <w:rPr>
          <w:rFonts w:ascii="Century" w:hAnsi="Century" w:hint="cs"/>
          <w:rtl/>
        </w:rPr>
        <w:t>עוד הוסיף המערער כי בהתאם</w:t>
      </w:r>
      <w:r w:rsidRPr="0078737B">
        <w:rPr>
          <w:rFonts w:ascii="Century" w:hAnsi="Century" w:cs="Miriam" w:hint="cs"/>
          <w:b/>
          <w:spacing w:val="0"/>
          <w:szCs w:val="24"/>
          <w:rtl/>
        </w:rPr>
        <w:t xml:space="preserve"> </w:t>
      </w:r>
      <w:r>
        <w:rPr>
          <w:rFonts w:hint="cs"/>
          <w:rtl/>
        </w:rPr>
        <w:t xml:space="preserve">לפסיקה הכללית ביחס לרשלנות, רק התנהגות החורגת מסטנדרט ההתנהגות של האדם הסביר תיחשב כהתרשלות. לטענתו, בשים לב לכך שבאותה עת הוא היה עולה חדש אשר לא הכיר את מערכת המס הישראלית, והסתמך על ייעוץ שניתן לו בזמן אמת על ידי רואה החשבון שלו </w:t>
      </w:r>
      <w:r>
        <w:rPr>
          <w:rtl/>
        </w:rPr>
        <w:t>–</w:t>
      </w:r>
      <w:r>
        <w:rPr>
          <w:rFonts w:hint="cs"/>
          <w:rtl/>
        </w:rPr>
        <w:t xml:space="preserve"> הרי שהוא לא חרג מסטנדרט ההתנהגות המצופה ממנו. כן הדגיש המערער כי לא ניתן לקבוע כי הוא התרשל רק </w:t>
      </w:r>
      <w:r>
        <w:rPr>
          <w:rFonts w:hint="cs"/>
          <w:rtl/>
        </w:rPr>
        <w:lastRenderedPageBreak/>
        <w:t>בהתבסס על כך שבדיעבד סווגה עסקת המכר כמלאכותית, אלא יש לבחון את התנהלותו בזמן אמת, שהייתה הגיונית וסבירה.</w:t>
      </w:r>
    </w:p>
    <w:p w:rsidR="00ED79F5" w:rsidRDefault="00ED79F5" w:rsidP="00ED79F5">
      <w:pPr>
        <w:pStyle w:val="Ruller41"/>
        <w:rPr>
          <w:rtl/>
        </w:rPr>
      </w:pPr>
    </w:p>
    <w:p w:rsidR="00ED79F5" w:rsidRDefault="00ED79F5" w:rsidP="00ED79F5">
      <w:pPr>
        <w:pStyle w:val="Ruller4"/>
      </w:pPr>
      <w:r>
        <w:rPr>
          <w:rFonts w:hint="cs"/>
          <w:rtl/>
        </w:rPr>
        <w:t xml:space="preserve">המשיב מצדו טוען כי יש לדחות את טענות המערער בכל הנוגע לסיווג תשלומי התמורה שקיבל מספירה ישראל. בפתח הדברים מבהיר המשיב כי מה שהתרחש בפועל הוא קבלת הכנסות הוניות על ידי המערער בתמורה לעסקת המכר; ומשנקבע כי עסקת המכר שבוצעה היא עסקה מלאכותית </w:t>
      </w:r>
      <w:r>
        <w:rPr>
          <w:rtl/>
        </w:rPr>
        <w:t>–</w:t>
      </w:r>
      <w:r>
        <w:rPr>
          <w:rFonts w:hint="cs"/>
          <w:rtl/>
        </w:rPr>
        <w:t xml:space="preserve"> היה צורך לסווג מחדש את אותן הכנסות הוניות כהכנסות </w:t>
      </w:r>
      <w:proofErr w:type="spellStart"/>
      <w:r>
        <w:rPr>
          <w:rFonts w:hint="cs"/>
          <w:rtl/>
        </w:rPr>
        <w:t>פירותיות</w:t>
      </w:r>
      <w:proofErr w:type="spellEnd"/>
      <w:r>
        <w:rPr>
          <w:rFonts w:hint="cs"/>
          <w:rtl/>
        </w:rPr>
        <w:t xml:space="preserve">. מכאן שהלך טיעונו של המערער </w:t>
      </w:r>
      <w:r>
        <w:rPr>
          <w:rtl/>
        </w:rPr>
        <w:t>–</w:t>
      </w:r>
      <w:r>
        <w:rPr>
          <w:rFonts w:hint="cs"/>
          <w:rtl/>
        </w:rPr>
        <w:t xml:space="preserve"> המנסה לטעון כי תשלומי התמורה התקבלו אצלו בכובעו כבעל מניות ולא בכובעו כעובד </w:t>
      </w:r>
      <w:r>
        <w:rPr>
          <w:rtl/>
        </w:rPr>
        <w:t>–</w:t>
      </w:r>
      <w:r>
        <w:rPr>
          <w:rFonts w:hint="cs"/>
          <w:rtl/>
        </w:rPr>
        <w:t xml:space="preserve"> שגוי מעיקרא. זאת מאחר שידוע כי כספים אלה התקבלו אצלו בכובעו כבעל הסימן המסחרי, ולא באף אחד משני הכובעים שנזכרו לעיל. </w:t>
      </w:r>
    </w:p>
    <w:p w:rsidR="00ED79F5" w:rsidRDefault="00ED79F5" w:rsidP="00ED79F5">
      <w:pPr>
        <w:pStyle w:val="Ruller4"/>
        <w:numPr>
          <w:ilvl w:val="0"/>
          <w:numId w:val="0"/>
        </w:numPr>
        <w:rPr>
          <w:rtl/>
        </w:rPr>
      </w:pPr>
    </w:p>
    <w:p w:rsidR="00ED79F5" w:rsidRDefault="00ED79F5" w:rsidP="00ED79F5">
      <w:pPr>
        <w:pStyle w:val="Ruller4"/>
        <w:numPr>
          <w:ilvl w:val="0"/>
          <w:numId w:val="0"/>
        </w:numPr>
      </w:pPr>
      <w:r>
        <w:rPr>
          <w:rtl/>
        </w:rPr>
        <w:tab/>
      </w:r>
      <w:r>
        <w:rPr>
          <w:rFonts w:hint="cs"/>
          <w:rtl/>
        </w:rPr>
        <w:t xml:space="preserve">המשיב מדגיש כי השיקולים שמעלה המערער היו יכולים להיות רלוונטיים במסגרת בחינת המהות האמתית של העסקה כפי שאירעה, לצורך מה שמכונה "סיווג שונה". אלא שהשאלה הנידונה בענייננו איננה מה אירע בפועל </w:t>
      </w:r>
      <w:r>
        <w:rPr>
          <w:rtl/>
        </w:rPr>
        <w:t>–</w:t>
      </w:r>
      <w:r>
        <w:rPr>
          <w:rFonts w:hint="cs"/>
          <w:rtl/>
        </w:rPr>
        <w:t xml:space="preserve"> שכן התשובה לשאלה זו ידועה; אלא מה צריך להיות "הסיווג מחדש" של ההכנסות שהתקבלו אצל המערער. זאת לאחר שנקבע כי יש להתעלם מהעסקה המלאכותית שבוצעה. בהתאם, טוען המשיב כי עובדת היותו של המערער גם עובד וגם בעל מניות, משמעה שניתן לבחון לצורך סיווג מחדש של התקבולים כהכנסות </w:t>
      </w:r>
      <w:proofErr w:type="spellStart"/>
      <w:r>
        <w:rPr>
          <w:rFonts w:hint="cs"/>
          <w:rtl/>
        </w:rPr>
        <w:t>פירותיות</w:t>
      </w:r>
      <w:proofErr w:type="spellEnd"/>
      <w:r>
        <w:rPr>
          <w:rFonts w:hint="cs"/>
          <w:rtl/>
        </w:rPr>
        <w:t xml:space="preserve"> הן סיווג לפי סעיף 2(2) לפקודת מס הכנסה והן סיווג לפי סעיף 2(4) לפקודה. </w:t>
      </w:r>
    </w:p>
    <w:p w:rsidR="00ED79F5" w:rsidRDefault="00ED79F5" w:rsidP="00ED79F5">
      <w:pPr>
        <w:pStyle w:val="Ruller4"/>
        <w:numPr>
          <w:ilvl w:val="0"/>
          <w:numId w:val="0"/>
        </w:numPr>
      </w:pPr>
    </w:p>
    <w:p w:rsidR="00ED79F5" w:rsidRPr="00241EAF" w:rsidRDefault="00ED79F5" w:rsidP="00ED79F5">
      <w:pPr>
        <w:pStyle w:val="Ruller4"/>
        <w:numPr>
          <w:ilvl w:val="0"/>
          <w:numId w:val="0"/>
        </w:numPr>
        <w:rPr>
          <w:rtl/>
        </w:rPr>
      </w:pPr>
      <w:r>
        <w:rPr>
          <w:rtl/>
        </w:rPr>
        <w:tab/>
      </w:r>
      <w:r>
        <w:rPr>
          <w:rFonts w:hint="cs"/>
          <w:rtl/>
        </w:rPr>
        <w:t>בהמשך לכך, טוען המשיב כי בחינת השיקולים הרלוונטיים בענייננו מובילה למסקנה כי הסיווג הנכון הוא לפי סעיף 2(2) לפקודה. בין היתר, נטען כי בהתאם להלכה שנקבעה ב</w:t>
      </w:r>
      <w:r w:rsidRPr="00DB0E51">
        <w:rPr>
          <w:rFonts w:hint="eastAsia"/>
          <w:rtl/>
        </w:rPr>
        <w:t>ע</w:t>
      </w:r>
      <w:r w:rsidRPr="00DB0E51">
        <w:rPr>
          <w:rtl/>
        </w:rPr>
        <w:t>"</w:t>
      </w:r>
      <w:r w:rsidRPr="00DB0E51">
        <w:rPr>
          <w:rFonts w:hint="eastAsia"/>
          <w:rtl/>
        </w:rPr>
        <w:t>א</w:t>
      </w:r>
      <w:r w:rsidRPr="00DB0E51">
        <w:rPr>
          <w:rtl/>
        </w:rPr>
        <w:t xml:space="preserve"> 5083/13 </w:t>
      </w:r>
      <w:r w:rsidRPr="00DB0E51">
        <w:rPr>
          <w:rFonts w:ascii="Century" w:hAnsi="Century" w:cs="Miriam" w:hint="eastAsia"/>
          <w:b/>
          <w:spacing w:val="0"/>
          <w:sz w:val="22"/>
          <w:szCs w:val="24"/>
          <w:rtl/>
        </w:rPr>
        <w:t>פקיד</w:t>
      </w:r>
      <w:r w:rsidRPr="00DB0E51">
        <w:rPr>
          <w:rFonts w:ascii="Century" w:hAnsi="Century" w:cs="Miriam"/>
          <w:b/>
          <w:spacing w:val="0"/>
          <w:sz w:val="22"/>
          <w:szCs w:val="24"/>
          <w:rtl/>
        </w:rPr>
        <w:t xml:space="preserve"> </w:t>
      </w:r>
      <w:r w:rsidRPr="00DB0E51">
        <w:rPr>
          <w:rFonts w:ascii="Century" w:hAnsi="Century" w:cs="Miriam" w:hint="eastAsia"/>
          <w:b/>
          <w:spacing w:val="0"/>
          <w:sz w:val="22"/>
          <w:szCs w:val="24"/>
          <w:rtl/>
        </w:rPr>
        <w:t>שומה</w:t>
      </w:r>
      <w:r w:rsidRPr="00DB0E51">
        <w:rPr>
          <w:rFonts w:ascii="Century" w:hAnsi="Century" w:cs="Miriam"/>
          <w:b/>
          <w:spacing w:val="0"/>
          <w:sz w:val="22"/>
          <w:szCs w:val="24"/>
          <w:rtl/>
        </w:rPr>
        <w:t xml:space="preserve"> </w:t>
      </w:r>
      <w:r w:rsidRPr="00DB0E51">
        <w:rPr>
          <w:rFonts w:ascii="Century" w:hAnsi="Century" w:cs="Miriam" w:hint="eastAsia"/>
          <w:b/>
          <w:spacing w:val="0"/>
          <w:sz w:val="22"/>
          <w:szCs w:val="24"/>
          <w:rtl/>
        </w:rPr>
        <w:t>כפר</w:t>
      </w:r>
      <w:r w:rsidRPr="00DB0E51">
        <w:rPr>
          <w:rFonts w:ascii="Century" w:hAnsi="Century" w:cs="Miriam"/>
          <w:b/>
          <w:spacing w:val="0"/>
          <w:sz w:val="22"/>
          <w:szCs w:val="24"/>
          <w:rtl/>
        </w:rPr>
        <w:t xml:space="preserve"> </w:t>
      </w:r>
      <w:r w:rsidRPr="00DB0E51">
        <w:rPr>
          <w:rFonts w:ascii="Century" w:hAnsi="Century" w:cs="Miriam" w:hint="eastAsia"/>
          <w:b/>
          <w:spacing w:val="0"/>
          <w:sz w:val="22"/>
          <w:szCs w:val="24"/>
          <w:rtl/>
        </w:rPr>
        <w:t>סבא</w:t>
      </w:r>
      <w:r w:rsidRPr="00DB0E51">
        <w:rPr>
          <w:rFonts w:ascii="Century" w:hAnsi="Century" w:cs="Miriam"/>
          <w:b/>
          <w:spacing w:val="0"/>
          <w:sz w:val="22"/>
          <w:szCs w:val="24"/>
          <w:rtl/>
        </w:rPr>
        <w:t xml:space="preserve"> </w:t>
      </w:r>
      <w:r w:rsidRPr="00DB0E51">
        <w:rPr>
          <w:rFonts w:ascii="Century" w:hAnsi="Century" w:cs="Miriam" w:hint="eastAsia"/>
          <w:b/>
          <w:spacing w:val="0"/>
          <w:sz w:val="22"/>
          <w:szCs w:val="24"/>
          <w:rtl/>
        </w:rPr>
        <w:t>נ</w:t>
      </w:r>
      <w:r w:rsidRPr="00DB0E51">
        <w:rPr>
          <w:rFonts w:ascii="Century" w:hAnsi="Century" w:cs="Miriam"/>
          <w:b/>
          <w:spacing w:val="0"/>
          <w:sz w:val="22"/>
          <w:szCs w:val="24"/>
          <w:rtl/>
        </w:rPr>
        <w:t xml:space="preserve">' </w:t>
      </w:r>
      <w:r w:rsidRPr="00DB0E51">
        <w:rPr>
          <w:rFonts w:ascii="Century" w:hAnsi="Century" w:cs="Miriam" w:hint="eastAsia"/>
          <w:b/>
          <w:spacing w:val="0"/>
          <w:sz w:val="22"/>
          <w:szCs w:val="24"/>
          <w:rtl/>
        </w:rPr>
        <w:t>ברנע</w:t>
      </w:r>
      <w:r w:rsidRPr="00DB0E51">
        <w:rPr>
          <w:rtl/>
        </w:rPr>
        <w:t xml:space="preserve"> (10.</w:t>
      </w:r>
      <w:r>
        <w:rPr>
          <w:rFonts w:hint="cs"/>
          <w:rtl/>
        </w:rPr>
        <w:t>8</w:t>
      </w:r>
      <w:r w:rsidRPr="00DB0E51">
        <w:rPr>
          <w:rtl/>
        </w:rPr>
        <w:t>.2016)</w:t>
      </w:r>
      <w:r>
        <w:rPr>
          <w:rFonts w:hint="cs"/>
          <w:rtl/>
        </w:rPr>
        <w:t xml:space="preserve"> (להלן: </w:t>
      </w:r>
      <w:r w:rsidRPr="00DB0E51">
        <w:rPr>
          <w:rFonts w:ascii="Century" w:hAnsi="Century" w:cs="Miriam" w:hint="cs"/>
          <w:b/>
          <w:spacing w:val="0"/>
          <w:sz w:val="22"/>
          <w:szCs w:val="24"/>
          <w:rtl/>
        </w:rPr>
        <w:t>עניין ברנע</w:t>
      </w:r>
      <w:r>
        <w:rPr>
          <w:rFonts w:hint="cs"/>
          <w:rtl/>
        </w:rPr>
        <w:t>), ישנה חזקה "חזקה" כי כל תשלום או טובת הנאה שמועברים ממעביד לעובדו הם בגדר הכנסה לפי סעיף 2(2) לפקודה. כן מדגיש המשיב כי באותו עניין אף נקבע מפורשות כי יצירת ברירת מחדל הרואה בתקבולים שניתנים לעובד על ידי מעבידו משום "הכנסת עבודה" תורמת לחיזוק הוודאות המשפטית, ועשויה ליצור "אפקט מצנן" למתכנני המס שיעדיפו לחסוך מעצמם את המחיר הכרוך בהתדיינות מול פקיד השומה. משכך, נטען כי בדין סווגו תשלומי התמורה שקיבל המערער כהכנסה לפי סעיף 2(2) לפקודה.</w:t>
      </w:r>
    </w:p>
    <w:p w:rsidR="00ED79F5" w:rsidRPr="00241EAF" w:rsidRDefault="00ED79F5" w:rsidP="00ED79F5">
      <w:pPr>
        <w:pStyle w:val="Ruller41"/>
      </w:pPr>
    </w:p>
    <w:p w:rsidR="00ED79F5" w:rsidRDefault="00ED79F5" w:rsidP="00ED79F5">
      <w:pPr>
        <w:pStyle w:val="Ruller41"/>
        <w:rPr>
          <w:rtl/>
        </w:rPr>
      </w:pPr>
      <w:r>
        <w:rPr>
          <w:rtl/>
        </w:rPr>
        <w:tab/>
      </w:r>
      <w:r>
        <w:rPr>
          <w:rFonts w:hint="cs"/>
          <w:rtl/>
        </w:rPr>
        <w:t>עוד נטען כי גם לשונו של סעיף 2(2) לפקודה תומכת בסיווג זה. זאת, שכן הסעיף כולל בתוכו לא רק "השתכרות או ריווח מעבודה" אלא גם "</w:t>
      </w:r>
      <w:r w:rsidRPr="00DB0E51">
        <w:rPr>
          <w:rFonts w:hint="eastAsia"/>
          <w:rtl/>
        </w:rPr>
        <w:t>כל</w:t>
      </w:r>
      <w:r w:rsidRPr="00DB0E51">
        <w:rPr>
          <w:rtl/>
        </w:rPr>
        <w:t xml:space="preserve"> </w:t>
      </w:r>
      <w:r w:rsidRPr="00DB0E51">
        <w:rPr>
          <w:rFonts w:hint="eastAsia"/>
          <w:rtl/>
        </w:rPr>
        <w:t>טובת</w:t>
      </w:r>
      <w:r w:rsidRPr="00DB0E51">
        <w:rPr>
          <w:rtl/>
        </w:rPr>
        <w:t xml:space="preserve"> </w:t>
      </w:r>
      <w:r w:rsidRPr="00DB0E51">
        <w:rPr>
          <w:rFonts w:hint="eastAsia"/>
          <w:rtl/>
        </w:rPr>
        <w:t>הנאה</w:t>
      </w:r>
      <w:r w:rsidRPr="00DB0E51">
        <w:rPr>
          <w:rtl/>
        </w:rPr>
        <w:t xml:space="preserve"> </w:t>
      </w:r>
      <w:r w:rsidRPr="00DB0E51">
        <w:rPr>
          <w:rFonts w:hint="eastAsia"/>
          <w:rtl/>
        </w:rPr>
        <w:t>או</w:t>
      </w:r>
      <w:r w:rsidRPr="00DB0E51">
        <w:rPr>
          <w:rtl/>
        </w:rPr>
        <w:t xml:space="preserve"> </w:t>
      </w:r>
      <w:r w:rsidRPr="00DB0E51">
        <w:rPr>
          <w:rFonts w:hint="eastAsia"/>
          <w:rtl/>
        </w:rPr>
        <w:lastRenderedPageBreak/>
        <w:t>קצובה</w:t>
      </w:r>
      <w:r w:rsidRPr="00DB0E51">
        <w:rPr>
          <w:rtl/>
        </w:rPr>
        <w:t xml:space="preserve"> </w:t>
      </w:r>
      <w:r w:rsidRPr="00DB0E51">
        <w:rPr>
          <w:rFonts w:hint="eastAsia"/>
          <w:rtl/>
        </w:rPr>
        <w:t>שניתנו</w:t>
      </w:r>
      <w:r w:rsidRPr="00DB0E51">
        <w:rPr>
          <w:rtl/>
        </w:rPr>
        <w:t xml:space="preserve"> </w:t>
      </w:r>
      <w:r w:rsidRPr="00DB0E51">
        <w:rPr>
          <w:rFonts w:hint="eastAsia"/>
          <w:rtl/>
        </w:rPr>
        <w:t>לעובד</w:t>
      </w:r>
      <w:r w:rsidRPr="00DB0E51">
        <w:rPr>
          <w:rtl/>
        </w:rPr>
        <w:t xml:space="preserve"> </w:t>
      </w:r>
      <w:r w:rsidRPr="00DB0E51">
        <w:rPr>
          <w:rFonts w:hint="eastAsia"/>
          <w:rtl/>
        </w:rPr>
        <w:t>ממעבידו</w:t>
      </w:r>
      <w:r>
        <w:rPr>
          <w:rFonts w:hint="cs"/>
          <w:rtl/>
        </w:rPr>
        <w:t xml:space="preserve">". מכך ניתן ללמוד לגישת המשיב כי כאשר מדובר בנישום שהוא גם עובד וגם בעל מניות </w:t>
      </w:r>
      <w:r>
        <w:rPr>
          <w:rtl/>
        </w:rPr>
        <w:t>–</w:t>
      </w:r>
      <w:r>
        <w:rPr>
          <w:rFonts w:hint="cs"/>
          <w:rtl/>
        </w:rPr>
        <w:t xml:space="preserve"> כמו המערער </w:t>
      </w:r>
      <w:r>
        <w:rPr>
          <w:rtl/>
        </w:rPr>
        <w:t>–</w:t>
      </w:r>
      <w:r>
        <w:rPr>
          <w:rFonts w:hint="cs"/>
          <w:rtl/>
        </w:rPr>
        <w:t xml:space="preserve"> הרי שסעיף 2(2) לפקודה הוא בגדר סיווג שיורי, כך שכל הכנסה שקיבל ואיננה דיבידנד נופלת לגדרו. בנוסף, תומך המשיב את עמדתו גם בפסק דינו של בית משפט זה בע"א 2552/11 </w:t>
      </w:r>
      <w:r w:rsidRPr="00FF29C2">
        <w:rPr>
          <w:rFonts w:ascii="Century" w:hAnsi="Century" w:cs="Miriam" w:hint="cs"/>
          <w:b/>
          <w:spacing w:val="0"/>
          <w:szCs w:val="24"/>
          <w:rtl/>
        </w:rPr>
        <w:t>ד"ר ברנע נ' פקיד שומה חיפה</w:t>
      </w:r>
      <w:r w:rsidRPr="00FF29C2">
        <w:rPr>
          <w:rFonts w:hint="cs"/>
          <w:rtl/>
        </w:rPr>
        <w:t xml:space="preserve"> </w:t>
      </w:r>
      <w:r>
        <w:rPr>
          <w:rFonts w:hint="cs"/>
          <w:rtl/>
        </w:rPr>
        <w:t xml:space="preserve">(2.4.2013), שם נקבע כי יש לסווג כהכנסת עבודה כספים אשר במקור דווחו על ידי הנישום כדיבידנד. </w:t>
      </w:r>
    </w:p>
    <w:p w:rsidR="00ED79F5" w:rsidRDefault="00ED79F5" w:rsidP="00ED79F5">
      <w:pPr>
        <w:pStyle w:val="Ruller41"/>
        <w:rPr>
          <w:rtl/>
        </w:rPr>
      </w:pPr>
    </w:p>
    <w:p w:rsidR="00ED79F5" w:rsidRDefault="00ED79F5" w:rsidP="00ED79F5">
      <w:pPr>
        <w:pStyle w:val="Ruller41"/>
        <w:rPr>
          <w:rtl/>
        </w:rPr>
      </w:pPr>
      <w:r>
        <w:rPr>
          <w:rtl/>
        </w:rPr>
        <w:tab/>
      </w:r>
      <w:r>
        <w:rPr>
          <w:rFonts w:hint="cs"/>
          <w:rtl/>
        </w:rPr>
        <w:t>המשיב מוסיף כי סיווג הכנסה כדיבידנד, מחייב את קיומם של התנאים הקבועים בחוק להכרה בדיבידנד. בענייננו, תשלומי התמורה שקיבל המערער לא חולקו פרו-</w:t>
      </w:r>
      <w:proofErr w:type="spellStart"/>
      <w:r>
        <w:rPr>
          <w:rFonts w:hint="cs"/>
          <w:rtl/>
        </w:rPr>
        <w:t>רטה</w:t>
      </w:r>
      <w:proofErr w:type="spellEnd"/>
      <w:r>
        <w:rPr>
          <w:rFonts w:hint="cs"/>
          <w:rtl/>
        </w:rPr>
        <w:t xml:space="preserve"> בין בעלי המניות (קרי בין המערער שהחזיק ב-81% ממניות החברה לבין גיסו שהחזיק ביתר המניות), ועל כן מדובר בסתירה ברורה לדיני התאגידים. </w:t>
      </w:r>
    </w:p>
    <w:p w:rsidR="00ED79F5" w:rsidRDefault="00ED79F5" w:rsidP="00ED79F5">
      <w:pPr>
        <w:pStyle w:val="Ruller41"/>
        <w:rPr>
          <w:rtl/>
        </w:rPr>
      </w:pPr>
    </w:p>
    <w:p w:rsidR="00ED79F5" w:rsidRDefault="00ED79F5" w:rsidP="00A40227">
      <w:pPr>
        <w:pStyle w:val="Ruller41"/>
        <w:rPr>
          <w:rtl/>
        </w:rPr>
      </w:pPr>
      <w:r>
        <w:rPr>
          <w:rtl/>
        </w:rPr>
        <w:tab/>
      </w:r>
      <w:r>
        <w:rPr>
          <w:rFonts w:hint="cs"/>
          <w:rtl/>
        </w:rPr>
        <w:t xml:space="preserve">אם בכך לא די, טוען המשיב כי קביעתו העובדתית של בית משפט קמא </w:t>
      </w:r>
      <w:r>
        <w:rPr>
          <w:rtl/>
        </w:rPr>
        <w:t>–</w:t>
      </w:r>
      <w:r>
        <w:rPr>
          <w:rFonts w:hint="cs"/>
          <w:rtl/>
        </w:rPr>
        <w:t xml:space="preserve"> לפיה בשנות המס הרלוונטיות הפסיק המערער למשוך שכר ומשך כספים </w:t>
      </w:r>
      <w:r w:rsidR="00A40227">
        <w:rPr>
          <w:rFonts w:hint="cs"/>
          <w:rtl/>
        </w:rPr>
        <w:t>מהחברה</w:t>
      </w:r>
      <w:r>
        <w:rPr>
          <w:rFonts w:hint="cs"/>
          <w:rtl/>
        </w:rPr>
        <w:t xml:space="preserve"> חלף המשכורת, תומכת אף היא בסיווג תשלומי התמורה לפי סעיף 2(2) לפקודה. כמו כן, קביעה זו עומדת בניגוד לטענת המערער בדבר היעדר יחסי עבודה בשנים אלה עקב הפסקת משיכת השכר.</w:t>
      </w:r>
    </w:p>
    <w:p w:rsidR="00ED79F5" w:rsidRDefault="00ED79F5" w:rsidP="00ED79F5">
      <w:pPr>
        <w:pStyle w:val="Ruller41"/>
        <w:rPr>
          <w:rtl/>
        </w:rPr>
      </w:pPr>
    </w:p>
    <w:p w:rsidR="00ED79F5" w:rsidRDefault="00ED79F5" w:rsidP="00ED79F5">
      <w:pPr>
        <w:pStyle w:val="Ruller41"/>
        <w:rPr>
          <w:rtl/>
        </w:rPr>
      </w:pPr>
      <w:r>
        <w:rPr>
          <w:rtl/>
        </w:rPr>
        <w:tab/>
      </w:r>
      <w:r>
        <w:rPr>
          <w:rFonts w:hint="cs"/>
          <w:rtl/>
        </w:rPr>
        <w:t>לבסוף, נטען כי המערער נהג בחוסר תום-לב המצדיק את דחיית עמדתו. כך למשל, המערער טען כי כל התמורה ששולמה בגין עסקת המכר (כ-41 מיליון ש"ח) סווגה לפי סעיף 2(2) לפקודה, בעוד שלפי שומות המשיב סווג רק סכום של כ-27 מיליון ש"ח מכספי התמורה לפי סעיף זה; מתוכם כ-15 מיליון ש"ח בשנות המס שבערעור הנוכחי ועוד כ-12 מיליון ש"ח בשנים שלאחר מכן. עוד גורס המשיב כי הטיעון שהעלה המערער ביחס לסעיף 3(ט1) לפקודה הועלה בחוסר תום-לב, שכן סעיף זה נכנס לתוקף רק בשנת 2017 והוא אינו חל בשנות המס הרלוונטיות לערעור. בשולי הדברים, מציין המשיב כי בניגוד לטענות המערער, סעיף 3(ט) לפקודה כלל אינו רלוונטי לעמדתו, וממילא אין הוא תומך בה.</w:t>
      </w:r>
    </w:p>
    <w:p w:rsidR="00ED79F5" w:rsidRDefault="00ED79F5" w:rsidP="00ED79F5">
      <w:pPr>
        <w:pStyle w:val="Ruller41"/>
        <w:rPr>
          <w:rtl/>
        </w:rPr>
      </w:pPr>
    </w:p>
    <w:p w:rsidR="00ED79F5" w:rsidRDefault="00ED79F5" w:rsidP="00ED79F5">
      <w:pPr>
        <w:pStyle w:val="Ruller4"/>
        <w:rPr>
          <w:rtl/>
        </w:rPr>
      </w:pPr>
      <w:r>
        <w:rPr>
          <w:rFonts w:hint="cs"/>
          <w:rtl/>
        </w:rPr>
        <w:t xml:space="preserve">לצד האמור, טוען המשיב יש לדחות את טענות המערער גם בכל הנוגע לקנס הגירעון שהוטל עליו. </w:t>
      </w:r>
      <w:r w:rsidRPr="003740C9">
        <w:rPr>
          <w:rFonts w:ascii="Century" w:hAnsi="Century" w:cs="Miriam" w:hint="cs"/>
          <w:b/>
          <w:spacing w:val="0"/>
          <w:sz w:val="22"/>
          <w:szCs w:val="24"/>
          <w:rtl/>
        </w:rPr>
        <w:t>ראשית</w:t>
      </w:r>
      <w:r>
        <w:rPr>
          <w:rFonts w:hint="cs"/>
          <w:rtl/>
        </w:rPr>
        <w:t xml:space="preserve">, באשר לטענה כי הקנס הוטל בחוסר סמכות, מציין המשיב כי מדובר בטענה חדשה שלא הועלתה בהליך קמא; וכי המערער הגיש לעניין זה ראיה חדשה במסגרת הערעור, מבלי שהותר לו לעשות כן. עוד נטען כי יש לדחות טענה זו גם לגופה, שכן הסמכות להטיל קנס גירעון היא "סמכות עזר" לסמכות להוציא שומה, והמערער לא הביא כל אסמכתא לכך שנדרשת הסמכה עצמאית ונפרדת לצורך כך. המשיב </w:t>
      </w:r>
      <w:r>
        <w:rPr>
          <w:rFonts w:hint="cs"/>
          <w:rtl/>
        </w:rPr>
        <w:lastRenderedPageBreak/>
        <w:t xml:space="preserve">מדגיש כי על פי הפסיקה, הוראה המסמיכה לבצע פעולה שהיא "כדין שומה" מהווה הסמכה לכל דבר ועניין, ודי בה כדי להסמיך את המפקחת גם להטיל קנס גירעון. כן נטען כי ממילא קנס הגירעון הוצא על דעת פקיד השומה; וכי הואיל והמערער לא חקר את עדת המשיב לעניין זה </w:t>
      </w:r>
      <w:r>
        <w:rPr>
          <w:rtl/>
        </w:rPr>
        <w:t>–</w:t>
      </w:r>
      <w:r>
        <w:rPr>
          <w:rFonts w:hint="cs"/>
          <w:rtl/>
        </w:rPr>
        <w:t xml:space="preserve"> עומדת לו חזקת התקינות. </w:t>
      </w:r>
    </w:p>
    <w:p w:rsidR="00ED79F5" w:rsidRDefault="00ED79F5" w:rsidP="00ED79F5">
      <w:pPr>
        <w:pStyle w:val="Ruller41"/>
        <w:rPr>
          <w:rtl/>
        </w:rPr>
      </w:pPr>
    </w:p>
    <w:p w:rsidR="00ED79F5" w:rsidRPr="003740C9" w:rsidRDefault="00ED79F5" w:rsidP="00ED79F5">
      <w:pPr>
        <w:pStyle w:val="Ruller41"/>
        <w:rPr>
          <w:rtl/>
        </w:rPr>
      </w:pPr>
      <w:r>
        <w:rPr>
          <w:rtl/>
        </w:rPr>
        <w:tab/>
      </w:r>
      <w:r w:rsidRPr="003740C9">
        <w:rPr>
          <w:rFonts w:ascii="Century" w:hAnsi="Century" w:cs="Miriam" w:hint="cs"/>
          <w:b/>
          <w:spacing w:val="0"/>
          <w:szCs w:val="24"/>
          <w:rtl/>
        </w:rPr>
        <w:t>שנית</w:t>
      </w:r>
      <w:r>
        <w:rPr>
          <w:rFonts w:hint="cs"/>
          <w:rtl/>
        </w:rPr>
        <w:t xml:space="preserve">, נטען כי אין ממש בטענות המערער כי הוא נהג בתום-לב ולא חרג מסטנדרט ההתנהגות המצופה ממנו. המשיב מבהיר לעניין זה כי מדובר במי שביצע עסקה מלאכותית </w:t>
      </w:r>
      <w:r>
        <w:rPr>
          <w:rtl/>
        </w:rPr>
        <w:t>–</w:t>
      </w:r>
      <w:r>
        <w:rPr>
          <w:rFonts w:hint="cs"/>
          <w:rtl/>
        </w:rPr>
        <w:t xml:space="preserve"> קרי עשה שימוש לרעה בזכות לתכנון מס באופן החורג מגדר הלגיטימי. בהתחשב בממצאים אלה ניתן היה לחייבו בקנס גירעון כפול בשיעור של 30% לפי סעיף 191(ג) לפקודה </w:t>
      </w:r>
      <w:r>
        <w:rPr>
          <w:rtl/>
        </w:rPr>
        <w:t>–</w:t>
      </w:r>
      <w:r>
        <w:rPr>
          <w:rFonts w:hint="cs"/>
          <w:rtl/>
        </w:rPr>
        <w:t xml:space="preserve"> שעניינו במקרים בהם "</w:t>
      </w:r>
      <w:r w:rsidRPr="00DD44B3">
        <w:rPr>
          <w:rFonts w:ascii="Century" w:hAnsi="Century" w:cs="Miriam" w:hint="eastAsia"/>
          <w:b/>
          <w:spacing w:val="0"/>
          <w:szCs w:val="24"/>
          <w:rtl/>
        </w:rPr>
        <w:t>ה</w:t>
      </w:r>
      <w:r>
        <w:rPr>
          <w:rFonts w:ascii="Century" w:hAnsi="Century" w:cs="Miriam" w:hint="eastAsia"/>
          <w:b/>
          <w:spacing w:val="0"/>
          <w:szCs w:val="24"/>
          <w:rtl/>
        </w:rPr>
        <w:t>גרעון</w:t>
      </w:r>
      <w:r w:rsidRPr="00DD44B3">
        <w:rPr>
          <w:rFonts w:ascii="Century" w:hAnsi="Century" w:cs="Miriam"/>
          <w:b/>
          <w:spacing w:val="0"/>
          <w:szCs w:val="24"/>
          <w:rtl/>
        </w:rPr>
        <w:t xml:space="preserve"> </w:t>
      </w:r>
      <w:r w:rsidRPr="00DD44B3">
        <w:rPr>
          <w:rFonts w:ascii="Century" w:hAnsi="Century" w:cs="Miriam" w:hint="eastAsia"/>
          <w:b/>
          <w:spacing w:val="0"/>
          <w:szCs w:val="24"/>
          <w:rtl/>
        </w:rPr>
        <w:t>נוצר</w:t>
      </w:r>
      <w:r w:rsidRPr="00DD44B3">
        <w:rPr>
          <w:rFonts w:ascii="Century" w:hAnsi="Century" w:cs="Miriam"/>
          <w:b/>
          <w:spacing w:val="0"/>
          <w:szCs w:val="24"/>
          <w:rtl/>
        </w:rPr>
        <w:t xml:space="preserve"> </w:t>
      </w:r>
      <w:r w:rsidRPr="00DD44B3">
        <w:rPr>
          <w:rFonts w:ascii="Century" w:hAnsi="Century" w:cs="Miriam" w:hint="eastAsia"/>
          <w:b/>
          <w:spacing w:val="0"/>
          <w:szCs w:val="24"/>
          <w:rtl/>
        </w:rPr>
        <w:t>במזיד</w:t>
      </w:r>
      <w:r w:rsidRPr="00DD44B3">
        <w:rPr>
          <w:rFonts w:ascii="Century" w:hAnsi="Century" w:cs="Miriam"/>
          <w:b/>
          <w:spacing w:val="0"/>
          <w:szCs w:val="24"/>
          <w:rtl/>
        </w:rPr>
        <w:t xml:space="preserve"> </w:t>
      </w:r>
      <w:r w:rsidRPr="00DD44B3">
        <w:rPr>
          <w:rFonts w:ascii="Century" w:hAnsi="Century" w:cs="Miriam" w:hint="eastAsia"/>
          <w:b/>
          <w:spacing w:val="0"/>
          <w:szCs w:val="24"/>
          <w:rtl/>
        </w:rPr>
        <w:t>ומתוך</w:t>
      </w:r>
      <w:r w:rsidRPr="00DD44B3">
        <w:rPr>
          <w:rFonts w:ascii="Century" w:hAnsi="Century" w:cs="Miriam"/>
          <w:b/>
          <w:spacing w:val="0"/>
          <w:szCs w:val="24"/>
          <w:rtl/>
        </w:rPr>
        <w:t xml:space="preserve"> </w:t>
      </w:r>
      <w:r w:rsidRPr="00DD44B3">
        <w:rPr>
          <w:rFonts w:ascii="Century" w:hAnsi="Century" w:cs="Miriam" w:hint="eastAsia"/>
          <w:b/>
          <w:spacing w:val="0"/>
          <w:szCs w:val="24"/>
          <w:rtl/>
        </w:rPr>
        <w:t>כוונת</w:t>
      </w:r>
      <w:r w:rsidRPr="00DD44B3">
        <w:rPr>
          <w:rFonts w:ascii="Century" w:hAnsi="Century" w:cs="Miriam"/>
          <w:b/>
          <w:spacing w:val="0"/>
          <w:szCs w:val="24"/>
          <w:rtl/>
        </w:rPr>
        <w:t xml:space="preserve"> </w:t>
      </w:r>
      <w:r w:rsidRPr="00DD44B3">
        <w:rPr>
          <w:rFonts w:ascii="Century" w:hAnsi="Century" w:cs="Miriam" w:hint="eastAsia"/>
          <w:b/>
          <w:spacing w:val="0"/>
          <w:szCs w:val="24"/>
          <w:rtl/>
        </w:rPr>
        <w:t>הנישום</w:t>
      </w:r>
      <w:r w:rsidRPr="00DD44B3">
        <w:rPr>
          <w:rFonts w:ascii="Century" w:hAnsi="Century" w:cs="Miriam"/>
          <w:b/>
          <w:spacing w:val="0"/>
          <w:szCs w:val="24"/>
          <w:rtl/>
        </w:rPr>
        <w:t xml:space="preserve"> </w:t>
      </w:r>
      <w:r w:rsidRPr="00DD44B3">
        <w:rPr>
          <w:rFonts w:ascii="Century" w:hAnsi="Century" w:cs="Miriam" w:hint="eastAsia"/>
          <w:b/>
          <w:spacing w:val="0"/>
          <w:szCs w:val="24"/>
          <w:rtl/>
        </w:rPr>
        <w:t>להתחמק</w:t>
      </w:r>
      <w:r w:rsidRPr="00DD44B3">
        <w:rPr>
          <w:rFonts w:ascii="Century" w:hAnsi="Century" w:cs="Miriam"/>
          <w:b/>
          <w:spacing w:val="0"/>
          <w:szCs w:val="24"/>
          <w:rtl/>
        </w:rPr>
        <w:t xml:space="preserve"> </w:t>
      </w:r>
      <w:r w:rsidRPr="00DD44B3">
        <w:rPr>
          <w:rFonts w:ascii="Century" w:hAnsi="Century" w:cs="Miriam" w:hint="eastAsia"/>
          <w:b/>
          <w:spacing w:val="0"/>
          <w:szCs w:val="24"/>
          <w:rtl/>
        </w:rPr>
        <w:t>מתשלום</w:t>
      </w:r>
      <w:r w:rsidRPr="00DD44B3">
        <w:rPr>
          <w:rFonts w:ascii="Century" w:hAnsi="Century" w:cs="Miriam"/>
          <w:b/>
          <w:spacing w:val="0"/>
          <w:szCs w:val="24"/>
          <w:rtl/>
        </w:rPr>
        <w:t xml:space="preserve"> </w:t>
      </w:r>
      <w:r w:rsidRPr="00DD44B3">
        <w:rPr>
          <w:rFonts w:ascii="Century" w:hAnsi="Century" w:cs="Miriam" w:hint="eastAsia"/>
          <w:b/>
          <w:spacing w:val="0"/>
          <w:szCs w:val="24"/>
          <w:rtl/>
        </w:rPr>
        <w:t>מס</w:t>
      </w:r>
      <w:r>
        <w:rPr>
          <w:rFonts w:hint="cs"/>
          <w:rtl/>
        </w:rPr>
        <w:t>". על כן, טוען המשיב כי קל וחומר שדי בממצאים אלה כדי להצדיק הטלת קנס גירעון רגיל של 15% לפי סעיף 191(ב) לפקודה.</w:t>
      </w:r>
    </w:p>
    <w:p w:rsidR="00ED79F5" w:rsidRPr="008A09A1" w:rsidRDefault="00ED79F5" w:rsidP="00ED79F5">
      <w:pPr>
        <w:pStyle w:val="Ruller41"/>
        <w:rPr>
          <w:rtl/>
        </w:rPr>
      </w:pPr>
    </w:p>
    <w:p w:rsidR="00ED79F5" w:rsidRDefault="00ED79F5" w:rsidP="00ED79F5">
      <w:pPr>
        <w:pStyle w:val="Ruller41"/>
        <w:rPr>
          <w:rFonts w:ascii="Century" w:hAnsi="Century" w:cs="Miriam"/>
          <w:b/>
          <w:spacing w:val="0"/>
          <w:szCs w:val="24"/>
          <w:rtl/>
        </w:rPr>
      </w:pPr>
      <w:r w:rsidRPr="009D151A">
        <w:rPr>
          <w:rFonts w:ascii="Century" w:hAnsi="Century" w:cs="Miriam" w:hint="cs"/>
          <w:b/>
          <w:spacing w:val="0"/>
          <w:szCs w:val="24"/>
          <w:rtl/>
        </w:rPr>
        <w:t>דיון והכרעה</w:t>
      </w:r>
    </w:p>
    <w:p w:rsidR="00ED79F5" w:rsidRDefault="00ED79F5" w:rsidP="00ED79F5">
      <w:pPr>
        <w:pStyle w:val="Ruller41"/>
        <w:rPr>
          <w:rFonts w:ascii="Century" w:hAnsi="Century"/>
          <w:rtl/>
        </w:rPr>
      </w:pPr>
    </w:p>
    <w:p w:rsidR="00ED79F5" w:rsidRDefault="00ED79F5" w:rsidP="00ED79F5">
      <w:pPr>
        <w:pStyle w:val="Ruller4"/>
        <w:rPr>
          <w:rtl/>
        </w:rPr>
      </w:pPr>
      <w:r>
        <w:rPr>
          <w:rFonts w:hint="cs"/>
          <w:rtl/>
        </w:rPr>
        <w:t xml:space="preserve">כאמור לעיל, במסגרת הדיון שהתקיים לפנינו מיקד המערער את ערעורו בשתי סוגיות מרכזיות: </w:t>
      </w:r>
      <w:r w:rsidRPr="00A900F2">
        <w:rPr>
          <w:rFonts w:ascii="Century" w:hAnsi="Century" w:cs="Miriam" w:hint="cs"/>
          <w:b/>
          <w:spacing w:val="0"/>
          <w:sz w:val="22"/>
          <w:szCs w:val="24"/>
          <w:rtl/>
        </w:rPr>
        <w:t>האחת</w:t>
      </w:r>
      <w:r w:rsidRPr="00A900F2">
        <w:rPr>
          <w:rFonts w:hint="cs"/>
          <w:rtl/>
        </w:rPr>
        <w:t xml:space="preserve"> </w:t>
      </w:r>
      <w:r>
        <w:rPr>
          <w:rFonts w:hint="cs"/>
          <w:rtl/>
        </w:rPr>
        <w:t xml:space="preserve">עוסקת בשאלה כיצד יש לסווג מחדש את כספי התמורה שמשך המערער מספירה ישראל מכוח עסקת המכר </w:t>
      </w:r>
      <w:r>
        <w:rPr>
          <w:rtl/>
        </w:rPr>
        <w:t>–</w:t>
      </w:r>
      <w:r>
        <w:rPr>
          <w:rFonts w:hint="cs"/>
          <w:rtl/>
        </w:rPr>
        <w:t xml:space="preserve"> האם כהכנסת עבודה לפי סעיף 2(2) לפקודת מס הכנסה או כהכנסה מדיבידנד לפי סעיף 2(4) לפקודה; ו</w:t>
      </w:r>
      <w:r w:rsidRPr="00A900F2">
        <w:rPr>
          <w:rFonts w:ascii="Century" w:hAnsi="Century" w:cs="Miriam" w:hint="cs"/>
          <w:b/>
          <w:spacing w:val="0"/>
          <w:sz w:val="22"/>
          <w:szCs w:val="24"/>
          <w:rtl/>
        </w:rPr>
        <w:t>השנייה</w:t>
      </w:r>
      <w:r>
        <w:rPr>
          <w:rFonts w:hint="cs"/>
          <w:rtl/>
        </w:rPr>
        <w:t xml:space="preserve"> עניינה בקנס הגירעון שהוטל על המערער.</w:t>
      </w:r>
      <w:r w:rsidRPr="00A900F2">
        <w:rPr>
          <w:rFonts w:hint="cs"/>
        </w:rPr>
        <w:t xml:space="preserve"> </w:t>
      </w:r>
    </w:p>
    <w:p w:rsidR="00ED79F5" w:rsidRPr="00A900F2" w:rsidRDefault="00ED79F5" w:rsidP="00ED79F5">
      <w:pPr>
        <w:pStyle w:val="Ruller41"/>
      </w:pPr>
    </w:p>
    <w:p w:rsidR="00ED79F5" w:rsidRDefault="00ED79F5" w:rsidP="00ED79F5">
      <w:pPr>
        <w:pStyle w:val="Ruller4"/>
        <w:numPr>
          <w:ilvl w:val="0"/>
          <w:numId w:val="0"/>
        </w:numPr>
        <w:rPr>
          <w:rtl/>
        </w:rPr>
      </w:pPr>
      <w:r>
        <w:rPr>
          <w:rtl/>
        </w:rPr>
        <w:tab/>
      </w:r>
      <w:r>
        <w:rPr>
          <w:rFonts w:hint="cs"/>
          <w:rtl/>
        </w:rPr>
        <w:t>לאחר שנתתי דעתי לטענות הצדדים מזה ומזה, הגעתי למסקנה כי דין הערעור להתקבל בכל הנוגע לסוגיה הראשונה, ולהידחות ביחס לסוגיה השנייה. להלן אפרט את נימוקיי.</w:t>
      </w:r>
    </w:p>
    <w:p w:rsidR="00ED79F5" w:rsidRDefault="00ED79F5" w:rsidP="00ED79F5">
      <w:pPr>
        <w:pStyle w:val="Ruller41"/>
        <w:rPr>
          <w:rtl/>
        </w:rPr>
      </w:pPr>
    </w:p>
    <w:p w:rsidR="00ED79F5" w:rsidRPr="00A900F2" w:rsidRDefault="00ED79F5" w:rsidP="00ED79F5">
      <w:pPr>
        <w:pStyle w:val="Ruller41"/>
        <w:rPr>
          <w:rFonts w:ascii="Century" w:hAnsi="Century" w:cs="Miriam"/>
          <w:b/>
          <w:spacing w:val="0"/>
          <w:szCs w:val="24"/>
          <w:rtl/>
        </w:rPr>
      </w:pPr>
      <w:r w:rsidRPr="00A900F2">
        <w:rPr>
          <w:rFonts w:ascii="Century" w:hAnsi="Century" w:cs="Miriam" w:hint="cs"/>
          <w:b/>
          <w:spacing w:val="0"/>
          <w:szCs w:val="24"/>
          <w:rtl/>
        </w:rPr>
        <w:t xml:space="preserve">סיווג מחדש של </w:t>
      </w:r>
      <w:r>
        <w:rPr>
          <w:rFonts w:ascii="Century" w:hAnsi="Century" w:cs="Miriam" w:hint="cs"/>
          <w:b/>
          <w:spacing w:val="0"/>
          <w:szCs w:val="24"/>
          <w:rtl/>
        </w:rPr>
        <w:t>תשלומי התמורה מעסקת המכר</w:t>
      </w:r>
    </w:p>
    <w:p w:rsidR="00ED79F5" w:rsidRDefault="00ED79F5" w:rsidP="00ED79F5">
      <w:pPr>
        <w:pStyle w:val="Ruller41"/>
        <w:rPr>
          <w:rtl/>
        </w:rPr>
      </w:pPr>
    </w:p>
    <w:p w:rsidR="00ED79F5" w:rsidRDefault="00ED79F5" w:rsidP="00ED79F5">
      <w:pPr>
        <w:pStyle w:val="Ruller4"/>
        <w:rPr>
          <w:rtl/>
        </w:rPr>
      </w:pPr>
      <w:r>
        <w:rPr>
          <w:rFonts w:hint="cs"/>
          <w:rtl/>
        </w:rPr>
        <w:t xml:space="preserve">משקבע המשיב כי עסקת המכר היא בגדר עסקה מלאכותית </w:t>
      </w:r>
      <w:r>
        <w:rPr>
          <w:rtl/>
        </w:rPr>
        <w:t>–</w:t>
      </w:r>
      <w:r>
        <w:rPr>
          <w:rFonts w:hint="cs"/>
          <w:rtl/>
        </w:rPr>
        <w:t xml:space="preserve"> קביעה אשר לגביה אין עוד חולק </w:t>
      </w:r>
      <w:r>
        <w:rPr>
          <w:rtl/>
        </w:rPr>
        <w:t>–</w:t>
      </w:r>
      <w:r>
        <w:rPr>
          <w:rFonts w:hint="cs"/>
          <w:rtl/>
        </w:rPr>
        <w:t xml:space="preserve"> הוא נדרש לסווג מחדש את העסקה ולקבוע כיצד </w:t>
      </w:r>
      <w:proofErr w:type="spellStart"/>
      <w:r>
        <w:rPr>
          <w:rFonts w:hint="cs"/>
          <w:rtl/>
        </w:rPr>
        <w:t>ימוסו</w:t>
      </w:r>
      <w:proofErr w:type="spellEnd"/>
      <w:r>
        <w:rPr>
          <w:rFonts w:hint="cs"/>
          <w:rtl/>
        </w:rPr>
        <w:t xml:space="preserve"> כספי התמורה שנמשכו על ידי המערער מספירה ישראל בשנות המס הרלוונטיות. זאת, בהתאם לסמכות המוקנית לו מכוח סעיף 86 לפקודת מס הכנסה. כפי שצוין בפסיקה, הכלי של "סיווג מחדש" (להבדיל מהכלי של "סיווג שונה"), מאפשר לפקיד השומה להגדיר מחדש את מהות העסקה. הוא מיועד לאותם מקרים בהם לפי העובדות הרלוונטיות לא ניתן לסווג את העסקה באופן שונה מכפי שסיווגה הנישום (ראו: </w:t>
      </w:r>
      <w:r w:rsidRPr="00A32F02">
        <w:rPr>
          <w:rFonts w:hint="eastAsia"/>
          <w:rtl/>
        </w:rPr>
        <w:t>ע</w:t>
      </w:r>
      <w:r w:rsidRPr="00A32F02">
        <w:rPr>
          <w:rtl/>
        </w:rPr>
        <w:t>"</w:t>
      </w:r>
      <w:r w:rsidRPr="00A32F02">
        <w:rPr>
          <w:rFonts w:hint="eastAsia"/>
          <w:rtl/>
        </w:rPr>
        <w:t>א</w:t>
      </w:r>
      <w:r w:rsidRPr="00A32F02">
        <w:rPr>
          <w:rtl/>
        </w:rPr>
        <w:t xml:space="preserve"> 3415/97 </w:t>
      </w:r>
      <w:r w:rsidRPr="001824B9">
        <w:rPr>
          <w:rFonts w:ascii="Century" w:hAnsi="Century" w:cs="Miriam" w:hint="eastAsia"/>
          <w:b/>
          <w:spacing w:val="0"/>
          <w:sz w:val="22"/>
          <w:szCs w:val="24"/>
          <w:rtl/>
        </w:rPr>
        <w:t>פקיד</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שומה</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למפעלים</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lastRenderedPageBreak/>
        <w:t>גדולים</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נ</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יואב</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רובינשטיין</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ושות</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חברה</w:t>
      </w:r>
      <w:r w:rsidRPr="001824B9">
        <w:rPr>
          <w:rFonts w:ascii="Century" w:hAnsi="Century" w:cs="Miriam"/>
          <w:b/>
          <w:spacing w:val="0"/>
          <w:sz w:val="22"/>
          <w:szCs w:val="24"/>
          <w:rtl/>
        </w:rPr>
        <w:t xml:space="preserve"> </w:t>
      </w:r>
      <w:proofErr w:type="spellStart"/>
      <w:r w:rsidRPr="001824B9">
        <w:rPr>
          <w:rFonts w:ascii="Century" w:hAnsi="Century" w:cs="Miriam" w:hint="eastAsia"/>
          <w:b/>
          <w:spacing w:val="0"/>
          <w:sz w:val="22"/>
          <w:szCs w:val="24"/>
          <w:rtl/>
        </w:rPr>
        <w:t>לבנין</w:t>
      </w:r>
      <w:proofErr w:type="spellEnd"/>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פיתוח</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ומימון</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בע</w:t>
      </w:r>
      <w:r w:rsidRPr="001824B9">
        <w:rPr>
          <w:rFonts w:ascii="Century" w:hAnsi="Century" w:cs="Miriam"/>
          <w:b/>
          <w:spacing w:val="0"/>
          <w:sz w:val="22"/>
          <w:szCs w:val="24"/>
          <w:rtl/>
        </w:rPr>
        <w:t>"</w:t>
      </w:r>
      <w:r w:rsidRPr="001824B9">
        <w:rPr>
          <w:rFonts w:ascii="Century" w:hAnsi="Century" w:cs="Miriam" w:hint="eastAsia"/>
          <w:b/>
          <w:spacing w:val="0"/>
          <w:sz w:val="22"/>
          <w:szCs w:val="24"/>
          <w:rtl/>
        </w:rPr>
        <w:t>מ</w:t>
      </w:r>
      <w:r w:rsidRPr="00A32F02">
        <w:rPr>
          <w:rtl/>
        </w:rPr>
        <w:t>,</w:t>
      </w:r>
      <w:r>
        <w:rPr>
          <w:rFonts w:hint="cs"/>
          <w:rtl/>
        </w:rPr>
        <w:t xml:space="preserve"> פ"ד</w:t>
      </w:r>
      <w:r w:rsidRPr="00A32F02">
        <w:rPr>
          <w:rtl/>
        </w:rPr>
        <w:t xml:space="preserve"> </w:t>
      </w:r>
      <w:proofErr w:type="spellStart"/>
      <w:r w:rsidRPr="00A32F02">
        <w:rPr>
          <w:rFonts w:hint="eastAsia"/>
          <w:rtl/>
        </w:rPr>
        <w:t>נז</w:t>
      </w:r>
      <w:proofErr w:type="spellEnd"/>
      <w:r w:rsidRPr="00A32F02">
        <w:rPr>
          <w:rtl/>
        </w:rPr>
        <w:t>(5) 915</w:t>
      </w:r>
      <w:r>
        <w:rPr>
          <w:rFonts w:hint="cs"/>
          <w:rtl/>
        </w:rPr>
        <w:t>, 932-931</w:t>
      </w:r>
      <w:r w:rsidRPr="00A32F02">
        <w:rPr>
          <w:rtl/>
        </w:rPr>
        <w:t xml:space="preserve"> (2003)</w:t>
      </w:r>
      <w:r>
        <w:rPr>
          <w:rFonts w:hint="cs"/>
          <w:rtl/>
        </w:rPr>
        <w:t xml:space="preserve">; </w:t>
      </w:r>
      <w:r w:rsidRPr="00A32F02">
        <w:rPr>
          <w:rFonts w:hint="eastAsia"/>
          <w:rtl/>
        </w:rPr>
        <w:t>ע</w:t>
      </w:r>
      <w:r w:rsidRPr="00A32F02">
        <w:rPr>
          <w:rtl/>
        </w:rPr>
        <w:t>"</w:t>
      </w:r>
      <w:r w:rsidRPr="00A32F02">
        <w:rPr>
          <w:rFonts w:hint="eastAsia"/>
          <w:rtl/>
        </w:rPr>
        <w:t>א</w:t>
      </w:r>
      <w:r w:rsidRPr="00A32F02">
        <w:rPr>
          <w:rtl/>
        </w:rPr>
        <w:t xml:space="preserve"> 4374/05 </w:t>
      </w:r>
      <w:r w:rsidRPr="001824B9">
        <w:rPr>
          <w:rFonts w:ascii="Century" w:hAnsi="Century" w:cs="Miriam" w:hint="eastAsia"/>
          <w:b/>
          <w:spacing w:val="0"/>
          <w:sz w:val="22"/>
          <w:szCs w:val="24"/>
          <w:rtl/>
        </w:rPr>
        <w:t>ראובני</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נ</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פקיד</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שומה</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תל</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אביב</w:t>
      </w:r>
      <w:r w:rsidRPr="001824B9">
        <w:rPr>
          <w:rFonts w:ascii="Century" w:hAnsi="Century" w:cs="Miriam"/>
          <w:b/>
          <w:spacing w:val="0"/>
          <w:sz w:val="22"/>
          <w:szCs w:val="24"/>
          <w:rtl/>
        </w:rPr>
        <w:t xml:space="preserve"> 4</w:t>
      </w:r>
      <w:r>
        <w:rPr>
          <w:rFonts w:hint="cs"/>
          <w:rtl/>
        </w:rPr>
        <w:t>, פסקה ח</w:t>
      </w:r>
      <w:r w:rsidRPr="00A32F02">
        <w:rPr>
          <w:rtl/>
        </w:rPr>
        <w:t xml:space="preserve"> (19.</w:t>
      </w:r>
      <w:r>
        <w:rPr>
          <w:rFonts w:hint="cs"/>
          <w:rtl/>
        </w:rPr>
        <w:t>9</w:t>
      </w:r>
      <w:r w:rsidRPr="00A32F02">
        <w:rPr>
          <w:rtl/>
        </w:rPr>
        <w:t>.2007)</w:t>
      </w:r>
      <w:r>
        <w:rPr>
          <w:rFonts w:hint="cs"/>
          <w:rtl/>
        </w:rPr>
        <w:t xml:space="preserve">; </w:t>
      </w:r>
      <w:r w:rsidRPr="00A32F02">
        <w:rPr>
          <w:rFonts w:hint="eastAsia"/>
          <w:rtl/>
        </w:rPr>
        <w:t>ע</w:t>
      </w:r>
      <w:r w:rsidRPr="00A32F02">
        <w:rPr>
          <w:rtl/>
        </w:rPr>
        <w:t>"</w:t>
      </w:r>
      <w:r w:rsidRPr="00A32F02">
        <w:rPr>
          <w:rFonts w:hint="eastAsia"/>
          <w:rtl/>
        </w:rPr>
        <w:t>א</w:t>
      </w:r>
      <w:r w:rsidRPr="00A32F02">
        <w:rPr>
          <w:rtl/>
        </w:rPr>
        <w:t xml:space="preserve"> 750/16 </w:t>
      </w:r>
      <w:proofErr w:type="spellStart"/>
      <w:r w:rsidRPr="001824B9">
        <w:rPr>
          <w:rFonts w:ascii="Century" w:hAnsi="Century" w:cs="Miriam" w:hint="eastAsia"/>
          <w:b/>
          <w:spacing w:val="0"/>
          <w:sz w:val="22"/>
          <w:szCs w:val="24"/>
          <w:rtl/>
        </w:rPr>
        <w:t>סעדטמנד</w:t>
      </w:r>
      <w:proofErr w:type="spellEnd"/>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נ</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פקיד</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שומה</w:t>
      </w:r>
      <w:r w:rsidRPr="001824B9">
        <w:rPr>
          <w:rFonts w:ascii="Century" w:hAnsi="Century" w:cs="Miriam"/>
          <w:b/>
          <w:spacing w:val="0"/>
          <w:sz w:val="22"/>
          <w:szCs w:val="24"/>
          <w:rtl/>
        </w:rPr>
        <w:t xml:space="preserve"> </w:t>
      </w:r>
      <w:r w:rsidRPr="001824B9">
        <w:rPr>
          <w:rFonts w:ascii="Century" w:hAnsi="Century" w:cs="Miriam" w:hint="eastAsia"/>
          <w:b/>
          <w:spacing w:val="0"/>
          <w:sz w:val="22"/>
          <w:szCs w:val="24"/>
          <w:rtl/>
        </w:rPr>
        <w:t>רחובות</w:t>
      </w:r>
      <w:r>
        <w:rPr>
          <w:rFonts w:hint="cs"/>
          <w:rtl/>
        </w:rPr>
        <w:t>, פסקה 6</w:t>
      </w:r>
      <w:r w:rsidRPr="00A32F02">
        <w:rPr>
          <w:rtl/>
        </w:rPr>
        <w:t xml:space="preserve"> (28.</w:t>
      </w:r>
      <w:r>
        <w:rPr>
          <w:rFonts w:hint="cs"/>
          <w:rtl/>
        </w:rPr>
        <w:t>2</w:t>
      </w:r>
      <w:r w:rsidRPr="00A32F02">
        <w:rPr>
          <w:rtl/>
        </w:rPr>
        <w:t>.2019)</w:t>
      </w:r>
      <w:r>
        <w:rPr>
          <w:rFonts w:hint="cs"/>
          <w:rtl/>
        </w:rPr>
        <w:t xml:space="preserve">). </w:t>
      </w:r>
    </w:p>
    <w:p w:rsidR="00ED79F5" w:rsidRDefault="00ED79F5" w:rsidP="00ED79F5">
      <w:pPr>
        <w:pStyle w:val="Ruller41"/>
        <w:rPr>
          <w:rtl/>
        </w:rPr>
      </w:pPr>
    </w:p>
    <w:p w:rsidR="00ED79F5" w:rsidRPr="001824B9" w:rsidRDefault="00ED79F5" w:rsidP="00ED79F5">
      <w:pPr>
        <w:pStyle w:val="Ruller41"/>
        <w:rPr>
          <w:rtl/>
        </w:rPr>
      </w:pPr>
      <w:r>
        <w:rPr>
          <w:rtl/>
        </w:rPr>
        <w:tab/>
      </w:r>
      <w:r>
        <w:rPr>
          <w:rFonts w:hint="cs"/>
          <w:rtl/>
        </w:rPr>
        <w:t xml:space="preserve">בענייננו, הצדדים אינם חולקים עוד על כך שיש לסווג מחדש את תשלומי התמורה כהכנסה </w:t>
      </w:r>
      <w:proofErr w:type="spellStart"/>
      <w:r>
        <w:rPr>
          <w:rFonts w:hint="cs"/>
          <w:rtl/>
        </w:rPr>
        <w:t>פירותית</w:t>
      </w:r>
      <w:proofErr w:type="spellEnd"/>
      <w:r>
        <w:rPr>
          <w:rFonts w:hint="cs"/>
          <w:rtl/>
        </w:rPr>
        <w:t xml:space="preserve"> לפי סעיף 2 לפקודת מס הכנסה (ולא כהכנסה הונית מעסקת המכר כפי שסווגו במקור). אלא שהם נחלקים ביחס לסוג ההכנסה </w:t>
      </w:r>
      <w:proofErr w:type="spellStart"/>
      <w:r>
        <w:rPr>
          <w:rFonts w:hint="cs"/>
          <w:rtl/>
        </w:rPr>
        <w:t>הפירותית</w:t>
      </w:r>
      <w:proofErr w:type="spellEnd"/>
      <w:r>
        <w:rPr>
          <w:rFonts w:hint="cs"/>
          <w:rtl/>
        </w:rPr>
        <w:t xml:space="preserve"> אשר לפיה יש למסות את התשלומים </w:t>
      </w:r>
      <w:r>
        <w:rPr>
          <w:rtl/>
        </w:rPr>
        <w:t>–</w:t>
      </w:r>
      <w:r>
        <w:rPr>
          <w:rFonts w:hint="cs"/>
          <w:rtl/>
        </w:rPr>
        <w:t xml:space="preserve"> אם כ"הכנסת עבודה" לפי סעיף 2(2) לפקודה או כ"הכנסה מדיבידנד" לפי סעיף 2(4) לפקודה.</w:t>
      </w:r>
    </w:p>
    <w:p w:rsidR="00ED79F5" w:rsidRDefault="00ED79F5" w:rsidP="00ED79F5">
      <w:pPr>
        <w:pStyle w:val="Ruller41"/>
        <w:rPr>
          <w:rtl/>
        </w:rPr>
      </w:pPr>
    </w:p>
    <w:p w:rsidR="00ED79F5" w:rsidRDefault="00ED79F5" w:rsidP="00ED79F5">
      <w:pPr>
        <w:pStyle w:val="Ruller4"/>
        <w:rPr>
          <w:rtl/>
        </w:rPr>
      </w:pPr>
      <w:r>
        <w:rPr>
          <w:rFonts w:hint="cs"/>
          <w:rtl/>
        </w:rPr>
        <w:t xml:space="preserve">לטענת המשיב, לנוכח העובדה שבין המערער לבין ספירה ישראל התקיימו בשנות המס הרלוונטיות יחסי עבודה </w:t>
      </w:r>
      <w:r>
        <w:rPr>
          <w:rtl/>
        </w:rPr>
        <w:t>–</w:t>
      </w:r>
      <w:r>
        <w:rPr>
          <w:rFonts w:hint="cs"/>
          <w:rtl/>
        </w:rPr>
        <w:t xml:space="preserve"> שכן המערער כיהן כמנכ"ל החברה </w:t>
      </w:r>
      <w:r>
        <w:rPr>
          <w:rtl/>
        </w:rPr>
        <w:t>–</w:t>
      </w:r>
      <w:r>
        <w:rPr>
          <w:rFonts w:hint="cs"/>
          <w:rtl/>
        </w:rPr>
        <w:t xml:space="preserve"> ברירת המחדל היא סיווג הכספים כהכנסת עבודה בהתאם לסעיף 2(2) לפקודת מס הכנסה. את עיקר יהבו משליך המשיב על ההלכה שנקבעה בעניין </w:t>
      </w:r>
      <w:r w:rsidRPr="00A32F02">
        <w:rPr>
          <w:rFonts w:ascii="Century" w:hAnsi="Century" w:cs="Miriam" w:hint="cs"/>
          <w:b/>
          <w:spacing w:val="0"/>
          <w:sz w:val="22"/>
          <w:szCs w:val="24"/>
          <w:rtl/>
        </w:rPr>
        <w:t>ברנע</w:t>
      </w:r>
      <w:r>
        <w:rPr>
          <w:rFonts w:hint="cs"/>
          <w:rtl/>
        </w:rPr>
        <w:t xml:space="preserve">. בתמצית, נידונו באותו עניין ערעורי המס של שלושה עובדים בחברות שונות שכיהנו בתפקידים ניהוליים בכירים (להלן: </w:t>
      </w:r>
      <w:r w:rsidRPr="005F6AC0">
        <w:rPr>
          <w:rFonts w:ascii="Century" w:hAnsi="Century" w:cs="Miriam" w:hint="cs"/>
          <w:b/>
          <w:spacing w:val="0"/>
          <w:sz w:val="22"/>
          <w:szCs w:val="24"/>
          <w:rtl/>
        </w:rPr>
        <w:t>המנהלים</w:t>
      </w:r>
      <w:r>
        <w:rPr>
          <w:rFonts w:hint="cs"/>
          <w:rtl/>
        </w:rPr>
        <w:t xml:space="preserve">). בתום תקופת העסקתם, חתמו המנהלים על </w:t>
      </w:r>
      <w:proofErr w:type="spellStart"/>
      <w:r>
        <w:rPr>
          <w:rFonts w:hint="cs"/>
          <w:rtl/>
        </w:rPr>
        <w:t>תניית</w:t>
      </w:r>
      <w:proofErr w:type="spellEnd"/>
      <w:r>
        <w:rPr>
          <w:rFonts w:hint="cs"/>
          <w:rtl/>
        </w:rPr>
        <w:t xml:space="preserve"> אי-תחרות עם החברות בהן הם עבדו, בתמורה לתקבול כספי. בדו"חות שהגישו לפקיד השומה דיווחו המנהלים על תקבולים אלה כהכנסה מרווח הון. דיווח זה נדחה על ידי פקיד השומה, וחלף זאת נקבע כי מדובר בהכנסה </w:t>
      </w:r>
      <w:proofErr w:type="spellStart"/>
      <w:r>
        <w:rPr>
          <w:rFonts w:hint="cs"/>
          <w:rtl/>
        </w:rPr>
        <w:t>פירותית</w:t>
      </w:r>
      <w:proofErr w:type="spellEnd"/>
      <w:r>
        <w:rPr>
          <w:rFonts w:hint="cs"/>
          <w:rtl/>
        </w:rPr>
        <w:t xml:space="preserve"> הנכנסת תחת סעיף 2(2) לפקודת מס הכנסה.</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בפסק דינו, קבע השופט </w:t>
      </w:r>
      <w:r w:rsidRPr="005F6AC0">
        <w:rPr>
          <w:rFonts w:ascii="Century" w:hAnsi="Century" w:cs="Miriam" w:hint="cs"/>
          <w:b/>
          <w:spacing w:val="0"/>
          <w:szCs w:val="24"/>
          <w:rtl/>
        </w:rPr>
        <w:t xml:space="preserve">י' עמית </w:t>
      </w:r>
      <w:r>
        <w:rPr>
          <w:rFonts w:hint="cs"/>
          <w:rtl/>
        </w:rPr>
        <w:t>כי יש לקבוע חזקה "חזקה", אם כי ניתנת לסתירה, לפיה "</w:t>
      </w:r>
      <w:r w:rsidRPr="005F6AC0">
        <w:rPr>
          <w:rFonts w:ascii="Century" w:hAnsi="Century" w:cs="Miriam" w:hint="cs"/>
          <w:b/>
          <w:spacing w:val="0"/>
          <w:szCs w:val="24"/>
          <w:rtl/>
        </w:rPr>
        <w:t xml:space="preserve">כל תקבול שמשולם לעובד ממעבידו הוא הכנסה </w:t>
      </w:r>
      <w:proofErr w:type="spellStart"/>
      <w:r w:rsidRPr="005F6AC0">
        <w:rPr>
          <w:rFonts w:ascii="Century" w:hAnsi="Century" w:cs="Miriam" w:hint="cs"/>
          <w:b/>
          <w:spacing w:val="0"/>
          <w:szCs w:val="24"/>
          <w:rtl/>
        </w:rPr>
        <w:t>פירותית</w:t>
      </w:r>
      <w:proofErr w:type="spellEnd"/>
      <w:r w:rsidRPr="005F6AC0">
        <w:rPr>
          <w:rFonts w:ascii="Century" w:hAnsi="Century" w:cs="Miriam" w:hint="cs"/>
          <w:b/>
          <w:spacing w:val="0"/>
          <w:szCs w:val="24"/>
          <w:rtl/>
        </w:rPr>
        <w:t xml:space="preserve"> שמקורה בעבודה</w:t>
      </w:r>
      <w:r>
        <w:rPr>
          <w:rFonts w:hint="cs"/>
          <w:rtl/>
        </w:rPr>
        <w:t xml:space="preserve">" (שם, בפסקאות 26-25). בנמקו קביעה זו, ציין השופט </w:t>
      </w:r>
      <w:r w:rsidRPr="005F6AC0">
        <w:rPr>
          <w:rFonts w:ascii="Century" w:hAnsi="Century" w:cs="Miriam" w:hint="cs"/>
          <w:b/>
          <w:spacing w:val="0"/>
          <w:szCs w:val="24"/>
          <w:rtl/>
        </w:rPr>
        <w:t>עמית</w:t>
      </w:r>
      <w:r>
        <w:rPr>
          <w:rFonts w:hint="cs"/>
          <w:rtl/>
        </w:rPr>
        <w:t>, בין היתר, כי "</w:t>
      </w:r>
      <w:r w:rsidRPr="005F6AC0">
        <w:rPr>
          <w:rFonts w:ascii="Century" w:hAnsi="Century" w:cs="Miriam" w:hint="cs"/>
          <w:b/>
          <w:spacing w:val="0"/>
          <w:szCs w:val="24"/>
          <w:rtl/>
        </w:rPr>
        <w:t>יצירת 'ברירת מחדל' הרואה בתקבולים הניתנים לעובד על ידי מעבידו משום 'הכנסת עבודה', תורמת לחיזוק הוודאות המשפטית ולהבהרת הנורמה הפיסקאלית. היא אף עשויה לעתים ליצור 'אפקט מצנן' לדידם של מתכנני המס, אשר יעדיפו לחסוך מעצ</w:t>
      </w:r>
      <w:r>
        <w:rPr>
          <w:rFonts w:ascii="Century" w:hAnsi="Century" w:cs="Miriam" w:hint="cs"/>
          <w:b/>
          <w:spacing w:val="0"/>
          <w:szCs w:val="24"/>
          <w:rtl/>
        </w:rPr>
        <w:t>מ</w:t>
      </w:r>
      <w:r w:rsidRPr="005F6AC0">
        <w:rPr>
          <w:rFonts w:ascii="Century" w:hAnsi="Century" w:cs="Miriam" w:hint="cs"/>
          <w:b/>
          <w:spacing w:val="0"/>
          <w:szCs w:val="24"/>
          <w:rtl/>
        </w:rPr>
        <w:t>ם את המחיר הכרוך בהתדיינויות מול פקיד השומה</w:t>
      </w:r>
      <w:r>
        <w:rPr>
          <w:rFonts w:hint="cs"/>
          <w:rtl/>
        </w:rPr>
        <w:t>" (שם, בפסקה 27).</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קביעה זו מבקש המשיב להחיל גם בענייננו. לגישתו, משהתקיימו בין המערער לבין ספירה ישראל יחסי עובד-מעביד </w:t>
      </w:r>
      <w:r>
        <w:rPr>
          <w:rtl/>
        </w:rPr>
        <w:t>–</w:t>
      </w:r>
      <w:r>
        <w:rPr>
          <w:rFonts w:hint="cs"/>
          <w:rtl/>
        </w:rPr>
        <w:t xml:space="preserve"> קמה חזקה "חזקה" כי התשלומים שהועברו אליו מכוח עסקת המכר הם הכנסת עבודה לפי סעיף 2(2) לפקודה. חזקה זו, טוען המשיב, לא הצליח המערער לסתור.</w:t>
      </w:r>
    </w:p>
    <w:p w:rsidR="00ED79F5" w:rsidRDefault="00ED79F5" w:rsidP="00ED79F5">
      <w:pPr>
        <w:pStyle w:val="Ruller41"/>
        <w:rPr>
          <w:rtl/>
        </w:rPr>
      </w:pPr>
    </w:p>
    <w:p w:rsidR="00ED79F5" w:rsidRDefault="00ED79F5" w:rsidP="007B4ED2">
      <w:pPr>
        <w:pStyle w:val="Ruller4"/>
      </w:pPr>
      <w:r>
        <w:rPr>
          <w:rFonts w:hint="cs"/>
          <w:rtl/>
        </w:rPr>
        <w:lastRenderedPageBreak/>
        <w:t xml:space="preserve">לטעמי, קיים קושי להחיל באופן ישיר את הקביעות נושא עניין </w:t>
      </w:r>
      <w:r w:rsidRPr="001824B9">
        <w:rPr>
          <w:rFonts w:ascii="Century" w:hAnsi="Century" w:cs="Miriam" w:hint="cs"/>
          <w:b/>
          <w:spacing w:val="0"/>
          <w:sz w:val="22"/>
          <w:szCs w:val="24"/>
          <w:rtl/>
        </w:rPr>
        <w:t>ברנע</w:t>
      </w:r>
      <w:r w:rsidRPr="00673134">
        <w:rPr>
          <w:rFonts w:hint="cs"/>
          <w:rtl/>
        </w:rPr>
        <w:t xml:space="preserve"> </w:t>
      </w:r>
      <w:r>
        <w:rPr>
          <w:rFonts w:hint="cs"/>
          <w:rtl/>
        </w:rPr>
        <w:t xml:space="preserve">על ענייננו. </w:t>
      </w:r>
      <w:r w:rsidRPr="001824B9">
        <w:rPr>
          <w:rFonts w:ascii="Century" w:hAnsi="Century" w:cs="Miriam" w:hint="cs"/>
          <w:b/>
          <w:spacing w:val="0"/>
          <w:sz w:val="22"/>
          <w:szCs w:val="24"/>
          <w:rtl/>
        </w:rPr>
        <w:t>ראשית</w:t>
      </w:r>
      <w:r>
        <w:rPr>
          <w:rFonts w:hint="cs"/>
          <w:rtl/>
        </w:rPr>
        <w:t xml:space="preserve">, יש להבין את החזקה שנקבעה בעניין </w:t>
      </w:r>
      <w:r w:rsidRPr="001824B9">
        <w:rPr>
          <w:rFonts w:ascii="Century" w:hAnsi="Century" w:cs="Miriam" w:hint="cs"/>
          <w:b/>
          <w:spacing w:val="0"/>
          <w:sz w:val="22"/>
          <w:szCs w:val="24"/>
          <w:rtl/>
        </w:rPr>
        <w:t>ברנע</w:t>
      </w:r>
      <w:r w:rsidRPr="00673134">
        <w:rPr>
          <w:rFonts w:hint="cs"/>
          <w:rtl/>
        </w:rPr>
        <w:t xml:space="preserve"> </w:t>
      </w:r>
      <w:r>
        <w:rPr>
          <w:rFonts w:hint="cs"/>
          <w:rtl/>
        </w:rPr>
        <w:t xml:space="preserve">על רקע הנסיבות בהן היא נקבעה. כך, בעניין </w:t>
      </w:r>
      <w:r w:rsidRPr="001824B9">
        <w:rPr>
          <w:rFonts w:ascii="Century" w:hAnsi="Century" w:cs="Miriam" w:hint="cs"/>
          <w:b/>
          <w:spacing w:val="0"/>
          <w:sz w:val="22"/>
          <w:szCs w:val="24"/>
          <w:rtl/>
        </w:rPr>
        <w:t>ברנע</w:t>
      </w:r>
      <w:r w:rsidRPr="00673134">
        <w:rPr>
          <w:rFonts w:hint="cs"/>
          <w:rtl/>
        </w:rPr>
        <w:t xml:space="preserve"> </w:t>
      </w:r>
      <w:r>
        <w:rPr>
          <w:rFonts w:hint="cs"/>
          <w:rtl/>
        </w:rPr>
        <w:t xml:space="preserve">דובר על נישומים אשר הקשר שלהם לחברות ששילמו להם את התקבולים התמצה בהיותם עובדים בהן </w:t>
      </w:r>
      <w:r>
        <w:rPr>
          <w:rtl/>
        </w:rPr>
        <w:t>–</w:t>
      </w:r>
      <w:r>
        <w:rPr>
          <w:rFonts w:hint="cs"/>
          <w:rtl/>
        </w:rPr>
        <w:t xml:space="preserve"> כאשר הם לא היו בעלי מניות בחברות הללו. כמו כן, דובר היה בתקבולים ששולמו למנהלים בגין </w:t>
      </w:r>
      <w:proofErr w:type="spellStart"/>
      <w:r>
        <w:rPr>
          <w:rFonts w:hint="cs"/>
          <w:rtl/>
        </w:rPr>
        <w:t>תניות</w:t>
      </w:r>
      <w:proofErr w:type="spellEnd"/>
      <w:r>
        <w:rPr>
          <w:rFonts w:hint="cs"/>
          <w:rtl/>
        </w:rPr>
        <w:t xml:space="preserve"> אי-תחרות אשר מעצם טיבן קשורות ביחסי העבודה בין העובד למעביד. משכך באותו עניין היה ברור כי התקבולים הועברו לידי הנישומים כתוצאה מיחסי העבודה בינם לבין החברות. במוקד הדיון שנערך בפסק הדין ניצבה אפוא השאלה האם יש לסווג את התקבולים שהתקבלו מכוח יחסי העבודה כהכנסות הוניות </w:t>
      </w:r>
      <w:r>
        <w:rPr>
          <w:rtl/>
        </w:rPr>
        <w:t>–</w:t>
      </w:r>
      <w:r>
        <w:rPr>
          <w:rFonts w:hint="cs"/>
          <w:rtl/>
        </w:rPr>
        <w:t xml:space="preserve"> כפי שדיווחו עליהם המנהלים במקור, או כהכנסות </w:t>
      </w:r>
      <w:proofErr w:type="spellStart"/>
      <w:r>
        <w:rPr>
          <w:rFonts w:hint="cs"/>
          <w:rtl/>
        </w:rPr>
        <w:t>פירותיות</w:t>
      </w:r>
      <w:proofErr w:type="spellEnd"/>
      <w:r>
        <w:rPr>
          <w:rFonts w:hint="cs"/>
          <w:rtl/>
        </w:rPr>
        <w:t xml:space="preserve"> </w:t>
      </w:r>
      <w:r>
        <w:rPr>
          <w:rtl/>
        </w:rPr>
        <w:t>–</w:t>
      </w:r>
      <w:r>
        <w:rPr>
          <w:rFonts w:hint="cs"/>
          <w:rtl/>
        </w:rPr>
        <w:t xml:space="preserve"> כעמדת פקיד השומה. קרי, בעניין </w:t>
      </w:r>
      <w:r w:rsidRPr="001824B9">
        <w:rPr>
          <w:rFonts w:ascii="Century" w:hAnsi="Century" w:cs="Miriam" w:hint="cs"/>
          <w:b/>
          <w:spacing w:val="0"/>
          <w:sz w:val="22"/>
          <w:szCs w:val="24"/>
          <w:rtl/>
        </w:rPr>
        <w:t>ברנע</w:t>
      </w:r>
      <w:r w:rsidRPr="008961F2">
        <w:rPr>
          <w:rFonts w:hint="cs"/>
          <w:rtl/>
        </w:rPr>
        <w:t xml:space="preserve"> </w:t>
      </w:r>
      <w:r>
        <w:rPr>
          <w:rFonts w:hint="cs"/>
          <w:rtl/>
        </w:rPr>
        <w:t xml:space="preserve">נקודת המוצא הייתה כי המנהלים קיבלו את התקבולים ב"כובעם" כעובדים ומכוח יחסי העבודה; ובהתחשב בנקודת מוצא זו התעורר הצורך להכריע בין סיווגם של התקבולים כ"רווח הון" או כ"הכנסת עבודה". </w:t>
      </w:r>
    </w:p>
    <w:p w:rsidR="00ED79F5" w:rsidRDefault="00ED79F5" w:rsidP="00ED79F5">
      <w:pPr>
        <w:pStyle w:val="Ruller4"/>
        <w:numPr>
          <w:ilvl w:val="0"/>
          <w:numId w:val="0"/>
        </w:numPr>
        <w:rPr>
          <w:rtl/>
        </w:rPr>
      </w:pPr>
    </w:p>
    <w:p w:rsidR="00ED79F5" w:rsidRDefault="00ED79F5" w:rsidP="00ED79F5">
      <w:pPr>
        <w:pStyle w:val="Ruller4"/>
        <w:numPr>
          <w:ilvl w:val="0"/>
          <w:numId w:val="0"/>
        </w:numPr>
        <w:rPr>
          <w:rtl/>
        </w:rPr>
      </w:pPr>
      <w:r>
        <w:rPr>
          <w:rtl/>
        </w:rPr>
        <w:tab/>
      </w:r>
      <w:r>
        <w:rPr>
          <w:rFonts w:hint="cs"/>
          <w:rtl/>
        </w:rPr>
        <w:t xml:space="preserve">מכך ניתן להסיק שתי מסקנות השלובות זו בזו: </w:t>
      </w:r>
      <w:r>
        <w:rPr>
          <w:rFonts w:ascii="Century" w:hAnsi="Century" w:cs="Miriam" w:hint="cs"/>
          <w:b/>
          <w:spacing w:val="0"/>
          <w:sz w:val="22"/>
          <w:szCs w:val="24"/>
          <w:rtl/>
        </w:rPr>
        <w:t>הראשונה</w:t>
      </w:r>
      <w:r w:rsidRPr="001824B9">
        <w:rPr>
          <w:rFonts w:hint="cs"/>
          <w:rtl/>
        </w:rPr>
        <w:t xml:space="preserve"> </w:t>
      </w:r>
      <w:r>
        <w:rPr>
          <w:rtl/>
        </w:rPr>
        <w:t>–</w:t>
      </w:r>
      <w:r>
        <w:rPr>
          <w:rFonts w:hint="cs"/>
          <w:rtl/>
        </w:rPr>
        <w:t xml:space="preserve"> כי החזקה שנקבעה בעניין </w:t>
      </w:r>
      <w:r w:rsidRPr="001824B9">
        <w:rPr>
          <w:rFonts w:ascii="Century" w:hAnsi="Century" w:cs="Miriam" w:hint="cs"/>
          <w:b/>
          <w:spacing w:val="0"/>
          <w:sz w:val="22"/>
          <w:szCs w:val="24"/>
          <w:rtl/>
        </w:rPr>
        <w:t>ברנע</w:t>
      </w:r>
      <w:r w:rsidRPr="001824B9">
        <w:rPr>
          <w:rFonts w:hint="cs"/>
          <w:rtl/>
        </w:rPr>
        <w:t xml:space="preserve"> </w:t>
      </w:r>
      <w:r>
        <w:rPr>
          <w:rFonts w:hint="cs"/>
          <w:rtl/>
        </w:rPr>
        <w:t xml:space="preserve">נועדה לחול ביחס לתשלומים שהועברו ממעביד לעובד </w:t>
      </w:r>
      <w:r>
        <w:rPr>
          <w:rFonts w:ascii="Century" w:hAnsi="Century" w:cs="Miriam" w:hint="cs"/>
          <w:b/>
          <w:spacing w:val="0"/>
          <w:sz w:val="22"/>
          <w:szCs w:val="24"/>
          <w:rtl/>
        </w:rPr>
        <w:t>בשל קיומם של</w:t>
      </w:r>
      <w:r w:rsidRPr="001824B9">
        <w:rPr>
          <w:rFonts w:ascii="Century" w:hAnsi="Century" w:cs="Miriam" w:hint="cs"/>
          <w:b/>
          <w:spacing w:val="0"/>
          <w:sz w:val="22"/>
          <w:szCs w:val="24"/>
          <w:rtl/>
        </w:rPr>
        <w:t xml:space="preserve"> יחסי העבודה ביניהם</w:t>
      </w:r>
      <w:r>
        <w:rPr>
          <w:rFonts w:hint="cs"/>
          <w:rtl/>
        </w:rPr>
        <w:t xml:space="preserve">. אמירות המלמדות על כך שזורות לאורך פסק דינו של השופט </w:t>
      </w:r>
      <w:r w:rsidRPr="001824B9">
        <w:rPr>
          <w:rFonts w:ascii="Century" w:hAnsi="Century" w:cs="Miriam" w:hint="cs"/>
          <w:b/>
          <w:spacing w:val="0"/>
          <w:sz w:val="22"/>
          <w:szCs w:val="24"/>
          <w:rtl/>
        </w:rPr>
        <w:t>עמית</w:t>
      </w:r>
      <w:r>
        <w:rPr>
          <w:rFonts w:hint="cs"/>
          <w:rtl/>
        </w:rPr>
        <w:t xml:space="preserve"> (ראו למשל בפסקאות 18, 23, 25, 26, 43, 47 לפסק דינו). כך למשל, בפסקה 43 לפסק דינו ציין השופט </w:t>
      </w:r>
      <w:r w:rsidRPr="00E4704D">
        <w:rPr>
          <w:rFonts w:ascii="Century" w:hAnsi="Century" w:cs="Miriam" w:hint="cs"/>
          <w:b/>
          <w:spacing w:val="0"/>
          <w:sz w:val="22"/>
          <w:szCs w:val="24"/>
          <w:rtl/>
        </w:rPr>
        <w:t>עמית</w:t>
      </w:r>
      <w:r w:rsidRPr="00E4704D">
        <w:rPr>
          <w:rFonts w:hint="cs"/>
          <w:rtl/>
        </w:rPr>
        <w:t xml:space="preserve"> </w:t>
      </w:r>
      <w:r>
        <w:rPr>
          <w:rFonts w:hint="cs"/>
          <w:rtl/>
        </w:rPr>
        <w:t>כי "</w:t>
      </w:r>
      <w:r w:rsidRPr="00160BA8">
        <w:rPr>
          <w:rFonts w:ascii="Century" w:hAnsi="Century" w:cs="Miriam" w:hint="cs"/>
          <w:b/>
          <w:spacing w:val="0"/>
          <w:sz w:val="22"/>
          <w:szCs w:val="24"/>
          <w:rtl/>
        </w:rPr>
        <w:t xml:space="preserve">לשונו של סעיף 2(2) רחבה היא... והפרשנות המקובלת היא כי יש להחילו על </w:t>
      </w:r>
      <w:r w:rsidRPr="00160BA8">
        <w:rPr>
          <w:rFonts w:ascii="Century" w:hAnsi="Century" w:cs="Miriam" w:hint="cs"/>
          <w:b/>
          <w:spacing w:val="0"/>
          <w:sz w:val="22"/>
          <w:szCs w:val="24"/>
          <w:u w:val="single"/>
          <w:rtl/>
        </w:rPr>
        <w:t>כל תשלום הניתן כתוצאה מיחסי העבודה בין הצדדים ומשום קיומם של יחסים אלה</w:t>
      </w:r>
      <w:r>
        <w:rPr>
          <w:rFonts w:hint="cs"/>
          <w:rtl/>
        </w:rPr>
        <w:t>"; וכי "</w:t>
      </w:r>
      <w:r w:rsidRPr="00E4704D">
        <w:rPr>
          <w:rFonts w:ascii="Century" w:hAnsi="Century" w:cs="Miriam" w:hint="cs"/>
          <w:b/>
          <w:spacing w:val="0"/>
          <w:sz w:val="22"/>
          <w:szCs w:val="24"/>
          <w:rtl/>
        </w:rPr>
        <w:t xml:space="preserve">קשה לחלוק על כך שתשלומי אי התחרות במקרים שלפנינו </w:t>
      </w:r>
      <w:r w:rsidRPr="00E4704D">
        <w:rPr>
          <w:rFonts w:ascii="Century" w:hAnsi="Century" w:cs="Miriam" w:hint="cs"/>
          <w:b/>
          <w:spacing w:val="0"/>
          <w:sz w:val="22"/>
          <w:szCs w:val="24"/>
          <w:u w:val="single"/>
          <w:rtl/>
        </w:rPr>
        <w:t>ניתנו כתוצאה מיחסי העבודה בין הצדדים ומשום קיומם של יחסים אלה</w:t>
      </w:r>
      <w:r w:rsidRPr="00E4704D">
        <w:rPr>
          <w:rFonts w:ascii="Century" w:hAnsi="Century" w:cs="Miriam" w:hint="cs"/>
          <w:b/>
          <w:spacing w:val="0"/>
          <w:sz w:val="22"/>
          <w:szCs w:val="24"/>
          <w:rtl/>
        </w:rPr>
        <w:t xml:space="preserve">, וממילא החזקה הרואה בתשלומים אלה משום 'הכנסת עבודה' </w:t>
      </w:r>
      <w:proofErr w:type="spellStart"/>
      <w:r w:rsidRPr="00E4704D">
        <w:rPr>
          <w:rFonts w:ascii="Century" w:hAnsi="Century" w:cs="Miriam" w:hint="cs"/>
          <w:b/>
          <w:spacing w:val="0"/>
          <w:sz w:val="22"/>
          <w:szCs w:val="24"/>
          <w:rtl/>
        </w:rPr>
        <w:t>פירותית</w:t>
      </w:r>
      <w:proofErr w:type="spellEnd"/>
      <w:r w:rsidRPr="00E4704D">
        <w:rPr>
          <w:rFonts w:ascii="Century" w:hAnsi="Century" w:cs="Miriam" w:hint="cs"/>
          <w:b/>
          <w:spacing w:val="0"/>
          <w:sz w:val="22"/>
          <w:szCs w:val="24"/>
          <w:rtl/>
        </w:rPr>
        <w:t xml:space="preserve"> בעינה עומדת</w:t>
      </w:r>
      <w:r>
        <w:rPr>
          <w:rFonts w:hint="cs"/>
          <w:rtl/>
        </w:rPr>
        <w:t xml:space="preserve">" (ההדגשות הוספו). </w:t>
      </w:r>
    </w:p>
    <w:p w:rsidR="00ED79F5" w:rsidRDefault="00ED79F5" w:rsidP="00ED79F5">
      <w:pPr>
        <w:pStyle w:val="Ruller4"/>
        <w:numPr>
          <w:ilvl w:val="0"/>
          <w:numId w:val="0"/>
        </w:numPr>
        <w:rPr>
          <w:rtl/>
        </w:rPr>
      </w:pPr>
    </w:p>
    <w:p w:rsidR="00ED79F5" w:rsidRDefault="00ED79F5" w:rsidP="00ED79F5">
      <w:pPr>
        <w:pStyle w:val="Ruller4"/>
        <w:numPr>
          <w:ilvl w:val="0"/>
          <w:numId w:val="0"/>
        </w:numPr>
      </w:pPr>
      <w:r>
        <w:rPr>
          <w:rtl/>
        </w:rPr>
        <w:tab/>
      </w:r>
      <w:r w:rsidRPr="001824B9">
        <w:rPr>
          <w:rFonts w:ascii="Century" w:hAnsi="Century" w:cs="Miriam" w:hint="cs"/>
          <w:b/>
          <w:spacing w:val="0"/>
          <w:sz w:val="22"/>
          <w:szCs w:val="24"/>
          <w:rtl/>
        </w:rPr>
        <w:t>השנייה</w:t>
      </w:r>
      <w:r w:rsidRPr="001824B9">
        <w:rPr>
          <w:rFonts w:hint="cs"/>
          <w:rtl/>
        </w:rPr>
        <w:t xml:space="preserve"> </w:t>
      </w:r>
      <w:r>
        <w:rPr>
          <w:rtl/>
        </w:rPr>
        <w:t>–</w:t>
      </w:r>
      <w:r>
        <w:rPr>
          <w:rFonts w:hint="cs"/>
          <w:rtl/>
        </w:rPr>
        <w:t xml:space="preserve"> כי מטרתה העיקרית של החזקה הייתה לקבוע ברירת מחדל לפיה תקבולים שהועברו לעובד כתוצאה מיחסי עבודה </w:t>
      </w:r>
      <w:proofErr w:type="spellStart"/>
      <w:r>
        <w:rPr>
          <w:rFonts w:hint="cs"/>
          <w:rtl/>
        </w:rPr>
        <w:t>ימוסו</w:t>
      </w:r>
      <w:proofErr w:type="spellEnd"/>
      <w:r>
        <w:rPr>
          <w:rFonts w:hint="cs"/>
          <w:rtl/>
        </w:rPr>
        <w:t xml:space="preserve"> כהכנסה </w:t>
      </w:r>
      <w:proofErr w:type="spellStart"/>
      <w:r>
        <w:rPr>
          <w:rFonts w:hint="cs"/>
          <w:rtl/>
        </w:rPr>
        <w:t>פירותית</w:t>
      </w:r>
      <w:proofErr w:type="spellEnd"/>
      <w:r>
        <w:rPr>
          <w:rFonts w:hint="cs"/>
          <w:rtl/>
        </w:rPr>
        <w:t xml:space="preserve"> מעבודה ולא כהכנסה הונית, אלא אם כן הוכיח העובד כי מדובר בהכנסה הונית. כלומר, בעניין </w:t>
      </w:r>
      <w:r w:rsidRPr="00886DAD">
        <w:rPr>
          <w:rFonts w:ascii="Century" w:hAnsi="Century" w:cs="Miriam" w:hint="cs"/>
          <w:b/>
          <w:spacing w:val="0"/>
          <w:sz w:val="22"/>
          <w:szCs w:val="24"/>
          <w:rtl/>
        </w:rPr>
        <w:t>ברנע</w:t>
      </w:r>
      <w:r w:rsidRPr="00886DAD">
        <w:rPr>
          <w:rFonts w:hint="cs"/>
          <w:rtl/>
        </w:rPr>
        <w:t xml:space="preserve"> </w:t>
      </w:r>
      <w:r>
        <w:rPr>
          <w:rFonts w:hint="cs"/>
          <w:rtl/>
        </w:rPr>
        <w:t xml:space="preserve">הדגש העיקרי הושם על ההבחנה בין הכנסה </w:t>
      </w:r>
      <w:proofErr w:type="spellStart"/>
      <w:r>
        <w:rPr>
          <w:rFonts w:hint="cs"/>
          <w:rtl/>
        </w:rPr>
        <w:t>פירותית</w:t>
      </w:r>
      <w:proofErr w:type="spellEnd"/>
      <w:r>
        <w:rPr>
          <w:rFonts w:hint="cs"/>
          <w:rtl/>
        </w:rPr>
        <w:t xml:space="preserve"> להכנסה הונית בכל הנוגע לתקבולים המשולמים ממעביד לעובד (ראו את הדיון שערך השופט </w:t>
      </w:r>
      <w:r w:rsidRPr="001824B9">
        <w:rPr>
          <w:rFonts w:ascii="Century" w:hAnsi="Century" w:cs="Miriam" w:hint="cs"/>
          <w:b/>
          <w:spacing w:val="0"/>
          <w:sz w:val="22"/>
          <w:szCs w:val="24"/>
          <w:rtl/>
        </w:rPr>
        <w:t>עמית</w:t>
      </w:r>
      <w:r w:rsidRPr="001824B9">
        <w:rPr>
          <w:rFonts w:hint="cs"/>
          <w:rtl/>
        </w:rPr>
        <w:t xml:space="preserve"> </w:t>
      </w:r>
      <w:r>
        <w:rPr>
          <w:rFonts w:hint="cs"/>
          <w:rtl/>
        </w:rPr>
        <w:t xml:space="preserve">בפסקאות 28-18 לפסק דינו. כן ראו פסקאות 43, 47-45, 55, 66 לפסק דינו).  </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המקרה דנן לעומת זאת נבדל מעניין </w:t>
      </w:r>
      <w:r w:rsidRPr="001824B9">
        <w:rPr>
          <w:rFonts w:ascii="Century" w:hAnsi="Century" w:cs="Miriam" w:hint="cs"/>
          <w:b/>
          <w:spacing w:val="0"/>
          <w:szCs w:val="24"/>
          <w:rtl/>
        </w:rPr>
        <w:t>ברנע</w:t>
      </w:r>
      <w:r w:rsidRPr="001824B9">
        <w:rPr>
          <w:rFonts w:hint="cs"/>
          <w:rtl/>
        </w:rPr>
        <w:t xml:space="preserve"> </w:t>
      </w:r>
      <w:r>
        <w:rPr>
          <w:rFonts w:hint="cs"/>
          <w:rtl/>
        </w:rPr>
        <w:t xml:space="preserve">בשני היבטים מהותיים: </w:t>
      </w:r>
      <w:r w:rsidRPr="001824B9">
        <w:rPr>
          <w:rFonts w:ascii="Century" w:hAnsi="Century" w:cs="Miriam" w:hint="cs"/>
          <w:b/>
          <w:spacing w:val="0"/>
          <w:szCs w:val="24"/>
          <w:rtl/>
        </w:rPr>
        <w:t>ראשית</w:t>
      </w:r>
      <w:r>
        <w:rPr>
          <w:rFonts w:hint="cs"/>
          <w:rtl/>
        </w:rPr>
        <w:t xml:space="preserve">, בענייננו ברור כי התקבולים התקבלו במקור אצל המערער שלא כתוצאה מיחסי העבודה בינו לבין החברה (ואף לא בכובעו כבעל מניות בה) </w:t>
      </w:r>
      <w:r>
        <w:rPr>
          <w:rtl/>
        </w:rPr>
        <w:t>–</w:t>
      </w:r>
      <w:r>
        <w:rPr>
          <w:rFonts w:hint="cs"/>
          <w:rtl/>
        </w:rPr>
        <w:t xml:space="preserve"> אלא במסגרת עסקת המכר, בכובעו כבעל הסימן המסחרי. ואולם בשל הקביעה כי מדובר בעסקה מלאכותית, התעורר הצורך </w:t>
      </w:r>
      <w:r>
        <w:rPr>
          <w:rFonts w:hint="cs"/>
          <w:rtl/>
        </w:rPr>
        <w:lastRenderedPageBreak/>
        <w:t xml:space="preserve">לסווגם מחדש. </w:t>
      </w:r>
      <w:r w:rsidRPr="001824B9">
        <w:rPr>
          <w:rFonts w:ascii="Century" w:hAnsi="Century" w:cs="Miriam" w:hint="cs"/>
          <w:b/>
          <w:spacing w:val="0"/>
          <w:szCs w:val="24"/>
          <w:rtl/>
        </w:rPr>
        <w:t>שנית</w:t>
      </w:r>
      <w:r>
        <w:rPr>
          <w:rFonts w:hint="cs"/>
          <w:rtl/>
        </w:rPr>
        <w:t xml:space="preserve">, בענייננו אין עוד מחלוקת כי יש לסווג את התקבולים כהכנסה </w:t>
      </w:r>
      <w:proofErr w:type="spellStart"/>
      <w:r>
        <w:rPr>
          <w:rFonts w:hint="cs"/>
          <w:rtl/>
        </w:rPr>
        <w:t>פירותית</w:t>
      </w:r>
      <w:proofErr w:type="spellEnd"/>
      <w:r>
        <w:rPr>
          <w:rFonts w:hint="cs"/>
          <w:rtl/>
        </w:rPr>
        <w:t xml:space="preserve"> (ולא כהכנסה הונית), והשאלה שבמוקד היא האם יש לסווגם כ"הכנסת עבודה" </w:t>
      </w:r>
      <w:r>
        <w:rPr>
          <w:rtl/>
        </w:rPr>
        <w:t>–</w:t>
      </w:r>
      <w:r>
        <w:rPr>
          <w:rFonts w:hint="cs"/>
          <w:rtl/>
        </w:rPr>
        <w:t xml:space="preserve"> לנוכח היותו של המערער עובד החברה; או שמא יש לסווגם כ"הכנסה מדיבידנד" </w:t>
      </w:r>
      <w:r>
        <w:rPr>
          <w:rtl/>
        </w:rPr>
        <w:t>–</w:t>
      </w:r>
      <w:r>
        <w:rPr>
          <w:rFonts w:hint="cs"/>
          <w:rtl/>
        </w:rPr>
        <w:t xml:space="preserve"> בשל היותו של המערער בעל מניות בה. שאלה זו כלל לא התעוררה בעניין </w:t>
      </w:r>
      <w:r w:rsidRPr="001824B9">
        <w:rPr>
          <w:rFonts w:ascii="Century" w:hAnsi="Century" w:cs="Miriam" w:hint="cs"/>
          <w:b/>
          <w:spacing w:val="0"/>
          <w:szCs w:val="24"/>
          <w:rtl/>
        </w:rPr>
        <w:t>ברנע</w:t>
      </w:r>
      <w:r>
        <w:rPr>
          <w:rFonts w:hint="cs"/>
          <w:rtl/>
        </w:rPr>
        <w:t>, משלא היה ספק כי המנהלים קיבלו את התקבולים בכובעם היחיד כעובדי החברות.</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לא למותר לציין גם כי בעניין </w:t>
      </w:r>
      <w:r w:rsidRPr="001824B9">
        <w:rPr>
          <w:rFonts w:ascii="Century" w:hAnsi="Century" w:cs="Miriam" w:hint="cs"/>
          <w:b/>
          <w:spacing w:val="0"/>
          <w:szCs w:val="24"/>
          <w:rtl/>
        </w:rPr>
        <w:t>ברנע</w:t>
      </w:r>
      <w:r w:rsidRPr="001824B9">
        <w:rPr>
          <w:rFonts w:hint="cs"/>
          <w:rtl/>
        </w:rPr>
        <w:t xml:space="preserve"> </w:t>
      </w:r>
      <w:r>
        <w:rPr>
          <w:rFonts w:hint="cs"/>
          <w:rtl/>
        </w:rPr>
        <w:t xml:space="preserve">לא התעוררה השאלה של "סיווג מחדש" של העסקה מכוח סעיף 86 לפקודת מס הכנסה </w:t>
      </w:r>
      <w:r>
        <w:rPr>
          <w:rtl/>
        </w:rPr>
        <w:t>–</w:t>
      </w:r>
      <w:r>
        <w:rPr>
          <w:rFonts w:hint="cs"/>
          <w:rtl/>
        </w:rPr>
        <w:t xml:space="preserve"> במסגרתו כאמור נדרש פקיד השומה להגדיר מחדש את מהות העסקה שלא בהתאם לעובדות שהציג הנישום; אלא השאלה של "סיווג שונה" של התקבולים, אשר "</w:t>
      </w:r>
      <w:r w:rsidRPr="001824B9">
        <w:rPr>
          <w:rFonts w:ascii="Century" w:hAnsi="Century" w:cs="Miriam" w:hint="eastAsia"/>
          <w:b/>
          <w:spacing w:val="0"/>
          <w:szCs w:val="24"/>
          <w:rtl/>
        </w:rPr>
        <w:t>נועד</w:t>
      </w:r>
      <w:r w:rsidRPr="001824B9">
        <w:rPr>
          <w:rFonts w:ascii="Century" w:hAnsi="Century" w:cs="Miriam"/>
          <w:b/>
          <w:spacing w:val="0"/>
          <w:szCs w:val="24"/>
          <w:rtl/>
        </w:rPr>
        <w:t xml:space="preserve"> </w:t>
      </w:r>
      <w:r w:rsidRPr="001824B9">
        <w:rPr>
          <w:rFonts w:ascii="Century" w:hAnsi="Century" w:cs="Miriam" w:hint="eastAsia"/>
          <w:b/>
          <w:spacing w:val="0"/>
          <w:szCs w:val="24"/>
          <w:rtl/>
        </w:rPr>
        <w:t>לאותם</w:t>
      </w:r>
      <w:r w:rsidRPr="001824B9">
        <w:rPr>
          <w:rFonts w:ascii="Century" w:hAnsi="Century" w:cs="Miriam"/>
          <w:b/>
          <w:spacing w:val="0"/>
          <w:szCs w:val="24"/>
          <w:rtl/>
        </w:rPr>
        <w:t xml:space="preserve"> </w:t>
      </w:r>
      <w:r w:rsidRPr="001824B9">
        <w:rPr>
          <w:rFonts w:ascii="Century" w:hAnsi="Century" w:cs="Miriam" w:hint="eastAsia"/>
          <w:b/>
          <w:spacing w:val="0"/>
          <w:szCs w:val="24"/>
          <w:rtl/>
        </w:rPr>
        <w:t>מקרים</w:t>
      </w:r>
      <w:r w:rsidRPr="001824B9">
        <w:rPr>
          <w:rFonts w:ascii="Century" w:hAnsi="Century" w:cs="Miriam"/>
          <w:b/>
          <w:spacing w:val="0"/>
          <w:szCs w:val="24"/>
          <w:rtl/>
        </w:rPr>
        <w:t xml:space="preserve"> </w:t>
      </w:r>
      <w:r w:rsidRPr="001824B9">
        <w:rPr>
          <w:rFonts w:ascii="Century" w:hAnsi="Century" w:cs="Miriam" w:hint="eastAsia"/>
          <w:b/>
          <w:spacing w:val="0"/>
          <w:szCs w:val="24"/>
          <w:rtl/>
        </w:rPr>
        <w:t>בהם</w:t>
      </w:r>
      <w:r w:rsidRPr="001824B9">
        <w:rPr>
          <w:rFonts w:ascii="Century" w:hAnsi="Century" w:cs="Miriam"/>
          <w:b/>
          <w:spacing w:val="0"/>
          <w:szCs w:val="24"/>
          <w:rtl/>
        </w:rPr>
        <w:t xml:space="preserve"> </w:t>
      </w:r>
      <w:r w:rsidRPr="001824B9">
        <w:rPr>
          <w:rFonts w:ascii="Century" w:hAnsi="Century" w:cs="Miriam" w:hint="eastAsia"/>
          <w:b/>
          <w:spacing w:val="0"/>
          <w:szCs w:val="24"/>
          <w:rtl/>
        </w:rPr>
        <w:t>מקבל</w:t>
      </w:r>
      <w:r w:rsidRPr="001824B9">
        <w:rPr>
          <w:rFonts w:ascii="Century" w:hAnsi="Century" w:cs="Miriam"/>
          <w:b/>
          <w:spacing w:val="0"/>
          <w:szCs w:val="24"/>
          <w:rtl/>
        </w:rPr>
        <w:t xml:space="preserve"> </w:t>
      </w:r>
      <w:r w:rsidRPr="001824B9">
        <w:rPr>
          <w:rFonts w:ascii="Century" w:hAnsi="Century" w:cs="Miriam" w:hint="eastAsia"/>
          <w:b/>
          <w:spacing w:val="0"/>
          <w:szCs w:val="24"/>
          <w:rtl/>
        </w:rPr>
        <w:t>פקיד</w:t>
      </w:r>
      <w:r w:rsidRPr="001824B9">
        <w:rPr>
          <w:rFonts w:ascii="Century" w:hAnsi="Century" w:cs="Miriam"/>
          <w:b/>
          <w:spacing w:val="0"/>
          <w:szCs w:val="24"/>
          <w:rtl/>
        </w:rPr>
        <w:t xml:space="preserve"> </w:t>
      </w:r>
      <w:r w:rsidRPr="001824B9">
        <w:rPr>
          <w:rFonts w:ascii="Century" w:hAnsi="Century" w:cs="Miriam" w:hint="eastAsia"/>
          <w:b/>
          <w:spacing w:val="0"/>
          <w:szCs w:val="24"/>
          <w:rtl/>
        </w:rPr>
        <w:t>השומה</w:t>
      </w:r>
      <w:r w:rsidRPr="001824B9">
        <w:rPr>
          <w:rFonts w:ascii="Century" w:hAnsi="Century" w:cs="Miriam"/>
          <w:b/>
          <w:spacing w:val="0"/>
          <w:szCs w:val="24"/>
          <w:rtl/>
        </w:rPr>
        <w:t xml:space="preserve"> </w:t>
      </w:r>
      <w:r w:rsidRPr="001824B9">
        <w:rPr>
          <w:rFonts w:ascii="Century" w:hAnsi="Century" w:cs="Miriam" w:hint="eastAsia"/>
          <w:b/>
          <w:spacing w:val="0"/>
          <w:szCs w:val="24"/>
          <w:rtl/>
        </w:rPr>
        <w:t>את</w:t>
      </w:r>
      <w:r w:rsidRPr="001824B9">
        <w:rPr>
          <w:rFonts w:ascii="Century" w:hAnsi="Century" w:cs="Miriam"/>
          <w:b/>
          <w:spacing w:val="0"/>
          <w:szCs w:val="24"/>
          <w:rtl/>
        </w:rPr>
        <w:t xml:space="preserve"> </w:t>
      </w:r>
      <w:r w:rsidRPr="001824B9">
        <w:rPr>
          <w:rFonts w:ascii="Century" w:hAnsi="Century" w:cs="Miriam" w:hint="eastAsia"/>
          <w:b/>
          <w:spacing w:val="0"/>
          <w:szCs w:val="24"/>
          <w:rtl/>
        </w:rPr>
        <w:t>העובדות</w:t>
      </w:r>
      <w:r w:rsidRPr="001824B9">
        <w:rPr>
          <w:rFonts w:ascii="Century" w:hAnsi="Century" w:cs="Miriam"/>
          <w:b/>
          <w:spacing w:val="0"/>
          <w:szCs w:val="24"/>
          <w:rtl/>
        </w:rPr>
        <w:t xml:space="preserve"> </w:t>
      </w:r>
      <w:r w:rsidRPr="001824B9">
        <w:rPr>
          <w:rFonts w:ascii="Century" w:hAnsi="Century" w:cs="Miriam" w:hint="eastAsia"/>
          <w:b/>
          <w:spacing w:val="0"/>
          <w:szCs w:val="24"/>
          <w:rtl/>
        </w:rPr>
        <w:t>כפי</w:t>
      </w:r>
      <w:r w:rsidRPr="001824B9">
        <w:rPr>
          <w:rFonts w:ascii="Century" w:hAnsi="Century" w:cs="Miriam"/>
          <w:b/>
          <w:spacing w:val="0"/>
          <w:szCs w:val="24"/>
          <w:rtl/>
        </w:rPr>
        <w:t xml:space="preserve"> </w:t>
      </w:r>
      <w:r w:rsidRPr="001824B9">
        <w:rPr>
          <w:rFonts w:ascii="Century" w:hAnsi="Century" w:cs="Miriam" w:hint="eastAsia"/>
          <w:b/>
          <w:spacing w:val="0"/>
          <w:szCs w:val="24"/>
          <w:rtl/>
        </w:rPr>
        <w:t>שהוצגו</w:t>
      </w:r>
      <w:r w:rsidRPr="001824B9">
        <w:rPr>
          <w:rFonts w:ascii="Century" w:hAnsi="Century" w:cs="Miriam"/>
          <w:b/>
          <w:spacing w:val="0"/>
          <w:szCs w:val="24"/>
          <w:rtl/>
        </w:rPr>
        <w:t xml:space="preserve"> </w:t>
      </w:r>
      <w:r w:rsidRPr="001824B9">
        <w:rPr>
          <w:rFonts w:ascii="Century" w:hAnsi="Century" w:cs="Miriam" w:hint="eastAsia"/>
          <w:b/>
          <w:spacing w:val="0"/>
          <w:szCs w:val="24"/>
          <w:rtl/>
        </w:rPr>
        <w:t>על</w:t>
      </w:r>
      <w:r w:rsidRPr="001824B9">
        <w:rPr>
          <w:rFonts w:ascii="Century" w:hAnsi="Century" w:cs="Miriam"/>
          <w:b/>
          <w:spacing w:val="0"/>
          <w:szCs w:val="24"/>
          <w:rtl/>
        </w:rPr>
        <w:t>-</w:t>
      </w:r>
      <w:r w:rsidRPr="001824B9">
        <w:rPr>
          <w:rFonts w:ascii="Century" w:hAnsi="Century" w:cs="Miriam" w:hint="eastAsia"/>
          <w:b/>
          <w:spacing w:val="0"/>
          <w:szCs w:val="24"/>
          <w:rtl/>
        </w:rPr>
        <w:t>ידי</w:t>
      </w:r>
      <w:r w:rsidRPr="001824B9">
        <w:rPr>
          <w:rFonts w:ascii="Century" w:hAnsi="Century" w:cs="Miriam"/>
          <w:b/>
          <w:spacing w:val="0"/>
          <w:szCs w:val="24"/>
          <w:rtl/>
        </w:rPr>
        <w:t xml:space="preserve"> </w:t>
      </w:r>
      <w:r w:rsidRPr="001824B9">
        <w:rPr>
          <w:rFonts w:ascii="Century" w:hAnsi="Century" w:cs="Miriam" w:hint="eastAsia"/>
          <w:b/>
          <w:spacing w:val="0"/>
          <w:szCs w:val="24"/>
          <w:rtl/>
        </w:rPr>
        <w:t>הצדדים</w:t>
      </w:r>
      <w:r w:rsidRPr="001824B9">
        <w:rPr>
          <w:rFonts w:ascii="Century" w:hAnsi="Century" w:cs="Miriam"/>
          <w:b/>
          <w:spacing w:val="0"/>
          <w:szCs w:val="24"/>
          <w:rtl/>
        </w:rPr>
        <w:t xml:space="preserve"> </w:t>
      </w:r>
      <w:r w:rsidRPr="001824B9">
        <w:rPr>
          <w:rFonts w:ascii="Century" w:hAnsi="Century" w:cs="Miriam" w:hint="eastAsia"/>
          <w:b/>
          <w:spacing w:val="0"/>
          <w:szCs w:val="24"/>
          <w:rtl/>
        </w:rPr>
        <w:t>אך</w:t>
      </w:r>
      <w:r w:rsidRPr="001824B9">
        <w:rPr>
          <w:rFonts w:ascii="Century" w:hAnsi="Century" w:cs="Miriam"/>
          <w:b/>
          <w:spacing w:val="0"/>
          <w:szCs w:val="24"/>
          <w:rtl/>
        </w:rPr>
        <w:t xml:space="preserve"> </w:t>
      </w:r>
      <w:r w:rsidRPr="001824B9">
        <w:rPr>
          <w:rFonts w:ascii="Century" w:hAnsi="Century" w:cs="Miriam" w:hint="eastAsia"/>
          <w:b/>
          <w:spacing w:val="0"/>
          <w:szCs w:val="24"/>
          <w:rtl/>
        </w:rPr>
        <w:t>סבור</w:t>
      </w:r>
      <w:r w:rsidRPr="001824B9">
        <w:rPr>
          <w:rFonts w:ascii="Century" w:hAnsi="Century" w:cs="Miriam"/>
          <w:b/>
          <w:spacing w:val="0"/>
          <w:szCs w:val="24"/>
          <w:rtl/>
        </w:rPr>
        <w:t xml:space="preserve"> </w:t>
      </w:r>
      <w:r w:rsidRPr="001824B9">
        <w:rPr>
          <w:rFonts w:ascii="Century" w:hAnsi="Century" w:cs="Miriam" w:hint="eastAsia"/>
          <w:b/>
          <w:spacing w:val="0"/>
          <w:szCs w:val="24"/>
          <w:rtl/>
        </w:rPr>
        <w:t>שיש</w:t>
      </w:r>
      <w:r w:rsidRPr="001824B9">
        <w:rPr>
          <w:rFonts w:ascii="Century" w:hAnsi="Century" w:cs="Miriam"/>
          <w:b/>
          <w:spacing w:val="0"/>
          <w:szCs w:val="24"/>
          <w:rtl/>
        </w:rPr>
        <w:t xml:space="preserve"> </w:t>
      </w:r>
      <w:r w:rsidRPr="001824B9">
        <w:rPr>
          <w:rFonts w:ascii="Century" w:hAnsi="Century" w:cs="Miriam" w:hint="eastAsia"/>
          <w:b/>
          <w:spacing w:val="0"/>
          <w:szCs w:val="24"/>
          <w:rtl/>
        </w:rPr>
        <w:t>להאיר</w:t>
      </w:r>
      <w:r w:rsidRPr="001824B9">
        <w:rPr>
          <w:rFonts w:ascii="Century" w:hAnsi="Century" w:cs="Miriam"/>
          <w:b/>
          <w:spacing w:val="0"/>
          <w:szCs w:val="24"/>
          <w:rtl/>
        </w:rPr>
        <w:t xml:space="preserve"> </w:t>
      </w:r>
      <w:r w:rsidRPr="001824B9">
        <w:rPr>
          <w:rFonts w:ascii="Century" w:hAnsi="Century" w:cs="Miriam" w:hint="eastAsia"/>
          <w:b/>
          <w:spacing w:val="0"/>
          <w:szCs w:val="24"/>
          <w:rtl/>
        </w:rPr>
        <w:t>את</w:t>
      </w:r>
      <w:r w:rsidRPr="001824B9">
        <w:rPr>
          <w:rFonts w:ascii="Century" w:hAnsi="Century" w:cs="Miriam"/>
          <w:b/>
          <w:spacing w:val="0"/>
          <w:szCs w:val="24"/>
          <w:rtl/>
        </w:rPr>
        <w:t xml:space="preserve"> </w:t>
      </w:r>
      <w:r w:rsidRPr="001824B9">
        <w:rPr>
          <w:rFonts w:ascii="Century" w:hAnsi="Century" w:cs="Miriam" w:hint="eastAsia"/>
          <w:b/>
          <w:spacing w:val="0"/>
          <w:szCs w:val="24"/>
          <w:rtl/>
        </w:rPr>
        <w:t>העסקה</w:t>
      </w:r>
      <w:r w:rsidRPr="001824B9">
        <w:rPr>
          <w:rFonts w:ascii="Century" w:hAnsi="Century" w:cs="Miriam"/>
          <w:b/>
          <w:spacing w:val="0"/>
          <w:szCs w:val="24"/>
          <w:rtl/>
        </w:rPr>
        <w:t xml:space="preserve"> </w:t>
      </w:r>
      <w:r w:rsidRPr="001824B9">
        <w:rPr>
          <w:rFonts w:ascii="Century" w:hAnsi="Century" w:cs="Miriam" w:hint="eastAsia"/>
          <w:b/>
          <w:spacing w:val="0"/>
          <w:szCs w:val="24"/>
          <w:rtl/>
        </w:rPr>
        <w:t>באור</w:t>
      </w:r>
      <w:r w:rsidRPr="001824B9">
        <w:rPr>
          <w:rFonts w:ascii="Century" w:hAnsi="Century" w:cs="Miriam"/>
          <w:b/>
          <w:spacing w:val="0"/>
          <w:szCs w:val="24"/>
          <w:rtl/>
        </w:rPr>
        <w:t xml:space="preserve"> </w:t>
      </w:r>
      <w:r w:rsidRPr="001824B9">
        <w:rPr>
          <w:rFonts w:ascii="Century" w:hAnsi="Century" w:cs="Miriam" w:hint="eastAsia"/>
          <w:b/>
          <w:spacing w:val="0"/>
          <w:szCs w:val="24"/>
          <w:rtl/>
        </w:rPr>
        <w:t>שונה</w:t>
      </w:r>
      <w:r w:rsidRPr="001824B9">
        <w:rPr>
          <w:rFonts w:ascii="Century" w:hAnsi="Century" w:cs="Miriam"/>
          <w:b/>
          <w:spacing w:val="0"/>
          <w:szCs w:val="24"/>
          <w:rtl/>
        </w:rPr>
        <w:t xml:space="preserve"> </w:t>
      </w:r>
      <w:r w:rsidRPr="001824B9">
        <w:rPr>
          <w:rFonts w:ascii="Century" w:hAnsi="Century" w:cs="Miriam" w:hint="eastAsia"/>
          <w:b/>
          <w:spacing w:val="0"/>
          <w:szCs w:val="24"/>
          <w:rtl/>
        </w:rPr>
        <w:t>לאור</w:t>
      </w:r>
      <w:r w:rsidRPr="001824B9">
        <w:rPr>
          <w:rFonts w:ascii="Century" w:hAnsi="Century" w:cs="Miriam"/>
          <w:b/>
          <w:spacing w:val="0"/>
          <w:szCs w:val="24"/>
          <w:rtl/>
        </w:rPr>
        <w:t xml:space="preserve"> </w:t>
      </w:r>
      <w:r w:rsidRPr="001824B9">
        <w:rPr>
          <w:rFonts w:ascii="Century" w:hAnsi="Century" w:cs="Miriam" w:hint="eastAsia"/>
          <w:b/>
          <w:spacing w:val="0"/>
          <w:szCs w:val="24"/>
          <w:rtl/>
        </w:rPr>
        <w:t>המהות</w:t>
      </w:r>
      <w:r w:rsidRPr="001824B9">
        <w:rPr>
          <w:rFonts w:ascii="Century" w:hAnsi="Century" w:cs="Miriam"/>
          <w:b/>
          <w:spacing w:val="0"/>
          <w:szCs w:val="24"/>
          <w:rtl/>
        </w:rPr>
        <w:t xml:space="preserve"> </w:t>
      </w:r>
      <w:r w:rsidRPr="001824B9">
        <w:rPr>
          <w:rFonts w:ascii="Century" w:hAnsi="Century" w:cs="Miriam" w:hint="eastAsia"/>
          <w:b/>
          <w:spacing w:val="0"/>
          <w:szCs w:val="24"/>
          <w:rtl/>
        </w:rPr>
        <w:t>המשפטית</w:t>
      </w:r>
      <w:r w:rsidRPr="001824B9">
        <w:rPr>
          <w:rFonts w:ascii="Century" w:hAnsi="Century" w:cs="Miriam"/>
          <w:b/>
          <w:spacing w:val="0"/>
          <w:szCs w:val="24"/>
          <w:rtl/>
        </w:rPr>
        <w:t>-</w:t>
      </w:r>
      <w:r w:rsidRPr="001824B9">
        <w:rPr>
          <w:rFonts w:ascii="Century" w:hAnsi="Century" w:cs="Miriam" w:hint="eastAsia"/>
          <w:b/>
          <w:spacing w:val="0"/>
          <w:szCs w:val="24"/>
          <w:rtl/>
        </w:rPr>
        <w:t>כלכלית</w:t>
      </w:r>
      <w:r w:rsidRPr="001824B9">
        <w:rPr>
          <w:rFonts w:ascii="Century" w:hAnsi="Century" w:cs="Miriam"/>
          <w:b/>
          <w:spacing w:val="0"/>
          <w:szCs w:val="24"/>
          <w:rtl/>
        </w:rPr>
        <w:t xml:space="preserve"> </w:t>
      </w:r>
      <w:r w:rsidRPr="001824B9">
        <w:rPr>
          <w:rFonts w:ascii="Century" w:hAnsi="Century" w:cs="Miriam" w:hint="eastAsia"/>
          <w:b/>
          <w:spacing w:val="0"/>
          <w:szCs w:val="24"/>
          <w:rtl/>
        </w:rPr>
        <w:t>האמתית</w:t>
      </w:r>
      <w:r w:rsidRPr="001824B9">
        <w:rPr>
          <w:rFonts w:ascii="Century" w:hAnsi="Century" w:cs="Miriam"/>
          <w:b/>
          <w:spacing w:val="0"/>
          <w:szCs w:val="24"/>
          <w:rtl/>
        </w:rPr>
        <w:t xml:space="preserve"> </w:t>
      </w:r>
      <w:r w:rsidRPr="001824B9">
        <w:rPr>
          <w:rFonts w:ascii="Century" w:hAnsi="Century" w:cs="Miriam" w:hint="eastAsia"/>
          <w:b/>
          <w:spacing w:val="0"/>
          <w:szCs w:val="24"/>
          <w:rtl/>
        </w:rPr>
        <w:t>שלה</w:t>
      </w:r>
      <w:r>
        <w:rPr>
          <w:rFonts w:hint="cs"/>
          <w:rtl/>
        </w:rPr>
        <w:t xml:space="preserve">" (ראו: </w:t>
      </w:r>
      <w:r w:rsidRPr="001824B9">
        <w:rPr>
          <w:rFonts w:hint="eastAsia"/>
          <w:rtl/>
        </w:rPr>
        <w:t>ע</w:t>
      </w:r>
      <w:r w:rsidRPr="001824B9">
        <w:rPr>
          <w:rtl/>
        </w:rPr>
        <w:t>"</w:t>
      </w:r>
      <w:r w:rsidRPr="001824B9">
        <w:rPr>
          <w:rFonts w:hint="eastAsia"/>
          <w:rtl/>
        </w:rPr>
        <w:t>א</w:t>
      </w:r>
      <w:r w:rsidRPr="001824B9">
        <w:rPr>
          <w:rtl/>
        </w:rPr>
        <w:t xml:space="preserve"> 9308/20 </w:t>
      </w:r>
      <w:r w:rsidRPr="001824B9">
        <w:rPr>
          <w:rFonts w:ascii="Century" w:hAnsi="Century" w:cs="Miriam" w:hint="eastAsia"/>
          <w:b/>
          <w:spacing w:val="0"/>
          <w:szCs w:val="24"/>
          <w:rtl/>
        </w:rPr>
        <w:t>פקיד</w:t>
      </w:r>
      <w:r w:rsidRPr="001824B9">
        <w:rPr>
          <w:rFonts w:ascii="Century" w:hAnsi="Century" w:cs="Miriam"/>
          <w:b/>
          <w:spacing w:val="0"/>
          <w:szCs w:val="24"/>
          <w:rtl/>
        </w:rPr>
        <w:t xml:space="preserve"> </w:t>
      </w:r>
      <w:r w:rsidRPr="001824B9">
        <w:rPr>
          <w:rFonts w:ascii="Century" w:hAnsi="Century" w:cs="Miriam" w:hint="eastAsia"/>
          <w:b/>
          <w:spacing w:val="0"/>
          <w:szCs w:val="24"/>
          <w:rtl/>
        </w:rPr>
        <w:t>שומה</w:t>
      </w:r>
      <w:r w:rsidRPr="001824B9">
        <w:rPr>
          <w:rFonts w:ascii="Century" w:hAnsi="Century" w:cs="Miriam"/>
          <w:b/>
          <w:spacing w:val="0"/>
          <w:szCs w:val="24"/>
          <w:rtl/>
        </w:rPr>
        <w:t xml:space="preserve"> </w:t>
      </w:r>
      <w:r w:rsidRPr="001824B9">
        <w:rPr>
          <w:rFonts w:ascii="Century" w:hAnsi="Century" w:cs="Miriam" w:hint="eastAsia"/>
          <w:b/>
          <w:spacing w:val="0"/>
          <w:szCs w:val="24"/>
          <w:rtl/>
        </w:rPr>
        <w:t>עכו</w:t>
      </w:r>
      <w:r w:rsidRPr="001824B9">
        <w:rPr>
          <w:rFonts w:ascii="Century" w:hAnsi="Century" w:cs="Miriam"/>
          <w:b/>
          <w:spacing w:val="0"/>
          <w:szCs w:val="24"/>
          <w:rtl/>
        </w:rPr>
        <w:t xml:space="preserve"> </w:t>
      </w:r>
      <w:r w:rsidRPr="001824B9">
        <w:rPr>
          <w:rFonts w:ascii="Century" w:hAnsi="Century" w:cs="Miriam" w:hint="eastAsia"/>
          <w:b/>
          <w:spacing w:val="0"/>
          <w:szCs w:val="24"/>
          <w:rtl/>
        </w:rPr>
        <w:t>נ</w:t>
      </w:r>
      <w:r w:rsidRPr="001824B9">
        <w:rPr>
          <w:rFonts w:ascii="Century" w:hAnsi="Century" w:cs="Miriam"/>
          <w:b/>
          <w:spacing w:val="0"/>
          <w:szCs w:val="24"/>
          <w:rtl/>
        </w:rPr>
        <w:t xml:space="preserve">' </w:t>
      </w:r>
      <w:r w:rsidRPr="001824B9">
        <w:rPr>
          <w:rFonts w:ascii="Century" w:hAnsi="Century" w:cs="Miriam" w:hint="eastAsia"/>
          <w:b/>
          <w:spacing w:val="0"/>
          <w:szCs w:val="24"/>
          <w:rtl/>
        </w:rPr>
        <w:t>בית</w:t>
      </w:r>
      <w:r w:rsidRPr="001824B9">
        <w:rPr>
          <w:rFonts w:ascii="Century" w:hAnsi="Century" w:cs="Miriam"/>
          <w:b/>
          <w:spacing w:val="0"/>
          <w:szCs w:val="24"/>
          <w:rtl/>
        </w:rPr>
        <w:t xml:space="preserve"> </w:t>
      </w:r>
      <w:r w:rsidRPr="001824B9">
        <w:rPr>
          <w:rFonts w:ascii="Century" w:hAnsi="Century" w:cs="Miriam" w:hint="eastAsia"/>
          <w:b/>
          <w:spacing w:val="0"/>
          <w:szCs w:val="24"/>
          <w:rtl/>
        </w:rPr>
        <w:t>חוסן</w:t>
      </w:r>
      <w:r w:rsidRPr="001824B9">
        <w:rPr>
          <w:rFonts w:ascii="Century" w:hAnsi="Century" w:cs="Miriam"/>
          <w:b/>
          <w:spacing w:val="0"/>
          <w:szCs w:val="24"/>
          <w:rtl/>
        </w:rPr>
        <w:t xml:space="preserve"> </w:t>
      </w:r>
      <w:r w:rsidRPr="001824B9">
        <w:rPr>
          <w:rFonts w:ascii="Century" w:hAnsi="Century" w:cs="Miriam" w:hint="eastAsia"/>
          <w:b/>
          <w:spacing w:val="0"/>
          <w:szCs w:val="24"/>
          <w:rtl/>
        </w:rPr>
        <w:t>בע</w:t>
      </w:r>
      <w:r w:rsidRPr="001824B9">
        <w:rPr>
          <w:rFonts w:ascii="Century" w:hAnsi="Century" w:cs="Miriam"/>
          <w:b/>
          <w:spacing w:val="0"/>
          <w:szCs w:val="24"/>
          <w:rtl/>
        </w:rPr>
        <w:t>"</w:t>
      </w:r>
      <w:r w:rsidRPr="001824B9">
        <w:rPr>
          <w:rFonts w:ascii="Century" w:hAnsi="Century" w:cs="Miriam" w:hint="eastAsia"/>
          <w:b/>
          <w:spacing w:val="0"/>
          <w:szCs w:val="24"/>
          <w:rtl/>
        </w:rPr>
        <w:t>מ</w:t>
      </w:r>
      <w:r>
        <w:rPr>
          <w:rFonts w:hint="cs"/>
          <w:rtl/>
        </w:rPr>
        <w:t>, פסקה 12 לחוות דעתי</w:t>
      </w:r>
      <w:r w:rsidRPr="001824B9">
        <w:rPr>
          <w:rtl/>
        </w:rPr>
        <w:t xml:space="preserve"> (13.</w:t>
      </w:r>
      <w:r>
        <w:rPr>
          <w:rFonts w:hint="cs"/>
          <w:rtl/>
        </w:rPr>
        <w:t>2</w:t>
      </w:r>
      <w:r w:rsidRPr="001824B9">
        <w:rPr>
          <w:rtl/>
        </w:rPr>
        <w:t>.2023)</w:t>
      </w:r>
      <w:r>
        <w:rPr>
          <w:rFonts w:hint="cs"/>
          <w:rtl/>
        </w:rPr>
        <w:t xml:space="preserve">). כלומר, בעניין </w:t>
      </w:r>
      <w:r w:rsidRPr="001824B9">
        <w:rPr>
          <w:rFonts w:ascii="Century" w:hAnsi="Century" w:cs="Miriam" w:hint="cs"/>
          <w:b/>
          <w:spacing w:val="0"/>
          <w:szCs w:val="24"/>
          <w:rtl/>
        </w:rPr>
        <w:t>ברנע</w:t>
      </w:r>
      <w:r>
        <w:rPr>
          <w:rFonts w:hint="cs"/>
          <w:rtl/>
        </w:rPr>
        <w:t xml:space="preserve"> נדרש בית המשפט לנתח את מהותם הכלכלית האמתית של התקבולים שקיבלו המנהלים על פי העובדות שהוצגו על ידיהם, ובהתאם לקבוע את סיווגם לצורכי מס. בענייננו לעומת זאת, אנו נדרשים להתעלם מעסקת המכר שבוצעה ומן העובדות כפי שדווחו על ידי המערער, ולקבוע מחדש את מהות התשלומים שהתקבלו אצל המערער במנותק מהעובדות שהתרחשו בפועל. </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מטעמים אלה אני סבורה כי קיים קושי להחיל בענייננו את "חזקת הכנסת העבודה" שנקבעה בעניין </w:t>
      </w:r>
      <w:r w:rsidRPr="00E4704D">
        <w:rPr>
          <w:rFonts w:ascii="Century" w:hAnsi="Century" w:cs="Miriam" w:hint="cs"/>
          <w:b/>
          <w:spacing w:val="0"/>
          <w:szCs w:val="24"/>
          <w:rtl/>
        </w:rPr>
        <w:t>ברנע</w:t>
      </w:r>
      <w:r>
        <w:rPr>
          <w:rFonts w:hint="cs"/>
          <w:rtl/>
        </w:rPr>
        <w:t>, וכי יש לבחון את סיווגם של התקבולים שקיבל המערער בהתעלם מחזקה זו.</w:t>
      </w:r>
    </w:p>
    <w:p w:rsidR="00ED79F5" w:rsidRDefault="00ED79F5" w:rsidP="00ED79F5">
      <w:pPr>
        <w:pStyle w:val="Ruller41"/>
        <w:rPr>
          <w:rtl/>
        </w:rPr>
      </w:pPr>
    </w:p>
    <w:p w:rsidR="00ED79F5" w:rsidRDefault="00ED79F5" w:rsidP="00ED79F5">
      <w:pPr>
        <w:pStyle w:val="Ruller4"/>
        <w:rPr>
          <w:rtl/>
        </w:rPr>
      </w:pPr>
      <w:r>
        <w:rPr>
          <w:rFonts w:hint="cs"/>
          <w:rtl/>
        </w:rPr>
        <w:t>במאמר מוסגר יצוין כי אף לו היה מקום להחיל את החזקה האמורה גם בענייננו, משאין חולק כי בפועל התקבולים שהועברו לידי המערער לא הועברו אליו כתוצאה מיחסי העבודה בינו לבין ספירה ישראל אלא מכוח עסקת המכר של הסימן המסחרי, כפי שמציין גם המשיב, נראה שבכך נסתרה החזקה לפיה מדובר בהכנסה מעבודה.</w:t>
      </w:r>
    </w:p>
    <w:p w:rsidR="00ED79F5" w:rsidRPr="00EA1416" w:rsidRDefault="00ED79F5" w:rsidP="00ED79F5">
      <w:pPr>
        <w:pStyle w:val="Ruller41"/>
        <w:rPr>
          <w:rtl/>
        </w:rPr>
      </w:pPr>
    </w:p>
    <w:p w:rsidR="00ED79F5" w:rsidRDefault="00ED79F5" w:rsidP="00ED79F5">
      <w:pPr>
        <w:pStyle w:val="Ruller4"/>
        <w:rPr>
          <w:rtl/>
        </w:rPr>
      </w:pPr>
      <w:r w:rsidRPr="001E71B6">
        <w:rPr>
          <w:rFonts w:hint="cs"/>
          <w:rtl/>
        </w:rPr>
        <w:t>כ</w:t>
      </w:r>
      <w:r>
        <w:rPr>
          <w:rFonts w:hint="cs"/>
          <w:rtl/>
        </w:rPr>
        <w:t>יצד אפוא יש לסווג את הכספים שנמשכו על ידי המערער מספירה ישראל בשנות המס שבערעור? אני סבורה כי התשובה לשאלה זו טמונה בסעיף 3(ט1) לפקודת מס הכנסה.</w:t>
      </w:r>
    </w:p>
    <w:p w:rsidR="00ED79F5" w:rsidRDefault="00ED79F5" w:rsidP="00ED79F5">
      <w:pPr>
        <w:pStyle w:val="Ruller41"/>
        <w:rPr>
          <w:rtl/>
        </w:rPr>
      </w:pPr>
    </w:p>
    <w:p w:rsidR="00ED79F5" w:rsidRDefault="00ED79F5" w:rsidP="00ED79F5">
      <w:pPr>
        <w:pStyle w:val="Ruller41"/>
        <w:rPr>
          <w:rtl/>
        </w:rPr>
      </w:pPr>
      <w:r>
        <w:rPr>
          <w:rtl/>
        </w:rPr>
        <w:tab/>
      </w:r>
      <w:r>
        <w:rPr>
          <w:rFonts w:hint="cs"/>
          <w:rtl/>
        </w:rPr>
        <w:t>אקדים ואבהיר כי כפי שטוען המשיב, סעיף 3(ט1) לפקודה נחקק רק בשנת 2016, ונכנס לתוקף ביום 1.1.2017 (ראו סעיף 164 ל</w:t>
      </w:r>
      <w:r>
        <w:rPr>
          <w:rFonts w:hint="eastAsia"/>
          <w:rtl/>
        </w:rPr>
        <w:t>חוק</w:t>
      </w:r>
      <w:r>
        <w:rPr>
          <w:rtl/>
        </w:rPr>
        <w:t xml:space="preserve"> </w:t>
      </w:r>
      <w:r>
        <w:rPr>
          <w:rFonts w:hint="eastAsia"/>
          <w:rtl/>
        </w:rPr>
        <w:t>ההתייעלות</w:t>
      </w:r>
      <w:r>
        <w:rPr>
          <w:rtl/>
        </w:rPr>
        <w:t xml:space="preserve"> </w:t>
      </w:r>
      <w:r>
        <w:rPr>
          <w:rFonts w:hint="eastAsia"/>
          <w:rtl/>
        </w:rPr>
        <w:t>הכלכלית</w:t>
      </w:r>
      <w:r>
        <w:rPr>
          <w:rtl/>
        </w:rPr>
        <w:t xml:space="preserve"> </w:t>
      </w:r>
      <w:r>
        <w:rPr>
          <w:rFonts w:hint="cs"/>
          <w:rtl/>
        </w:rPr>
        <w:t>(</w:t>
      </w:r>
      <w:r>
        <w:rPr>
          <w:rFonts w:hint="eastAsia"/>
          <w:rtl/>
        </w:rPr>
        <w:t>תיקוני</w:t>
      </w:r>
      <w:r>
        <w:rPr>
          <w:rtl/>
        </w:rPr>
        <w:t xml:space="preserve"> </w:t>
      </w:r>
      <w:r>
        <w:rPr>
          <w:rFonts w:hint="eastAsia"/>
          <w:rtl/>
        </w:rPr>
        <w:t>חקיקה</w:t>
      </w:r>
      <w:r>
        <w:rPr>
          <w:rtl/>
        </w:rPr>
        <w:t xml:space="preserve"> </w:t>
      </w:r>
      <w:r>
        <w:rPr>
          <w:rFonts w:hint="eastAsia"/>
          <w:rtl/>
        </w:rPr>
        <w:t>להשגת</w:t>
      </w:r>
      <w:r>
        <w:rPr>
          <w:rtl/>
        </w:rPr>
        <w:t xml:space="preserve"> </w:t>
      </w:r>
      <w:r>
        <w:rPr>
          <w:rFonts w:hint="eastAsia"/>
          <w:rtl/>
        </w:rPr>
        <w:t>יעדי</w:t>
      </w:r>
      <w:r>
        <w:rPr>
          <w:rtl/>
        </w:rPr>
        <w:t xml:space="preserve"> </w:t>
      </w:r>
      <w:r>
        <w:rPr>
          <w:rFonts w:hint="eastAsia"/>
          <w:rtl/>
        </w:rPr>
        <w:t>המדיניות</w:t>
      </w:r>
      <w:r>
        <w:rPr>
          <w:rtl/>
        </w:rPr>
        <w:t xml:space="preserve"> </w:t>
      </w:r>
      <w:r>
        <w:rPr>
          <w:rFonts w:hint="eastAsia"/>
          <w:rtl/>
        </w:rPr>
        <w:t>הכלכלית</w:t>
      </w:r>
      <w:r>
        <w:rPr>
          <w:rtl/>
        </w:rPr>
        <w:t xml:space="preserve"> </w:t>
      </w:r>
      <w:r>
        <w:rPr>
          <w:rFonts w:hint="eastAsia"/>
          <w:rtl/>
        </w:rPr>
        <w:t>לשנות</w:t>
      </w:r>
      <w:r>
        <w:rPr>
          <w:rtl/>
        </w:rPr>
        <w:t xml:space="preserve"> </w:t>
      </w:r>
      <w:r>
        <w:rPr>
          <w:rFonts w:hint="eastAsia"/>
          <w:rtl/>
        </w:rPr>
        <w:t>התקציב</w:t>
      </w:r>
      <w:r>
        <w:rPr>
          <w:rtl/>
        </w:rPr>
        <w:t xml:space="preserve"> 2017</w:t>
      </w:r>
      <w:r>
        <w:rPr>
          <w:rFonts w:hint="cs"/>
          <w:rtl/>
        </w:rPr>
        <w:t xml:space="preserve"> </w:t>
      </w:r>
      <w:r>
        <w:rPr>
          <w:rFonts w:hint="eastAsia"/>
          <w:rtl/>
        </w:rPr>
        <w:t>ו–</w:t>
      </w:r>
      <w:r>
        <w:rPr>
          <w:rtl/>
        </w:rPr>
        <w:t>2018</w:t>
      </w:r>
      <w:r>
        <w:rPr>
          <w:rFonts w:hint="cs"/>
          <w:rtl/>
        </w:rPr>
        <w:t>)</w:t>
      </w:r>
      <w:r>
        <w:rPr>
          <w:rtl/>
        </w:rPr>
        <w:t xml:space="preserve">, </w:t>
      </w:r>
      <w:proofErr w:type="spellStart"/>
      <w:r>
        <w:rPr>
          <w:rFonts w:hint="eastAsia"/>
          <w:rtl/>
        </w:rPr>
        <w:t>התשע</w:t>
      </w:r>
      <w:r>
        <w:rPr>
          <w:rtl/>
        </w:rPr>
        <w:t>"</w:t>
      </w:r>
      <w:r>
        <w:rPr>
          <w:rFonts w:hint="eastAsia"/>
          <w:rtl/>
        </w:rPr>
        <w:t>ז</w:t>
      </w:r>
      <w:proofErr w:type="spellEnd"/>
      <w:r>
        <w:rPr>
          <w:rFonts w:hint="cs"/>
          <w:rtl/>
        </w:rPr>
        <w:t xml:space="preserve"> </w:t>
      </w:r>
      <w:r>
        <w:rPr>
          <w:rtl/>
        </w:rPr>
        <w:t>–</w:t>
      </w:r>
      <w:r>
        <w:rPr>
          <w:rFonts w:hint="cs"/>
          <w:rtl/>
        </w:rPr>
        <w:t xml:space="preserve"> </w:t>
      </w:r>
      <w:r>
        <w:rPr>
          <w:rFonts w:hint="cs"/>
          <w:rtl/>
        </w:rPr>
        <w:lastRenderedPageBreak/>
        <w:t>2016). משכך הוא אינו חל בשנות המס הרלוונטיות לערעור דנן. אף-על-פי-כן, הגם שהסעיף לא חל באופן ישיר על ענייננו, אני סבורה כי ניתן ללמוד ממנו על השקפת המחוקק בדבר סיווגם לצורכי מס של כספים שנמשכו מחברה על ידי בעל מניות מהותי בה, מבלי ששולם בגינם מס כנדרש.</w:t>
      </w:r>
    </w:p>
    <w:p w:rsidR="00ED79F5" w:rsidRDefault="00ED79F5" w:rsidP="00ED79F5">
      <w:pPr>
        <w:pStyle w:val="Ruller41"/>
        <w:rPr>
          <w:rtl/>
        </w:rPr>
      </w:pPr>
    </w:p>
    <w:p w:rsidR="00ED79F5" w:rsidRDefault="00ED79F5" w:rsidP="00ED79F5">
      <w:pPr>
        <w:pStyle w:val="Ruller4"/>
        <w:rPr>
          <w:rtl/>
        </w:rPr>
      </w:pPr>
      <w:r>
        <w:rPr>
          <w:rFonts w:hint="cs"/>
          <w:rtl/>
        </w:rPr>
        <w:t>סעיף 3(ט1)(2) לפקודת מס הכנסה קובע כדלקמן:</w:t>
      </w:r>
    </w:p>
    <w:p w:rsidR="00ED79F5" w:rsidRDefault="00ED79F5" w:rsidP="00ED79F5">
      <w:pPr>
        <w:pStyle w:val="Ruller41"/>
        <w:rPr>
          <w:rtl/>
        </w:rPr>
      </w:pPr>
    </w:p>
    <w:p w:rsidR="00ED79F5" w:rsidRDefault="00ED79F5" w:rsidP="00ED79F5">
      <w:pPr>
        <w:pStyle w:val="Ruller5"/>
        <w:rPr>
          <w:rtl/>
        </w:rPr>
      </w:pPr>
      <w:r>
        <w:rPr>
          <w:rFonts w:hint="eastAsia"/>
          <w:rtl/>
        </w:rPr>
        <w:t>יראו</w:t>
      </w:r>
      <w:r>
        <w:rPr>
          <w:rtl/>
        </w:rPr>
        <w:t xml:space="preserve"> </w:t>
      </w:r>
      <w:r>
        <w:rPr>
          <w:rFonts w:hint="eastAsia"/>
          <w:rtl/>
        </w:rPr>
        <w:t>משיכה</w:t>
      </w:r>
      <w:r>
        <w:rPr>
          <w:rtl/>
        </w:rPr>
        <w:t xml:space="preserve"> </w:t>
      </w:r>
      <w:r>
        <w:rPr>
          <w:rFonts w:hint="eastAsia"/>
          <w:rtl/>
        </w:rPr>
        <w:t>מחברה</w:t>
      </w:r>
      <w:r>
        <w:rPr>
          <w:rtl/>
        </w:rPr>
        <w:t xml:space="preserve">, </w:t>
      </w:r>
      <w:r>
        <w:rPr>
          <w:rFonts w:hint="eastAsia"/>
          <w:rtl/>
        </w:rPr>
        <w:t>במועד</w:t>
      </w:r>
      <w:r>
        <w:rPr>
          <w:rtl/>
        </w:rPr>
        <w:t xml:space="preserve"> </w:t>
      </w:r>
      <w:r>
        <w:rPr>
          <w:rFonts w:hint="eastAsia"/>
          <w:rtl/>
        </w:rPr>
        <w:t>החיוב</w:t>
      </w:r>
      <w:r>
        <w:rPr>
          <w:rtl/>
        </w:rPr>
        <w:t xml:space="preserve">, </w:t>
      </w:r>
      <w:r>
        <w:rPr>
          <w:rFonts w:hint="eastAsia"/>
          <w:rtl/>
        </w:rPr>
        <w:t>כהכנסתו</w:t>
      </w:r>
      <w:r>
        <w:rPr>
          <w:rtl/>
        </w:rPr>
        <w:t xml:space="preserve"> </w:t>
      </w:r>
      <w:r>
        <w:rPr>
          <w:rFonts w:hint="eastAsia"/>
          <w:rtl/>
        </w:rPr>
        <w:t>של</w:t>
      </w:r>
      <w:r>
        <w:rPr>
          <w:rtl/>
        </w:rPr>
        <w:t xml:space="preserve"> </w:t>
      </w:r>
      <w:r>
        <w:rPr>
          <w:rFonts w:hint="eastAsia"/>
          <w:rtl/>
        </w:rPr>
        <w:t>בעל</w:t>
      </w:r>
      <w:r>
        <w:rPr>
          <w:rtl/>
        </w:rPr>
        <w:t xml:space="preserve"> </w:t>
      </w:r>
      <w:r>
        <w:rPr>
          <w:rFonts w:hint="eastAsia"/>
          <w:rtl/>
        </w:rPr>
        <w:t>המניות</w:t>
      </w:r>
      <w:r>
        <w:rPr>
          <w:rtl/>
        </w:rPr>
        <w:t xml:space="preserve"> </w:t>
      </w:r>
      <w:r>
        <w:rPr>
          <w:rFonts w:hint="eastAsia"/>
          <w:rtl/>
        </w:rPr>
        <w:t>המהותי</w:t>
      </w:r>
      <w:r>
        <w:rPr>
          <w:rtl/>
        </w:rPr>
        <w:t xml:space="preserve"> –</w:t>
      </w:r>
    </w:p>
    <w:p w:rsidR="00ED79F5" w:rsidRDefault="00ED79F5" w:rsidP="00ED79F5">
      <w:pPr>
        <w:pStyle w:val="Ruller5"/>
        <w:ind w:left="2160"/>
        <w:rPr>
          <w:rtl/>
        </w:rPr>
      </w:pPr>
      <w:r>
        <w:rPr>
          <w:rtl/>
        </w:rPr>
        <w:t>(</w:t>
      </w:r>
      <w:r>
        <w:rPr>
          <w:rFonts w:hint="eastAsia"/>
          <w:rtl/>
        </w:rPr>
        <w:t>א</w:t>
      </w:r>
      <w:r>
        <w:rPr>
          <w:rtl/>
        </w:rPr>
        <w:t xml:space="preserve">)   </w:t>
      </w:r>
      <w:r>
        <w:rPr>
          <w:rFonts w:hint="eastAsia"/>
          <w:rtl/>
        </w:rPr>
        <w:t>מדיבידנד</w:t>
      </w:r>
      <w:r>
        <w:rPr>
          <w:rtl/>
        </w:rPr>
        <w:t xml:space="preserve">, </w:t>
      </w:r>
      <w:r>
        <w:rPr>
          <w:rFonts w:hint="eastAsia"/>
          <w:rtl/>
        </w:rPr>
        <w:t>אם</w:t>
      </w:r>
      <w:r>
        <w:rPr>
          <w:rtl/>
        </w:rPr>
        <w:t xml:space="preserve"> </w:t>
      </w:r>
      <w:r>
        <w:rPr>
          <w:rFonts w:hint="eastAsia"/>
          <w:rtl/>
        </w:rPr>
        <w:t>היו</w:t>
      </w:r>
      <w:r>
        <w:rPr>
          <w:rtl/>
        </w:rPr>
        <w:t xml:space="preserve"> </w:t>
      </w:r>
      <w:r>
        <w:rPr>
          <w:rFonts w:hint="eastAsia"/>
          <w:rtl/>
        </w:rPr>
        <w:t>רווחים</w:t>
      </w:r>
      <w:r>
        <w:rPr>
          <w:rtl/>
        </w:rPr>
        <w:t xml:space="preserve"> </w:t>
      </w:r>
      <w:r>
        <w:rPr>
          <w:rFonts w:hint="eastAsia"/>
          <w:rtl/>
        </w:rPr>
        <w:t>בחברה</w:t>
      </w:r>
      <w:r>
        <w:rPr>
          <w:rtl/>
        </w:rPr>
        <w:t xml:space="preserve"> </w:t>
      </w:r>
      <w:r>
        <w:rPr>
          <w:rFonts w:hint="eastAsia"/>
          <w:rtl/>
        </w:rPr>
        <w:t>ובהתאם</w:t>
      </w:r>
      <w:r>
        <w:rPr>
          <w:rtl/>
        </w:rPr>
        <w:t xml:space="preserve"> </w:t>
      </w:r>
      <w:r>
        <w:rPr>
          <w:rFonts w:hint="eastAsia"/>
          <w:rtl/>
        </w:rPr>
        <w:t>לחלקו</w:t>
      </w:r>
      <w:r>
        <w:rPr>
          <w:rtl/>
        </w:rPr>
        <w:t xml:space="preserve"> </w:t>
      </w:r>
      <w:r>
        <w:rPr>
          <w:rFonts w:hint="eastAsia"/>
          <w:rtl/>
        </w:rPr>
        <w:t>בהם</w:t>
      </w:r>
      <w:r>
        <w:rPr>
          <w:rtl/>
        </w:rPr>
        <w:t xml:space="preserve">; </w:t>
      </w:r>
      <w:r>
        <w:rPr>
          <w:rFonts w:hint="eastAsia"/>
          <w:rtl/>
        </w:rPr>
        <w:t>לעניין</w:t>
      </w:r>
      <w:r>
        <w:rPr>
          <w:rtl/>
        </w:rPr>
        <w:t xml:space="preserve"> </w:t>
      </w:r>
      <w:r>
        <w:rPr>
          <w:rFonts w:hint="eastAsia"/>
          <w:rtl/>
        </w:rPr>
        <w:t>זה</w:t>
      </w:r>
      <w:r>
        <w:rPr>
          <w:rtl/>
        </w:rPr>
        <w:t>, "</w:t>
      </w:r>
      <w:r>
        <w:rPr>
          <w:rFonts w:hint="eastAsia"/>
          <w:rtl/>
        </w:rPr>
        <w:t>רווחים</w:t>
      </w:r>
      <w:r>
        <w:rPr>
          <w:rtl/>
        </w:rPr>
        <w:t xml:space="preserve">" – </w:t>
      </w:r>
      <w:r>
        <w:rPr>
          <w:rFonts w:hint="eastAsia"/>
          <w:rtl/>
        </w:rPr>
        <w:t>כהגדרתם</w:t>
      </w:r>
      <w:r>
        <w:rPr>
          <w:rtl/>
        </w:rPr>
        <w:t xml:space="preserve"> </w:t>
      </w:r>
      <w:r>
        <w:rPr>
          <w:rFonts w:hint="eastAsia"/>
          <w:rtl/>
        </w:rPr>
        <w:t>בסעיף</w:t>
      </w:r>
      <w:r>
        <w:rPr>
          <w:rtl/>
        </w:rPr>
        <w:t xml:space="preserve"> 302(</w:t>
      </w:r>
      <w:r>
        <w:rPr>
          <w:rFonts w:hint="eastAsia"/>
          <w:rtl/>
        </w:rPr>
        <w:t>ב</w:t>
      </w:r>
      <w:r>
        <w:rPr>
          <w:rtl/>
        </w:rPr>
        <w:t xml:space="preserve">) </w:t>
      </w:r>
      <w:r>
        <w:rPr>
          <w:rFonts w:hint="eastAsia"/>
          <w:rtl/>
        </w:rPr>
        <w:t>לחוק</w:t>
      </w:r>
      <w:r>
        <w:rPr>
          <w:rtl/>
        </w:rPr>
        <w:t xml:space="preserve"> </w:t>
      </w:r>
      <w:r>
        <w:rPr>
          <w:rFonts w:hint="eastAsia"/>
          <w:rtl/>
        </w:rPr>
        <w:t>החברות</w:t>
      </w:r>
      <w:r>
        <w:rPr>
          <w:rtl/>
        </w:rPr>
        <w:t>;</w:t>
      </w:r>
    </w:p>
    <w:p w:rsidR="00ED79F5" w:rsidRDefault="00ED79F5" w:rsidP="00ED79F5">
      <w:pPr>
        <w:pStyle w:val="Ruller5"/>
        <w:ind w:left="2160"/>
        <w:rPr>
          <w:rtl/>
        </w:rPr>
      </w:pPr>
      <w:r>
        <w:rPr>
          <w:rtl/>
        </w:rPr>
        <w:t>(</w:t>
      </w:r>
      <w:r>
        <w:rPr>
          <w:rFonts w:hint="eastAsia"/>
          <w:rtl/>
        </w:rPr>
        <w:t>ב</w:t>
      </w:r>
      <w:r>
        <w:rPr>
          <w:rtl/>
        </w:rPr>
        <w:t xml:space="preserve">)   </w:t>
      </w:r>
      <w:r>
        <w:rPr>
          <w:rFonts w:hint="eastAsia"/>
          <w:rtl/>
        </w:rPr>
        <w:t>במשיכה</w:t>
      </w:r>
      <w:r>
        <w:rPr>
          <w:rtl/>
        </w:rPr>
        <w:t xml:space="preserve"> </w:t>
      </w:r>
      <w:r>
        <w:rPr>
          <w:rFonts w:hint="eastAsia"/>
          <w:rtl/>
        </w:rPr>
        <w:t>שפסקת</w:t>
      </w:r>
      <w:r>
        <w:rPr>
          <w:rtl/>
        </w:rPr>
        <w:t xml:space="preserve"> </w:t>
      </w:r>
      <w:r>
        <w:rPr>
          <w:rFonts w:hint="eastAsia"/>
          <w:rtl/>
        </w:rPr>
        <w:t>משנה</w:t>
      </w:r>
      <w:r>
        <w:rPr>
          <w:rtl/>
        </w:rPr>
        <w:t xml:space="preserve"> (</w:t>
      </w:r>
      <w:r>
        <w:rPr>
          <w:rFonts w:hint="eastAsia"/>
          <w:rtl/>
        </w:rPr>
        <w:t>א</w:t>
      </w:r>
      <w:r>
        <w:rPr>
          <w:rtl/>
        </w:rPr>
        <w:t xml:space="preserve">) </w:t>
      </w:r>
      <w:r>
        <w:rPr>
          <w:rFonts w:hint="eastAsia"/>
          <w:rtl/>
        </w:rPr>
        <w:t>אינה</w:t>
      </w:r>
      <w:r>
        <w:rPr>
          <w:rtl/>
        </w:rPr>
        <w:t xml:space="preserve"> </w:t>
      </w:r>
      <w:r>
        <w:rPr>
          <w:rFonts w:hint="eastAsia"/>
          <w:rtl/>
        </w:rPr>
        <w:t>חלה</w:t>
      </w:r>
      <w:r>
        <w:rPr>
          <w:rtl/>
        </w:rPr>
        <w:t xml:space="preserve"> </w:t>
      </w:r>
      <w:r>
        <w:rPr>
          <w:rFonts w:hint="eastAsia"/>
          <w:rtl/>
        </w:rPr>
        <w:t>עליה</w:t>
      </w:r>
      <w:r>
        <w:rPr>
          <w:rtl/>
        </w:rPr>
        <w:t xml:space="preserve">, </w:t>
      </w:r>
      <w:r>
        <w:rPr>
          <w:rFonts w:hint="eastAsia"/>
          <w:rtl/>
        </w:rPr>
        <w:t>אם</w:t>
      </w:r>
      <w:r>
        <w:rPr>
          <w:rtl/>
        </w:rPr>
        <w:t xml:space="preserve"> </w:t>
      </w:r>
      <w:r>
        <w:rPr>
          <w:rFonts w:hint="eastAsia"/>
          <w:rtl/>
        </w:rPr>
        <w:t>מתקיימים</w:t>
      </w:r>
      <w:r>
        <w:rPr>
          <w:rtl/>
        </w:rPr>
        <w:t xml:space="preserve"> </w:t>
      </w:r>
      <w:r>
        <w:rPr>
          <w:rFonts w:hint="eastAsia"/>
          <w:rtl/>
        </w:rPr>
        <w:t>יחסי</w:t>
      </w:r>
      <w:r>
        <w:rPr>
          <w:rtl/>
        </w:rPr>
        <w:t xml:space="preserve"> </w:t>
      </w:r>
      <w:r>
        <w:rPr>
          <w:rFonts w:hint="eastAsia"/>
          <w:rtl/>
        </w:rPr>
        <w:t>עובד</w:t>
      </w:r>
      <w:r>
        <w:rPr>
          <w:rtl/>
        </w:rPr>
        <w:t xml:space="preserve"> </w:t>
      </w:r>
      <w:r>
        <w:rPr>
          <w:rFonts w:hint="eastAsia"/>
          <w:rtl/>
        </w:rPr>
        <w:t>מעביד</w:t>
      </w:r>
      <w:r>
        <w:rPr>
          <w:rtl/>
        </w:rPr>
        <w:t xml:space="preserve"> – </w:t>
      </w:r>
      <w:r>
        <w:rPr>
          <w:rFonts w:hint="eastAsia"/>
          <w:rtl/>
        </w:rPr>
        <w:t>כהכנסת</w:t>
      </w:r>
      <w:r>
        <w:rPr>
          <w:rtl/>
        </w:rPr>
        <w:t xml:space="preserve"> </w:t>
      </w:r>
      <w:r>
        <w:rPr>
          <w:rFonts w:hint="eastAsia"/>
          <w:rtl/>
        </w:rPr>
        <w:t>עבודה</w:t>
      </w:r>
      <w:r>
        <w:rPr>
          <w:rtl/>
        </w:rPr>
        <w:t>;</w:t>
      </w:r>
    </w:p>
    <w:p w:rsidR="00ED79F5" w:rsidRPr="00052CC7" w:rsidRDefault="00ED79F5" w:rsidP="00ED79F5">
      <w:pPr>
        <w:pStyle w:val="Ruller5"/>
        <w:ind w:left="2160"/>
      </w:pPr>
      <w:r>
        <w:rPr>
          <w:rtl/>
        </w:rPr>
        <w:t>(</w:t>
      </w:r>
      <w:r>
        <w:rPr>
          <w:rFonts w:hint="eastAsia"/>
          <w:rtl/>
        </w:rPr>
        <w:t>ג</w:t>
      </w:r>
      <w:r>
        <w:rPr>
          <w:rtl/>
        </w:rPr>
        <w:t xml:space="preserve">)    </w:t>
      </w:r>
      <w:r>
        <w:rPr>
          <w:rFonts w:hint="eastAsia"/>
          <w:rtl/>
        </w:rPr>
        <w:t>במשיכה</w:t>
      </w:r>
      <w:r>
        <w:rPr>
          <w:rtl/>
        </w:rPr>
        <w:t xml:space="preserve"> </w:t>
      </w:r>
      <w:r>
        <w:rPr>
          <w:rFonts w:hint="eastAsia"/>
          <w:rtl/>
        </w:rPr>
        <w:t>שפסקת</w:t>
      </w:r>
      <w:r>
        <w:rPr>
          <w:rtl/>
        </w:rPr>
        <w:t xml:space="preserve"> </w:t>
      </w:r>
      <w:r>
        <w:rPr>
          <w:rFonts w:hint="eastAsia"/>
          <w:rtl/>
        </w:rPr>
        <w:t>משנה</w:t>
      </w:r>
      <w:r>
        <w:rPr>
          <w:rtl/>
        </w:rPr>
        <w:t xml:space="preserve"> (</w:t>
      </w:r>
      <w:r>
        <w:rPr>
          <w:rFonts w:hint="eastAsia"/>
          <w:rtl/>
        </w:rPr>
        <w:t>ב</w:t>
      </w:r>
      <w:r>
        <w:rPr>
          <w:rtl/>
        </w:rPr>
        <w:t xml:space="preserve">) </w:t>
      </w:r>
      <w:r>
        <w:rPr>
          <w:rFonts w:hint="eastAsia"/>
          <w:rtl/>
        </w:rPr>
        <w:t>אינה</w:t>
      </w:r>
      <w:r>
        <w:rPr>
          <w:rtl/>
        </w:rPr>
        <w:t xml:space="preserve"> </w:t>
      </w:r>
      <w:r>
        <w:rPr>
          <w:rFonts w:hint="eastAsia"/>
          <w:rtl/>
        </w:rPr>
        <w:t>חלה</w:t>
      </w:r>
      <w:r>
        <w:rPr>
          <w:rtl/>
        </w:rPr>
        <w:t xml:space="preserve"> </w:t>
      </w:r>
      <w:r>
        <w:rPr>
          <w:rFonts w:hint="eastAsia"/>
          <w:rtl/>
        </w:rPr>
        <w:t>עליה</w:t>
      </w:r>
      <w:r>
        <w:rPr>
          <w:rtl/>
        </w:rPr>
        <w:t xml:space="preserve"> – </w:t>
      </w:r>
      <w:r>
        <w:rPr>
          <w:rFonts w:hint="eastAsia"/>
          <w:rtl/>
        </w:rPr>
        <w:t>כהכנסה</w:t>
      </w:r>
      <w:r>
        <w:rPr>
          <w:rtl/>
        </w:rPr>
        <w:t xml:space="preserve"> </w:t>
      </w:r>
      <w:r>
        <w:rPr>
          <w:rFonts w:hint="eastAsia"/>
          <w:rtl/>
        </w:rPr>
        <w:t>מעסק</w:t>
      </w:r>
      <w:r>
        <w:rPr>
          <w:rtl/>
        </w:rPr>
        <w:t xml:space="preserve"> </w:t>
      </w:r>
      <w:r>
        <w:rPr>
          <w:rFonts w:hint="eastAsia"/>
          <w:rtl/>
        </w:rPr>
        <w:t>או</w:t>
      </w:r>
      <w:r>
        <w:rPr>
          <w:rtl/>
        </w:rPr>
        <w:t xml:space="preserve"> </w:t>
      </w:r>
      <w:r>
        <w:rPr>
          <w:rFonts w:hint="eastAsia"/>
          <w:rtl/>
        </w:rPr>
        <w:t>ממשלח</w:t>
      </w:r>
      <w:r>
        <w:rPr>
          <w:rtl/>
        </w:rPr>
        <w:t xml:space="preserve"> </w:t>
      </w:r>
      <w:r>
        <w:rPr>
          <w:rFonts w:hint="eastAsia"/>
          <w:rtl/>
        </w:rPr>
        <w:t>יד</w:t>
      </w:r>
      <w:r>
        <w:rPr>
          <w:rtl/>
        </w:rPr>
        <w:t>;</w:t>
      </w:r>
    </w:p>
    <w:p w:rsidR="00ED79F5" w:rsidRDefault="00ED79F5" w:rsidP="00ED79F5">
      <w:pPr>
        <w:pStyle w:val="Ruller41"/>
        <w:rPr>
          <w:rtl/>
        </w:rPr>
      </w:pPr>
    </w:p>
    <w:p w:rsidR="00ED79F5" w:rsidRDefault="00ED79F5" w:rsidP="00ED79F5">
      <w:pPr>
        <w:pStyle w:val="Ruller41"/>
        <w:rPr>
          <w:rtl/>
        </w:rPr>
      </w:pPr>
    </w:p>
    <w:p w:rsidR="00ED79F5" w:rsidRDefault="00ED79F5" w:rsidP="00ED79F5">
      <w:pPr>
        <w:pStyle w:val="Ruller41"/>
        <w:rPr>
          <w:rtl/>
        </w:rPr>
      </w:pPr>
      <w:r>
        <w:rPr>
          <w:rtl/>
        </w:rPr>
        <w:tab/>
      </w:r>
      <w:r w:rsidRPr="00052CC7">
        <w:rPr>
          <w:rtl/>
        </w:rPr>
        <w:t>"</w:t>
      </w:r>
      <w:r w:rsidRPr="00052CC7">
        <w:rPr>
          <w:rFonts w:hint="eastAsia"/>
          <w:rtl/>
        </w:rPr>
        <w:t>משיכה</w:t>
      </w:r>
      <w:r w:rsidRPr="00052CC7">
        <w:rPr>
          <w:rtl/>
        </w:rPr>
        <w:t xml:space="preserve"> </w:t>
      </w:r>
      <w:r w:rsidRPr="00052CC7">
        <w:rPr>
          <w:rFonts w:hint="eastAsia"/>
          <w:rtl/>
        </w:rPr>
        <w:t>מחברה</w:t>
      </w:r>
      <w:r w:rsidRPr="00052CC7">
        <w:rPr>
          <w:rtl/>
        </w:rPr>
        <w:t xml:space="preserve">" </w:t>
      </w:r>
      <w:r>
        <w:rPr>
          <w:rFonts w:hint="cs"/>
          <w:rtl/>
        </w:rPr>
        <w:t>מוגדרת לצורך הסעיף כ"</w:t>
      </w:r>
      <w:r w:rsidRPr="00052CC7">
        <w:rPr>
          <w:rFonts w:ascii="Century" w:hAnsi="Century" w:cs="Miriam" w:hint="eastAsia"/>
          <w:b/>
          <w:spacing w:val="0"/>
          <w:szCs w:val="24"/>
          <w:rtl/>
        </w:rPr>
        <w:t>משיכה</w:t>
      </w:r>
      <w:r w:rsidRPr="00052CC7">
        <w:rPr>
          <w:rFonts w:ascii="Century" w:hAnsi="Century" w:cs="Miriam"/>
          <w:b/>
          <w:spacing w:val="0"/>
          <w:szCs w:val="24"/>
          <w:rtl/>
        </w:rPr>
        <w:t xml:space="preserve"> </w:t>
      </w:r>
      <w:r w:rsidRPr="00052CC7">
        <w:rPr>
          <w:rFonts w:ascii="Century" w:hAnsi="Century" w:cs="Miriam" w:hint="eastAsia"/>
          <w:b/>
          <w:spacing w:val="0"/>
          <w:szCs w:val="24"/>
          <w:rtl/>
        </w:rPr>
        <w:t>של</w:t>
      </w:r>
      <w:r w:rsidRPr="00052CC7">
        <w:rPr>
          <w:rFonts w:ascii="Century" w:hAnsi="Century" w:cs="Miriam"/>
          <w:b/>
          <w:spacing w:val="0"/>
          <w:szCs w:val="24"/>
          <w:rtl/>
        </w:rPr>
        <w:t xml:space="preserve"> </w:t>
      </w:r>
      <w:r w:rsidRPr="00052CC7">
        <w:rPr>
          <w:rFonts w:ascii="Century" w:hAnsi="Century" w:cs="Miriam" w:hint="eastAsia"/>
          <w:b/>
          <w:spacing w:val="0"/>
          <w:szCs w:val="24"/>
          <w:rtl/>
        </w:rPr>
        <w:t>כספים</w:t>
      </w:r>
      <w:r w:rsidRPr="00052CC7">
        <w:rPr>
          <w:rFonts w:ascii="Century" w:hAnsi="Century" w:cs="Miriam"/>
          <w:b/>
          <w:spacing w:val="0"/>
          <w:szCs w:val="24"/>
          <w:rtl/>
        </w:rPr>
        <w:t xml:space="preserve"> </w:t>
      </w:r>
      <w:r w:rsidRPr="00052CC7">
        <w:rPr>
          <w:rFonts w:ascii="Century" w:hAnsi="Century" w:cs="Miriam" w:hint="eastAsia"/>
          <w:b/>
          <w:spacing w:val="0"/>
          <w:szCs w:val="24"/>
          <w:rtl/>
        </w:rPr>
        <w:t>מחברה</w:t>
      </w:r>
      <w:r w:rsidRPr="00052CC7">
        <w:rPr>
          <w:rFonts w:ascii="Century" w:hAnsi="Century" w:cs="Miriam"/>
          <w:b/>
          <w:spacing w:val="0"/>
          <w:szCs w:val="24"/>
          <w:rtl/>
        </w:rPr>
        <w:t xml:space="preserve"> </w:t>
      </w:r>
      <w:r w:rsidRPr="00052CC7">
        <w:rPr>
          <w:rFonts w:ascii="Century" w:hAnsi="Century" w:cs="Miriam" w:hint="eastAsia"/>
          <w:b/>
          <w:spacing w:val="0"/>
          <w:szCs w:val="24"/>
          <w:rtl/>
        </w:rPr>
        <w:t>על</w:t>
      </w:r>
      <w:r w:rsidRPr="00052CC7">
        <w:rPr>
          <w:rFonts w:ascii="Century" w:hAnsi="Century" w:cs="Miriam"/>
          <w:b/>
          <w:spacing w:val="0"/>
          <w:szCs w:val="24"/>
          <w:rtl/>
        </w:rPr>
        <w:t xml:space="preserve"> </w:t>
      </w:r>
      <w:r w:rsidRPr="00052CC7">
        <w:rPr>
          <w:rFonts w:ascii="Century" w:hAnsi="Century" w:cs="Miriam" w:hint="eastAsia"/>
          <w:b/>
          <w:spacing w:val="0"/>
          <w:szCs w:val="24"/>
          <w:rtl/>
        </w:rPr>
        <w:t>ידי</w:t>
      </w:r>
      <w:r w:rsidRPr="00052CC7">
        <w:rPr>
          <w:rFonts w:ascii="Century" w:hAnsi="Century" w:cs="Miriam"/>
          <w:b/>
          <w:spacing w:val="0"/>
          <w:szCs w:val="24"/>
          <w:rtl/>
        </w:rPr>
        <w:t xml:space="preserve"> </w:t>
      </w:r>
      <w:r w:rsidRPr="00052CC7">
        <w:rPr>
          <w:rFonts w:ascii="Century" w:hAnsi="Century" w:cs="Miriam" w:hint="eastAsia"/>
          <w:b/>
          <w:spacing w:val="0"/>
          <w:szCs w:val="24"/>
          <w:rtl/>
        </w:rPr>
        <w:t>בעל</w:t>
      </w:r>
      <w:r w:rsidRPr="00052CC7">
        <w:rPr>
          <w:rFonts w:ascii="Century" w:hAnsi="Century" w:cs="Miriam"/>
          <w:b/>
          <w:spacing w:val="0"/>
          <w:szCs w:val="24"/>
          <w:rtl/>
        </w:rPr>
        <w:t xml:space="preserve"> </w:t>
      </w:r>
      <w:r w:rsidRPr="00052CC7">
        <w:rPr>
          <w:rFonts w:ascii="Century" w:hAnsi="Century" w:cs="Miriam" w:hint="eastAsia"/>
          <w:b/>
          <w:spacing w:val="0"/>
          <w:szCs w:val="24"/>
          <w:rtl/>
        </w:rPr>
        <w:t>מניות</w:t>
      </w:r>
      <w:r w:rsidRPr="00052CC7">
        <w:rPr>
          <w:rFonts w:ascii="Century" w:hAnsi="Century" w:cs="Miriam"/>
          <w:b/>
          <w:spacing w:val="0"/>
          <w:szCs w:val="24"/>
          <w:rtl/>
        </w:rPr>
        <w:t xml:space="preserve"> </w:t>
      </w:r>
      <w:r w:rsidRPr="00052CC7">
        <w:rPr>
          <w:rFonts w:ascii="Century" w:hAnsi="Century" w:cs="Miriam" w:hint="eastAsia"/>
          <w:b/>
          <w:spacing w:val="0"/>
          <w:szCs w:val="24"/>
          <w:rtl/>
        </w:rPr>
        <w:t>מהותי</w:t>
      </w:r>
      <w:r w:rsidRPr="00052CC7">
        <w:rPr>
          <w:rFonts w:ascii="Century" w:hAnsi="Century" w:cs="Miriam"/>
          <w:b/>
          <w:spacing w:val="0"/>
          <w:szCs w:val="24"/>
          <w:rtl/>
        </w:rPr>
        <w:t xml:space="preserve"> </w:t>
      </w:r>
      <w:r w:rsidRPr="00052CC7">
        <w:rPr>
          <w:rFonts w:ascii="Century" w:hAnsi="Century" w:cs="Miriam" w:hint="eastAsia"/>
          <w:b/>
          <w:spacing w:val="0"/>
          <w:szCs w:val="24"/>
          <w:rtl/>
        </w:rPr>
        <w:t>או</w:t>
      </w:r>
      <w:r w:rsidRPr="00052CC7">
        <w:rPr>
          <w:rFonts w:ascii="Century" w:hAnsi="Century" w:cs="Miriam"/>
          <w:b/>
          <w:spacing w:val="0"/>
          <w:szCs w:val="24"/>
          <w:rtl/>
        </w:rPr>
        <w:t xml:space="preserve"> </w:t>
      </w:r>
      <w:r w:rsidRPr="00052CC7">
        <w:rPr>
          <w:rFonts w:ascii="Century" w:hAnsi="Century" w:cs="Miriam" w:hint="eastAsia"/>
          <w:b/>
          <w:spacing w:val="0"/>
          <w:szCs w:val="24"/>
          <w:rtl/>
        </w:rPr>
        <w:t>קרובו</w:t>
      </w:r>
      <w:r w:rsidRPr="00052CC7">
        <w:rPr>
          <w:rFonts w:ascii="Century" w:hAnsi="Century" w:cs="Miriam"/>
          <w:b/>
          <w:spacing w:val="0"/>
          <w:szCs w:val="24"/>
          <w:rtl/>
        </w:rPr>
        <w:t xml:space="preserve">, </w:t>
      </w:r>
      <w:r w:rsidRPr="00052CC7">
        <w:rPr>
          <w:rFonts w:ascii="Century" w:hAnsi="Century" w:cs="Miriam" w:hint="eastAsia"/>
          <w:b/>
          <w:spacing w:val="0"/>
          <w:szCs w:val="24"/>
          <w:rtl/>
        </w:rPr>
        <w:t>או</w:t>
      </w:r>
      <w:r w:rsidRPr="00052CC7">
        <w:rPr>
          <w:rFonts w:ascii="Century" w:hAnsi="Century" w:cs="Miriam"/>
          <w:b/>
          <w:spacing w:val="0"/>
          <w:szCs w:val="24"/>
          <w:rtl/>
        </w:rPr>
        <w:t xml:space="preserve"> </w:t>
      </w:r>
      <w:r w:rsidRPr="00052CC7">
        <w:rPr>
          <w:rFonts w:ascii="Century" w:hAnsi="Century" w:cs="Miriam" w:hint="eastAsia"/>
          <w:b/>
          <w:spacing w:val="0"/>
          <w:szCs w:val="24"/>
          <w:rtl/>
        </w:rPr>
        <w:t>העמדת</w:t>
      </w:r>
      <w:r w:rsidRPr="00052CC7">
        <w:rPr>
          <w:rFonts w:ascii="Century" w:hAnsi="Century" w:cs="Miriam"/>
          <w:b/>
          <w:spacing w:val="0"/>
          <w:szCs w:val="24"/>
          <w:rtl/>
        </w:rPr>
        <w:t xml:space="preserve"> </w:t>
      </w:r>
      <w:r w:rsidRPr="00052CC7">
        <w:rPr>
          <w:rFonts w:ascii="Century" w:hAnsi="Century" w:cs="Miriam" w:hint="eastAsia"/>
          <w:b/>
          <w:spacing w:val="0"/>
          <w:szCs w:val="24"/>
          <w:rtl/>
        </w:rPr>
        <w:t>נכס</w:t>
      </w:r>
      <w:r w:rsidRPr="00052CC7">
        <w:rPr>
          <w:rFonts w:ascii="Century" w:hAnsi="Century" w:cs="Miriam"/>
          <w:b/>
          <w:spacing w:val="0"/>
          <w:szCs w:val="24"/>
          <w:rtl/>
        </w:rPr>
        <w:t xml:space="preserve"> </w:t>
      </w:r>
      <w:r w:rsidRPr="00052CC7">
        <w:rPr>
          <w:rFonts w:ascii="Century" w:hAnsi="Century" w:cs="Miriam" w:hint="eastAsia"/>
          <w:b/>
          <w:spacing w:val="0"/>
          <w:szCs w:val="24"/>
          <w:rtl/>
        </w:rPr>
        <w:t>של</w:t>
      </w:r>
      <w:r w:rsidRPr="00052CC7">
        <w:rPr>
          <w:rFonts w:ascii="Century" w:hAnsi="Century" w:cs="Miriam"/>
          <w:b/>
          <w:spacing w:val="0"/>
          <w:szCs w:val="24"/>
          <w:rtl/>
        </w:rPr>
        <w:t xml:space="preserve"> </w:t>
      </w:r>
      <w:r w:rsidRPr="00052CC7">
        <w:rPr>
          <w:rFonts w:ascii="Century" w:hAnsi="Century" w:cs="Miriam" w:hint="eastAsia"/>
          <w:b/>
          <w:spacing w:val="0"/>
          <w:szCs w:val="24"/>
          <w:rtl/>
        </w:rPr>
        <w:t>חברה</w:t>
      </w:r>
      <w:r w:rsidRPr="00052CC7">
        <w:rPr>
          <w:rFonts w:ascii="Century" w:hAnsi="Century" w:cs="Miriam"/>
          <w:b/>
          <w:spacing w:val="0"/>
          <w:szCs w:val="24"/>
          <w:rtl/>
        </w:rPr>
        <w:t xml:space="preserve"> </w:t>
      </w:r>
      <w:r w:rsidRPr="00052CC7">
        <w:rPr>
          <w:rFonts w:ascii="Century" w:hAnsi="Century" w:cs="Miriam" w:hint="eastAsia"/>
          <w:b/>
          <w:spacing w:val="0"/>
          <w:szCs w:val="24"/>
          <w:rtl/>
        </w:rPr>
        <w:t>לשימושם</w:t>
      </w:r>
      <w:r w:rsidRPr="00052CC7">
        <w:rPr>
          <w:rFonts w:ascii="Century" w:hAnsi="Century" w:cs="Miriam"/>
          <w:b/>
          <w:spacing w:val="0"/>
          <w:szCs w:val="24"/>
          <w:rtl/>
        </w:rPr>
        <w:t xml:space="preserve">, </w:t>
      </w:r>
      <w:r w:rsidRPr="00052CC7">
        <w:rPr>
          <w:rFonts w:ascii="Century" w:hAnsi="Century" w:cs="Miriam" w:hint="eastAsia"/>
          <w:b/>
          <w:spacing w:val="0"/>
          <w:szCs w:val="24"/>
          <w:rtl/>
        </w:rPr>
        <w:t>והכול</w:t>
      </w:r>
      <w:r w:rsidRPr="00052CC7">
        <w:rPr>
          <w:rFonts w:ascii="Century" w:hAnsi="Century" w:cs="Miriam"/>
          <w:b/>
          <w:spacing w:val="0"/>
          <w:szCs w:val="24"/>
          <w:rtl/>
        </w:rPr>
        <w:t xml:space="preserve"> </w:t>
      </w:r>
      <w:r w:rsidRPr="00052CC7">
        <w:rPr>
          <w:rFonts w:ascii="Century" w:hAnsi="Century" w:cs="Miriam" w:hint="eastAsia"/>
          <w:b/>
          <w:spacing w:val="0"/>
          <w:szCs w:val="24"/>
          <w:rtl/>
        </w:rPr>
        <w:t>במישרין</w:t>
      </w:r>
      <w:r w:rsidRPr="00052CC7">
        <w:rPr>
          <w:rFonts w:ascii="Century" w:hAnsi="Century" w:cs="Miriam"/>
          <w:b/>
          <w:spacing w:val="0"/>
          <w:szCs w:val="24"/>
          <w:rtl/>
        </w:rPr>
        <w:t xml:space="preserve"> </w:t>
      </w:r>
      <w:r w:rsidRPr="00052CC7">
        <w:rPr>
          <w:rFonts w:ascii="Century" w:hAnsi="Century" w:cs="Miriam" w:hint="eastAsia"/>
          <w:b/>
          <w:spacing w:val="0"/>
          <w:szCs w:val="24"/>
          <w:rtl/>
        </w:rPr>
        <w:t>או</w:t>
      </w:r>
      <w:r w:rsidRPr="00052CC7">
        <w:rPr>
          <w:rFonts w:ascii="Century" w:hAnsi="Century" w:cs="Miriam"/>
          <w:b/>
          <w:spacing w:val="0"/>
          <w:szCs w:val="24"/>
          <w:rtl/>
        </w:rPr>
        <w:t xml:space="preserve"> </w:t>
      </w:r>
      <w:r w:rsidRPr="00052CC7">
        <w:rPr>
          <w:rFonts w:ascii="Century" w:hAnsi="Century" w:cs="Miriam" w:hint="eastAsia"/>
          <w:b/>
          <w:spacing w:val="0"/>
          <w:szCs w:val="24"/>
          <w:rtl/>
        </w:rPr>
        <w:t>בעקיפין</w:t>
      </w:r>
      <w:r w:rsidRPr="00052CC7">
        <w:rPr>
          <w:rFonts w:ascii="Century" w:hAnsi="Century" w:cs="Miriam"/>
          <w:b/>
          <w:spacing w:val="0"/>
          <w:szCs w:val="24"/>
          <w:rtl/>
        </w:rPr>
        <w:t xml:space="preserve">, </w:t>
      </w:r>
      <w:r w:rsidRPr="00052CC7">
        <w:rPr>
          <w:rFonts w:ascii="Century" w:hAnsi="Century" w:cs="Miriam" w:hint="eastAsia"/>
          <w:b/>
          <w:spacing w:val="0"/>
          <w:szCs w:val="24"/>
          <w:rtl/>
        </w:rPr>
        <w:t>למעט</w:t>
      </w:r>
      <w:r w:rsidRPr="00052CC7">
        <w:rPr>
          <w:rFonts w:ascii="Century" w:hAnsi="Century" w:cs="Miriam"/>
          <w:b/>
          <w:spacing w:val="0"/>
          <w:szCs w:val="24"/>
          <w:rtl/>
        </w:rPr>
        <w:t xml:space="preserve"> </w:t>
      </w:r>
      <w:r w:rsidRPr="00052CC7">
        <w:rPr>
          <w:rFonts w:ascii="Century" w:hAnsi="Century" w:cs="Miriam" w:hint="eastAsia"/>
          <w:b/>
          <w:spacing w:val="0"/>
          <w:szCs w:val="24"/>
          <w:rtl/>
        </w:rPr>
        <w:t>משיכה</w:t>
      </w:r>
      <w:r w:rsidRPr="00052CC7">
        <w:rPr>
          <w:rFonts w:ascii="Century" w:hAnsi="Century" w:cs="Miriam"/>
          <w:b/>
          <w:spacing w:val="0"/>
          <w:szCs w:val="24"/>
          <w:rtl/>
        </w:rPr>
        <w:t xml:space="preserve"> </w:t>
      </w:r>
      <w:r w:rsidRPr="00052CC7">
        <w:rPr>
          <w:rFonts w:ascii="Century" w:hAnsi="Century" w:cs="Miriam" w:hint="eastAsia"/>
          <w:b/>
          <w:spacing w:val="0"/>
          <w:szCs w:val="24"/>
          <w:rtl/>
        </w:rPr>
        <w:t>או</w:t>
      </w:r>
      <w:r w:rsidRPr="00052CC7">
        <w:rPr>
          <w:rFonts w:ascii="Century" w:hAnsi="Century" w:cs="Miriam"/>
          <w:b/>
          <w:spacing w:val="0"/>
          <w:szCs w:val="24"/>
          <w:rtl/>
        </w:rPr>
        <w:t xml:space="preserve"> </w:t>
      </w:r>
      <w:r w:rsidRPr="00052CC7">
        <w:rPr>
          <w:rFonts w:ascii="Century" w:hAnsi="Century" w:cs="Miriam" w:hint="eastAsia"/>
          <w:b/>
          <w:spacing w:val="0"/>
          <w:szCs w:val="24"/>
          <w:rtl/>
        </w:rPr>
        <w:t>העמדה</w:t>
      </w:r>
      <w:r w:rsidRPr="00052CC7">
        <w:rPr>
          <w:rFonts w:ascii="Century" w:hAnsi="Century" w:cs="Miriam"/>
          <w:b/>
          <w:spacing w:val="0"/>
          <w:szCs w:val="24"/>
          <w:rtl/>
        </w:rPr>
        <w:t xml:space="preserve"> </w:t>
      </w:r>
      <w:r w:rsidRPr="00052CC7">
        <w:rPr>
          <w:rFonts w:ascii="Century" w:hAnsi="Century" w:cs="Miriam" w:hint="eastAsia"/>
          <w:b/>
          <w:spacing w:val="0"/>
          <w:szCs w:val="24"/>
          <w:rtl/>
        </w:rPr>
        <w:t>לשימוש</w:t>
      </w:r>
      <w:r w:rsidRPr="00052CC7">
        <w:rPr>
          <w:rFonts w:ascii="Century" w:hAnsi="Century" w:cs="Miriam"/>
          <w:b/>
          <w:spacing w:val="0"/>
          <w:szCs w:val="24"/>
          <w:rtl/>
        </w:rPr>
        <w:t xml:space="preserve"> </w:t>
      </w:r>
      <w:r w:rsidRPr="00052CC7">
        <w:rPr>
          <w:rFonts w:ascii="Century" w:hAnsi="Century" w:cs="Miriam" w:hint="eastAsia"/>
          <w:b/>
          <w:spacing w:val="0"/>
          <w:szCs w:val="24"/>
          <w:rtl/>
        </w:rPr>
        <w:t>כאמור</w:t>
      </w:r>
      <w:r w:rsidRPr="00052CC7">
        <w:rPr>
          <w:rFonts w:ascii="Century" w:hAnsi="Century" w:cs="Miriam"/>
          <w:b/>
          <w:spacing w:val="0"/>
          <w:szCs w:val="24"/>
          <w:rtl/>
        </w:rPr>
        <w:t xml:space="preserve"> </w:t>
      </w:r>
      <w:r w:rsidRPr="00052CC7">
        <w:rPr>
          <w:rFonts w:ascii="Century" w:hAnsi="Century" w:cs="Miriam" w:hint="eastAsia"/>
          <w:b/>
          <w:spacing w:val="0"/>
          <w:szCs w:val="24"/>
          <w:rtl/>
        </w:rPr>
        <w:t>המהווה</w:t>
      </w:r>
      <w:r w:rsidRPr="00052CC7">
        <w:rPr>
          <w:rFonts w:ascii="Century" w:hAnsi="Century" w:cs="Miriam"/>
          <w:b/>
          <w:spacing w:val="0"/>
          <w:szCs w:val="24"/>
          <w:rtl/>
        </w:rPr>
        <w:t xml:space="preserve"> </w:t>
      </w:r>
      <w:r w:rsidRPr="00052CC7">
        <w:rPr>
          <w:rFonts w:ascii="Century" w:hAnsi="Century" w:cs="Miriam" w:hint="eastAsia"/>
          <w:b/>
          <w:spacing w:val="0"/>
          <w:szCs w:val="24"/>
          <w:rtl/>
        </w:rPr>
        <w:t>הכנסה</w:t>
      </w:r>
      <w:r w:rsidRPr="00052CC7">
        <w:rPr>
          <w:rFonts w:ascii="Century" w:hAnsi="Century" w:cs="Miriam"/>
          <w:b/>
          <w:spacing w:val="0"/>
          <w:szCs w:val="24"/>
          <w:rtl/>
        </w:rPr>
        <w:t xml:space="preserve"> </w:t>
      </w:r>
      <w:r w:rsidRPr="00052CC7">
        <w:rPr>
          <w:rFonts w:ascii="Century" w:hAnsi="Century" w:cs="Miriam" w:hint="eastAsia"/>
          <w:b/>
          <w:spacing w:val="0"/>
          <w:szCs w:val="24"/>
          <w:rtl/>
        </w:rPr>
        <w:t>אשר</w:t>
      </w:r>
      <w:r w:rsidRPr="00052CC7">
        <w:rPr>
          <w:rFonts w:ascii="Century" w:hAnsi="Century" w:cs="Miriam"/>
          <w:b/>
          <w:spacing w:val="0"/>
          <w:szCs w:val="24"/>
          <w:rtl/>
        </w:rPr>
        <w:t xml:space="preserve"> </w:t>
      </w:r>
      <w:r w:rsidRPr="00052CC7">
        <w:rPr>
          <w:rFonts w:ascii="Century" w:hAnsi="Century" w:cs="Miriam" w:hint="eastAsia"/>
          <w:b/>
          <w:spacing w:val="0"/>
          <w:szCs w:val="24"/>
          <w:rtl/>
        </w:rPr>
        <w:t>חויבה</w:t>
      </w:r>
      <w:r w:rsidRPr="00052CC7">
        <w:rPr>
          <w:rFonts w:ascii="Century" w:hAnsi="Century" w:cs="Miriam"/>
          <w:b/>
          <w:spacing w:val="0"/>
          <w:szCs w:val="24"/>
          <w:rtl/>
        </w:rPr>
        <w:t xml:space="preserve"> </w:t>
      </w:r>
      <w:r w:rsidRPr="00052CC7">
        <w:rPr>
          <w:rFonts w:ascii="Century" w:hAnsi="Century" w:cs="Miriam" w:hint="eastAsia"/>
          <w:b/>
          <w:spacing w:val="0"/>
          <w:szCs w:val="24"/>
          <w:rtl/>
        </w:rPr>
        <w:t>במלוא</w:t>
      </w:r>
      <w:r w:rsidRPr="00052CC7">
        <w:rPr>
          <w:rFonts w:ascii="Century" w:hAnsi="Century" w:cs="Miriam"/>
          <w:b/>
          <w:spacing w:val="0"/>
          <w:szCs w:val="24"/>
          <w:rtl/>
        </w:rPr>
        <w:t xml:space="preserve"> </w:t>
      </w:r>
      <w:r w:rsidRPr="00052CC7">
        <w:rPr>
          <w:rFonts w:ascii="Century" w:hAnsi="Century" w:cs="Miriam" w:hint="eastAsia"/>
          <w:b/>
          <w:spacing w:val="0"/>
          <w:szCs w:val="24"/>
          <w:rtl/>
        </w:rPr>
        <w:t>המס</w:t>
      </w:r>
      <w:r>
        <w:rPr>
          <w:rFonts w:hint="cs"/>
          <w:rtl/>
        </w:rPr>
        <w:t xml:space="preserve">"; </w:t>
      </w:r>
      <w:r w:rsidRPr="00052CC7">
        <w:rPr>
          <w:rFonts w:ascii="Century" w:hAnsi="Century" w:hint="cs"/>
          <w:rtl/>
        </w:rPr>
        <w:t>ו"בעל מניות מהותי" מוגדר כ"</w:t>
      </w:r>
      <w:r w:rsidRPr="00052CC7">
        <w:rPr>
          <w:rFonts w:ascii="Century" w:hAnsi="Century" w:cs="Miriam" w:hint="eastAsia"/>
          <w:b/>
          <w:spacing w:val="0"/>
          <w:szCs w:val="24"/>
          <w:rtl/>
        </w:rPr>
        <w:t>מי</w:t>
      </w:r>
      <w:r w:rsidRPr="00052CC7">
        <w:rPr>
          <w:rFonts w:ascii="Century" w:hAnsi="Century" w:cs="Miriam"/>
          <w:b/>
          <w:spacing w:val="0"/>
          <w:szCs w:val="24"/>
          <w:rtl/>
        </w:rPr>
        <w:t xml:space="preserve"> </w:t>
      </w:r>
      <w:r w:rsidRPr="00052CC7">
        <w:rPr>
          <w:rFonts w:ascii="Century" w:hAnsi="Century" w:cs="Miriam" w:hint="eastAsia"/>
          <w:b/>
          <w:spacing w:val="0"/>
          <w:szCs w:val="24"/>
          <w:rtl/>
        </w:rPr>
        <w:t>שמחזיק</w:t>
      </w:r>
      <w:r w:rsidRPr="00052CC7">
        <w:rPr>
          <w:rFonts w:ascii="Century" w:hAnsi="Century" w:cs="Miriam"/>
          <w:b/>
          <w:spacing w:val="0"/>
          <w:szCs w:val="24"/>
          <w:rtl/>
        </w:rPr>
        <w:t xml:space="preserve">, </w:t>
      </w:r>
      <w:r w:rsidRPr="00052CC7">
        <w:rPr>
          <w:rFonts w:ascii="Century" w:hAnsi="Century" w:cs="Miriam" w:hint="eastAsia"/>
          <w:b/>
          <w:spacing w:val="0"/>
          <w:szCs w:val="24"/>
          <w:rtl/>
        </w:rPr>
        <w:t>במישרין</w:t>
      </w:r>
      <w:r w:rsidRPr="00052CC7">
        <w:rPr>
          <w:rFonts w:ascii="Century" w:hAnsi="Century" w:cs="Miriam"/>
          <w:b/>
          <w:spacing w:val="0"/>
          <w:szCs w:val="24"/>
          <w:rtl/>
        </w:rPr>
        <w:t xml:space="preserve"> </w:t>
      </w:r>
      <w:r w:rsidRPr="00052CC7">
        <w:rPr>
          <w:rFonts w:ascii="Century" w:hAnsi="Century" w:cs="Miriam" w:hint="eastAsia"/>
          <w:b/>
          <w:spacing w:val="0"/>
          <w:szCs w:val="24"/>
          <w:rtl/>
        </w:rPr>
        <w:t>או</w:t>
      </w:r>
      <w:r w:rsidRPr="00052CC7">
        <w:rPr>
          <w:rFonts w:ascii="Century" w:hAnsi="Century" w:cs="Miriam"/>
          <w:b/>
          <w:spacing w:val="0"/>
          <w:szCs w:val="24"/>
          <w:rtl/>
        </w:rPr>
        <w:t xml:space="preserve"> </w:t>
      </w:r>
      <w:r w:rsidRPr="00052CC7">
        <w:rPr>
          <w:rFonts w:ascii="Century" w:hAnsi="Century" w:cs="Miriam" w:hint="eastAsia"/>
          <w:b/>
          <w:spacing w:val="0"/>
          <w:szCs w:val="24"/>
          <w:rtl/>
        </w:rPr>
        <w:t>בעקיפין</w:t>
      </w:r>
      <w:r w:rsidRPr="00052CC7">
        <w:rPr>
          <w:rFonts w:ascii="Century" w:hAnsi="Century" w:cs="Miriam"/>
          <w:b/>
          <w:spacing w:val="0"/>
          <w:szCs w:val="24"/>
          <w:rtl/>
        </w:rPr>
        <w:t xml:space="preserve">, </w:t>
      </w:r>
      <w:r w:rsidRPr="00052CC7">
        <w:rPr>
          <w:rFonts w:ascii="Century" w:hAnsi="Century" w:cs="Miriam" w:hint="eastAsia"/>
          <w:b/>
          <w:spacing w:val="0"/>
          <w:szCs w:val="24"/>
          <w:rtl/>
        </w:rPr>
        <w:t>לבדו</w:t>
      </w:r>
      <w:r w:rsidRPr="00052CC7">
        <w:rPr>
          <w:rFonts w:ascii="Century" w:hAnsi="Century" w:cs="Miriam"/>
          <w:b/>
          <w:spacing w:val="0"/>
          <w:szCs w:val="24"/>
          <w:rtl/>
        </w:rPr>
        <w:t xml:space="preserve"> </w:t>
      </w:r>
      <w:r w:rsidRPr="00052CC7">
        <w:rPr>
          <w:rFonts w:ascii="Century" w:hAnsi="Century" w:cs="Miriam" w:hint="eastAsia"/>
          <w:b/>
          <w:spacing w:val="0"/>
          <w:szCs w:val="24"/>
          <w:rtl/>
        </w:rPr>
        <w:t>או</w:t>
      </w:r>
      <w:r w:rsidRPr="00052CC7">
        <w:rPr>
          <w:rFonts w:ascii="Century" w:hAnsi="Century" w:cs="Miriam"/>
          <w:b/>
          <w:spacing w:val="0"/>
          <w:szCs w:val="24"/>
          <w:rtl/>
        </w:rPr>
        <w:t xml:space="preserve"> </w:t>
      </w:r>
      <w:r w:rsidRPr="00052CC7">
        <w:rPr>
          <w:rFonts w:ascii="Century" w:hAnsi="Century" w:cs="Miriam" w:hint="eastAsia"/>
          <w:b/>
          <w:spacing w:val="0"/>
          <w:szCs w:val="24"/>
          <w:rtl/>
        </w:rPr>
        <w:t>יחד</w:t>
      </w:r>
      <w:r w:rsidRPr="00052CC7">
        <w:rPr>
          <w:rFonts w:ascii="Century" w:hAnsi="Century" w:cs="Miriam"/>
          <w:b/>
          <w:spacing w:val="0"/>
          <w:szCs w:val="24"/>
          <w:rtl/>
        </w:rPr>
        <w:t xml:space="preserve"> </w:t>
      </w:r>
      <w:r w:rsidRPr="00052CC7">
        <w:rPr>
          <w:rFonts w:ascii="Century" w:hAnsi="Century" w:cs="Miriam" w:hint="eastAsia"/>
          <w:b/>
          <w:spacing w:val="0"/>
          <w:szCs w:val="24"/>
          <w:rtl/>
        </w:rPr>
        <w:t>עם</w:t>
      </w:r>
      <w:r w:rsidRPr="00052CC7">
        <w:rPr>
          <w:rFonts w:ascii="Century" w:hAnsi="Century" w:cs="Miriam"/>
          <w:b/>
          <w:spacing w:val="0"/>
          <w:szCs w:val="24"/>
          <w:rtl/>
        </w:rPr>
        <w:t xml:space="preserve"> </w:t>
      </w:r>
      <w:r w:rsidRPr="00052CC7">
        <w:rPr>
          <w:rFonts w:ascii="Century" w:hAnsi="Century" w:cs="Miriam" w:hint="eastAsia"/>
          <w:b/>
          <w:spacing w:val="0"/>
          <w:szCs w:val="24"/>
          <w:rtl/>
        </w:rPr>
        <w:t>אחר</w:t>
      </w:r>
      <w:r w:rsidRPr="00052CC7">
        <w:rPr>
          <w:rFonts w:ascii="Century" w:hAnsi="Century" w:cs="Miriam"/>
          <w:b/>
          <w:spacing w:val="0"/>
          <w:szCs w:val="24"/>
          <w:rtl/>
        </w:rPr>
        <w:t xml:space="preserve">, </w:t>
      </w:r>
      <w:r w:rsidRPr="00052CC7">
        <w:rPr>
          <w:rFonts w:ascii="Century" w:hAnsi="Century" w:cs="Miriam" w:hint="eastAsia"/>
          <w:b/>
          <w:spacing w:val="0"/>
          <w:szCs w:val="24"/>
          <w:rtl/>
        </w:rPr>
        <w:t>ב</w:t>
      </w:r>
      <w:r w:rsidRPr="00052CC7">
        <w:rPr>
          <w:rFonts w:ascii="Century" w:hAnsi="Century" w:cs="Miriam"/>
          <w:b/>
          <w:spacing w:val="0"/>
          <w:szCs w:val="24"/>
          <w:rtl/>
        </w:rPr>
        <w:t xml:space="preserve">-10% </w:t>
      </w:r>
      <w:r w:rsidRPr="00052CC7">
        <w:rPr>
          <w:rFonts w:ascii="Century" w:hAnsi="Century" w:cs="Miriam" w:hint="eastAsia"/>
          <w:b/>
          <w:spacing w:val="0"/>
          <w:szCs w:val="24"/>
          <w:rtl/>
        </w:rPr>
        <w:t>לפחות</w:t>
      </w:r>
      <w:r w:rsidRPr="00052CC7">
        <w:rPr>
          <w:rFonts w:ascii="Century" w:hAnsi="Century" w:cs="Miriam"/>
          <w:b/>
          <w:spacing w:val="0"/>
          <w:szCs w:val="24"/>
          <w:rtl/>
        </w:rPr>
        <w:t xml:space="preserve"> </w:t>
      </w:r>
      <w:r w:rsidRPr="00052CC7">
        <w:rPr>
          <w:rFonts w:ascii="Century" w:hAnsi="Century" w:cs="Miriam" w:hint="eastAsia"/>
          <w:b/>
          <w:spacing w:val="0"/>
          <w:szCs w:val="24"/>
          <w:rtl/>
        </w:rPr>
        <w:t>באחד</w:t>
      </w:r>
      <w:r w:rsidRPr="00052CC7">
        <w:rPr>
          <w:rFonts w:ascii="Century" w:hAnsi="Century" w:cs="Miriam"/>
          <w:b/>
          <w:spacing w:val="0"/>
          <w:szCs w:val="24"/>
          <w:rtl/>
        </w:rPr>
        <w:t xml:space="preserve"> </w:t>
      </w:r>
      <w:r w:rsidRPr="00052CC7">
        <w:rPr>
          <w:rFonts w:ascii="Century" w:hAnsi="Century" w:cs="Miriam" w:hint="eastAsia"/>
          <w:b/>
          <w:spacing w:val="0"/>
          <w:szCs w:val="24"/>
          <w:rtl/>
        </w:rPr>
        <w:t>או</w:t>
      </w:r>
      <w:r w:rsidRPr="00052CC7">
        <w:rPr>
          <w:rFonts w:ascii="Century" w:hAnsi="Century" w:cs="Miriam"/>
          <w:b/>
          <w:spacing w:val="0"/>
          <w:szCs w:val="24"/>
          <w:rtl/>
        </w:rPr>
        <w:t xml:space="preserve"> </w:t>
      </w:r>
      <w:r w:rsidRPr="00052CC7">
        <w:rPr>
          <w:rFonts w:ascii="Century" w:hAnsi="Century" w:cs="Miriam" w:hint="eastAsia"/>
          <w:b/>
          <w:spacing w:val="0"/>
          <w:szCs w:val="24"/>
          <w:rtl/>
        </w:rPr>
        <w:t>יותר</w:t>
      </w:r>
      <w:r w:rsidRPr="00052CC7">
        <w:rPr>
          <w:rFonts w:ascii="Century" w:hAnsi="Century" w:cs="Miriam"/>
          <w:b/>
          <w:spacing w:val="0"/>
          <w:szCs w:val="24"/>
          <w:rtl/>
        </w:rPr>
        <w:t xml:space="preserve"> </w:t>
      </w:r>
      <w:r w:rsidRPr="00052CC7">
        <w:rPr>
          <w:rFonts w:ascii="Century" w:hAnsi="Century" w:cs="Miriam" w:hint="eastAsia"/>
          <w:b/>
          <w:spacing w:val="0"/>
          <w:szCs w:val="24"/>
          <w:rtl/>
        </w:rPr>
        <w:t>מסוג</w:t>
      </w:r>
      <w:r w:rsidRPr="00052CC7">
        <w:rPr>
          <w:rFonts w:ascii="Century" w:hAnsi="Century" w:cs="Miriam"/>
          <w:b/>
          <w:spacing w:val="0"/>
          <w:szCs w:val="24"/>
          <w:rtl/>
        </w:rPr>
        <w:t xml:space="preserve"> </w:t>
      </w:r>
      <w:r w:rsidRPr="00052CC7">
        <w:rPr>
          <w:rFonts w:ascii="Century" w:hAnsi="Century" w:cs="Miriam" w:hint="eastAsia"/>
          <w:b/>
          <w:spacing w:val="0"/>
          <w:szCs w:val="24"/>
          <w:rtl/>
        </w:rPr>
        <w:t>כלשהו</w:t>
      </w:r>
      <w:r w:rsidRPr="00052CC7">
        <w:rPr>
          <w:rFonts w:ascii="Century" w:hAnsi="Century" w:cs="Miriam"/>
          <w:b/>
          <w:spacing w:val="0"/>
          <w:szCs w:val="24"/>
          <w:rtl/>
        </w:rPr>
        <w:t xml:space="preserve"> </w:t>
      </w:r>
      <w:r w:rsidRPr="00052CC7">
        <w:rPr>
          <w:rFonts w:ascii="Century" w:hAnsi="Century" w:cs="Miriam" w:hint="eastAsia"/>
          <w:b/>
          <w:spacing w:val="0"/>
          <w:szCs w:val="24"/>
          <w:rtl/>
        </w:rPr>
        <w:t>של</w:t>
      </w:r>
      <w:r w:rsidRPr="00052CC7">
        <w:rPr>
          <w:rFonts w:ascii="Century" w:hAnsi="Century" w:cs="Miriam"/>
          <w:b/>
          <w:spacing w:val="0"/>
          <w:szCs w:val="24"/>
          <w:rtl/>
        </w:rPr>
        <w:t xml:space="preserve"> </w:t>
      </w:r>
      <w:r w:rsidRPr="00052CC7">
        <w:rPr>
          <w:rFonts w:ascii="Century" w:hAnsi="Century" w:cs="Miriam" w:hint="eastAsia"/>
          <w:b/>
          <w:spacing w:val="0"/>
          <w:szCs w:val="24"/>
          <w:rtl/>
        </w:rPr>
        <w:t>אמצעי</w:t>
      </w:r>
      <w:r w:rsidRPr="00052CC7">
        <w:rPr>
          <w:rFonts w:ascii="Century" w:hAnsi="Century" w:cs="Miriam"/>
          <w:b/>
          <w:spacing w:val="0"/>
          <w:szCs w:val="24"/>
          <w:rtl/>
        </w:rPr>
        <w:t xml:space="preserve"> </w:t>
      </w:r>
      <w:r w:rsidRPr="00052CC7">
        <w:rPr>
          <w:rFonts w:ascii="Century" w:hAnsi="Century" w:cs="Miriam" w:hint="eastAsia"/>
          <w:b/>
          <w:spacing w:val="0"/>
          <w:szCs w:val="24"/>
          <w:rtl/>
        </w:rPr>
        <w:t>השליטה</w:t>
      </w:r>
      <w:r w:rsidRPr="00052CC7">
        <w:rPr>
          <w:rFonts w:ascii="Century" w:hAnsi="Century" w:cs="Miriam"/>
          <w:b/>
          <w:spacing w:val="0"/>
          <w:szCs w:val="24"/>
          <w:rtl/>
        </w:rPr>
        <w:t xml:space="preserve"> </w:t>
      </w:r>
      <w:r w:rsidRPr="00052CC7">
        <w:rPr>
          <w:rFonts w:ascii="Century" w:hAnsi="Century" w:cs="Miriam" w:hint="eastAsia"/>
          <w:b/>
          <w:spacing w:val="0"/>
          <w:szCs w:val="24"/>
          <w:rtl/>
        </w:rPr>
        <w:t>בחבר</w:t>
      </w:r>
      <w:r w:rsidRPr="00052CC7">
        <w:rPr>
          <w:rFonts w:ascii="Century" w:hAnsi="Century" w:cs="Miriam"/>
          <w:b/>
          <w:spacing w:val="0"/>
          <w:szCs w:val="24"/>
          <w:rtl/>
        </w:rPr>
        <w:t>-</w:t>
      </w:r>
      <w:r w:rsidRPr="00052CC7">
        <w:rPr>
          <w:rFonts w:ascii="Century" w:hAnsi="Century" w:cs="Miriam" w:hint="eastAsia"/>
          <w:b/>
          <w:spacing w:val="0"/>
          <w:szCs w:val="24"/>
          <w:rtl/>
        </w:rPr>
        <w:t>בני</w:t>
      </w:r>
      <w:r w:rsidRPr="00052CC7">
        <w:rPr>
          <w:rFonts w:ascii="Century" w:hAnsi="Century" w:cs="Miriam"/>
          <w:b/>
          <w:spacing w:val="0"/>
          <w:szCs w:val="24"/>
          <w:rtl/>
        </w:rPr>
        <w:t>-</w:t>
      </w:r>
      <w:r w:rsidRPr="00052CC7">
        <w:rPr>
          <w:rFonts w:ascii="Century" w:hAnsi="Century" w:cs="Miriam" w:hint="eastAsia"/>
          <w:b/>
          <w:spacing w:val="0"/>
          <w:szCs w:val="24"/>
          <w:rtl/>
        </w:rPr>
        <w:t>אדם</w:t>
      </w:r>
      <w:r>
        <w:rPr>
          <w:rFonts w:hint="cs"/>
          <w:rtl/>
        </w:rPr>
        <w:t>" (ראו סעיף 3(ט1)(1) וסעיף 88 לפקודה).</w:t>
      </w:r>
    </w:p>
    <w:p w:rsidR="00ED79F5" w:rsidRDefault="00ED79F5" w:rsidP="00ED79F5">
      <w:pPr>
        <w:pStyle w:val="Ruller41"/>
        <w:rPr>
          <w:rtl/>
        </w:rPr>
      </w:pPr>
    </w:p>
    <w:p w:rsidR="00ED79F5" w:rsidRDefault="00ED79F5" w:rsidP="00ED79F5">
      <w:pPr>
        <w:pStyle w:val="Ruller4"/>
        <w:rPr>
          <w:rtl/>
        </w:rPr>
      </w:pPr>
      <w:r>
        <w:rPr>
          <w:rFonts w:hint="cs"/>
          <w:rtl/>
        </w:rPr>
        <w:t>מקריאת נוסח הסעיף ניתן ללמוד כי המחוקק נתן דעתו למצבים בהם מי שהוא בעל מניות מהותי בחברה מנצל את כוחו על מנת לבצע משיכות של כספים מהחברה או להעמיד לרשותו נכס מנכסיה בדרך שאינה מחייבת אותו לפי חוק בתשלום מס על מלוא הסכום שהגיע לכיסו (למשל בדרך של הלוואה); וכך הוא זוכה לעשות שימוש בכספי החברה ובנכסיה וליהנות מהם מבלי לשלם עליהם מס כדין. כך גם עולה מדברי ההסבר לסעיף, שם נכתב כי "</w:t>
      </w:r>
      <w:r w:rsidRPr="00A919AE">
        <w:rPr>
          <w:rFonts w:ascii="Century" w:hAnsi="Century" w:cs="Miriam" w:hint="eastAsia"/>
          <w:b/>
          <w:spacing w:val="0"/>
          <w:szCs w:val="24"/>
          <w:rtl/>
        </w:rPr>
        <w:t>אחת</w:t>
      </w:r>
      <w:r w:rsidRPr="00A919AE">
        <w:rPr>
          <w:rFonts w:ascii="Century" w:hAnsi="Century" w:cs="Miriam"/>
          <w:b/>
          <w:spacing w:val="0"/>
          <w:szCs w:val="24"/>
          <w:rtl/>
        </w:rPr>
        <w:t xml:space="preserve"> </w:t>
      </w:r>
      <w:r w:rsidRPr="00A919AE">
        <w:rPr>
          <w:rFonts w:ascii="Century" w:hAnsi="Century" w:cs="Miriam" w:hint="eastAsia"/>
          <w:b/>
          <w:spacing w:val="0"/>
          <w:szCs w:val="24"/>
          <w:rtl/>
        </w:rPr>
        <w:t>התופעות</w:t>
      </w:r>
      <w:r w:rsidRPr="00A919AE">
        <w:rPr>
          <w:rFonts w:ascii="Century" w:hAnsi="Century" w:cs="Miriam"/>
          <w:b/>
          <w:spacing w:val="0"/>
          <w:szCs w:val="24"/>
          <w:rtl/>
        </w:rPr>
        <w:t xml:space="preserve"> </w:t>
      </w:r>
      <w:r w:rsidRPr="00A919AE">
        <w:rPr>
          <w:rFonts w:ascii="Century" w:hAnsi="Century" w:cs="Miriam" w:hint="eastAsia"/>
          <w:b/>
          <w:spacing w:val="0"/>
          <w:szCs w:val="24"/>
          <w:rtl/>
        </w:rPr>
        <w:t>הנפוצות</w:t>
      </w:r>
      <w:r w:rsidRPr="00A919AE">
        <w:rPr>
          <w:rFonts w:ascii="Century" w:hAnsi="Century" w:cs="Miriam"/>
          <w:b/>
          <w:spacing w:val="0"/>
          <w:szCs w:val="24"/>
          <w:rtl/>
        </w:rPr>
        <w:t xml:space="preserve"> </w:t>
      </w:r>
      <w:r w:rsidRPr="00A919AE">
        <w:rPr>
          <w:rFonts w:ascii="Century" w:hAnsi="Century" w:cs="Miriam" w:hint="eastAsia"/>
          <w:b/>
          <w:spacing w:val="0"/>
          <w:szCs w:val="24"/>
          <w:rtl/>
        </w:rPr>
        <w:t>של</w:t>
      </w:r>
      <w:r w:rsidRPr="00A919AE">
        <w:rPr>
          <w:rFonts w:ascii="Century" w:hAnsi="Century" w:cs="Miriam"/>
          <w:b/>
          <w:spacing w:val="0"/>
          <w:szCs w:val="24"/>
          <w:rtl/>
        </w:rPr>
        <w:t xml:space="preserve"> </w:t>
      </w:r>
      <w:r w:rsidRPr="00A919AE">
        <w:rPr>
          <w:rFonts w:ascii="Century" w:hAnsi="Century" w:cs="Miriam" w:hint="eastAsia"/>
          <w:b/>
          <w:spacing w:val="0"/>
          <w:szCs w:val="24"/>
          <w:rtl/>
        </w:rPr>
        <w:t>ניצול</w:t>
      </w:r>
      <w:r w:rsidRPr="00A919AE">
        <w:rPr>
          <w:rFonts w:ascii="Century" w:hAnsi="Century" w:cs="Miriam"/>
          <w:b/>
          <w:spacing w:val="0"/>
          <w:szCs w:val="24"/>
          <w:rtl/>
        </w:rPr>
        <w:t xml:space="preserve"> </w:t>
      </w:r>
      <w:r w:rsidRPr="00A919AE">
        <w:rPr>
          <w:rFonts w:ascii="Century" w:hAnsi="Century" w:cs="Miriam" w:hint="eastAsia"/>
          <w:b/>
          <w:spacing w:val="0"/>
          <w:szCs w:val="24"/>
          <w:rtl/>
        </w:rPr>
        <w:t>לרעה</w:t>
      </w:r>
      <w:r w:rsidRPr="00A919AE">
        <w:rPr>
          <w:rFonts w:ascii="Century" w:hAnsi="Century" w:cs="Miriam"/>
          <w:b/>
          <w:spacing w:val="0"/>
          <w:szCs w:val="24"/>
          <w:rtl/>
        </w:rPr>
        <w:t xml:space="preserve"> </w:t>
      </w:r>
      <w:r w:rsidRPr="00A919AE">
        <w:rPr>
          <w:rFonts w:ascii="Century" w:hAnsi="Century" w:cs="Miriam" w:hint="eastAsia"/>
          <w:b/>
          <w:spacing w:val="0"/>
          <w:szCs w:val="24"/>
          <w:rtl/>
        </w:rPr>
        <w:t>של</w:t>
      </w:r>
      <w:r w:rsidRPr="00A919AE">
        <w:rPr>
          <w:rFonts w:ascii="Century" w:hAnsi="Century" w:cs="Miriam"/>
          <w:b/>
          <w:spacing w:val="0"/>
          <w:szCs w:val="24"/>
          <w:rtl/>
        </w:rPr>
        <w:t xml:space="preserve"> </w:t>
      </w:r>
      <w:r w:rsidRPr="00A919AE">
        <w:rPr>
          <w:rFonts w:ascii="Century" w:hAnsi="Century" w:cs="Miriam" w:hint="eastAsia"/>
          <w:b/>
          <w:spacing w:val="0"/>
          <w:szCs w:val="24"/>
          <w:rtl/>
        </w:rPr>
        <w:t>שיטת</w:t>
      </w:r>
      <w:r w:rsidRPr="00A919AE">
        <w:rPr>
          <w:rFonts w:ascii="Century" w:hAnsi="Century" w:cs="Miriam"/>
          <w:b/>
          <w:spacing w:val="0"/>
          <w:szCs w:val="24"/>
          <w:rtl/>
        </w:rPr>
        <w:t xml:space="preserve"> </w:t>
      </w:r>
      <w:r w:rsidRPr="00A919AE">
        <w:rPr>
          <w:rFonts w:ascii="Century" w:hAnsi="Century" w:cs="Miriam" w:hint="eastAsia"/>
          <w:b/>
          <w:spacing w:val="0"/>
          <w:szCs w:val="24"/>
          <w:rtl/>
        </w:rPr>
        <w:t>המיסוי</w:t>
      </w:r>
      <w:r w:rsidRPr="00A919AE">
        <w:rPr>
          <w:rFonts w:ascii="Century" w:hAnsi="Century" w:cs="Miriam"/>
          <w:b/>
          <w:spacing w:val="0"/>
          <w:szCs w:val="24"/>
          <w:rtl/>
        </w:rPr>
        <w:t xml:space="preserve"> </w:t>
      </w:r>
      <w:r w:rsidRPr="00A919AE">
        <w:rPr>
          <w:rFonts w:ascii="Century" w:hAnsi="Century" w:cs="Miriam" w:hint="eastAsia"/>
          <w:b/>
          <w:spacing w:val="0"/>
          <w:szCs w:val="24"/>
          <w:rtl/>
        </w:rPr>
        <w:t>הד</w:t>
      </w:r>
      <w:r>
        <w:rPr>
          <w:rFonts w:ascii="Century" w:hAnsi="Century" w:cs="Miriam" w:hint="cs"/>
          <w:b/>
          <w:spacing w:val="0"/>
          <w:szCs w:val="24"/>
          <w:rtl/>
        </w:rPr>
        <w:t>ו-שלבי</w:t>
      </w:r>
      <w:r w:rsidRPr="00A919AE">
        <w:rPr>
          <w:rFonts w:ascii="Century" w:hAnsi="Century" w:cs="Miriam"/>
          <w:b/>
          <w:spacing w:val="0"/>
          <w:szCs w:val="24"/>
          <w:rtl/>
        </w:rPr>
        <w:t xml:space="preserve"> </w:t>
      </w:r>
      <w:r w:rsidRPr="00A919AE">
        <w:rPr>
          <w:rFonts w:ascii="Century" w:hAnsi="Century" w:cs="Miriam" w:hint="eastAsia"/>
          <w:b/>
          <w:spacing w:val="0"/>
          <w:szCs w:val="24"/>
          <w:rtl/>
        </w:rPr>
        <w:t>היא</w:t>
      </w:r>
      <w:r w:rsidRPr="00A919AE">
        <w:rPr>
          <w:rFonts w:ascii="Century" w:hAnsi="Century" w:cs="Miriam"/>
          <w:b/>
          <w:spacing w:val="0"/>
          <w:szCs w:val="24"/>
          <w:rtl/>
        </w:rPr>
        <w:t xml:space="preserve"> </w:t>
      </w:r>
      <w:r w:rsidRPr="00A919AE">
        <w:rPr>
          <w:rFonts w:ascii="Century" w:hAnsi="Century" w:cs="Miriam" w:hint="eastAsia"/>
          <w:b/>
          <w:spacing w:val="0"/>
          <w:szCs w:val="24"/>
          <w:rtl/>
        </w:rPr>
        <w:t>משיכות</w:t>
      </w:r>
      <w:r w:rsidRPr="00A919AE">
        <w:rPr>
          <w:rFonts w:ascii="Century" w:hAnsi="Century" w:cs="Miriam"/>
          <w:b/>
          <w:spacing w:val="0"/>
          <w:szCs w:val="24"/>
          <w:rtl/>
        </w:rPr>
        <w:t xml:space="preserve"> </w:t>
      </w:r>
      <w:r w:rsidRPr="00A919AE">
        <w:rPr>
          <w:rFonts w:ascii="Century" w:hAnsi="Century" w:cs="Miriam" w:hint="eastAsia"/>
          <w:b/>
          <w:spacing w:val="0"/>
          <w:szCs w:val="24"/>
          <w:rtl/>
        </w:rPr>
        <w:t>של</w:t>
      </w:r>
      <w:r w:rsidRPr="00A919AE">
        <w:rPr>
          <w:rFonts w:ascii="Century" w:hAnsi="Century" w:cs="Miriam"/>
          <w:b/>
          <w:spacing w:val="0"/>
          <w:szCs w:val="24"/>
          <w:rtl/>
        </w:rPr>
        <w:t xml:space="preserve"> </w:t>
      </w:r>
      <w:r w:rsidRPr="00A919AE">
        <w:rPr>
          <w:rFonts w:ascii="Century" w:hAnsi="Century" w:cs="Miriam" w:hint="eastAsia"/>
          <w:b/>
          <w:spacing w:val="0"/>
          <w:szCs w:val="24"/>
          <w:rtl/>
        </w:rPr>
        <w:t>כספים</w:t>
      </w:r>
      <w:r w:rsidRPr="00A919AE">
        <w:rPr>
          <w:rFonts w:ascii="Century" w:hAnsi="Century" w:cs="Miriam"/>
          <w:b/>
          <w:spacing w:val="0"/>
          <w:szCs w:val="24"/>
          <w:rtl/>
        </w:rPr>
        <w:t xml:space="preserve"> </w:t>
      </w:r>
      <w:r w:rsidRPr="00A919AE">
        <w:rPr>
          <w:rFonts w:ascii="Century" w:hAnsi="Century" w:cs="Miriam" w:hint="eastAsia"/>
          <w:b/>
          <w:spacing w:val="0"/>
          <w:szCs w:val="24"/>
          <w:rtl/>
        </w:rPr>
        <w:t>או</w:t>
      </w:r>
      <w:r w:rsidRPr="00A919AE">
        <w:rPr>
          <w:rFonts w:ascii="Century" w:hAnsi="Century" w:cs="Miriam"/>
          <w:b/>
          <w:spacing w:val="0"/>
          <w:szCs w:val="24"/>
          <w:rtl/>
        </w:rPr>
        <w:t xml:space="preserve"> </w:t>
      </w:r>
      <w:r w:rsidRPr="00A919AE">
        <w:rPr>
          <w:rFonts w:ascii="Century" w:hAnsi="Century" w:cs="Miriam" w:hint="eastAsia"/>
          <w:b/>
          <w:spacing w:val="0"/>
          <w:szCs w:val="24"/>
          <w:rtl/>
        </w:rPr>
        <w:t>נכסים</w:t>
      </w:r>
      <w:r w:rsidRPr="00A919AE">
        <w:rPr>
          <w:rFonts w:ascii="Century" w:hAnsi="Century" w:cs="Miriam"/>
          <w:b/>
          <w:spacing w:val="0"/>
          <w:szCs w:val="24"/>
          <w:rtl/>
        </w:rPr>
        <w:t xml:space="preserve"> </w:t>
      </w:r>
      <w:r w:rsidRPr="00A919AE">
        <w:rPr>
          <w:rFonts w:ascii="Century" w:hAnsi="Century" w:cs="Miriam" w:hint="eastAsia"/>
          <w:b/>
          <w:spacing w:val="0"/>
          <w:szCs w:val="24"/>
          <w:rtl/>
        </w:rPr>
        <w:t>מחברה</w:t>
      </w:r>
      <w:r w:rsidRPr="00A919AE">
        <w:rPr>
          <w:rFonts w:ascii="Century" w:hAnsi="Century" w:cs="Miriam"/>
          <w:b/>
          <w:spacing w:val="0"/>
          <w:szCs w:val="24"/>
          <w:rtl/>
        </w:rPr>
        <w:t xml:space="preserve"> </w:t>
      </w:r>
      <w:r w:rsidRPr="00A919AE">
        <w:rPr>
          <w:rFonts w:ascii="Century" w:hAnsi="Century" w:cs="Miriam" w:hint="eastAsia"/>
          <w:b/>
          <w:spacing w:val="0"/>
          <w:szCs w:val="24"/>
          <w:rtl/>
        </w:rPr>
        <w:t>בידי</w:t>
      </w:r>
      <w:r w:rsidRPr="00A919AE">
        <w:rPr>
          <w:rFonts w:ascii="Century" w:hAnsi="Century" w:cs="Miriam"/>
          <w:b/>
          <w:spacing w:val="0"/>
          <w:szCs w:val="24"/>
          <w:rtl/>
        </w:rPr>
        <w:t xml:space="preserve"> </w:t>
      </w:r>
      <w:r w:rsidRPr="00A919AE">
        <w:rPr>
          <w:rFonts w:ascii="Century" w:hAnsi="Century" w:cs="Miriam" w:hint="eastAsia"/>
          <w:b/>
          <w:spacing w:val="0"/>
          <w:szCs w:val="24"/>
          <w:rtl/>
        </w:rPr>
        <w:t>בעלי</w:t>
      </w:r>
      <w:r w:rsidRPr="00A919AE">
        <w:rPr>
          <w:rFonts w:ascii="Century" w:hAnsi="Century" w:cs="Miriam"/>
          <w:b/>
          <w:spacing w:val="0"/>
          <w:szCs w:val="24"/>
          <w:rtl/>
        </w:rPr>
        <w:t xml:space="preserve"> </w:t>
      </w:r>
      <w:r w:rsidRPr="00A919AE">
        <w:rPr>
          <w:rFonts w:ascii="Century" w:hAnsi="Century" w:cs="Miriam" w:hint="eastAsia"/>
          <w:b/>
          <w:spacing w:val="0"/>
          <w:szCs w:val="24"/>
          <w:rtl/>
        </w:rPr>
        <w:t>המניות</w:t>
      </w:r>
      <w:r w:rsidRPr="00A919AE">
        <w:rPr>
          <w:rFonts w:ascii="Century" w:hAnsi="Century" w:cs="Miriam"/>
          <w:b/>
          <w:spacing w:val="0"/>
          <w:szCs w:val="24"/>
          <w:rtl/>
        </w:rPr>
        <w:t xml:space="preserve"> </w:t>
      </w:r>
      <w:r w:rsidRPr="00A919AE">
        <w:rPr>
          <w:rFonts w:ascii="Century" w:hAnsi="Century" w:cs="Miriam" w:hint="eastAsia"/>
          <w:b/>
          <w:spacing w:val="0"/>
          <w:szCs w:val="24"/>
          <w:rtl/>
        </w:rPr>
        <w:t>של</w:t>
      </w:r>
      <w:r w:rsidRPr="00A919AE">
        <w:rPr>
          <w:rFonts w:ascii="Century" w:hAnsi="Century" w:cs="Miriam"/>
          <w:b/>
          <w:spacing w:val="0"/>
          <w:szCs w:val="24"/>
          <w:rtl/>
        </w:rPr>
        <w:t xml:space="preserve"> </w:t>
      </w:r>
      <w:r w:rsidRPr="00A919AE">
        <w:rPr>
          <w:rFonts w:ascii="Century" w:hAnsi="Century" w:cs="Miriam" w:hint="eastAsia"/>
          <w:b/>
          <w:spacing w:val="0"/>
          <w:szCs w:val="24"/>
          <w:rtl/>
        </w:rPr>
        <w:t>החברה</w:t>
      </w:r>
      <w:r w:rsidRPr="00A919AE">
        <w:rPr>
          <w:rFonts w:ascii="Century" w:hAnsi="Century" w:cs="Miriam"/>
          <w:b/>
          <w:spacing w:val="0"/>
          <w:szCs w:val="24"/>
          <w:rtl/>
        </w:rPr>
        <w:t xml:space="preserve">, </w:t>
      </w:r>
      <w:r w:rsidRPr="00A919AE">
        <w:rPr>
          <w:rFonts w:ascii="Century" w:hAnsi="Century" w:cs="Miriam" w:hint="eastAsia"/>
          <w:b/>
          <w:spacing w:val="0"/>
          <w:szCs w:val="24"/>
          <w:rtl/>
        </w:rPr>
        <w:t>אשר</w:t>
      </w:r>
      <w:r w:rsidRPr="00A919AE">
        <w:rPr>
          <w:rFonts w:ascii="Century" w:hAnsi="Century" w:cs="Miriam"/>
          <w:b/>
          <w:spacing w:val="0"/>
          <w:szCs w:val="24"/>
          <w:rtl/>
        </w:rPr>
        <w:t xml:space="preserve"> </w:t>
      </w:r>
      <w:r w:rsidRPr="00A919AE">
        <w:rPr>
          <w:rFonts w:ascii="Century" w:hAnsi="Century" w:cs="Miriam" w:hint="eastAsia"/>
          <w:b/>
          <w:spacing w:val="0"/>
          <w:szCs w:val="24"/>
          <w:rtl/>
        </w:rPr>
        <w:t>משמשות</w:t>
      </w:r>
      <w:r w:rsidRPr="00A919AE">
        <w:rPr>
          <w:rFonts w:ascii="Century" w:hAnsi="Century" w:cs="Miriam"/>
          <w:b/>
          <w:spacing w:val="0"/>
          <w:szCs w:val="24"/>
          <w:rtl/>
        </w:rPr>
        <w:t xml:space="preserve"> </w:t>
      </w:r>
      <w:r w:rsidRPr="00A919AE">
        <w:rPr>
          <w:rFonts w:ascii="Century" w:hAnsi="Century" w:cs="Miriam" w:hint="eastAsia"/>
          <w:b/>
          <w:spacing w:val="0"/>
          <w:szCs w:val="24"/>
          <w:rtl/>
        </w:rPr>
        <w:t>את</w:t>
      </w:r>
      <w:r w:rsidRPr="00A919AE">
        <w:rPr>
          <w:rFonts w:ascii="Century" w:hAnsi="Century" w:cs="Miriam"/>
          <w:b/>
          <w:spacing w:val="0"/>
          <w:szCs w:val="24"/>
          <w:rtl/>
        </w:rPr>
        <w:t xml:space="preserve"> </w:t>
      </w:r>
      <w:r w:rsidRPr="00A919AE">
        <w:rPr>
          <w:rFonts w:ascii="Century" w:hAnsi="Century" w:cs="Miriam" w:hint="eastAsia"/>
          <w:b/>
          <w:spacing w:val="0"/>
          <w:szCs w:val="24"/>
          <w:rtl/>
        </w:rPr>
        <w:t>בעלי</w:t>
      </w:r>
      <w:r w:rsidRPr="00A919AE">
        <w:rPr>
          <w:rFonts w:ascii="Century" w:hAnsi="Century" w:cs="Miriam"/>
          <w:b/>
          <w:spacing w:val="0"/>
          <w:szCs w:val="24"/>
          <w:rtl/>
        </w:rPr>
        <w:t xml:space="preserve"> </w:t>
      </w:r>
      <w:r w:rsidRPr="00A919AE">
        <w:rPr>
          <w:rFonts w:ascii="Century" w:hAnsi="Century" w:cs="Miriam" w:hint="eastAsia"/>
          <w:b/>
          <w:spacing w:val="0"/>
          <w:szCs w:val="24"/>
          <w:rtl/>
        </w:rPr>
        <w:t>המניות</w:t>
      </w:r>
      <w:r w:rsidRPr="00A919AE">
        <w:rPr>
          <w:rFonts w:ascii="Century" w:hAnsi="Century" w:cs="Miriam"/>
          <w:b/>
          <w:spacing w:val="0"/>
          <w:szCs w:val="24"/>
          <w:rtl/>
        </w:rPr>
        <w:t xml:space="preserve"> </w:t>
      </w:r>
      <w:r w:rsidRPr="00A919AE">
        <w:rPr>
          <w:rFonts w:ascii="Century" w:hAnsi="Century" w:cs="Miriam" w:hint="eastAsia"/>
          <w:b/>
          <w:spacing w:val="0"/>
          <w:szCs w:val="24"/>
          <w:rtl/>
        </w:rPr>
        <w:t>ואינן</w:t>
      </w:r>
      <w:r w:rsidRPr="00A919AE">
        <w:rPr>
          <w:rFonts w:ascii="Century" w:hAnsi="Century" w:cs="Miriam"/>
          <w:b/>
          <w:spacing w:val="0"/>
          <w:szCs w:val="24"/>
          <w:rtl/>
        </w:rPr>
        <w:t xml:space="preserve"> </w:t>
      </w:r>
      <w:r w:rsidRPr="00A919AE">
        <w:rPr>
          <w:rFonts w:ascii="Century" w:hAnsi="Century" w:cs="Miriam" w:hint="eastAsia"/>
          <w:b/>
          <w:spacing w:val="0"/>
          <w:szCs w:val="24"/>
          <w:rtl/>
        </w:rPr>
        <w:t>מוחזרות</w:t>
      </w:r>
      <w:r w:rsidRPr="00A919AE">
        <w:rPr>
          <w:rFonts w:ascii="Century" w:hAnsi="Century" w:cs="Miriam"/>
          <w:b/>
          <w:spacing w:val="0"/>
          <w:szCs w:val="24"/>
          <w:rtl/>
        </w:rPr>
        <w:t xml:space="preserve"> </w:t>
      </w:r>
      <w:r w:rsidRPr="00A919AE">
        <w:rPr>
          <w:rFonts w:ascii="Century" w:hAnsi="Century" w:cs="Miriam" w:hint="eastAsia"/>
          <w:b/>
          <w:spacing w:val="0"/>
          <w:szCs w:val="24"/>
          <w:rtl/>
        </w:rPr>
        <w:t>במשך</w:t>
      </w:r>
      <w:r w:rsidRPr="00A919AE">
        <w:rPr>
          <w:rFonts w:ascii="Century" w:hAnsi="Century" w:cs="Miriam"/>
          <w:b/>
          <w:spacing w:val="0"/>
          <w:szCs w:val="24"/>
          <w:rtl/>
        </w:rPr>
        <w:t xml:space="preserve"> </w:t>
      </w:r>
      <w:r w:rsidRPr="00A919AE">
        <w:rPr>
          <w:rFonts w:ascii="Century" w:hAnsi="Century" w:cs="Miriam" w:hint="eastAsia"/>
          <w:b/>
          <w:spacing w:val="0"/>
          <w:szCs w:val="24"/>
          <w:rtl/>
        </w:rPr>
        <w:t>פרק</w:t>
      </w:r>
      <w:r w:rsidRPr="00A919AE">
        <w:rPr>
          <w:rFonts w:ascii="Century" w:hAnsi="Century" w:cs="Miriam"/>
          <w:b/>
          <w:spacing w:val="0"/>
          <w:szCs w:val="24"/>
          <w:rtl/>
        </w:rPr>
        <w:t xml:space="preserve"> </w:t>
      </w:r>
      <w:r w:rsidRPr="00A919AE">
        <w:rPr>
          <w:rFonts w:ascii="Century" w:hAnsi="Century" w:cs="Miriam" w:hint="eastAsia"/>
          <w:b/>
          <w:spacing w:val="0"/>
          <w:szCs w:val="24"/>
          <w:rtl/>
        </w:rPr>
        <w:t>זמן</w:t>
      </w:r>
      <w:r w:rsidRPr="00A919AE">
        <w:rPr>
          <w:rFonts w:ascii="Century" w:hAnsi="Century" w:cs="Miriam"/>
          <w:b/>
          <w:spacing w:val="0"/>
          <w:szCs w:val="24"/>
          <w:rtl/>
        </w:rPr>
        <w:t xml:space="preserve"> </w:t>
      </w:r>
      <w:r w:rsidRPr="00A919AE">
        <w:rPr>
          <w:rFonts w:ascii="Century" w:hAnsi="Century" w:cs="Miriam" w:hint="eastAsia"/>
          <w:b/>
          <w:spacing w:val="0"/>
          <w:szCs w:val="24"/>
          <w:rtl/>
        </w:rPr>
        <w:t>ארוך</w:t>
      </w:r>
      <w:r w:rsidRPr="00A919AE">
        <w:rPr>
          <w:rFonts w:ascii="Century" w:hAnsi="Century" w:cs="Miriam"/>
          <w:b/>
          <w:spacing w:val="0"/>
          <w:szCs w:val="24"/>
          <w:rtl/>
        </w:rPr>
        <w:t xml:space="preserve">, </w:t>
      </w:r>
      <w:r w:rsidRPr="00A919AE">
        <w:rPr>
          <w:rFonts w:ascii="Century" w:hAnsi="Century" w:cs="Miriam" w:hint="eastAsia"/>
          <w:b/>
          <w:spacing w:val="0"/>
          <w:szCs w:val="24"/>
          <w:rtl/>
        </w:rPr>
        <w:t>ולעתים</w:t>
      </w:r>
      <w:r w:rsidRPr="00A919AE">
        <w:rPr>
          <w:rFonts w:ascii="Century" w:hAnsi="Century" w:cs="Miriam"/>
          <w:b/>
          <w:spacing w:val="0"/>
          <w:szCs w:val="24"/>
          <w:rtl/>
        </w:rPr>
        <w:t xml:space="preserve"> </w:t>
      </w:r>
      <w:r w:rsidRPr="00A919AE">
        <w:rPr>
          <w:rFonts w:ascii="Century" w:hAnsi="Century" w:cs="Miriam" w:hint="eastAsia"/>
          <w:b/>
          <w:spacing w:val="0"/>
          <w:szCs w:val="24"/>
          <w:rtl/>
        </w:rPr>
        <w:t>אינן</w:t>
      </w:r>
      <w:r w:rsidRPr="00A919AE">
        <w:rPr>
          <w:rFonts w:ascii="Century" w:hAnsi="Century" w:cs="Miriam"/>
          <w:b/>
          <w:spacing w:val="0"/>
          <w:szCs w:val="24"/>
          <w:rtl/>
        </w:rPr>
        <w:t xml:space="preserve"> </w:t>
      </w:r>
      <w:r w:rsidRPr="00A919AE">
        <w:rPr>
          <w:rFonts w:ascii="Century" w:hAnsi="Century" w:cs="Miriam" w:hint="eastAsia"/>
          <w:b/>
          <w:spacing w:val="0"/>
          <w:szCs w:val="24"/>
          <w:rtl/>
        </w:rPr>
        <w:t>מוחזרות</w:t>
      </w:r>
      <w:r w:rsidRPr="00A919AE">
        <w:rPr>
          <w:rFonts w:ascii="Century" w:hAnsi="Century" w:cs="Miriam"/>
          <w:b/>
          <w:spacing w:val="0"/>
          <w:szCs w:val="24"/>
          <w:rtl/>
        </w:rPr>
        <w:t xml:space="preserve"> </w:t>
      </w:r>
      <w:r w:rsidRPr="00A919AE">
        <w:rPr>
          <w:rFonts w:ascii="Century" w:hAnsi="Century" w:cs="Miriam" w:hint="eastAsia"/>
          <w:b/>
          <w:spacing w:val="0"/>
          <w:szCs w:val="24"/>
          <w:rtl/>
        </w:rPr>
        <w:t>כלל</w:t>
      </w:r>
      <w:r w:rsidRPr="00A919AE">
        <w:rPr>
          <w:rFonts w:ascii="Century" w:hAnsi="Century" w:cs="Miriam"/>
          <w:b/>
          <w:spacing w:val="0"/>
          <w:szCs w:val="24"/>
          <w:rtl/>
        </w:rPr>
        <w:t xml:space="preserve">. </w:t>
      </w:r>
      <w:r w:rsidRPr="00A919AE">
        <w:rPr>
          <w:rFonts w:ascii="Century" w:hAnsi="Century" w:cs="Miriam" w:hint="eastAsia"/>
          <w:b/>
          <w:spacing w:val="0"/>
          <w:szCs w:val="24"/>
          <w:rtl/>
        </w:rPr>
        <w:t>המשיכות</w:t>
      </w:r>
      <w:r w:rsidRPr="00A919AE">
        <w:rPr>
          <w:rFonts w:ascii="Century" w:hAnsi="Century" w:cs="Miriam"/>
          <w:b/>
          <w:spacing w:val="0"/>
          <w:szCs w:val="24"/>
          <w:rtl/>
        </w:rPr>
        <w:t xml:space="preserve"> </w:t>
      </w:r>
      <w:r w:rsidRPr="00A919AE">
        <w:rPr>
          <w:rFonts w:ascii="Century" w:hAnsi="Century" w:cs="Miriam" w:hint="eastAsia"/>
          <w:b/>
          <w:spacing w:val="0"/>
          <w:szCs w:val="24"/>
          <w:rtl/>
        </w:rPr>
        <w:t>מוגדרות</w:t>
      </w:r>
      <w:r w:rsidRPr="00A919AE">
        <w:rPr>
          <w:rFonts w:ascii="Century" w:hAnsi="Century" w:cs="Miriam"/>
          <w:b/>
          <w:spacing w:val="0"/>
          <w:szCs w:val="24"/>
          <w:rtl/>
        </w:rPr>
        <w:t xml:space="preserve"> </w:t>
      </w:r>
      <w:r w:rsidRPr="00A919AE">
        <w:rPr>
          <w:rFonts w:ascii="Century" w:hAnsi="Century" w:cs="Miriam" w:hint="eastAsia"/>
          <w:b/>
          <w:spacing w:val="0"/>
          <w:szCs w:val="24"/>
          <w:rtl/>
        </w:rPr>
        <w:t>על</w:t>
      </w:r>
      <w:r w:rsidRPr="00A919AE">
        <w:rPr>
          <w:rFonts w:ascii="Century" w:hAnsi="Century" w:cs="Miriam"/>
          <w:b/>
          <w:spacing w:val="0"/>
          <w:szCs w:val="24"/>
          <w:rtl/>
        </w:rPr>
        <w:t xml:space="preserve"> </w:t>
      </w:r>
      <w:r w:rsidRPr="00A919AE">
        <w:rPr>
          <w:rFonts w:ascii="Century" w:hAnsi="Century" w:cs="Miriam" w:hint="eastAsia"/>
          <w:b/>
          <w:spacing w:val="0"/>
          <w:szCs w:val="24"/>
          <w:rtl/>
        </w:rPr>
        <w:t>ידי</w:t>
      </w:r>
      <w:r w:rsidRPr="00A919AE">
        <w:rPr>
          <w:rFonts w:ascii="Century" w:hAnsi="Century" w:cs="Miriam"/>
          <w:b/>
          <w:spacing w:val="0"/>
          <w:szCs w:val="24"/>
          <w:rtl/>
        </w:rPr>
        <w:t xml:space="preserve"> </w:t>
      </w:r>
      <w:r w:rsidRPr="00A919AE">
        <w:rPr>
          <w:rFonts w:ascii="Century" w:hAnsi="Century" w:cs="Miriam" w:hint="eastAsia"/>
          <w:b/>
          <w:spacing w:val="0"/>
          <w:szCs w:val="24"/>
          <w:rtl/>
        </w:rPr>
        <w:t>בעלי</w:t>
      </w:r>
      <w:r w:rsidRPr="00A919AE">
        <w:rPr>
          <w:rFonts w:ascii="Century" w:hAnsi="Century" w:cs="Miriam"/>
          <w:b/>
          <w:spacing w:val="0"/>
          <w:szCs w:val="24"/>
          <w:rtl/>
        </w:rPr>
        <w:t xml:space="preserve"> </w:t>
      </w:r>
      <w:r w:rsidRPr="00A919AE">
        <w:rPr>
          <w:rFonts w:ascii="Century" w:hAnsi="Century" w:cs="Miriam" w:hint="eastAsia"/>
          <w:b/>
          <w:spacing w:val="0"/>
          <w:szCs w:val="24"/>
          <w:rtl/>
        </w:rPr>
        <w:t>המניות</w:t>
      </w:r>
      <w:r w:rsidRPr="00A919AE">
        <w:rPr>
          <w:rFonts w:ascii="Century" w:hAnsi="Century" w:cs="Miriam"/>
          <w:b/>
          <w:spacing w:val="0"/>
          <w:szCs w:val="24"/>
          <w:rtl/>
        </w:rPr>
        <w:t xml:space="preserve"> </w:t>
      </w:r>
      <w:r w:rsidRPr="00A919AE">
        <w:rPr>
          <w:rFonts w:ascii="Century" w:hAnsi="Century" w:cs="Miriam" w:hint="eastAsia"/>
          <w:b/>
          <w:spacing w:val="0"/>
          <w:szCs w:val="24"/>
          <w:rtl/>
        </w:rPr>
        <w:t>כהלוואה</w:t>
      </w:r>
      <w:r w:rsidRPr="00A919AE">
        <w:rPr>
          <w:rFonts w:ascii="Century" w:hAnsi="Century" w:cs="Miriam"/>
          <w:b/>
          <w:spacing w:val="0"/>
          <w:szCs w:val="24"/>
          <w:rtl/>
        </w:rPr>
        <w:t xml:space="preserve"> </w:t>
      </w:r>
      <w:r w:rsidRPr="00A919AE">
        <w:rPr>
          <w:rFonts w:ascii="Century" w:hAnsi="Century" w:cs="Miriam" w:hint="eastAsia"/>
          <w:b/>
          <w:spacing w:val="0"/>
          <w:szCs w:val="24"/>
          <w:rtl/>
        </w:rPr>
        <w:t>שתוחזר</w:t>
      </w:r>
      <w:r w:rsidRPr="00A919AE">
        <w:rPr>
          <w:rFonts w:ascii="Century" w:hAnsi="Century" w:cs="Miriam"/>
          <w:b/>
          <w:spacing w:val="0"/>
          <w:szCs w:val="24"/>
          <w:rtl/>
        </w:rPr>
        <w:t xml:space="preserve"> </w:t>
      </w:r>
      <w:r w:rsidRPr="00A919AE">
        <w:rPr>
          <w:rFonts w:ascii="Century" w:hAnsi="Century" w:cs="Miriam" w:hint="eastAsia"/>
          <w:b/>
          <w:spacing w:val="0"/>
          <w:szCs w:val="24"/>
          <w:rtl/>
        </w:rPr>
        <w:t>לחברה</w:t>
      </w:r>
      <w:r w:rsidRPr="00A919AE">
        <w:rPr>
          <w:rFonts w:ascii="Century" w:hAnsi="Century" w:cs="Miriam"/>
          <w:b/>
          <w:spacing w:val="0"/>
          <w:szCs w:val="24"/>
          <w:rtl/>
        </w:rPr>
        <w:t xml:space="preserve"> </w:t>
      </w:r>
      <w:r w:rsidRPr="00A919AE">
        <w:rPr>
          <w:rFonts w:ascii="Century" w:hAnsi="Century" w:cs="Miriam" w:hint="eastAsia"/>
          <w:b/>
          <w:spacing w:val="0"/>
          <w:szCs w:val="24"/>
          <w:rtl/>
        </w:rPr>
        <w:t>בבוא</w:t>
      </w:r>
      <w:r w:rsidRPr="00A919AE">
        <w:rPr>
          <w:rFonts w:ascii="Century" w:hAnsi="Century" w:cs="Miriam"/>
          <w:b/>
          <w:spacing w:val="0"/>
          <w:szCs w:val="24"/>
          <w:rtl/>
        </w:rPr>
        <w:t xml:space="preserve"> </w:t>
      </w:r>
      <w:r w:rsidRPr="00A919AE">
        <w:rPr>
          <w:rFonts w:ascii="Century" w:hAnsi="Century" w:cs="Miriam" w:hint="eastAsia"/>
          <w:b/>
          <w:spacing w:val="0"/>
          <w:szCs w:val="24"/>
          <w:rtl/>
        </w:rPr>
        <w:t>היום</w:t>
      </w:r>
      <w:r w:rsidRPr="00A919AE">
        <w:rPr>
          <w:rFonts w:ascii="Century" w:hAnsi="Century" w:cs="Miriam"/>
          <w:b/>
          <w:spacing w:val="0"/>
          <w:szCs w:val="24"/>
          <w:rtl/>
        </w:rPr>
        <w:t xml:space="preserve">, </w:t>
      </w:r>
      <w:r w:rsidRPr="00A919AE">
        <w:rPr>
          <w:rFonts w:ascii="Century" w:hAnsi="Century" w:cs="Miriam" w:hint="eastAsia"/>
          <w:b/>
          <w:spacing w:val="0"/>
          <w:szCs w:val="24"/>
          <w:rtl/>
        </w:rPr>
        <w:t>או</w:t>
      </w:r>
      <w:r w:rsidRPr="00A919AE">
        <w:rPr>
          <w:rFonts w:ascii="Century" w:hAnsi="Century" w:cs="Miriam"/>
          <w:b/>
          <w:spacing w:val="0"/>
          <w:szCs w:val="24"/>
          <w:rtl/>
        </w:rPr>
        <w:t xml:space="preserve"> </w:t>
      </w:r>
      <w:r w:rsidRPr="00A919AE">
        <w:rPr>
          <w:rFonts w:ascii="Century" w:hAnsi="Century" w:cs="Miriam" w:hint="eastAsia"/>
          <w:b/>
          <w:spacing w:val="0"/>
          <w:szCs w:val="24"/>
          <w:rtl/>
        </w:rPr>
        <w:t>בתום</w:t>
      </w:r>
      <w:r w:rsidRPr="00A919AE">
        <w:rPr>
          <w:rFonts w:ascii="Century" w:hAnsi="Century" w:cs="Miriam"/>
          <w:b/>
          <w:spacing w:val="0"/>
          <w:szCs w:val="24"/>
          <w:rtl/>
        </w:rPr>
        <w:t xml:space="preserve"> </w:t>
      </w:r>
      <w:r w:rsidRPr="00A919AE">
        <w:rPr>
          <w:rFonts w:ascii="Century" w:hAnsi="Century" w:cs="Miriam" w:hint="eastAsia"/>
          <w:b/>
          <w:spacing w:val="0"/>
          <w:szCs w:val="24"/>
          <w:rtl/>
        </w:rPr>
        <w:t>תקופה</w:t>
      </w:r>
      <w:r w:rsidRPr="00A919AE">
        <w:rPr>
          <w:rFonts w:ascii="Century" w:hAnsi="Century" w:cs="Miriam"/>
          <w:b/>
          <w:spacing w:val="0"/>
          <w:szCs w:val="24"/>
          <w:rtl/>
        </w:rPr>
        <w:t xml:space="preserve"> </w:t>
      </w:r>
      <w:r w:rsidRPr="00A919AE">
        <w:rPr>
          <w:rFonts w:ascii="Century" w:hAnsi="Century" w:cs="Miriam" w:hint="eastAsia"/>
          <w:b/>
          <w:spacing w:val="0"/>
          <w:szCs w:val="24"/>
          <w:rtl/>
        </w:rPr>
        <w:t>ארוכה</w:t>
      </w:r>
      <w:r>
        <w:rPr>
          <w:rFonts w:hint="cs"/>
          <w:rtl/>
        </w:rPr>
        <w:t>" (דברי הסבר ל</w:t>
      </w:r>
      <w:r w:rsidRPr="00A919AE">
        <w:rPr>
          <w:rFonts w:hint="eastAsia"/>
          <w:rtl/>
        </w:rPr>
        <w:t>הצעת</w:t>
      </w:r>
      <w:r w:rsidRPr="00A919AE">
        <w:rPr>
          <w:rtl/>
        </w:rPr>
        <w:t xml:space="preserve"> </w:t>
      </w:r>
      <w:r w:rsidRPr="00A919AE">
        <w:rPr>
          <w:rFonts w:hint="eastAsia"/>
          <w:rtl/>
        </w:rPr>
        <w:t>חוק</w:t>
      </w:r>
      <w:r w:rsidRPr="00A919AE">
        <w:rPr>
          <w:rtl/>
        </w:rPr>
        <w:t xml:space="preserve"> </w:t>
      </w:r>
      <w:r w:rsidRPr="00A919AE">
        <w:rPr>
          <w:rFonts w:hint="eastAsia"/>
          <w:rtl/>
        </w:rPr>
        <w:t>ההתייעלות</w:t>
      </w:r>
      <w:r w:rsidRPr="00A919AE">
        <w:rPr>
          <w:rtl/>
        </w:rPr>
        <w:t xml:space="preserve"> </w:t>
      </w:r>
      <w:r w:rsidRPr="00A919AE">
        <w:rPr>
          <w:rFonts w:hint="eastAsia"/>
          <w:rtl/>
        </w:rPr>
        <w:t>הכלכלית</w:t>
      </w:r>
      <w:r w:rsidRPr="00A919AE">
        <w:rPr>
          <w:rtl/>
        </w:rPr>
        <w:t xml:space="preserve"> (</w:t>
      </w:r>
      <w:r w:rsidRPr="00A919AE">
        <w:rPr>
          <w:rFonts w:hint="eastAsia"/>
          <w:rtl/>
        </w:rPr>
        <w:t>תיקוני</w:t>
      </w:r>
      <w:r w:rsidRPr="00A919AE">
        <w:rPr>
          <w:rtl/>
        </w:rPr>
        <w:t xml:space="preserve"> </w:t>
      </w:r>
      <w:r w:rsidRPr="00A919AE">
        <w:rPr>
          <w:rFonts w:hint="eastAsia"/>
          <w:rtl/>
        </w:rPr>
        <w:t>חקיקה</w:t>
      </w:r>
      <w:r w:rsidRPr="00A919AE">
        <w:rPr>
          <w:rtl/>
        </w:rPr>
        <w:t xml:space="preserve"> </w:t>
      </w:r>
      <w:r w:rsidRPr="00A919AE">
        <w:rPr>
          <w:rFonts w:hint="eastAsia"/>
          <w:rtl/>
        </w:rPr>
        <w:t>להשגת</w:t>
      </w:r>
      <w:r w:rsidRPr="00A919AE">
        <w:rPr>
          <w:rtl/>
        </w:rPr>
        <w:t xml:space="preserve"> </w:t>
      </w:r>
      <w:r w:rsidRPr="00A919AE">
        <w:rPr>
          <w:rFonts w:hint="eastAsia"/>
          <w:rtl/>
        </w:rPr>
        <w:t>יעדי</w:t>
      </w:r>
      <w:r w:rsidRPr="00A919AE">
        <w:rPr>
          <w:rtl/>
        </w:rPr>
        <w:t xml:space="preserve"> </w:t>
      </w:r>
      <w:r w:rsidRPr="00A919AE">
        <w:rPr>
          <w:rFonts w:hint="eastAsia"/>
          <w:rtl/>
        </w:rPr>
        <w:t>התקציב</w:t>
      </w:r>
      <w:r w:rsidRPr="00A919AE">
        <w:rPr>
          <w:rtl/>
        </w:rPr>
        <w:t xml:space="preserve"> </w:t>
      </w:r>
      <w:r w:rsidRPr="00A919AE">
        <w:rPr>
          <w:rFonts w:hint="eastAsia"/>
          <w:rtl/>
        </w:rPr>
        <w:t>לשנות</w:t>
      </w:r>
      <w:r w:rsidRPr="00A919AE">
        <w:rPr>
          <w:rtl/>
        </w:rPr>
        <w:t xml:space="preserve"> </w:t>
      </w:r>
      <w:r w:rsidRPr="00A919AE">
        <w:rPr>
          <w:rFonts w:hint="eastAsia"/>
          <w:rtl/>
        </w:rPr>
        <w:t>התקציב</w:t>
      </w:r>
      <w:r w:rsidRPr="00A919AE">
        <w:rPr>
          <w:rtl/>
        </w:rPr>
        <w:t xml:space="preserve"> 2017 </w:t>
      </w:r>
      <w:r w:rsidRPr="00A919AE">
        <w:rPr>
          <w:rFonts w:hint="eastAsia"/>
          <w:rtl/>
        </w:rPr>
        <w:t>ו</w:t>
      </w:r>
      <w:r w:rsidRPr="00A919AE">
        <w:rPr>
          <w:rtl/>
        </w:rPr>
        <w:t xml:space="preserve">-2018), </w:t>
      </w:r>
      <w:r>
        <w:rPr>
          <w:rFonts w:hint="cs"/>
          <w:rtl/>
        </w:rPr>
        <w:t xml:space="preserve">התשע"ז-2016, </w:t>
      </w:r>
      <w:proofErr w:type="spellStart"/>
      <w:r>
        <w:rPr>
          <w:rFonts w:hint="eastAsia"/>
          <w:rtl/>
        </w:rPr>
        <w:t>ה</w:t>
      </w:r>
      <w:r w:rsidRPr="00A919AE">
        <w:rPr>
          <w:rtl/>
        </w:rPr>
        <w:t>"</w:t>
      </w:r>
      <w:r w:rsidRPr="00A919AE">
        <w:rPr>
          <w:rFonts w:hint="eastAsia"/>
          <w:rtl/>
        </w:rPr>
        <w:t>ח</w:t>
      </w:r>
      <w:proofErr w:type="spellEnd"/>
      <w:r>
        <w:rPr>
          <w:rFonts w:hint="cs"/>
          <w:rtl/>
        </w:rPr>
        <w:t xml:space="preserve"> ה</w:t>
      </w:r>
      <w:r w:rsidRPr="00A919AE">
        <w:rPr>
          <w:rFonts w:hint="eastAsia"/>
          <w:rtl/>
        </w:rPr>
        <w:t>ממשלה</w:t>
      </w:r>
      <w:r w:rsidRPr="00A919AE">
        <w:rPr>
          <w:rtl/>
        </w:rPr>
        <w:t xml:space="preserve"> </w:t>
      </w:r>
      <w:r>
        <w:rPr>
          <w:rFonts w:hint="cs"/>
          <w:rtl/>
        </w:rPr>
        <w:t xml:space="preserve">433, 505 (להלן: </w:t>
      </w:r>
      <w:r w:rsidRPr="004E40AB">
        <w:rPr>
          <w:rFonts w:ascii="Century" w:hAnsi="Century" w:cs="Miriam" w:hint="cs"/>
          <w:b/>
          <w:spacing w:val="0"/>
          <w:sz w:val="22"/>
          <w:szCs w:val="24"/>
          <w:rtl/>
        </w:rPr>
        <w:t>דברי ההסבר</w:t>
      </w:r>
      <w:r>
        <w:rPr>
          <w:rFonts w:hint="cs"/>
          <w:rtl/>
        </w:rPr>
        <w:t>)).</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כמו כן, במסגרת סעיף זה הביא המחוקק בחשבון גם את האפשרות שאותו בעל מניות מהותי מחזיק בכובע נוסף כעובד החברה. במצבים מעין אלה, קבע המחוקק כי ברירת המחדל הראשונה היא שכספים שנמשכו על ידי בעל המניות המהותי יסווגו כהכנסה מדיבידנד על פי סעיף 2(4) לפקודה, וזאת בכפוף לכך שישנם רווחים בחברה, ובהתאם לחלקו בהם. רק אם אופציה זו אינה מתקיימת </w:t>
      </w:r>
      <w:r>
        <w:rPr>
          <w:rtl/>
        </w:rPr>
        <w:t>–</w:t>
      </w:r>
      <w:r>
        <w:rPr>
          <w:rFonts w:hint="cs"/>
          <w:rtl/>
        </w:rPr>
        <w:t xml:space="preserve"> קרי אין רווחים בחברה, ואם מתקיימים בין בעל המניות לבין החברה יחסי עובד-מעביד, יסווגו הכספים כהכנסת עבודה לפי סעיף 2(2) לפקודה. אם גם אופציה זו אינה מתקיימת </w:t>
      </w:r>
      <w:r>
        <w:rPr>
          <w:rtl/>
        </w:rPr>
        <w:t>–</w:t>
      </w:r>
      <w:r>
        <w:rPr>
          <w:rFonts w:hint="cs"/>
          <w:rtl/>
        </w:rPr>
        <w:t xml:space="preserve"> קרי לא מתקיימים יחסי עובד-מעביד, הרי שאז יסווגו הכספים כהכנסה מעסק או ממשלח יד לפי סעיף 2(1) לפקודה (ראו: </w:t>
      </w:r>
      <w:r>
        <w:rPr>
          <w:rFonts w:hint="eastAsia"/>
          <w:rtl/>
        </w:rPr>
        <w:t>חוזר</w:t>
      </w:r>
      <w:r>
        <w:rPr>
          <w:rtl/>
        </w:rPr>
        <w:t xml:space="preserve"> </w:t>
      </w:r>
      <w:r>
        <w:rPr>
          <w:rFonts w:hint="eastAsia"/>
          <w:rtl/>
        </w:rPr>
        <w:t>מס</w:t>
      </w:r>
      <w:r>
        <w:rPr>
          <w:rtl/>
        </w:rPr>
        <w:t xml:space="preserve"> </w:t>
      </w:r>
      <w:r>
        <w:rPr>
          <w:rFonts w:hint="eastAsia"/>
          <w:rtl/>
        </w:rPr>
        <w:t>הכנסה</w:t>
      </w:r>
      <w:r>
        <w:rPr>
          <w:rtl/>
        </w:rPr>
        <w:t xml:space="preserve"> </w:t>
      </w:r>
      <w:r>
        <w:rPr>
          <w:rFonts w:hint="eastAsia"/>
          <w:rtl/>
        </w:rPr>
        <w:t>מספר</w:t>
      </w:r>
      <w:r>
        <w:rPr>
          <w:rtl/>
        </w:rPr>
        <w:t xml:space="preserve"> 07/2017 </w:t>
      </w:r>
      <w:r>
        <w:rPr>
          <w:rFonts w:hint="cs"/>
          <w:rtl/>
        </w:rPr>
        <w:t>"</w:t>
      </w:r>
      <w:r>
        <w:rPr>
          <w:rFonts w:hint="eastAsia"/>
          <w:rtl/>
        </w:rPr>
        <w:t>סעיף</w:t>
      </w:r>
      <w:r>
        <w:rPr>
          <w:rtl/>
        </w:rPr>
        <w:t xml:space="preserve"> 3</w:t>
      </w:r>
      <w:r>
        <w:rPr>
          <w:rFonts w:hint="cs"/>
          <w:rtl/>
        </w:rPr>
        <w:t>(</w:t>
      </w:r>
      <w:r>
        <w:rPr>
          <w:rFonts w:hint="eastAsia"/>
          <w:rtl/>
        </w:rPr>
        <w:t>ט</w:t>
      </w:r>
      <w:r>
        <w:rPr>
          <w:rtl/>
        </w:rPr>
        <w:t>1</w:t>
      </w:r>
      <w:r>
        <w:rPr>
          <w:rFonts w:hint="cs"/>
          <w:rtl/>
        </w:rPr>
        <w:t>)</w:t>
      </w:r>
      <w:r>
        <w:rPr>
          <w:rtl/>
        </w:rPr>
        <w:t xml:space="preserve"> </w:t>
      </w:r>
      <w:r>
        <w:rPr>
          <w:rFonts w:hint="eastAsia"/>
          <w:rtl/>
        </w:rPr>
        <w:t>לפקודת</w:t>
      </w:r>
      <w:r>
        <w:rPr>
          <w:rtl/>
        </w:rPr>
        <w:t xml:space="preserve"> </w:t>
      </w:r>
      <w:r>
        <w:rPr>
          <w:rFonts w:hint="eastAsia"/>
          <w:rtl/>
        </w:rPr>
        <w:t>מס</w:t>
      </w:r>
      <w:r>
        <w:rPr>
          <w:rtl/>
        </w:rPr>
        <w:t xml:space="preserve"> </w:t>
      </w:r>
      <w:r>
        <w:rPr>
          <w:rFonts w:hint="eastAsia"/>
          <w:rtl/>
        </w:rPr>
        <w:t>הכנסה</w:t>
      </w:r>
      <w:r>
        <w:rPr>
          <w:rtl/>
        </w:rPr>
        <w:t xml:space="preserve"> – </w:t>
      </w:r>
      <w:r>
        <w:rPr>
          <w:rFonts w:hint="eastAsia"/>
          <w:rtl/>
        </w:rPr>
        <w:t>מיסוי</w:t>
      </w:r>
      <w:r>
        <w:rPr>
          <w:rtl/>
        </w:rPr>
        <w:t xml:space="preserve"> </w:t>
      </w:r>
      <w:r>
        <w:rPr>
          <w:rFonts w:hint="eastAsia"/>
          <w:rtl/>
        </w:rPr>
        <w:t>בעל</w:t>
      </w:r>
      <w:r>
        <w:rPr>
          <w:rtl/>
        </w:rPr>
        <w:t xml:space="preserve"> </w:t>
      </w:r>
      <w:r>
        <w:rPr>
          <w:rFonts w:hint="eastAsia"/>
          <w:rtl/>
        </w:rPr>
        <w:t>מניות</w:t>
      </w:r>
      <w:r>
        <w:rPr>
          <w:rtl/>
        </w:rPr>
        <w:t xml:space="preserve"> </w:t>
      </w:r>
      <w:r>
        <w:rPr>
          <w:rFonts w:hint="eastAsia"/>
          <w:rtl/>
        </w:rPr>
        <w:t>מהותי</w:t>
      </w:r>
      <w:r>
        <w:rPr>
          <w:rtl/>
        </w:rPr>
        <w:t xml:space="preserve"> </w:t>
      </w:r>
      <w:r>
        <w:rPr>
          <w:rFonts w:hint="eastAsia"/>
          <w:rtl/>
        </w:rPr>
        <w:t>בשל</w:t>
      </w:r>
      <w:r>
        <w:rPr>
          <w:rtl/>
        </w:rPr>
        <w:t xml:space="preserve"> </w:t>
      </w:r>
      <w:r>
        <w:rPr>
          <w:rFonts w:hint="eastAsia"/>
          <w:rtl/>
        </w:rPr>
        <w:t>משיכה</w:t>
      </w:r>
      <w:r>
        <w:rPr>
          <w:rtl/>
        </w:rPr>
        <w:t xml:space="preserve"> </w:t>
      </w:r>
      <w:r>
        <w:rPr>
          <w:rFonts w:hint="eastAsia"/>
          <w:rtl/>
        </w:rPr>
        <w:t>מחברה</w:t>
      </w:r>
      <w:r>
        <w:rPr>
          <w:rFonts w:hint="cs"/>
          <w:rtl/>
        </w:rPr>
        <w:t xml:space="preserve">" 7-6 (22.8.2017) (להלן: </w:t>
      </w:r>
      <w:r w:rsidRPr="002E5661">
        <w:rPr>
          <w:rFonts w:ascii="Century" w:hAnsi="Century" w:cs="Miriam" w:hint="cs"/>
          <w:b/>
          <w:spacing w:val="0"/>
          <w:szCs w:val="24"/>
          <w:rtl/>
        </w:rPr>
        <w:t>חוזר מס הכנסה 07/2017</w:t>
      </w:r>
      <w:r>
        <w:rPr>
          <w:rFonts w:hint="cs"/>
          <w:rtl/>
        </w:rPr>
        <w:t>)).</w:t>
      </w:r>
    </w:p>
    <w:p w:rsidR="00ED79F5" w:rsidRDefault="00ED79F5" w:rsidP="00ED79F5">
      <w:pPr>
        <w:pStyle w:val="Ruller41"/>
        <w:rPr>
          <w:rtl/>
        </w:rPr>
      </w:pPr>
    </w:p>
    <w:p w:rsidR="00ED79F5" w:rsidRDefault="00ED79F5" w:rsidP="00ED79F5">
      <w:pPr>
        <w:pStyle w:val="Ruller4"/>
        <w:rPr>
          <w:rtl/>
        </w:rPr>
      </w:pPr>
      <w:r>
        <w:rPr>
          <w:rFonts w:hint="cs"/>
          <w:rtl/>
        </w:rPr>
        <w:t xml:space="preserve">אכן וכפי שציינתי לעיל, סעיף זה אינו חל באופן ישיר בענייננו. עם זאת, אני סבורה כי משהביע המחוקק דעתו ביחס לאופן בו יש לסווג כספים שנמשכו על ידי מי שהוא בעל מניות מהותי בחברה, לרבות במקרים בהם אותו בעל מניות הוא גם עובד בחברה </w:t>
      </w:r>
      <w:r>
        <w:rPr>
          <w:rtl/>
        </w:rPr>
        <w:t>–</w:t>
      </w:r>
      <w:r>
        <w:rPr>
          <w:rFonts w:hint="cs"/>
          <w:rtl/>
        </w:rPr>
        <w:t xml:space="preserve"> יש להעניק לכך משקל מכריע בבחינת השאלה כיצד יש לסווג מחדש את הכספים שמשך המערער מהחברה בשנות המס הרלוונטיות.</w:t>
      </w:r>
    </w:p>
    <w:p w:rsidR="00ED79F5" w:rsidRPr="003A5509" w:rsidRDefault="00ED79F5" w:rsidP="00ED79F5">
      <w:pPr>
        <w:pStyle w:val="Ruller41"/>
        <w:rPr>
          <w:rtl/>
        </w:rPr>
      </w:pPr>
    </w:p>
    <w:p w:rsidR="00ED79F5" w:rsidRDefault="00ED79F5" w:rsidP="00ED79F5">
      <w:pPr>
        <w:pStyle w:val="Ruller4"/>
        <w:rPr>
          <w:rtl/>
        </w:rPr>
      </w:pPr>
      <w:r>
        <w:rPr>
          <w:rFonts w:hint="cs"/>
          <w:rtl/>
        </w:rPr>
        <w:t xml:space="preserve">במאמר מוסגר יוער כי מדברי ההסבר עולה כי סעיף 3(ט1) לפקודה נועד בעיקר למצבים בהם מושך בעל מניות כספים מהחברה בכסות של הלוואה (שאינה מוחזרת במשך פרק זמן ארוך או שאינה מוחזרת כלל), וכך מחויב בתשלום מס רק על הריבית הרעיונית שנחסכה ממנו (ראו סעיף 3(ט) לפקודה. כן ראו: דברי ההסבר, בעמוד 505). בענייננו לעומת זאת, מדובר על בעל מניות שמשך כספים בכסות של תשלומי תמורה בגין עסקת מכר שתמורתה פטורה ממס (אשר לאחר מכן נקבע כי היא עסקה מלאכותית). עם זאת, בשני המקרים המהות היא זהה: בעל מניות המנצל את כוחו בחברה לצורך הזרמת כספים לכיסו, תוך סיווג הפעולה באופן הפוטר אותו מתשלום מלוא המס בו הוא הוא היה מחויב לו סיווג את הפעולה בדרך אחרת, לרבות כהכנסה מעבודה או מדיבידנד (ראו בהקשר זה: </w:t>
      </w:r>
      <w:r>
        <w:rPr>
          <w:rFonts w:hint="eastAsia"/>
          <w:rtl/>
        </w:rPr>
        <w:t>חוזר</w:t>
      </w:r>
      <w:r>
        <w:rPr>
          <w:rtl/>
        </w:rPr>
        <w:t xml:space="preserve"> </w:t>
      </w:r>
      <w:r>
        <w:rPr>
          <w:rFonts w:hint="eastAsia"/>
          <w:rtl/>
        </w:rPr>
        <w:t>מס</w:t>
      </w:r>
      <w:r>
        <w:rPr>
          <w:rtl/>
        </w:rPr>
        <w:t xml:space="preserve"> </w:t>
      </w:r>
      <w:r>
        <w:rPr>
          <w:rFonts w:hint="eastAsia"/>
          <w:rtl/>
        </w:rPr>
        <w:t>הכנסה</w:t>
      </w:r>
      <w:r>
        <w:rPr>
          <w:rtl/>
        </w:rPr>
        <w:t xml:space="preserve"> 07/2017</w:t>
      </w:r>
      <w:r>
        <w:rPr>
          <w:rFonts w:hint="cs"/>
          <w:rtl/>
        </w:rPr>
        <w:t xml:space="preserve">, בעמוד 3 </w:t>
      </w:r>
      <w:r>
        <w:rPr>
          <w:rtl/>
        </w:rPr>
        <w:t>–</w:t>
      </w:r>
      <w:r>
        <w:rPr>
          <w:rFonts w:hint="cs"/>
          <w:rtl/>
        </w:rPr>
        <w:t xml:space="preserve"> שם הובהר כי "</w:t>
      </w:r>
      <w:r w:rsidRPr="002E5661">
        <w:rPr>
          <w:rFonts w:ascii="Century" w:hAnsi="Century" w:cs="Miriam" w:hint="cs"/>
          <w:b/>
          <w:spacing w:val="0"/>
          <w:sz w:val="22"/>
          <w:szCs w:val="24"/>
          <w:rtl/>
        </w:rPr>
        <w:t>משיכה של כספים מחברה הינה הגדרה רחבה מאוד</w:t>
      </w:r>
      <w:r>
        <w:rPr>
          <w:rFonts w:hint="cs"/>
          <w:rtl/>
        </w:rPr>
        <w:t>").</w:t>
      </w:r>
    </w:p>
    <w:p w:rsidR="00ED79F5" w:rsidRDefault="00ED79F5" w:rsidP="00ED79F5">
      <w:pPr>
        <w:pStyle w:val="Ruller41"/>
        <w:rPr>
          <w:rtl/>
        </w:rPr>
      </w:pPr>
    </w:p>
    <w:p w:rsidR="00ED79F5" w:rsidRDefault="00ED79F5" w:rsidP="00ED79F5">
      <w:pPr>
        <w:pStyle w:val="Ruller4"/>
        <w:rPr>
          <w:rtl/>
        </w:rPr>
      </w:pPr>
      <w:r>
        <w:rPr>
          <w:rFonts w:hint="cs"/>
          <w:rtl/>
        </w:rPr>
        <w:t xml:space="preserve">אם כן, יש לבחון האם בענייננו מתקיימת ברירת המחדל הראשונה הקבועה בסעיף 3(ט1)(2), כלומר האם בעת משיכת הכספים היו בספירה ישראל רווחים לחלוקה. במסגרת ערעורו טען המערער כי בשנים הרלוונטיות אכן היו בחברה די עודפים צבורים </w:t>
      </w:r>
      <w:r>
        <w:rPr>
          <w:rFonts w:hint="cs"/>
          <w:rtl/>
        </w:rPr>
        <w:lastRenderedPageBreak/>
        <w:t xml:space="preserve">לצורך משיכת הכספים שנמשכו על ידיו כדיבידנד. המשיב </w:t>
      </w:r>
      <w:proofErr w:type="spellStart"/>
      <w:r>
        <w:rPr>
          <w:rFonts w:hint="cs"/>
          <w:rtl/>
        </w:rPr>
        <w:t>מצידו</w:t>
      </w:r>
      <w:proofErr w:type="spellEnd"/>
      <w:r>
        <w:rPr>
          <w:rFonts w:hint="cs"/>
          <w:rtl/>
        </w:rPr>
        <w:t xml:space="preserve"> לא חלק על טענה זו, לא בתשובתו לערעור ואף לא במסגרת השלמת הטיעון שהוגשה על ידיו לאחר שהתקיים הדיון בערעור. בשים לב לכך שעסקינן רק בשאלת סיווג הכספים לצורך תשלום מס על ידי המערער, מבלי שצפויה להיות לכך השפעה משמעותית על נושי החברה (שכן הכספים נמשכו זה מכבר) </w:t>
      </w:r>
      <w:r>
        <w:rPr>
          <w:rtl/>
        </w:rPr>
        <w:t>–</w:t>
      </w:r>
      <w:r>
        <w:rPr>
          <w:rFonts w:hint="cs"/>
          <w:rtl/>
        </w:rPr>
        <w:t xml:space="preserve"> אני סבורה כי ניתן להסתפק בכך לצורך הכרעה בשאלת קיומם של רווחים לחלוקה. בהתאם, אני סבורה כי יש מקום לסווג מחדש את כספי התמורה שמשך המערער מספירה ישראל בשנות המס הרלוונטיות כהכנסה מדיבידנד. </w:t>
      </w:r>
    </w:p>
    <w:p w:rsidR="00ED79F5" w:rsidRPr="009F1DFE" w:rsidRDefault="00ED79F5" w:rsidP="00ED79F5">
      <w:pPr>
        <w:pStyle w:val="Ruller41"/>
      </w:pPr>
    </w:p>
    <w:p w:rsidR="00ED79F5" w:rsidRDefault="00ED79F5" w:rsidP="008279C5">
      <w:pPr>
        <w:pStyle w:val="Ruller4"/>
        <w:rPr>
          <w:rtl/>
        </w:rPr>
      </w:pPr>
      <w:r>
        <w:rPr>
          <w:rFonts w:hint="cs"/>
          <w:rtl/>
        </w:rPr>
        <w:t xml:space="preserve">בטרם סיום חלק זה, אדרש בקצרה לטענות המשיב ביחס לפסק הדין שניתן בע"א 2552/11 </w:t>
      </w:r>
      <w:r w:rsidRPr="00926909">
        <w:rPr>
          <w:rFonts w:ascii="Century" w:hAnsi="Century" w:cs="Miriam" w:hint="cs"/>
          <w:b/>
          <w:spacing w:val="0"/>
          <w:sz w:val="22"/>
          <w:szCs w:val="24"/>
          <w:rtl/>
        </w:rPr>
        <w:t>ד"ר ברנע נ' פקיד השומה חיפה</w:t>
      </w:r>
      <w:r w:rsidRPr="00926909">
        <w:rPr>
          <w:rFonts w:hint="cs"/>
          <w:rtl/>
        </w:rPr>
        <w:t xml:space="preserve"> </w:t>
      </w:r>
      <w:r>
        <w:rPr>
          <w:rFonts w:hint="cs"/>
          <w:rtl/>
        </w:rPr>
        <w:t xml:space="preserve">(2.4.2013). באותו עניין נדון ערעור מס הכנסה שהגיש ד"ר עלי ברנע (להלן: </w:t>
      </w:r>
      <w:r w:rsidRPr="00285863">
        <w:rPr>
          <w:rFonts w:ascii="Century" w:hAnsi="Century" w:cs="Miriam" w:hint="cs"/>
          <w:b/>
          <w:spacing w:val="0"/>
          <w:sz w:val="22"/>
          <w:szCs w:val="24"/>
          <w:rtl/>
        </w:rPr>
        <w:t>ד"ר ברנע</w:t>
      </w:r>
      <w:r>
        <w:rPr>
          <w:rFonts w:hint="cs"/>
          <w:rtl/>
        </w:rPr>
        <w:t xml:space="preserve">), אשר שימש בעת הרלוונטית כמנכ"ל חברת </w:t>
      </w:r>
      <w:proofErr w:type="spellStart"/>
      <w:r>
        <w:rPr>
          <w:rFonts w:hint="cs"/>
          <w:rtl/>
        </w:rPr>
        <w:t>בייטמן</w:t>
      </w:r>
      <w:proofErr w:type="spellEnd"/>
      <w:r>
        <w:rPr>
          <w:rFonts w:hint="cs"/>
          <w:rtl/>
        </w:rPr>
        <w:t xml:space="preserve"> הנדסה בע"מ (להלן: </w:t>
      </w:r>
      <w:proofErr w:type="spellStart"/>
      <w:r w:rsidRPr="00285863">
        <w:rPr>
          <w:rFonts w:ascii="Century" w:hAnsi="Century" w:cs="Miriam" w:hint="cs"/>
          <w:b/>
          <w:spacing w:val="0"/>
          <w:sz w:val="22"/>
          <w:szCs w:val="24"/>
          <w:rtl/>
        </w:rPr>
        <w:t>בייטמן</w:t>
      </w:r>
      <w:proofErr w:type="spellEnd"/>
      <w:r>
        <w:rPr>
          <w:rFonts w:hint="cs"/>
          <w:rtl/>
        </w:rPr>
        <w:t xml:space="preserve">) והחזיק במניות שלה. בין השנים 2002-1998 שולם לד"ר ברנע סכום של כ-15 מיליון ש"ח. ד"ר ברנע דיווח על הכספים כדיבידנדים שקיבל מהחברה בהיותו בעל מניות. פקיד השומה לעומת זאת קבע כי יש לסווג את הכספים ששולמו לד"ר ברנע כהכנסת עבודה, בשל היותו עובד של החברה. באותו עניין התקבלה עמדת פקיד השומה כי מדובר בהכנסת עבודה. </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לטענת המשיב יש ללמוד מקביעה זו על ענייננו. לא מצאתי ממש בטענה זו. באותו עניין התבססה הקביעה כי יש לסווג את הכספים שקיבל ד"ר ברנע כהכנסת עבודה על הנסיבות הספציפיות שהתקיימו שם. כך, באותו עניין קיבל ד"ר ברנע את מניותיו </w:t>
      </w:r>
      <w:proofErr w:type="spellStart"/>
      <w:r>
        <w:rPr>
          <w:rFonts w:hint="cs"/>
          <w:rtl/>
        </w:rPr>
        <w:t>בבייטמן</w:t>
      </w:r>
      <w:proofErr w:type="spellEnd"/>
      <w:r>
        <w:rPr>
          <w:rFonts w:hint="cs"/>
          <w:rtl/>
        </w:rPr>
        <w:t xml:space="preserve"> במסגרת הסכם הקצאה שנחתם בין החברה האם שלה לבין ארבעה עובדים בכירים </w:t>
      </w:r>
      <w:proofErr w:type="spellStart"/>
      <w:r>
        <w:rPr>
          <w:rFonts w:hint="cs"/>
          <w:rtl/>
        </w:rPr>
        <w:t>בבייטמן</w:t>
      </w:r>
      <w:proofErr w:type="spellEnd"/>
      <w:r>
        <w:rPr>
          <w:rFonts w:hint="cs"/>
          <w:rtl/>
        </w:rPr>
        <w:t xml:space="preserve">, מכוחו הוקנו להם מניות בכורה שהוחזקו על ידי חברת נאמנות באיי הבתולה (להלן: </w:t>
      </w:r>
      <w:r w:rsidRPr="0094167D">
        <w:rPr>
          <w:rFonts w:ascii="Century" w:hAnsi="Century" w:cs="Miriam" w:hint="cs"/>
          <w:b/>
          <w:spacing w:val="0"/>
          <w:szCs w:val="24"/>
          <w:rtl/>
        </w:rPr>
        <w:t>הסכם ההקצאה</w:t>
      </w:r>
      <w:r>
        <w:rPr>
          <w:rFonts w:hint="cs"/>
          <w:rtl/>
        </w:rPr>
        <w:t xml:space="preserve">). במהלך השנים קיבלו אותם עובדים בכירים, ובהם ד"ר ברנע, סכומים שהוגדרו כדיבידנדים. בין היתר, במסגרת הסכם הפרישה שנחתם עם ד"ר ברנע עם פיטוריו, נקבע כי </w:t>
      </w:r>
      <w:proofErr w:type="spellStart"/>
      <w:r>
        <w:rPr>
          <w:rFonts w:hint="cs"/>
          <w:rtl/>
        </w:rPr>
        <w:t>בייטמן</w:t>
      </w:r>
      <w:proofErr w:type="spellEnd"/>
      <w:r>
        <w:rPr>
          <w:rFonts w:hint="cs"/>
          <w:rtl/>
        </w:rPr>
        <w:t xml:space="preserve"> תחלק לו דיבידנד של 2 מיליון דולר. </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בפסק הדין, עמד בית משפט זה על הטעמים בשלהם הוא היה סבור כי יש לסווג את הכספים כהכנסת עבודה ולא כדיבידנד. כך, צוין כי הסכם ההקצאה יצר מבנה מיוחד שעל פיו מניות הבכורה של העובדים יוחזקו בנאמנות; לעובדים לא תעמוד זכות להוריש את המניות; והם יידרשו להחזירן עם סיום יחסי העבודה. עוד צוין כי במהלך השנים קיבלו אותם עובדים סכומים שהוגדרו כדיבידנדים, כאשר לצורך חישובם נלקחו בחשבון רווחים של חברות אחרות בחו"ל שהשתייכו לקבוצת החברות עמה נמנתה </w:t>
      </w:r>
      <w:proofErr w:type="spellStart"/>
      <w:r>
        <w:rPr>
          <w:rFonts w:hint="cs"/>
          <w:rtl/>
        </w:rPr>
        <w:t>בייטמן</w:t>
      </w:r>
      <w:proofErr w:type="spellEnd"/>
      <w:r>
        <w:rPr>
          <w:rFonts w:hint="cs"/>
          <w:rtl/>
        </w:rPr>
        <w:t xml:space="preserve">. ואולם הרווחים של אותן חברות בחו"ל כלל לא נכללו בדו"חות הכספיים של </w:t>
      </w:r>
      <w:proofErr w:type="spellStart"/>
      <w:r>
        <w:rPr>
          <w:rFonts w:hint="cs"/>
          <w:rtl/>
        </w:rPr>
        <w:t>בייטמן</w:t>
      </w:r>
      <w:proofErr w:type="spellEnd"/>
      <w:r>
        <w:rPr>
          <w:rFonts w:hint="cs"/>
          <w:rtl/>
        </w:rPr>
        <w:t xml:space="preserve">, וד"ר ברנע אף לא היה בעל מניות באותן חברות. חרף זאת, הרווחים של אותן חברות זרות </w:t>
      </w:r>
      <w:r>
        <w:rPr>
          <w:rFonts w:hint="cs"/>
          <w:rtl/>
        </w:rPr>
        <w:lastRenderedPageBreak/>
        <w:t>נכללו כאמור בתחשיב "הדיבידנדים". כמו כן, צוין כי חרף העובדה שמניות הבכורה שקיבלו אותם עובדים בכירים הומרו למניות רגילות בשנת 2000, הם המשיכו לקבל סכומי כסף שהוגדרו כדיבידנדים. על רקע האמור, נקבע באותו עניין כי "</w:t>
      </w:r>
      <w:r w:rsidRPr="0094167D">
        <w:rPr>
          <w:rFonts w:ascii="Century" w:hAnsi="Century" w:cs="Miriam" w:hint="cs"/>
          <w:b/>
          <w:spacing w:val="0"/>
          <w:szCs w:val="24"/>
          <w:rtl/>
        </w:rPr>
        <w:t>הנתונים שציינו, בוודאי בהצטברם יחד, מובילים למסקנה שנכון היה לסווג את סכומי הכסף שקיבל המערער לא כדיבידנדים אלא כתשלומים ששולמו לו אך ורק בשל היותו עובד החברה</w:t>
      </w:r>
      <w:r>
        <w:rPr>
          <w:rFonts w:hint="cs"/>
          <w:rtl/>
        </w:rPr>
        <w:t>" (שם, בפסקה 4).</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מן האמור עולה אפוא כי באותו עניין ניתן היה להסיק בבירור מנסיבות העניין כי הכספים שקיבל ד"ר ברנע </w:t>
      </w:r>
      <w:proofErr w:type="spellStart"/>
      <w:r>
        <w:rPr>
          <w:rFonts w:hint="cs"/>
          <w:rtl/>
        </w:rPr>
        <w:t>מבייטמן</w:t>
      </w:r>
      <w:proofErr w:type="spellEnd"/>
      <w:r>
        <w:rPr>
          <w:rFonts w:hint="cs"/>
          <w:rtl/>
        </w:rPr>
        <w:t xml:space="preserve"> שולמו לו רק מכוח היותו עובד בחברה; וכי הקצאת המניות וחלוקת הכספים כדיבידנדים נועדו ככל הנראה כדי לכסות על מהותם האמתית של הכספים כתמורה המשולמת בשל קיומם של יחסי עבודה. נסיבות דומות לאלה אינן מתקיימות בענייננו, ולכן אינני סבורה כי ניתן ללמוד מהקביעות בפסק הדין על הסיווג הנכון של הכספים במקרה דנן.</w:t>
      </w:r>
    </w:p>
    <w:p w:rsidR="00ED79F5" w:rsidRDefault="00ED79F5" w:rsidP="00ED79F5">
      <w:pPr>
        <w:pStyle w:val="Ruller41"/>
        <w:rPr>
          <w:rtl/>
        </w:rPr>
      </w:pPr>
    </w:p>
    <w:p w:rsidR="00ED79F5" w:rsidRDefault="00ED79F5" w:rsidP="00ED79F5">
      <w:pPr>
        <w:pStyle w:val="Ruller41"/>
        <w:rPr>
          <w:rtl/>
        </w:rPr>
      </w:pPr>
      <w:r>
        <w:rPr>
          <w:rtl/>
        </w:rPr>
        <w:tab/>
      </w:r>
      <w:r>
        <w:rPr>
          <w:rFonts w:hint="cs"/>
          <w:rtl/>
        </w:rPr>
        <w:t xml:space="preserve">עוד יצוין כי לא מצאתי ממש בטענת המשיב לפיה הלשון הרחבה בה נוקט סעיף 2(2) לפקודת מס הכנסה מובילה למסקנה כי מדובר בסיווג שיורי אשר יחול בכל מקרה בו מדובר בנישום שהוא גם עובד וגם בעל מניות, </w:t>
      </w:r>
      <w:r w:rsidRPr="00125359">
        <w:rPr>
          <w:rFonts w:hint="cs"/>
          <w:rtl/>
        </w:rPr>
        <w:t>אשר קיבל הכנסה מהחברה שאיננה דיבידנד. סעיף 2(2) לפקודה אומנם נוקט בלשון רחבה</w:t>
      </w:r>
      <w:r>
        <w:rPr>
          <w:rFonts w:hint="cs"/>
          <w:rtl/>
        </w:rPr>
        <w:t xml:space="preserve"> וכולל בתוכו "</w:t>
      </w:r>
      <w:r w:rsidRPr="00125359">
        <w:rPr>
          <w:rFonts w:hint="eastAsia"/>
          <w:rtl/>
        </w:rPr>
        <w:t>כל</w:t>
      </w:r>
      <w:r w:rsidRPr="00125359">
        <w:rPr>
          <w:rtl/>
        </w:rPr>
        <w:t xml:space="preserve"> </w:t>
      </w:r>
      <w:r w:rsidRPr="00125359">
        <w:rPr>
          <w:rFonts w:hint="eastAsia"/>
          <w:rtl/>
        </w:rPr>
        <w:t>טובת</w:t>
      </w:r>
      <w:r w:rsidRPr="00125359">
        <w:rPr>
          <w:rtl/>
        </w:rPr>
        <w:t xml:space="preserve"> </w:t>
      </w:r>
      <w:r w:rsidRPr="00125359">
        <w:rPr>
          <w:rFonts w:hint="eastAsia"/>
          <w:rtl/>
        </w:rPr>
        <w:t>הנאה</w:t>
      </w:r>
      <w:r w:rsidRPr="00125359">
        <w:rPr>
          <w:rtl/>
        </w:rPr>
        <w:t xml:space="preserve"> </w:t>
      </w:r>
      <w:r w:rsidRPr="00125359">
        <w:rPr>
          <w:rFonts w:hint="eastAsia"/>
          <w:rtl/>
        </w:rPr>
        <w:t>או</w:t>
      </w:r>
      <w:r w:rsidRPr="00125359">
        <w:rPr>
          <w:rtl/>
        </w:rPr>
        <w:t xml:space="preserve"> </w:t>
      </w:r>
      <w:r w:rsidRPr="00125359">
        <w:rPr>
          <w:rFonts w:hint="eastAsia"/>
          <w:rtl/>
        </w:rPr>
        <w:t>קצובה</w:t>
      </w:r>
      <w:r w:rsidRPr="00125359">
        <w:rPr>
          <w:rtl/>
        </w:rPr>
        <w:t xml:space="preserve"> </w:t>
      </w:r>
      <w:r w:rsidRPr="00125359">
        <w:rPr>
          <w:rFonts w:hint="eastAsia"/>
          <w:rtl/>
        </w:rPr>
        <w:t>שניתנו</w:t>
      </w:r>
      <w:r w:rsidRPr="00125359">
        <w:rPr>
          <w:rtl/>
        </w:rPr>
        <w:t xml:space="preserve"> </w:t>
      </w:r>
      <w:r w:rsidRPr="00125359">
        <w:rPr>
          <w:rFonts w:hint="eastAsia"/>
          <w:rtl/>
        </w:rPr>
        <w:t>לעובד</w:t>
      </w:r>
      <w:r w:rsidRPr="00125359">
        <w:rPr>
          <w:rtl/>
        </w:rPr>
        <w:t xml:space="preserve"> </w:t>
      </w:r>
      <w:r w:rsidRPr="00125359">
        <w:rPr>
          <w:rFonts w:hint="eastAsia"/>
          <w:rtl/>
        </w:rPr>
        <w:t>ממעבידו</w:t>
      </w:r>
      <w:r>
        <w:rPr>
          <w:rFonts w:hint="cs"/>
          <w:rtl/>
        </w:rPr>
        <w:t>". עם זאת, על פי פרשנותו המקובלת של הסעיף, הוא חל</w:t>
      </w:r>
      <w:r w:rsidRPr="00125359">
        <w:rPr>
          <w:rFonts w:ascii="Century" w:hAnsi="Century" w:hint="cs"/>
          <w:rtl/>
        </w:rPr>
        <w:t xml:space="preserve"> רק על תשלום הניתן </w:t>
      </w:r>
      <w:r w:rsidRPr="00125359">
        <w:rPr>
          <w:rFonts w:ascii="Century" w:hAnsi="Century" w:cs="Miriam" w:hint="cs"/>
          <w:b/>
          <w:spacing w:val="0"/>
          <w:szCs w:val="24"/>
          <w:rtl/>
        </w:rPr>
        <w:t>כתוצאה מיחסי העבודה בין הצדדים ו</w:t>
      </w:r>
      <w:r>
        <w:rPr>
          <w:rFonts w:ascii="Century" w:hAnsi="Century" w:cs="Miriam" w:hint="cs"/>
          <w:b/>
          <w:spacing w:val="0"/>
          <w:szCs w:val="24"/>
          <w:rtl/>
        </w:rPr>
        <w:t>בשל</w:t>
      </w:r>
      <w:r w:rsidRPr="00125359">
        <w:rPr>
          <w:rFonts w:ascii="Century" w:hAnsi="Century" w:cs="Miriam" w:hint="cs"/>
          <w:b/>
          <w:spacing w:val="0"/>
          <w:szCs w:val="24"/>
          <w:rtl/>
        </w:rPr>
        <w:t xml:space="preserve"> קיומם</w:t>
      </w:r>
      <w:r w:rsidRPr="00125359">
        <w:rPr>
          <w:rFonts w:hint="cs"/>
          <w:rtl/>
        </w:rPr>
        <w:t xml:space="preserve"> </w:t>
      </w:r>
      <w:r>
        <w:rPr>
          <w:rFonts w:hint="cs"/>
          <w:rtl/>
        </w:rPr>
        <w:t>(</w:t>
      </w:r>
      <w:r w:rsidRPr="00125359">
        <w:rPr>
          <w:rFonts w:hint="cs"/>
          <w:rtl/>
        </w:rPr>
        <w:t xml:space="preserve">ראו: </w:t>
      </w:r>
      <w:r w:rsidRPr="00E663B4">
        <w:rPr>
          <w:rFonts w:hint="eastAsia"/>
          <w:rtl/>
        </w:rPr>
        <w:t>ע</w:t>
      </w:r>
      <w:r w:rsidRPr="00E663B4">
        <w:rPr>
          <w:rtl/>
        </w:rPr>
        <w:t>"</w:t>
      </w:r>
      <w:r w:rsidRPr="00E663B4">
        <w:rPr>
          <w:rFonts w:hint="eastAsia"/>
          <w:rtl/>
        </w:rPr>
        <w:t>א</w:t>
      </w:r>
      <w:r w:rsidRPr="00E663B4">
        <w:rPr>
          <w:rtl/>
        </w:rPr>
        <w:t xml:space="preserve"> 2640/11 </w:t>
      </w:r>
      <w:r w:rsidRPr="00E663B4">
        <w:rPr>
          <w:rFonts w:ascii="Century" w:hAnsi="Century" w:cs="Miriam" w:hint="eastAsia"/>
          <w:b/>
          <w:spacing w:val="0"/>
          <w:szCs w:val="24"/>
          <w:rtl/>
        </w:rPr>
        <w:t>פקיד</w:t>
      </w:r>
      <w:r w:rsidRPr="00E663B4">
        <w:rPr>
          <w:rFonts w:ascii="Century" w:hAnsi="Century" w:cs="Miriam"/>
          <w:b/>
          <w:spacing w:val="0"/>
          <w:szCs w:val="24"/>
          <w:rtl/>
        </w:rPr>
        <w:t xml:space="preserve"> </w:t>
      </w:r>
      <w:r w:rsidRPr="00E663B4">
        <w:rPr>
          <w:rFonts w:ascii="Century" w:hAnsi="Century" w:cs="Miriam" w:hint="eastAsia"/>
          <w:b/>
          <w:spacing w:val="0"/>
          <w:szCs w:val="24"/>
          <w:rtl/>
        </w:rPr>
        <w:t>שומה</w:t>
      </w:r>
      <w:r w:rsidRPr="00E663B4">
        <w:rPr>
          <w:rFonts w:ascii="Century" w:hAnsi="Century" w:cs="Miriam"/>
          <w:b/>
          <w:spacing w:val="0"/>
          <w:szCs w:val="24"/>
          <w:rtl/>
        </w:rPr>
        <w:t xml:space="preserve"> </w:t>
      </w:r>
      <w:r w:rsidRPr="00E663B4">
        <w:rPr>
          <w:rFonts w:ascii="Century" w:hAnsi="Century" w:cs="Miriam" w:hint="eastAsia"/>
          <w:b/>
          <w:spacing w:val="0"/>
          <w:szCs w:val="24"/>
          <w:rtl/>
        </w:rPr>
        <w:t>חיפה</w:t>
      </w:r>
      <w:r w:rsidRPr="00E663B4">
        <w:rPr>
          <w:rFonts w:ascii="Century" w:hAnsi="Century" w:cs="Miriam"/>
          <w:b/>
          <w:spacing w:val="0"/>
          <w:szCs w:val="24"/>
          <w:rtl/>
        </w:rPr>
        <w:t xml:space="preserve"> </w:t>
      </w:r>
      <w:r w:rsidRPr="00E663B4">
        <w:rPr>
          <w:rFonts w:ascii="Century" w:hAnsi="Century" w:cs="Miriam" w:hint="eastAsia"/>
          <w:b/>
          <w:spacing w:val="0"/>
          <w:szCs w:val="24"/>
          <w:rtl/>
        </w:rPr>
        <w:t>נ</w:t>
      </w:r>
      <w:r w:rsidRPr="00E663B4">
        <w:rPr>
          <w:rFonts w:ascii="Century" w:hAnsi="Century" w:cs="Miriam"/>
          <w:b/>
          <w:spacing w:val="0"/>
          <w:szCs w:val="24"/>
          <w:rtl/>
        </w:rPr>
        <w:t xml:space="preserve">' </w:t>
      </w:r>
      <w:r w:rsidRPr="00E663B4">
        <w:rPr>
          <w:rFonts w:ascii="Century" w:hAnsi="Century" w:cs="Miriam" w:hint="eastAsia"/>
          <w:b/>
          <w:spacing w:val="0"/>
          <w:szCs w:val="24"/>
          <w:rtl/>
        </w:rPr>
        <w:t>ניסים</w:t>
      </w:r>
      <w:r>
        <w:rPr>
          <w:rFonts w:hint="cs"/>
          <w:rtl/>
        </w:rPr>
        <w:t>, פסקה 18</w:t>
      </w:r>
      <w:r w:rsidRPr="00E663B4">
        <w:rPr>
          <w:rtl/>
        </w:rPr>
        <w:t xml:space="preserve"> (</w:t>
      </w:r>
      <w:r>
        <w:rPr>
          <w:rFonts w:hint="cs"/>
          <w:rtl/>
        </w:rPr>
        <w:t>2</w:t>
      </w:r>
      <w:r w:rsidRPr="00E663B4">
        <w:rPr>
          <w:rtl/>
        </w:rPr>
        <w:t>.</w:t>
      </w:r>
      <w:r>
        <w:rPr>
          <w:rFonts w:hint="cs"/>
          <w:rtl/>
        </w:rPr>
        <w:t>2</w:t>
      </w:r>
      <w:r w:rsidRPr="00E663B4">
        <w:rPr>
          <w:rtl/>
        </w:rPr>
        <w:t>.2014)</w:t>
      </w:r>
      <w:r>
        <w:rPr>
          <w:rFonts w:hint="cs"/>
          <w:rtl/>
        </w:rPr>
        <w:t xml:space="preserve">; עניין </w:t>
      </w:r>
      <w:r w:rsidRPr="00E663B4">
        <w:rPr>
          <w:rFonts w:ascii="Century" w:hAnsi="Century" w:cs="Miriam" w:hint="cs"/>
          <w:b/>
          <w:spacing w:val="0"/>
          <w:szCs w:val="24"/>
          <w:rtl/>
        </w:rPr>
        <w:t>ברנע</w:t>
      </w:r>
      <w:r>
        <w:rPr>
          <w:rFonts w:hint="cs"/>
          <w:rtl/>
        </w:rPr>
        <w:t xml:space="preserve">, בפסקה 43; </w:t>
      </w:r>
      <w:r w:rsidRPr="00E663B4">
        <w:rPr>
          <w:rFonts w:hint="eastAsia"/>
          <w:rtl/>
        </w:rPr>
        <w:t>ע</w:t>
      </w:r>
      <w:r w:rsidRPr="00E663B4">
        <w:rPr>
          <w:rtl/>
        </w:rPr>
        <w:t>"</w:t>
      </w:r>
      <w:r w:rsidRPr="00E663B4">
        <w:rPr>
          <w:rFonts w:hint="eastAsia"/>
          <w:rtl/>
        </w:rPr>
        <w:t>א</w:t>
      </w:r>
      <w:r w:rsidRPr="00E663B4">
        <w:rPr>
          <w:rtl/>
        </w:rPr>
        <w:t xml:space="preserve"> 3844/15 </w:t>
      </w:r>
      <w:r w:rsidRPr="00E663B4">
        <w:rPr>
          <w:rFonts w:ascii="Century" w:hAnsi="Century" w:cs="Miriam" w:hint="eastAsia"/>
          <w:b/>
          <w:spacing w:val="0"/>
          <w:szCs w:val="24"/>
          <w:rtl/>
        </w:rPr>
        <w:t>פקיד</w:t>
      </w:r>
      <w:r w:rsidRPr="00E663B4">
        <w:rPr>
          <w:rFonts w:ascii="Century" w:hAnsi="Century" w:cs="Miriam"/>
          <w:b/>
          <w:spacing w:val="0"/>
          <w:szCs w:val="24"/>
          <w:rtl/>
        </w:rPr>
        <w:t xml:space="preserve"> </w:t>
      </w:r>
      <w:r w:rsidRPr="00E663B4">
        <w:rPr>
          <w:rFonts w:ascii="Century" w:hAnsi="Century" w:cs="Miriam" w:hint="eastAsia"/>
          <w:b/>
          <w:spacing w:val="0"/>
          <w:szCs w:val="24"/>
          <w:rtl/>
        </w:rPr>
        <w:t>שומה</w:t>
      </w:r>
      <w:r w:rsidRPr="00E663B4">
        <w:rPr>
          <w:rFonts w:ascii="Century" w:hAnsi="Century" w:cs="Miriam"/>
          <w:b/>
          <w:spacing w:val="0"/>
          <w:szCs w:val="24"/>
          <w:rtl/>
        </w:rPr>
        <w:t xml:space="preserve"> </w:t>
      </w:r>
      <w:r w:rsidRPr="00E663B4">
        <w:rPr>
          <w:rFonts w:ascii="Century" w:hAnsi="Century" w:cs="Miriam" w:hint="eastAsia"/>
          <w:b/>
          <w:spacing w:val="0"/>
          <w:szCs w:val="24"/>
          <w:rtl/>
        </w:rPr>
        <w:t>פתח</w:t>
      </w:r>
      <w:r w:rsidRPr="00E663B4">
        <w:rPr>
          <w:rFonts w:ascii="Century" w:hAnsi="Century" w:cs="Miriam"/>
          <w:b/>
          <w:spacing w:val="0"/>
          <w:szCs w:val="24"/>
          <w:rtl/>
        </w:rPr>
        <w:t xml:space="preserve"> </w:t>
      </w:r>
      <w:r w:rsidRPr="00E663B4">
        <w:rPr>
          <w:rFonts w:ascii="Century" w:hAnsi="Century" w:cs="Miriam" w:hint="eastAsia"/>
          <w:b/>
          <w:spacing w:val="0"/>
          <w:szCs w:val="24"/>
          <w:rtl/>
        </w:rPr>
        <w:t>תקוה</w:t>
      </w:r>
      <w:r w:rsidRPr="00E663B4">
        <w:rPr>
          <w:rFonts w:ascii="Century" w:hAnsi="Century" w:cs="Miriam"/>
          <w:b/>
          <w:spacing w:val="0"/>
          <w:szCs w:val="24"/>
          <w:rtl/>
        </w:rPr>
        <w:t xml:space="preserve"> </w:t>
      </w:r>
      <w:r w:rsidRPr="00E663B4">
        <w:rPr>
          <w:rFonts w:ascii="Century" w:hAnsi="Century" w:cs="Miriam" w:hint="eastAsia"/>
          <w:b/>
          <w:spacing w:val="0"/>
          <w:szCs w:val="24"/>
          <w:rtl/>
        </w:rPr>
        <w:t>נ</w:t>
      </w:r>
      <w:r w:rsidRPr="00E663B4">
        <w:rPr>
          <w:rFonts w:ascii="Century" w:hAnsi="Century" w:cs="Miriam"/>
          <w:b/>
          <w:spacing w:val="0"/>
          <w:szCs w:val="24"/>
          <w:rtl/>
        </w:rPr>
        <w:t xml:space="preserve">' </w:t>
      </w:r>
      <w:r w:rsidRPr="00E663B4">
        <w:rPr>
          <w:rFonts w:ascii="Century" w:hAnsi="Century" w:cs="Miriam" w:hint="eastAsia"/>
          <w:b/>
          <w:spacing w:val="0"/>
          <w:szCs w:val="24"/>
          <w:rtl/>
        </w:rPr>
        <w:t>שירותי</w:t>
      </w:r>
      <w:r w:rsidRPr="00E663B4">
        <w:rPr>
          <w:rFonts w:ascii="Century" w:hAnsi="Century" w:cs="Miriam"/>
          <w:b/>
          <w:spacing w:val="0"/>
          <w:szCs w:val="24"/>
          <w:rtl/>
        </w:rPr>
        <w:t xml:space="preserve"> </w:t>
      </w:r>
      <w:r w:rsidRPr="00E663B4">
        <w:rPr>
          <w:rFonts w:ascii="Century" w:hAnsi="Century" w:cs="Miriam" w:hint="eastAsia"/>
          <w:b/>
          <w:spacing w:val="0"/>
          <w:szCs w:val="24"/>
          <w:rtl/>
        </w:rPr>
        <w:t>בריאות</w:t>
      </w:r>
      <w:r w:rsidRPr="00E663B4">
        <w:rPr>
          <w:rFonts w:ascii="Century" w:hAnsi="Century" w:cs="Miriam"/>
          <w:b/>
          <w:spacing w:val="0"/>
          <w:szCs w:val="24"/>
          <w:rtl/>
        </w:rPr>
        <w:t xml:space="preserve"> </w:t>
      </w:r>
      <w:r w:rsidRPr="00E663B4">
        <w:rPr>
          <w:rFonts w:ascii="Century" w:hAnsi="Century" w:cs="Miriam" w:hint="eastAsia"/>
          <w:b/>
          <w:spacing w:val="0"/>
          <w:szCs w:val="24"/>
          <w:rtl/>
        </w:rPr>
        <w:t>כללית</w:t>
      </w:r>
      <w:r>
        <w:rPr>
          <w:rFonts w:hint="cs"/>
          <w:rtl/>
        </w:rPr>
        <w:t xml:space="preserve">, פסקה </w:t>
      </w:r>
      <w:proofErr w:type="spellStart"/>
      <w:r>
        <w:rPr>
          <w:rFonts w:hint="cs"/>
          <w:rtl/>
        </w:rPr>
        <w:t>כט</w:t>
      </w:r>
      <w:proofErr w:type="spellEnd"/>
      <w:r w:rsidRPr="00E663B4">
        <w:rPr>
          <w:rtl/>
        </w:rPr>
        <w:t xml:space="preserve"> (15.12.2016)</w:t>
      </w:r>
      <w:r w:rsidRPr="00125359">
        <w:rPr>
          <w:rFonts w:hint="cs"/>
          <w:rtl/>
        </w:rPr>
        <w:t>)</w:t>
      </w:r>
      <w:r>
        <w:rPr>
          <w:rFonts w:hint="cs"/>
          <w:rtl/>
        </w:rPr>
        <w:t xml:space="preserve">. </w:t>
      </w:r>
    </w:p>
    <w:p w:rsidR="00ED79F5" w:rsidRDefault="00ED79F5" w:rsidP="00ED79F5">
      <w:pPr>
        <w:pStyle w:val="Ruller41"/>
        <w:rPr>
          <w:rtl/>
        </w:rPr>
      </w:pPr>
    </w:p>
    <w:p w:rsidR="00ED79F5" w:rsidRPr="00926909" w:rsidRDefault="00ED79F5" w:rsidP="00ED79F5">
      <w:pPr>
        <w:pStyle w:val="Ruller4"/>
        <w:rPr>
          <w:rtl/>
        </w:rPr>
      </w:pPr>
      <w:r>
        <w:rPr>
          <w:rFonts w:hint="cs"/>
          <w:rtl/>
        </w:rPr>
        <w:t>לאור האמור, הגעתי למסקנה כי יש לסווג את הכספים שנמשכו על ידי המערער מספירה ישראל בשנות המס הרלוונטיות כהכנסה מדיבידנד לפי סעיף 2(4) לפקודת מס הכנסה; ובהתאם לקבוע את שיעור המס שייגבה בגינם.</w:t>
      </w:r>
    </w:p>
    <w:p w:rsidR="00ED79F5" w:rsidRDefault="00ED79F5" w:rsidP="00ED79F5">
      <w:pPr>
        <w:pStyle w:val="Ruller41"/>
        <w:rPr>
          <w:rtl/>
        </w:rPr>
      </w:pPr>
    </w:p>
    <w:p w:rsidR="00ED79F5" w:rsidRPr="00B01EE2" w:rsidRDefault="00ED79F5" w:rsidP="00ED79F5">
      <w:pPr>
        <w:pStyle w:val="Ruller41"/>
        <w:rPr>
          <w:rFonts w:ascii="Century" w:hAnsi="Century" w:cs="Miriam"/>
          <w:b/>
          <w:spacing w:val="0"/>
          <w:szCs w:val="24"/>
          <w:rtl/>
        </w:rPr>
      </w:pPr>
      <w:r w:rsidRPr="006B70B3">
        <w:rPr>
          <w:rFonts w:ascii="Century" w:hAnsi="Century" w:cs="Miriam" w:hint="cs"/>
          <w:b/>
          <w:spacing w:val="0"/>
          <w:szCs w:val="24"/>
          <w:rtl/>
        </w:rPr>
        <w:t>קנס ה</w:t>
      </w:r>
      <w:r>
        <w:rPr>
          <w:rFonts w:ascii="Century" w:hAnsi="Century" w:cs="Miriam" w:hint="cs"/>
          <w:b/>
          <w:spacing w:val="0"/>
          <w:szCs w:val="24"/>
          <w:rtl/>
        </w:rPr>
        <w:t>גירעון</w:t>
      </w:r>
    </w:p>
    <w:p w:rsidR="00ED79F5" w:rsidRDefault="00ED79F5" w:rsidP="00ED79F5">
      <w:pPr>
        <w:pStyle w:val="Ruller41"/>
        <w:rPr>
          <w:rtl/>
        </w:rPr>
      </w:pPr>
    </w:p>
    <w:p w:rsidR="00ED79F5" w:rsidRDefault="00ED79F5" w:rsidP="00ED79F5">
      <w:pPr>
        <w:pStyle w:val="Ruller4"/>
        <w:rPr>
          <w:rtl/>
        </w:rPr>
      </w:pPr>
      <w:r>
        <w:rPr>
          <w:rFonts w:hint="cs"/>
          <w:rtl/>
        </w:rPr>
        <w:t>כזכור, בענייננו חויב המערער בצווי השומה בשנות המס שבערעור בקנס גירעון בשיעור של 15% בהתאם לסעיף 191(ב) לפקודת מס הכנסה, הקובע כדלקמן:</w:t>
      </w:r>
    </w:p>
    <w:p w:rsidR="00ED79F5" w:rsidRDefault="00ED79F5" w:rsidP="00ED79F5">
      <w:pPr>
        <w:pStyle w:val="Ruller41"/>
        <w:rPr>
          <w:rtl/>
        </w:rPr>
      </w:pPr>
    </w:p>
    <w:p w:rsidR="00ED79F5" w:rsidRPr="00091FCA" w:rsidRDefault="00ED79F5" w:rsidP="00ED79F5">
      <w:pPr>
        <w:pStyle w:val="Ruller5"/>
        <w:rPr>
          <w:rtl/>
        </w:rPr>
      </w:pPr>
      <w:r w:rsidRPr="00091FCA">
        <w:rPr>
          <w:rFonts w:hint="eastAsia"/>
          <w:rtl/>
        </w:rPr>
        <w:t>נישום</w:t>
      </w:r>
      <w:r w:rsidRPr="00091FCA">
        <w:rPr>
          <w:rtl/>
        </w:rPr>
        <w:t xml:space="preserve"> </w:t>
      </w:r>
      <w:r w:rsidRPr="00091FCA">
        <w:rPr>
          <w:rFonts w:hint="eastAsia"/>
          <w:rtl/>
        </w:rPr>
        <w:t>שלגביו</w:t>
      </w:r>
      <w:r w:rsidRPr="00091FCA">
        <w:rPr>
          <w:rtl/>
        </w:rPr>
        <w:t xml:space="preserve"> </w:t>
      </w:r>
      <w:r w:rsidRPr="00091FCA">
        <w:rPr>
          <w:rFonts w:hint="eastAsia"/>
          <w:rtl/>
        </w:rPr>
        <w:t>נקבע</w:t>
      </w:r>
      <w:r w:rsidRPr="00091FCA">
        <w:rPr>
          <w:rtl/>
        </w:rPr>
        <w:t xml:space="preserve"> </w:t>
      </w:r>
      <w:r>
        <w:rPr>
          <w:rFonts w:hint="eastAsia"/>
          <w:rtl/>
        </w:rPr>
        <w:t>גרעון</w:t>
      </w:r>
      <w:r w:rsidRPr="00091FCA">
        <w:rPr>
          <w:rtl/>
        </w:rPr>
        <w:t xml:space="preserve"> </w:t>
      </w:r>
      <w:r w:rsidRPr="00091FCA">
        <w:rPr>
          <w:rFonts w:hint="eastAsia"/>
          <w:rtl/>
        </w:rPr>
        <w:t>העולה</w:t>
      </w:r>
      <w:r w:rsidRPr="00091FCA">
        <w:rPr>
          <w:rtl/>
        </w:rPr>
        <w:t xml:space="preserve"> </w:t>
      </w:r>
      <w:r w:rsidRPr="00091FCA">
        <w:rPr>
          <w:rFonts w:hint="eastAsia"/>
          <w:rtl/>
        </w:rPr>
        <w:t>על</w:t>
      </w:r>
      <w:r w:rsidRPr="00091FCA">
        <w:rPr>
          <w:rtl/>
        </w:rPr>
        <w:t xml:space="preserve"> 50% </w:t>
      </w:r>
      <w:r w:rsidRPr="00091FCA">
        <w:rPr>
          <w:rFonts w:hint="eastAsia"/>
          <w:rtl/>
        </w:rPr>
        <w:t>מהמס</w:t>
      </w:r>
      <w:r w:rsidRPr="00091FCA">
        <w:rPr>
          <w:rtl/>
        </w:rPr>
        <w:t xml:space="preserve"> </w:t>
      </w:r>
      <w:r w:rsidRPr="00091FCA">
        <w:rPr>
          <w:rFonts w:hint="eastAsia"/>
          <w:rtl/>
        </w:rPr>
        <w:t>שהוא</w:t>
      </w:r>
      <w:r w:rsidRPr="00091FCA">
        <w:rPr>
          <w:rtl/>
        </w:rPr>
        <w:t xml:space="preserve"> </w:t>
      </w:r>
      <w:r w:rsidRPr="00091FCA">
        <w:rPr>
          <w:rFonts w:hint="eastAsia"/>
          <w:rtl/>
        </w:rPr>
        <w:t>חייב</w:t>
      </w:r>
      <w:r w:rsidRPr="00091FCA">
        <w:rPr>
          <w:rtl/>
        </w:rPr>
        <w:t xml:space="preserve"> </w:t>
      </w:r>
      <w:r w:rsidRPr="00091FCA">
        <w:rPr>
          <w:rFonts w:hint="eastAsia"/>
          <w:rtl/>
        </w:rPr>
        <w:t>בו</w:t>
      </w:r>
      <w:r w:rsidRPr="00091FCA">
        <w:rPr>
          <w:rtl/>
        </w:rPr>
        <w:t xml:space="preserve"> </w:t>
      </w:r>
      <w:r w:rsidRPr="00091FCA">
        <w:rPr>
          <w:rFonts w:hint="eastAsia"/>
          <w:rtl/>
        </w:rPr>
        <w:t>ולא</w:t>
      </w:r>
      <w:r w:rsidRPr="00091FCA">
        <w:rPr>
          <w:rtl/>
        </w:rPr>
        <w:t xml:space="preserve"> </w:t>
      </w:r>
      <w:r w:rsidRPr="00091FCA">
        <w:rPr>
          <w:rFonts w:hint="eastAsia"/>
          <w:rtl/>
        </w:rPr>
        <w:t>הוכיח</w:t>
      </w:r>
      <w:r w:rsidRPr="00091FCA">
        <w:rPr>
          <w:rtl/>
        </w:rPr>
        <w:t xml:space="preserve"> </w:t>
      </w:r>
      <w:r w:rsidRPr="00091FCA">
        <w:rPr>
          <w:rFonts w:hint="eastAsia"/>
          <w:rtl/>
        </w:rPr>
        <w:t>להנחת</w:t>
      </w:r>
      <w:r w:rsidRPr="00091FCA">
        <w:rPr>
          <w:rtl/>
        </w:rPr>
        <w:t xml:space="preserve"> </w:t>
      </w:r>
      <w:r w:rsidRPr="00091FCA">
        <w:rPr>
          <w:rFonts w:hint="eastAsia"/>
          <w:rtl/>
        </w:rPr>
        <w:t>דעתו</w:t>
      </w:r>
      <w:r w:rsidRPr="00091FCA">
        <w:rPr>
          <w:rtl/>
        </w:rPr>
        <w:t xml:space="preserve"> </w:t>
      </w:r>
      <w:r w:rsidRPr="00091FCA">
        <w:rPr>
          <w:rFonts w:hint="eastAsia"/>
          <w:rtl/>
        </w:rPr>
        <w:t>של</w:t>
      </w:r>
      <w:r w:rsidRPr="00091FCA">
        <w:rPr>
          <w:rtl/>
        </w:rPr>
        <w:t xml:space="preserve"> </w:t>
      </w:r>
      <w:r w:rsidRPr="00091FCA">
        <w:rPr>
          <w:rFonts w:hint="eastAsia"/>
          <w:rtl/>
        </w:rPr>
        <w:t>פקיד</w:t>
      </w:r>
      <w:r w:rsidRPr="00091FCA">
        <w:rPr>
          <w:rtl/>
        </w:rPr>
        <w:t xml:space="preserve"> </w:t>
      </w:r>
      <w:r w:rsidRPr="00091FCA">
        <w:rPr>
          <w:rFonts w:hint="eastAsia"/>
          <w:rtl/>
        </w:rPr>
        <w:t>השומה</w:t>
      </w:r>
      <w:r w:rsidRPr="00091FCA">
        <w:rPr>
          <w:rtl/>
        </w:rPr>
        <w:t xml:space="preserve"> </w:t>
      </w:r>
      <w:r w:rsidRPr="00091FCA">
        <w:rPr>
          <w:rFonts w:hint="eastAsia"/>
          <w:rtl/>
        </w:rPr>
        <w:t>שלא</w:t>
      </w:r>
      <w:r w:rsidRPr="00091FCA">
        <w:rPr>
          <w:rtl/>
        </w:rPr>
        <w:t xml:space="preserve"> </w:t>
      </w:r>
      <w:r w:rsidRPr="00091FCA">
        <w:rPr>
          <w:rFonts w:hint="eastAsia"/>
          <w:rtl/>
        </w:rPr>
        <w:lastRenderedPageBreak/>
        <w:t>התרשל</w:t>
      </w:r>
      <w:r w:rsidRPr="00091FCA">
        <w:rPr>
          <w:rtl/>
        </w:rPr>
        <w:t xml:space="preserve"> </w:t>
      </w:r>
      <w:r w:rsidRPr="00091FCA">
        <w:rPr>
          <w:rFonts w:hint="eastAsia"/>
          <w:rtl/>
        </w:rPr>
        <w:t>בעריכת</w:t>
      </w:r>
      <w:r w:rsidRPr="00091FCA">
        <w:rPr>
          <w:rtl/>
        </w:rPr>
        <w:t xml:space="preserve"> </w:t>
      </w:r>
      <w:r w:rsidRPr="00091FCA">
        <w:rPr>
          <w:rFonts w:hint="eastAsia"/>
          <w:rtl/>
        </w:rPr>
        <w:t>הדו</w:t>
      </w:r>
      <w:r w:rsidRPr="00091FCA">
        <w:rPr>
          <w:rtl/>
        </w:rPr>
        <w:t>"</w:t>
      </w:r>
      <w:r w:rsidRPr="00091FCA">
        <w:rPr>
          <w:rFonts w:hint="eastAsia"/>
          <w:rtl/>
        </w:rPr>
        <w:t>ח</w:t>
      </w:r>
      <w:r w:rsidRPr="00091FCA">
        <w:rPr>
          <w:rtl/>
        </w:rPr>
        <w:t xml:space="preserve"> </w:t>
      </w:r>
      <w:r w:rsidRPr="00091FCA">
        <w:rPr>
          <w:rFonts w:hint="eastAsia"/>
          <w:rtl/>
        </w:rPr>
        <w:t>שמסר</w:t>
      </w:r>
      <w:r w:rsidRPr="00091FCA">
        <w:rPr>
          <w:rtl/>
        </w:rPr>
        <w:t xml:space="preserve"> </w:t>
      </w:r>
      <w:r w:rsidRPr="00091FCA">
        <w:rPr>
          <w:rFonts w:hint="eastAsia"/>
          <w:rtl/>
        </w:rPr>
        <w:t>או</w:t>
      </w:r>
      <w:r w:rsidRPr="00091FCA">
        <w:rPr>
          <w:rtl/>
        </w:rPr>
        <w:t xml:space="preserve"> </w:t>
      </w:r>
      <w:r w:rsidRPr="00091FCA">
        <w:rPr>
          <w:rFonts w:hint="eastAsia"/>
          <w:rtl/>
        </w:rPr>
        <w:t>באי</w:t>
      </w:r>
      <w:r w:rsidRPr="00091FCA">
        <w:rPr>
          <w:rtl/>
        </w:rPr>
        <w:t xml:space="preserve"> </w:t>
      </w:r>
      <w:r w:rsidRPr="00091FCA">
        <w:rPr>
          <w:rFonts w:hint="eastAsia"/>
          <w:rtl/>
        </w:rPr>
        <w:t>מסירת</w:t>
      </w:r>
      <w:r w:rsidRPr="00091FCA">
        <w:rPr>
          <w:rtl/>
        </w:rPr>
        <w:t xml:space="preserve"> </w:t>
      </w:r>
      <w:r w:rsidRPr="00091FCA">
        <w:rPr>
          <w:rFonts w:hint="eastAsia"/>
          <w:rtl/>
        </w:rPr>
        <w:t>דו</w:t>
      </w:r>
      <w:r w:rsidRPr="00091FCA">
        <w:rPr>
          <w:rtl/>
        </w:rPr>
        <w:t>"</w:t>
      </w:r>
      <w:r w:rsidRPr="00091FCA">
        <w:rPr>
          <w:rFonts w:hint="eastAsia"/>
          <w:rtl/>
        </w:rPr>
        <w:t>ח</w:t>
      </w:r>
      <w:r w:rsidRPr="00091FCA">
        <w:rPr>
          <w:rtl/>
        </w:rPr>
        <w:t xml:space="preserve">, </w:t>
      </w:r>
      <w:r w:rsidRPr="00091FCA">
        <w:rPr>
          <w:rFonts w:hint="eastAsia"/>
          <w:rtl/>
        </w:rPr>
        <w:t>יהא</w:t>
      </w:r>
      <w:r w:rsidRPr="00091FCA">
        <w:rPr>
          <w:rtl/>
        </w:rPr>
        <w:t xml:space="preserve"> </w:t>
      </w:r>
      <w:r w:rsidRPr="00091FCA">
        <w:rPr>
          <w:rFonts w:hint="eastAsia"/>
          <w:rtl/>
        </w:rPr>
        <w:t>חייב</w:t>
      </w:r>
      <w:r w:rsidRPr="00091FCA">
        <w:rPr>
          <w:rtl/>
        </w:rPr>
        <w:t xml:space="preserve"> </w:t>
      </w:r>
      <w:r w:rsidRPr="00091FCA">
        <w:rPr>
          <w:rFonts w:hint="eastAsia"/>
          <w:rtl/>
        </w:rPr>
        <w:t>בקנס</w:t>
      </w:r>
      <w:r w:rsidRPr="00091FCA">
        <w:rPr>
          <w:rtl/>
        </w:rPr>
        <w:t xml:space="preserve"> </w:t>
      </w:r>
      <w:r w:rsidRPr="00091FCA">
        <w:rPr>
          <w:rFonts w:hint="eastAsia"/>
          <w:rtl/>
        </w:rPr>
        <w:t>בשיעור</w:t>
      </w:r>
      <w:r w:rsidRPr="00091FCA">
        <w:rPr>
          <w:rtl/>
        </w:rPr>
        <w:t xml:space="preserve"> </w:t>
      </w:r>
      <w:r w:rsidRPr="00091FCA">
        <w:rPr>
          <w:rFonts w:hint="eastAsia"/>
          <w:rtl/>
        </w:rPr>
        <w:t>של</w:t>
      </w:r>
      <w:r w:rsidRPr="00091FCA">
        <w:rPr>
          <w:rtl/>
        </w:rPr>
        <w:t xml:space="preserve"> 15% </w:t>
      </w:r>
      <w:r w:rsidRPr="00091FCA">
        <w:rPr>
          <w:rFonts w:hint="eastAsia"/>
          <w:rtl/>
        </w:rPr>
        <w:t>מסכום</w:t>
      </w:r>
      <w:r w:rsidRPr="00091FCA">
        <w:rPr>
          <w:rtl/>
        </w:rPr>
        <w:t xml:space="preserve"> </w:t>
      </w:r>
      <w:r w:rsidRPr="00091FCA">
        <w:rPr>
          <w:rFonts w:hint="eastAsia"/>
          <w:rtl/>
        </w:rPr>
        <w:t>ה</w:t>
      </w:r>
      <w:r>
        <w:rPr>
          <w:rFonts w:hint="eastAsia"/>
          <w:rtl/>
        </w:rPr>
        <w:t>גרעון</w:t>
      </w:r>
      <w:r w:rsidRPr="00091FCA">
        <w:rPr>
          <w:rtl/>
        </w:rPr>
        <w:t>.</w:t>
      </w:r>
    </w:p>
    <w:p w:rsidR="00ED79F5" w:rsidRDefault="00ED79F5" w:rsidP="00ED79F5">
      <w:pPr>
        <w:pStyle w:val="Ruller41"/>
        <w:rPr>
          <w:rtl/>
        </w:rPr>
      </w:pPr>
    </w:p>
    <w:p w:rsidR="00ED79F5" w:rsidRDefault="00ED79F5" w:rsidP="00ED79F5">
      <w:pPr>
        <w:pStyle w:val="Ruller41"/>
        <w:rPr>
          <w:rtl/>
        </w:rPr>
      </w:pPr>
      <w:r>
        <w:rPr>
          <w:rtl/>
        </w:rPr>
        <w:tab/>
      </w:r>
      <w:r>
        <w:rPr>
          <w:rFonts w:hint="cs"/>
          <w:rtl/>
        </w:rPr>
        <w:t>בית משפט קמא קבע בפסק דינו כי אכן היה מקום להטיל קנס כאמור. זאת משנקבע כי עסקת המכר של הסימן המסחרי מהווה תכנון מס שלילי בלתי לגיטימי, הנעדר טעם מסחרי, באופן המלמד על רשלנות בעריכת הדו"חות שמטרתה היא הפחתת תשלום המס. כאמור בפתח הדברים, לא ראיתי מקום להתערב בקביעה זו.</w:t>
      </w:r>
    </w:p>
    <w:p w:rsidR="00ED79F5" w:rsidRDefault="00ED79F5" w:rsidP="00ED79F5">
      <w:pPr>
        <w:pStyle w:val="Ruller41"/>
        <w:rPr>
          <w:rtl/>
        </w:rPr>
      </w:pPr>
    </w:p>
    <w:p w:rsidR="00ED79F5" w:rsidRDefault="00ED79F5" w:rsidP="00ED79F5">
      <w:pPr>
        <w:pStyle w:val="Ruller4"/>
        <w:rPr>
          <w:rtl/>
        </w:rPr>
      </w:pPr>
      <w:r w:rsidRPr="00C80878">
        <w:rPr>
          <w:rFonts w:ascii="Century" w:hAnsi="Century" w:hint="cs"/>
          <w:sz w:val="22"/>
          <w:rtl/>
        </w:rPr>
        <w:t xml:space="preserve">המערער </w:t>
      </w:r>
      <w:r>
        <w:rPr>
          <w:rFonts w:hint="cs"/>
          <w:rtl/>
        </w:rPr>
        <w:t xml:space="preserve">מעלה שתי טענות עיקריות בכל הנוגע לקנס הגירעון: </w:t>
      </w:r>
      <w:r w:rsidRPr="00C80878">
        <w:rPr>
          <w:rFonts w:ascii="Century" w:hAnsi="Century" w:cs="Miriam" w:hint="cs"/>
          <w:b/>
          <w:spacing w:val="0"/>
          <w:sz w:val="22"/>
          <w:szCs w:val="24"/>
          <w:rtl/>
        </w:rPr>
        <w:t>הראשונה</w:t>
      </w:r>
      <w:r w:rsidRPr="00C80878">
        <w:rPr>
          <w:rFonts w:hint="cs"/>
          <w:rtl/>
        </w:rPr>
        <w:t xml:space="preserve"> </w:t>
      </w:r>
      <w:r>
        <w:rPr>
          <w:rtl/>
        </w:rPr>
        <w:t>–</w:t>
      </w:r>
      <w:r>
        <w:rPr>
          <w:rFonts w:hint="cs"/>
          <w:rtl/>
        </w:rPr>
        <w:t xml:space="preserve"> כי הקנס הוטל בחוסר סמכות; ו</w:t>
      </w:r>
      <w:r w:rsidRPr="00C80878">
        <w:rPr>
          <w:rFonts w:ascii="Century" w:hAnsi="Century" w:cs="Miriam" w:hint="cs"/>
          <w:b/>
          <w:spacing w:val="0"/>
          <w:sz w:val="22"/>
          <w:szCs w:val="24"/>
          <w:rtl/>
        </w:rPr>
        <w:t xml:space="preserve">השנייה </w:t>
      </w:r>
      <w:r>
        <w:rPr>
          <w:rtl/>
        </w:rPr>
        <w:t>–</w:t>
      </w:r>
      <w:r>
        <w:rPr>
          <w:rFonts w:hint="cs"/>
          <w:rtl/>
        </w:rPr>
        <w:t xml:space="preserve"> כי הוא לא התרשל בעריכת הדו"חות שהגיש לרשויות המס.</w:t>
      </w:r>
    </w:p>
    <w:p w:rsidR="00ED79F5" w:rsidRDefault="00ED79F5" w:rsidP="00ED79F5">
      <w:pPr>
        <w:pStyle w:val="Ruller4"/>
        <w:numPr>
          <w:ilvl w:val="0"/>
          <w:numId w:val="0"/>
        </w:numPr>
        <w:rPr>
          <w:rFonts w:ascii="Arial TUR" w:hAnsi="Arial TUR"/>
          <w:sz w:val="22"/>
          <w:rtl/>
        </w:rPr>
      </w:pPr>
    </w:p>
    <w:p w:rsidR="00ED79F5" w:rsidRDefault="00ED79F5" w:rsidP="00ED79F5">
      <w:pPr>
        <w:pStyle w:val="Ruller4"/>
        <w:numPr>
          <w:ilvl w:val="0"/>
          <w:numId w:val="0"/>
        </w:numPr>
      </w:pPr>
      <w:r>
        <w:rPr>
          <w:rFonts w:ascii="Arial TUR" w:hAnsi="Arial TUR"/>
          <w:sz w:val="22"/>
          <w:rtl/>
        </w:rPr>
        <w:tab/>
      </w:r>
      <w:r>
        <w:rPr>
          <w:rFonts w:ascii="Arial TUR" w:hAnsi="Arial TUR" w:hint="cs"/>
          <w:sz w:val="22"/>
          <w:rtl/>
        </w:rPr>
        <w:t xml:space="preserve">בכל הנוגע לטענה הראשונה, אני סבורה כי </w:t>
      </w:r>
      <w:r>
        <w:rPr>
          <w:rFonts w:hint="cs"/>
          <w:rtl/>
        </w:rPr>
        <w:t>יש לדחותה בראש ובראשונה בהתחשב בעובדה שהיא לא הועלתה בשום שלב על ידי המערער במסגרת ההליך קמא, והיא נזכרה לראשונה רק במסגרת הערעור דנן. די בטעם זה כדי להביא לדחייתה.</w:t>
      </w:r>
    </w:p>
    <w:p w:rsidR="00ED79F5" w:rsidRDefault="00ED79F5" w:rsidP="00ED79F5">
      <w:pPr>
        <w:pStyle w:val="Ruller4"/>
        <w:numPr>
          <w:ilvl w:val="0"/>
          <w:numId w:val="0"/>
        </w:numPr>
        <w:rPr>
          <w:rtl/>
        </w:rPr>
      </w:pPr>
    </w:p>
    <w:p w:rsidR="00ED79F5" w:rsidRDefault="00ED79F5" w:rsidP="00ED79F5">
      <w:pPr>
        <w:pStyle w:val="Ruller4"/>
        <w:numPr>
          <w:ilvl w:val="0"/>
          <w:numId w:val="0"/>
        </w:numPr>
        <w:rPr>
          <w:rtl/>
        </w:rPr>
      </w:pPr>
      <w:r>
        <w:rPr>
          <w:rtl/>
        </w:rPr>
        <w:tab/>
      </w:r>
      <w:r>
        <w:rPr>
          <w:rFonts w:hint="cs"/>
          <w:rtl/>
        </w:rPr>
        <w:t xml:space="preserve">אף לגופו של עניין לא מצאתי ממש בטענה זו. לטענת המערער, קנס הגירעון הוטל על ידי רכזת החוליה במשיב, אשר הוסמכה לשמש כעוזר פקיד השומה לעניין סעיפים 145, 150, 151 ו-152 לפקודה. לגישתו, מאחר שהיא לא הוסמכה מפורשות לשמש כעוזר פקיד השומה לעניין סעיף 191(ב) לפקודה, הרי שהיא אינה מוסמכת להטיל קנס גירעון. אלא שלטעמי ההסמכה להוציא שומה לפי סעיף 145 לפקודה כוללת מיניה וביה גם את הסמכות להטיל קנס גירעון (השוו: </w:t>
      </w:r>
      <w:r w:rsidRPr="00377E8B">
        <w:rPr>
          <w:rFonts w:hint="eastAsia"/>
          <w:rtl/>
        </w:rPr>
        <w:t>ע</w:t>
      </w:r>
      <w:r w:rsidRPr="00377E8B">
        <w:rPr>
          <w:rtl/>
        </w:rPr>
        <w:t>"</w:t>
      </w:r>
      <w:r w:rsidRPr="00377E8B">
        <w:rPr>
          <w:rFonts w:hint="eastAsia"/>
          <w:rtl/>
        </w:rPr>
        <w:t>א</w:t>
      </w:r>
      <w:r w:rsidRPr="00377E8B">
        <w:rPr>
          <w:rtl/>
        </w:rPr>
        <w:t xml:space="preserve"> 6893/19 </w:t>
      </w:r>
      <w:r w:rsidRPr="00377E8B">
        <w:rPr>
          <w:rFonts w:ascii="Century" w:hAnsi="Century" w:cs="Miriam" w:hint="eastAsia"/>
          <w:b/>
          <w:spacing w:val="0"/>
          <w:sz w:val="22"/>
          <w:szCs w:val="24"/>
          <w:rtl/>
        </w:rPr>
        <w:t>חברת</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בית</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אבות</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שלמה</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המלך</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בע</w:t>
      </w:r>
      <w:r w:rsidRPr="00377E8B">
        <w:rPr>
          <w:rFonts w:ascii="Century" w:hAnsi="Century" w:cs="Miriam"/>
          <w:b/>
          <w:spacing w:val="0"/>
          <w:sz w:val="22"/>
          <w:szCs w:val="24"/>
          <w:rtl/>
        </w:rPr>
        <w:t>"</w:t>
      </w:r>
      <w:r w:rsidRPr="00377E8B">
        <w:rPr>
          <w:rFonts w:ascii="Century" w:hAnsi="Century" w:cs="Miriam" w:hint="eastAsia"/>
          <w:b/>
          <w:spacing w:val="0"/>
          <w:sz w:val="22"/>
          <w:szCs w:val="24"/>
          <w:rtl/>
        </w:rPr>
        <w:t>מ</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נ</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פקיד</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שומה</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גוש</w:t>
      </w:r>
      <w:r w:rsidRPr="00377E8B">
        <w:rPr>
          <w:rFonts w:ascii="Century" w:hAnsi="Century" w:cs="Miriam"/>
          <w:b/>
          <w:spacing w:val="0"/>
          <w:sz w:val="22"/>
          <w:szCs w:val="24"/>
          <w:rtl/>
        </w:rPr>
        <w:t xml:space="preserve"> </w:t>
      </w:r>
      <w:r w:rsidRPr="00377E8B">
        <w:rPr>
          <w:rFonts w:ascii="Century" w:hAnsi="Century" w:cs="Miriam" w:hint="eastAsia"/>
          <w:b/>
          <w:spacing w:val="0"/>
          <w:sz w:val="22"/>
          <w:szCs w:val="24"/>
          <w:rtl/>
        </w:rPr>
        <w:t>דן</w:t>
      </w:r>
      <w:r>
        <w:rPr>
          <w:rFonts w:hint="cs"/>
          <w:rtl/>
        </w:rPr>
        <w:t>, פסקה 23</w:t>
      </w:r>
      <w:r w:rsidRPr="00377E8B">
        <w:rPr>
          <w:rtl/>
        </w:rPr>
        <w:t xml:space="preserve"> (</w:t>
      </w:r>
      <w:r>
        <w:rPr>
          <w:rFonts w:hint="cs"/>
          <w:rtl/>
        </w:rPr>
        <w:t>4</w:t>
      </w:r>
      <w:r w:rsidRPr="00377E8B">
        <w:rPr>
          <w:rtl/>
        </w:rPr>
        <w:t>.</w:t>
      </w:r>
      <w:r>
        <w:rPr>
          <w:rFonts w:hint="cs"/>
          <w:rtl/>
        </w:rPr>
        <w:t>8</w:t>
      </w:r>
      <w:r w:rsidRPr="00377E8B">
        <w:rPr>
          <w:rtl/>
        </w:rPr>
        <w:t>.2020)</w:t>
      </w:r>
      <w:r>
        <w:rPr>
          <w:rFonts w:hint="cs"/>
          <w:rtl/>
        </w:rPr>
        <w:t>). על כן ניתן ללמוד, בין היתר, מסעיף 191(ד) לפקודה, הקובע כי "</w:t>
      </w:r>
      <w:proofErr w:type="spellStart"/>
      <w:r w:rsidRPr="00F11154">
        <w:rPr>
          <w:rFonts w:ascii="Century" w:hAnsi="Century" w:cs="Miriam" w:hint="eastAsia"/>
          <w:b/>
          <w:spacing w:val="0"/>
          <w:sz w:val="22"/>
          <w:szCs w:val="24"/>
          <w:rtl/>
        </w:rPr>
        <w:t>לענין</w:t>
      </w:r>
      <w:proofErr w:type="spellEnd"/>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סעיפים</w:t>
      </w:r>
      <w:r w:rsidRPr="00F11154">
        <w:rPr>
          <w:rFonts w:ascii="Century" w:hAnsi="Century" w:cs="Miriam"/>
          <w:b/>
          <w:spacing w:val="0"/>
          <w:sz w:val="22"/>
          <w:szCs w:val="24"/>
          <w:rtl/>
        </w:rPr>
        <w:t xml:space="preserve"> 149-152 </w:t>
      </w:r>
      <w:r w:rsidRPr="00F11154">
        <w:rPr>
          <w:rFonts w:ascii="Century" w:hAnsi="Century" w:cs="Miriam" w:hint="eastAsia"/>
          <w:b/>
          <w:spacing w:val="0"/>
          <w:sz w:val="22"/>
          <w:szCs w:val="24"/>
          <w:rtl/>
        </w:rPr>
        <w:t>דין</w:t>
      </w:r>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הוספת</w:t>
      </w:r>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קנס</w:t>
      </w:r>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על</w:t>
      </w:r>
      <w:r w:rsidRPr="00F11154">
        <w:rPr>
          <w:rFonts w:ascii="Century" w:hAnsi="Century" w:cs="Miriam"/>
          <w:b/>
          <w:spacing w:val="0"/>
          <w:sz w:val="22"/>
          <w:szCs w:val="24"/>
          <w:rtl/>
        </w:rPr>
        <w:t xml:space="preserve"> </w:t>
      </w:r>
      <w:r>
        <w:rPr>
          <w:rFonts w:ascii="Century" w:hAnsi="Century" w:cs="Miriam" w:hint="eastAsia"/>
          <w:b/>
          <w:spacing w:val="0"/>
          <w:sz w:val="22"/>
          <w:szCs w:val="24"/>
          <w:rtl/>
        </w:rPr>
        <w:t>גרעון</w:t>
      </w:r>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לפי</w:t>
      </w:r>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סעיף</w:t>
      </w:r>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זה</w:t>
      </w:r>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כדין</w:t>
      </w:r>
      <w:r w:rsidRPr="00F11154">
        <w:rPr>
          <w:rFonts w:ascii="Century" w:hAnsi="Century" w:cs="Miriam"/>
          <w:b/>
          <w:spacing w:val="0"/>
          <w:sz w:val="22"/>
          <w:szCs w:val="24"/>
          <w:rtl/>
        </w:rPr>
        <w:t xml:space="preserve"> </w:t>
      </w:r>
      <w:r w:rsidRPr="00F11154">
        <w:rPr>
          <w:rFonts w:ascii="Century" w:hAnsi="Century" w:cs="Miriam" w:hint="eastAsia"/>
          <w:b/>
          <w:spacing w:val="0"/>
          <w:sz w:val="22"/>
          <w:szCs w:val="24"/>
          <w:rtl/>
        </w:rPr>
        <w:t>שומה</w:t>
      </w:r>
      <w:r>
        <w:rPr>
          <w:rFonts w:hint="cs"/>
          <w:rtl/>
        </w:rPr>
        <w:t>"</w:t>
      </w:r>
      <w:r w:rsidRPr="00F11154">
        <w:rPr>
          <w:rtl/>
        </w:rPr>
        <w:t>.</w:t>
      </w:r>
      <w:r>
        <w:rPr>
          <w:rFonts w:hint="cs"/>
          <w:rtl/>
        </w:rPr>
        <w:t xml:space="preserve"> עוד יצוין כי לפי טענת המשיב </w:t>
      </w:r>
      <w:r>
        <w:rPr>
          <w:rtl/>
        </w:rPr>
        <w:t>–</w:t>
      </w:r>
      <w:r>
        <w:rPr>
          <w:rFonts w:hint="cs"/>
          <w:rtl/>
        </w:rPr>
        <w:t xml:space="preserve"> אשר לא נסתרה </w:t>
      </w:r>
      <w:r>
        <w:rPr>
          <w:rtl/>
        </w:rPr>
        <w:t>–</w:t>
      </w:r>
      <w:r>
        <w:rPr>
          <w:rFonts w:hint="cs"/>
          <w:rtl/>
        </w:rPr>
        <w:t xml:space="preserve"> קנס הגירעון במקרה דנן הוטל על דעת פקיד השומה.</w:t>
      </w:r>
    </w:p>
    <w:p w:rsidR="00ED79F5" w:rsidRDefault="00ED79F5" w:rsidP="00ED79F5">
      <w:pPr>
        <w:pStyle w:val="Ruller41"/>
        <w:rPr>
          <w:rtl/>
        </w:rPr>
      </w:pPr>
    </w:p>
    <w:p w:rsidR="00ED79F5" w:rsidRDefault="00ED79F5" w:rsidP="00ED79F5">
      <w:pPr>
        <w:pStyle w:val="Ruller4"/>
        <w:rPr>
          <w:rtl/>
        </w:rPr>
      </w:pPr>
      <w:r>
        <w:rPr>
          <w:rFonts w:hint="cs"/>
          <w:rtl/>
        </w:rPr>
        <w:t xml:space="preserve">גם בטענות המערער כי לא היה מקום לקבוע כי הוא התרשל בעריכת הדו"ח לא מצאתי ממש. אומנם השאלה מהי "התרשלות" לצורך סעיף 191 טרם התבררה באופן מקיף בפסיקתו של בית משפט זה. עם זאת, הובהר בפסיקה כי: </w:t>
      </w:r>
    </w:p>
    <w:p w:rsidR="00ED79F5" w:rsidRPr="005379C5" w:rsidRDefault="00ED79F5" w:rsidP="00ED79F5">
      <w:pPr>
        <w:pStyle w:val="Ruller41"/>
      </w:pPr>
    </w:p>
    <w:p w:rsidR="00ED79F5" w:rsidRDefault="00ED79F5" w:rsidP="00ED79F5">
      <w:pPr>
        <w:pStyle w:val="Ruller5"/>
        <w:rPr>
          <w:rtl/>
        </w:rPr>
      </w:pPr>
      <w:r w:rsidRPr="005379C5">
        <w:rPr>
          <w:rFonts w:hint="eastAsia"/>
          <w:rtl/>
        </w:rPr>
        <w:t>בבחינת</w:t>
      </w:r>
      <w:r w:rsidRPr="005379C5">
        <w:rPr>
          <w:rtl/>
        </w:rPr>
        <w:t xml:space="preserve"> </w:t>
      </w:r>
      <w:r w:rsidRPr="005379C5">
        <w:rPr>
          <w:rFonts w:hint="eastAsia"/>
          <w:rtl/>
        </w:rPr>
        <w:t>ההתרשלות</w:t>
      </w:r>
      <w:r w:rsidRPr="005379C5">
        <w:rPr>
          <w:rtl/>
        </w:rPr>
        <w:t xml:space="preserve"> </w:t>
      </w:r>
      <w:r w:rsidRPr="005379C5">
        <w:rPr>
          <w:rFonts w:hint="eastAsia"/>
          <w:rtl/>
        </w:rPr>
        <w:t>של</w:t>
      </w:r>
      <w:r w:rsidRPr="005379C5">
        <w:rPr>
          <w:rtl/>
        </w:rPr>
        <w:t xml:space="preserve"> </w:t>
      </w:r>
      <w:r w:rsidRPr="005379C5">
        <w:rPr>
          <w:rFonts w:hint="eastAsia"/>
          <w:rtl/>
        </w:rPr>
        <w:t>נישום</w:t>
      </w:r>
      <w:r w:rsidRPr="005379C5">
        <w:rPr>
          <w:rtl/>
        </w:rPr>
        <w:t xml:space="preserve"> </w:t>
      </w:r>
      <w:r w:rsidRPr="005379C5">
        <w:rPr>
          <w:rFonts w:hint="eastAsia"/>
          <w:rtl/>
        </w:rPr>
        <w:t>לצורך</w:t>
      </w:r>
      <w:r w:rsidRPr="005379C5">
        <w:rPr>
          <w:rtl/>
        </w:rPr>
        <w:t xml:space="preserve"> </w:t>
      </w:r>
      <w:r w:rsidRPr="005379C5">
        <w:rPr>
          <w:rFonts w:hint="eastAsia"/>
          <w:rtl/>
        </w:rPr>
        <w:t>הטלת</w:t>
      </w:r>
      <w:r w:rsidRPr="005379C5">
        <w:rPr>
          <w:rtl/>
        </w:rPr>
        <w:t xml:space="preserve"> </w:t>
      </w:r>
      <w:r w:rsidRPr="005379C5">
        <w:rPr>
          <w:rFonts w:hint="eastAsia"/>
          <w:rtl/>
        </w:rPr>
        <w:t>קנס</w:t>
      </w:r>
      <w:r w:rsidRPr="005379C5">
        <w:rPr>
          <w:rtl/>
        </w:rPr>
        <w:t xml:space="preserve"> </w:t>
      </w:r>
      <w:r w:rsidRPr="005379C5">
        <w:rPr>
          <w:rFonts w:hint="eastAsia"/>
          <w:rtl/>
        </w:rPr>
        <w:t>גירעון</w:t>
      </w:r>
      <w:r w:rsidRPr="005379C5">
        <w:rPr>
          <w:rtl/>
        </w:rPr>
        <w:t xml:space="preserve"> "</w:t>
      </w:r>
      <w:r w:rsidRPr="005379C5">
        <w:rPr>
          <w:rFonts w:hint="eastAsia"/>
          <w:rtl/>
        </w:rPr>
        <w:t>רגיל</w:t>
      </w:r>
      <w:r w:rsidRPr="005379C5">
        <w:rPr>
          <w:rtl/>
        </w:rPr>
        <w:t xml:space="preserve">", </w:t>
      </w:r>
      <w:r w:rsidRPr="005379C5">
        <w:rPr>
          <w:rFonts w:hint="eastAsia"/>
          <w:rtl/>
        </w:rPr>
        <w:t>בשיעור</w:t>
      </w:r>
      <w:r w:rsidRPr="005379C5">
        <w:rPr>
          <w:rtl/>
        </w:rPr>
        <w:t xml:space="preserve"> </w:t>
      </w:r>
      <w:r w:rsidRPr="005379C5">
        <w:rPr>
          <w:rFonts w:hint="eastAsia"/>
          <w:rtl/>
        </w:rPr>
        <w:t>של</w:t>
      </w:r>
      <w:r w:rsidRPr="005379C5">
        <w:rPr>
          <w:rtl/>
        </w:rPr>
        <w:t xml:space="preserve"> 15%, </w:t>
      </w:r>
      <w:r w:rsidRPr="005379C5">
        <w:rPr>
          <w:rFonts w:hint="eastAsia"/>
          <w:rtl/>
        </w:rPr>
        <w:t>יש</w:t>
      </w:r>
      <w:r w:rsidRPr="005379C5">
        <w:rPr>
          <w:rtl/>
        </w:rPr>
        <w:t xml:space="preserve"> </w:t>
      </w:r>
      <w:r w:rsidRPr="005379C5">
        <w:rPr>
          <w:rFonts w:hint="eastAsia"/>
          <w:rtl/>
        </w:rPr>
        <w:t>להשקיף</w:t>
      </w:r>
      <w:r w:rsidRPr="005379C5">
        <w:rPr>
          <w:rtl/>
        </w:rPr>
        <w:t xml:space="preserve"> </w:t>
      </w:r>
      <w:r w:rsidRPr="005379C5">
        <w:rPr>
          <w:rFonts w:hint="eastAsia"/>
          <w:rtl/>
        </w:rPr>
        <w:t>על</w:t>
      </w:r>
      <w:r w:rsidRPr="005379C5">
        <w:rPr>
          <w:rtl/>
        </w:rPr>
        <w:t xml:space="preserve"> </w:t>
      </w:r>
      <w:r w:rsidRPr="005379C5">
        <w:rPr>
          <w:rFonts w:hint="eastAsia"/>
          <w:rtl/>
        </w:rPr>
        <w:t>התמונה</w:t>
      </w:r>
      <w:r w:rsidRPr="005379C5">
        <w:rPr>
          <w:rtl/>
        </w:rPr>
        <w:t xml:space="preserve"> </w:t>
      </w:r>
      <w:r w:rsidRPr="005379C5">
        <w:rPr>
          <w:rFonts w:hint="eastAsia"/>
          <w:rtl/>
        </w:rPr>
        <w:t>הכוללת</w:t>
      </w:r>
      <w:r w:rsidRPr="005379C5">
        <w:rPr>
          <w:rtl/>
        </w:rPr>
        <w:t xml:space="preserve"> </w:t>
      </w:r>
      <w:r w:rsidRPr="005379C5">
        <w:rPr>
          <w:rFonts w:hint="eastAsia"/>
          <w:rtl/>
        </w:rPr>
        <w:t>המצטיירת</w:t>
      </w:r>
      <w:r w:rsidRPr="005379C5">
        <w:rPr>
          <w:rtl/>
        </w:rPr>
        <w:t xml:space="preserve"> </w:t>
      </w:r>
      <w:r w:rsidRPr="005379C5">
        <w:rPr>
          <w:rFonts w:hint="eastAsia"/>
          <w:rtl/>
        </w:rPr>
        <w:t>מן</w:t>
      </w:r>
      <w:r w:rsidRPr="005379C5">
        <w:rPr>
          <w:rtl/>
        </w:rPr>
        <w:t xml:space="preserve"> </w:t>
      </w:r>
      <w:r w:rsidRPr="005379C5">
        <w:rPr>
          <w:rFonts w:hint="eastAsia"/>
          <w:rtl/>
        </w:rPr>
        <w:t>הדיווח</w:t>
      </w:r>
      <w:r w:rsidRPr="005379C5">
        <w:rPr>
          <w:rtl/>
        </w:rPr>
        <w:t xml:space="preserve"> </w:t>
      </w:r>
      <w:r w:rsidRPr="005379C5">
        <w:rPr>
          <w:rFonts w:hint="eastAsia"/>
          <w:rtl/>
        </w:rPr>
        <w:t>שלו</w:t>
      </w:r>
      <w:r w:rsidRPr="005379C5">
        <w:rPr>
          <w:rtl/>
        </w:rPr>
        <w:t xml:space="preserve">, </w:t>
      </w:r>
      <w:r w:rsidRPr="005379C5">
        <w:rPr>
          <w:rFonts w:hint="eastAsia"/>
          <w:rtl/>
        </w:rPr>
        <w:t>בהינתן</w:t>
      </w:r>
      <w:r w:rsidRPr="005379C5">
        <w:rPr>
          <w:rtl/>
        </w:rPr>
        <w:t xml:space="preserve"> </w:t>
      </w:r>
      <w:r w:rsidRPr="005379C5">
        <w:rPr>
          <w:rFonts w:hint="eastAsia"/>
          <w:rtl/>
        </w:rPr>
        <w:t>הפגמים</w:t>
      </w:r>
      <w:r w:rsidRPr="005379C5">
        <w:rPr>
          <w:rtl/>
        </w:rPr>
        <w:t xml:space="preserve"> </w:t>
      </w:r>
      <w:r w:rsidRPr="005379C5">
        <w:rPr>
          <w:rFonts w:hint="eastAsia"/>
          <w:rtl/>
        </w:rPr>
        <w:t>המצטברים</w:t>
      </w:r>
      <w:r w:rsidRPr="005379C5">
        <w:rPr>
          <w:rtl/>
        </w:rPr>
        <w:t xml:space="preserve"> </w:t>
      </w:r>
      <w:r w:rsidRPr="005379C5">
        <w:rPr>
          <w:rFonts w:hint="eastAsia"/>
          <w:rtl/>
        </w:rPr>
        <w:t>שנפלו</w:t>
      </w:r>
      <w:r w:rsidRPr="005379C5">
        <w:rPr>
          <w:rtl/>
        </w:rPr>
        <w:t xml:space="preserve"> </w:t>
      </w:r>
      <w:r w:rsidRPr="005379C5">
        <w:rPr>
          <w:rFonts w:hint="eastAsia"/>
          <w:rtl/>
        </w:rPr>
        <w:t>בו</w:t>
      </w:r>
      <w:r w:rsidRPr="005379C5">
        <w:rPr>
          <w:rtl/>
        </w:rPr>
        <w:t xml:space="preserve">. </w:t>
      </w:r>
      <w:r w:rsidRPr="005379C5">
        <w:rPr>
          <w:rFonts w:hint="eastAsia"/>
          <w:rtl/>
        </w:rPr>
        <w:t>הנטל</w:t>
      </w:r>
      <w:r w:rsidRPr="005379C5">
        <w:rPr>
          <w:rtl/>
        </w:rPr>
        <w:t xml:space="preserve"> </w:t>
      </w:r>
      <w:r w:rsidRPr="005379C5">
        <w:rPr>
          <w:rFonts w:hint="eastAsia"/>
          <w:rtl/>
        </w:rPr>
        <w:t>להוכחת</w:t>
      </w:r>
      <w:r w:rsidRPr="005379C5">
        <w:rPr>
          <w:rtl/>
        </w:rPr>
        <w:t xml:space="preserve"> </w:t>
      </w:r>
      <w:r w:rsidRPr="005379C5">
        <w:rPr>
          <w:rFonts w:hint="eastAsia"/>
          <w:rtl/>
        </w:rPr>
        <w:t>אי</w:t>
      </w:r>
      <w:r w:rsidRPr="005379C5">
        <w:rPr>
          <w:rtl/>
        </w:rPr>
        <w:t>-</w:t>
      </w:r>
      <w:r w:rsidRPr="005379C5">
        <w:rPr>
          <w:rFonts w:hint="eastAsia"/>
          <w:rtl/>
        </w:rPr>
        <w:t>התרשלות</w:t>
      </w:r>
      <w:r w:rsidRPr="005379C5">
        <w:rPr>
          <w:rtl/>
        </w:rPr>
        <w:t xml:space="preserve"> </w:t>
      </w:r>
      <w:r w:rsidRPr="005379C5">
        <w:rPr>
          <w:rFonts w:hint="eastAsia"/>
          <w:rtl/>
        </w:rPr>
        <w:t>רובץ</w:t>
      </w:r>
      <w:r w:rsidRPr="005379C5">
        <w:rPr>
          <w:rtl/>
        </w:rPr>
        <w:t xml:space="preserve"> </w:t>
      </w:r>
      <w:r w:rsidRPr="005379C5">
        <w:rPr>
          <w:rFonts w:hint="eastAsia"/>
          <w:rtl/>
        </w:rPr>
        <w:t>על</w:t>
      </w:r>
      <w:r w:rsidRPr="005379C5">
        <w:rPr>
          <w:rtl/>
        </w:rPr>
        <w:t xml:space="preserve"> </w:t>
      </w:r>
      <w:r w:rsidRPr="005379C5">
        <w:rPr>
          <w:rFonts w:hint="eastAsia"/>
          <w:rtl/>
        </w:rPr>
        <w:t>כתפי</w:t>
      </w:r>
      <w:r w:rsidRPr="005379C5">
        <w:rPr>
          <w:rtl/>
        </w:rPr>
        <w:t xml:space="preserve"> </w:t>
      </w:r>
      <w:r w:rsidRPr="005379C5">
        <w:rPr>
          <w:rFonts w:hint="eastAsia"/>
          <w:rtl/>
        </w:rPr>
        <w:t>הנישום</w:t>
      </w:r>
      <w:r w:rsidRPr="005379C5">
        <w:rPr>
          <w:rtl/>
        </w:rPr>
        <w:t xml:space="preserve"> </w:t>
      </w:r>
      <w:r w:rsidRPr="005379C5">
        <w:rPr>
          <w:rFonts w:hint="eastAsia"/>
          <w:rtl/>
        </w:rPr>
        <w:t>עצמו</w:t>
      </w:r>
      <w:r w:rsidRPr="005379C5">
        <w:rPr>
          <w:rtl/>
        </w:rPr>
        <w:t xml:space="preserve">, </w:t>
      </w:r>
      <w:r w:rsidRPr="005379C5">
        <w:rPr>
          <w:rFonts w:hint="eastAsia"/>
          <w:rtl/>
        </w:rPr>
        <w:t>וככל</w:t>
      </w:r>
      <w:r w:rsidRPr="005379C5">
        <w:rPr>
          <w:rtl/>
        </w:rPr>
        <w:t xml:space="preserve"> </w:t>
      </w:r>
      <w:r w:rsidRPr="005379C5">
        <w:rPr>
          <w:rFonts w:hint="eastAsia"/>
          <w:rtl/>
        </w:rPr>
        <w:t>שהתמונה</w:t>
      </w:r>
      <w:r w:rsidRPr="005379C5">
        <w:rPr>
          <w:rtl/>
        </w:rPr>
        <w:t xml:space="preserve"> </w:t>
      </w:r>
      <w:r w:rsidRPr="005379C5">
        <w:rPr>
          <w:rFonts w:hint="eastAsia"/>
          <w:rtl/>
        </w:rPr>
        <w:t>הכוללת</w:t>
      </w:r>
      <w:r w:rsidRPr="005379C5">
        <w:rPr>
          <w:rtl/>
        </w:rPr>
        <w:t xml:space="preserve"> </w:t>
      </w:r>
      <w:r w:rsidRPr="005379C5">
        <w:rPr>
          <w:rFonts w:hint="eastAsia"/>
          <w:rtl/>
        </w:rPr>
        <w:t>חמורה</w:t>
      </w:r>
      <w:r w:rsidRPr="005379C5">
        <w:rPr>
          <w:rtl/>
        </w:rPr>
        <w:t xml:space="preserve"> </w:t>
      </w:r>
      <w:r w:rsidRPr="005379C5">
        <w:rPr>
          <w:rFonts w:hint="eastAsia"/>
          <w:rtl/>
        </w:rPr>
        <w:lastRenderedPageBreak/>
        <w:t>יותר</w:t>
      </w:r>
      <w:r w:rsidRPr="005379C5">
        <w:rPr>
          <w:rtl/>
        </w:rPr>
        <w:t xml:space="preserve"> </w:t>
      </w:r>
      <w:r w:rsidRPr="005379C5">
        <w:rPr>
          <w:rFonts w:hint="eastAsia"/>
          <w:rtl/>
        </w:rPr>
        <w:t>עליו</w:t>
      </w:r>
      <w:r w:rsidRPr="005379C5">
        <w:rPr>
          <w:rtl/>
        </w:rPr>
        <w:t xml:space="preserve"> </w:t>
      </w:r>
      <w:r w:rsidRPr="005379C5">
        <w:rPr>
          <w:rFonts w:hint="eastAsia"/>
          <w:rtl/>
        </w:rPr>
        <w:t>להציג</w:t>
      </w:r>
      <w:r w:rsidRPr="005379C5">
        <w:rPr>
          <w:rtl/>
        </w:rPr>
        <w:t xml:space="preserve"> </w:t>
      </w:r>
      <w:r w:rsidRPr="005379C5">
        <w:rPr>
          <w:rFonts w:hint="eastAsia"/>
          <w:rtl/>
        </w:rPr>
        <w:t>הסברים</w:t>
      </w:r>
      <w:r w:rsidRPr="005379C5">
        <w:rPr>
          <w:rtl/>
        </w:rPr>
        <w:t xml:space="preserve"> </w:t>
      </w:r>
      <w:r w:rsidRPr="005379C5">
        <w:rPr>
          <w:rFonts w:hint="eastAsia"/>
          <w:rtl/>
        </w:rPr>
        <w:t>משכנעים</w:t>
      </w:r>
      <w:r w:rsidRPr="005379C5">
        <w:rPr>
          <w:rtl/>
        </w:rPr>
        <w:t xml:space="preserve"> </w:t>
      </w:r>
      <w:r w:rsidRPr="005379C5">
        <w:rPr>
          <w:rFonts w:hint="eastAsia"/>
          <w:rtl/>
        </w:rPr>
        <w:t>יותר</w:t>
      </w:r>
      <w:r w:rsidRPr="005379C5">
        <w:rPr>
          <w:rtl/>
        </w:rPr>
        <w:t xml:space="preserve"> </w:t>
      </w:r>
      <w:r w:rsidRPr="005379C5">
        <w:rPr>
          <w:rFonts w:hint="eastAsia"/>
          <w:rtl/>
        </w:rPr>
        <w:t>ביחס</w:t>
      </w:r>
      <w:r w:rsidRPr="005379C5">
        <w:rPr>
          <w:rtl/>
        </w:rPr>
        <w:t xml:space="preserve"> </w:t>
      </w:r>
      <w:r w:rsidRPr="005379C5">
        <w:rPr>
          <w:rFonts w:hint="eastAsia"/>
          <w:rtl/>
        </w:rPr>
        <w:t>להתנהלותו</w:t>
      </w:r>
      <w:r w:rsidRPr="005379C5">
        <w:rPr>
          <w:rtl/>
        </w:rPr>
        <w:t xml:space="preserve">. </w:t>
      </w:r>
      <w:r w:rsidRPr="005379C5">
        <w:rPr>
          <w:rFonts w:hint="eastAsia"/>
          <w:rtl/>
        </w:rPr>
        <w:t>בסופו</w:t>
      </w:r>
      <w:r w:rsidRPr="005379C5">
        <w:rPr>
          <w:rtl/>
        </w:rPr>
        <w:t xml:space="preserve"> </w:t>
      </w:r>
      <w:r w:rsidRPr="005379C5">
        <w:rPr>
          <w:rFonts w:hint="eastAsia"/>
          <w:rtl/>
        </w:rPr>
        <w:t>של</w:t>
      </w:r>
      <w:r w:rsidRPr="005379C5">
        <w:rPr>
          <w:rtl/>
        </w:rPr>
        <w:t xml:space="preserve"> </w:t>
      </w:r>
      <w:r w:rsidRPr="005379C5">
        <w:rPr>
          <w:rFonts w:hint="eastAsia"/>
          <w:rtl/>
        </w:rPr>
        <w:t>דבר</w:t>
      </w:r>
      <w:r w:rsidRPr="005379C5">
        <w:rPr>
          <w:rtl/>
        </w:rPr>
        <w:t xml:space="preserve"> </w:t>
      </w:r>
      <w:r w:rsidRPr="005379C5">
        <w:rPr>
          <w:rFonts w:hint="eastAsia"/>
          <w:rtl/>
        </w:rPr>
        <w:t>צריכים</w:t>
      </w:r>
      <w:r w:rsidRPr="005379C5">
        <w:rPr>
          <w:rtl/>
        </w:rPr>
        <w:t xml:space="preserve"> </w:t>
      </w:r>
      <w:r w:rsidRPr="005379C5">
        <w:rPr>
          <w:rFonts w:hint="eastAsia"/>
          <w:rtl/>
        </w:rPr>
        <w:t>אותם</w:t>
      </w:r>
      <w:r w:rsidRPr="005379C5">
        <w:rPr>
          <w:rtl/>
        </w:rPr>
        <w:t xml:space="preserve"> </w:t>
      </w:r>
      <w:r w:rsidRPr="005379C5">
        <w:rPr>
          <w:rFonts w:hint="eastAsia"/>
          <w:rtl/>
        </w:rPr>
        <w:t>הסברים</w:t>
      </w:r>
      <w:r w:rsidRPr="005379C5">
        <w:rPr>
          <w:rtl/>
        </w:rPr>
        <w:t xml:space="preserve"> </w:t>
      </w:r>
      <w:r w:rsidRPr="005379C5">
        <w:rPr>
          <w:rFonts w:hint="eastAsia"/>
          <w:rtl/>
        </w:rPr>
        <w:t>להניח</w:t>
      </w:r>
      <w:r w:rsidRPr="005379C5">
        <w:rPr>
          <w:rtl/>
        </w:rPr>
        <w:t xml:space="preserve"> </w:t>
      </w:r>
      <w:r w:rsidRPr="005379C5">
        <w:rPr>
          <w:rFonts w:hint="eastAsia"/>
          <w:rtl/>
        </w:rPr>
        <w:t>את</w:t>
      </w:r>
      <w:r w:rsidRPr="005379C5">
        <w:rPr>
          <w:rtl/>
        </w:rPr>
        <w:t xml:space="preserve"> </w:t>
      </w:r>
      <w:r w:rsidRPr="005379C5">
        <w:rPr>
          <w:rFonts w:hint="eastAsia"/>
          <w:rtl/>
        </w:rPr>
        <w:t>הדעת</w:t>
      </w:r>
      <w:r w:rsidRPr="005379C5">
        <w:rPr>
          <w:rtl/>
        </w:rPr>
        <w:t xml:space="preserve"> </w:t>
      </w:r>
      <w:r w:rsidRPr="005379C5">
        <w:rPr>
          <w:rFonts w:hint="eastAsia"/>
          <w:rtl/>
        </w:rPr>
        <w:t>בעניין</w:t>
      </w:r>
      <w:r w:rsidRPr="005379C5">
        <w:rPr>
          <w:rtl/>
        </w:rPr>
        <w:t xml:space="preserve"> </w:t>
      </w:r>
      <w:r w:rsidRPr="005379C5">
        <w:rPr>
          <w:rFonts w:hint="eastAsia"/>
          <w:rtl/>
        </w:rPr>
        <w:t>היסוד</w:t>
      </w:r>
      <w:r w:rsidRPr="005379C5">
        <w:rPr>
          <w:rtl/>
        </w:rPr>
        <w:t xml:space="preserve"> </w:t>
      </w:r>
      <w:r w:rsidRPr="005379C5">
        <w:rPr>
          <w:rFonts w:hint="eastAsia"/>
          <w:rtl/>
        </w:rPr>
        <w:t>הנפשי</w:t>
      </w:r>
      <w:r w:rsidRPr="005379C5">
        <w:rPr>
          <w:rtl/>
        </w:rPr>
        <w:t xml:space="preserve"> </w:t>
      </w:r>
      <w:r w:rsidRPr="005379C5">
        <w:rPr>
          <w:rFonts w:hint="eastAsia"/>
          <w:rtl/>
        </w:rPr>
        <w:t>שעמד</w:t>
      </w:r>
      <w:r w:rsidRPr="005379C5">
        <w:rPr>
          <w:rtl/>
        </w:rPr>
        <w:t xml:space="preserve"> </w:t>
      </w:r>
      <w:r w:rsidRPr="005379C5">
        <w:rPr>
          <w:rFonts w:hint="eastAsia"/>
          <w:rtl/>
        </w:rPr>
        <w:t>בבסיס</w:t>
      </w:r>
      <w:r w:rsidRPr="005379C5">
        <w:rPr>
          <w:rtl/>
        </w:rPr>
        <w:t xml:space="preserve"> </w:t>
      </w:r>
      <w:r w:rsidRPr="005379C5">
        <w:rPr>
          <w:rFonts w:hint="eastAsia"/>
          <w:rtl/>
        </w:rPr>
        <w:t>הפגמים</w:t>
      </w:r>
      <w:r w:rsidRPr="005379C5">
        <w:rPr>
          <w:rtl/>
        </w:rPr>
        <w:t xml:space="preserve"> </w:t>
      </w:r>
      <w:r w:rsidRPr="005379C5">
        <w:rPr>
          <w:rFonts w:hint="eastAsia"/>
          <w:rtl/>
        </w:rPr>
        <w:t>בדיווח</w:t>
      </w:r>
      <w:r w:rsidRPr="005379C5">
        <w:rPr>
          <w:rtl/>
        </w:rPr>
        <w:t xml:space="preserve">, </w:t>
      </w:r>
      <w:r w:rsidRPr="005379C5">
        <w:rPr>
          <w:rFonts w:hint="eastAsia"/>
          <w:rtl/>
        </w:rPr>
        <w:t>כך</w:t>
      </w:r>
      <w:r w:rsidRPr="005379C5">
        <w:rPr>
          <w:rtl/>
        </w:rPr>
        <w:t xml:space="preserve"> </w:t>
      </w:r>
      <w:r w:rsidRPr="005379C5">
        <w:rPr>
          <w:rFonts w:hint="eastAsia"/>
          <w:rtl/>
        </w:rPr>
        <w:t>שיהיה</w:t>
      </w:r>
      <w:r w:rsidRPr="005379C5">
        <w:rPr>
          <w:rtl/>
        </w:rPr>
        <w:t xml:space="preserve"> </w:t>
      </w:r>
      <w:r w:rsidRPr="005379C5">
        <w:rPr>
          <w:rFonts w:hint="eastAsia"/>
          <w:rtl/>
        </w:rPr>
        <w:t>ברור</w:t>
      </w:r>
      <w:r w:rsidRPr="005379C5">
        <w:rPr>
          <w:rtl/>
        </w:rPr>
        <w:t xml:space="preserve"> </w:t>
      </w:r>
      <w:r w:rsidRPr="005379C5">
        <w:rPr>
          <w:rFonts w:hint="eastAsia"/>
          <w:rtl/>
        </w:rPr>
        <w:t>כי</w:t>
      </w:r>
      <w:r w:rsidRPr="005379C5">
        <w:rPr>
          <w:rtl/>
        </w:rPr>
        <w:t xml:space="preserve"> </w:t>
      </w:r>
      <w:r w:rsidRPr="005379C5">
        <w:rPr>
          <w:rFonts w:hint="eastAsia"/>
          <w:rtl/>
        </w:rPr>
        <w:t>מקורם</w:t>
      </w:r>
      <w:r w:rsidRPr="005379C5">
        <w:rPr>
          <w:rtl/>
        </w:rPr>
        <w:t xml:space="preserve"> </w:t>
      </w:r>
      <w:r w:rsidRPr="005379C5">
        <w:rPr>
          <w:rFonts w:hint="eastAsia"/>
          <w:rtl/>
        </w:rPr>
        <w:t>בפעולות</w:t>
      </w:r>
      <w:r w:rsidRPr="005379C5">
        <w:rPr>
          <w:rtl/>
        </w:rPr>
        <w:t xml:space="preserve"> </w:t>
      </w:r>
      <w:r w:rsidRPr="005379C5">
        <w:rPr>
          <w:rFonts w:hint="eastAsia"/>
          <w:rtl/>
        </w:rPr>
        <w:t>שנעשו</w:t>
      </w:r>
      <w:r w:rsidRPr="005379C5">
        <w:rPr>
          <w:rtl/>
        </w:rPr>
        <w:t xml:space="preserve"> </w:t>
      </w:r>
      <w:r w:rsidRPr="005379C5">
        <w:rPr>
          <w:rFonts w:hint="eastAsia"/>
          <w:rtl/>
        </w:rPr>
        <w:t>שלא</w:t>
      </w:r>
      <w:r w:rsidRPr="005379C5">
        <w:rPr>
          <w:rtl/>
        </w:rPr>
        <w:t xml:space="preserve"> </w:t>
      </w:r>
      <w:r w:rsidRPr="005379C5">
        <w:rPr>
          <w:rFonts w:hint="eastAsia"/>
          <w:rtl/>
        </w:rPr>
        <w:t>מתוך</w:t>
      </w:r>
      <w:r w:rsidRPr="005379C5">
        <w:rPr>
          <w:rtl/>
        </w:rPr>
        <w:t xml:space="preserve"> </w:t>
      </w:r>
      <w:r w:rsidRPr="005379C5">
        <w:rPr>
          <w:rFonts w:hint="eastAsia"/>
          <w:rtl/>
        </w:rPr>
        <w:t>התרשלות</w:t>
      </w:r>
      <w:r w:rsidRPr="005379C5">
        <w:rPr>
          <w:rtl/>
        </w:rPr>
        <w:t xml:space="preserve">. </w:t>
      </w:r>
      <w:r w:rsidRPr="005379C5">
        <w:rPr>
          <w:rFonts w:hint="eastAsia"/>
          <w:rtl/>
        </w:rPr>
        <w:t>בתוך</w:t>
      </w:r>
      <w:r w:rsidRPr="005379C5">
        <w:rPr>
          <w:rtl/>
        </w:rPr>
        <w:t xml:space="preserve"> </w:t>
      </w:r>
      <w:r w:rsidRPr="005379C5">
        <w:rPr>
          <w:rFonts w:hint="eastAsia"/>
          <w:rtl/>
        </w:rPr>
        <w:t>כך</w:t>
      </w:r>
      <w:r w:rsidRPr="005379C5">
        <w:rPr>
          <w:rtl/>
        </w:rPr>
        <w:t xml:space="preserve"> </w:t>
      </w:r>
      <w:r w:rsidRPr="005379C5">
        <w:rPr>
          <w:rFonts w:hint="eastAsia"/>
          <w:rtl/>
        </w:rPr>
        <w:t>יש</w:t>
      </w:r>
      <w:r w:rsidRPr="005379C5">
        <w:rPr>
          <w:rtl/>
        </w:rPr>
        <w:t xml:space="preserve"> </w:t>
      </w:r>
      <w:r w:rsidRPr="005379C5">
        <w:rPr>
          <w:rFonts w:hint="eastAsia"/>
          <w:rtl/>
        </w:rPr>
        <w:t>להבחין</w:t>
      </w:r>
      <w:r w:rsidRPr="005379C5">
        <w:rPr>
          <w:rtl/>
        </w:rPr>
        <w:t xml:space="preserve"> </w:t>
      </w:r>
      <w:r w:rsidRPr="005379C5">
        <w:rPr>
          <w:rFonts w:hint="eastAsia"/>
          <w:rtl/>
        </w:rPr>
        <w:t>בין</w:t>
      </w:r>
      <w:r w:rsidRPr="005379C5">
        <w:rPr>
          <w:rtl/>
        </w:rPr>
        <w:t xml:space="preserve"> </w:t>
      </w:r>
      <w:r w:rsidRPr="005379C5">
        <w:rPr>
          <w:rFonts w:hint="eastAsia"/>
          <w:rtl/>
        </w:rPr>
        <w:t>פגמים</w:t>
      </w:r>
      <w:r w:rsidRPr="005379C5">
        <w:rPr>
          <w:rtl/>
        </w:rPr>
        <w:t xml:space="preserve"> </w:t>
      </w:r>
      <w:r w:rsidRPr="005379C5">
        <w:rPr>
          <w:rFonts w:hint="eastAsia"/>
          <w:rtl/>
        </w:rPr>
        <w:t>הנובעים</w:t>
      </w:r>
      <w:r w:rsidRPr="005379C5">
        <w:rPr>
          <w:rtl/>
        </w:rPr>
        <w:t xml:space="preserve"> </w:t>
      </w:r>
      <w:r w:rsidRPr="005379C5">
        <w:rPr>
          <w:rFonts w:hint="eastAsia"/>
          <w:rtl/>
        </w:rPr>
        <w:t>מעמדה</w:t>
      </w:r>
      <w:r w:rsidRPr="005379C5">
        <w:rPr>
          <w:rtl/>
        </w:rPr>
        <w:t xml:space="preserve"> </w:t>
      </w:r>
      <w:r w:rsidRPr="005379C5">
        <w:rPr>
          <w:rFonts w:hint="eastAsia"/>
          <w:rtl/>
        </w:rPr>
        <w:t>לגיטימית</w:t>
      </w:r>
      <w:r w:rsidRPr="005379C5">
        <w:rPr>
          <w:rtl/>
        </w:rPr>
        <w:t xml:space="preserve"> </w:t>
      </w:r>
      <w:r w:rsidRPr="005379C5">
        <w:rPr>
          <w:rFonts w:hint="eastAsia"/>
          <w:rtl/>
        </w:rPr>
        <w:t>של</w:t>
      </w:r>
      <w:r w:rsidRPr="005379C5">
        <w:rPr>
          <w:rtl/>
        </w:rPr>
        <w:t xml:space="preserve"> </w:t>
      </w:r>
      <w:r w:rsidRPr="005379C5">
        <w:rPr>
          <w:rFonts w:hint="eastAsia"/>
          <w:rtl/>
        </w:rPr>
        <w:t>הנישום</w:t>
      </w:r>
      <w:r w:rsidRPr="005379C5">
        <w:rPr>
          <w:rtl/>
        </w:rPr>
        <w:t xml:space="preserve">, </w:t>
      </w:r>
      <w:r w:rsidRPr="005379C5">
        <w:rPr>
          <w:rFonts w:hint="eastAsia"/>
          <w:rtl/>
        </w:rPr>
        <w:t>שבה</w:t>
      </w:r>
      <w:r w:rsidRPr="005379C5">
        <w:rPr>
          <w:rtl/>
        </w:rPr>
        <w:t xml:space="preserve"> </w:t>
      </w:r>
      <w:r w:rsidRPr="005379C5">
        <w:rPr>
          <w:rFonts w:hint="eastAsia"/>
          <w:rtl/>
        </w:rPr>
        <w:t>האמין</w:t>
      </w:r>
      <w:r w:rsidRPr="005379C5">
        <w:rPr>
          <w:rtl/>
        </w:rPr>
        <w:t xml:space="preserve"> </w:t>
      </w:r>
      <w:r w:rsidRPr="005379C5">
        <w:rPr>
          <w:rFonts w:hint="eastAsia"/>
          <w:rtl/>
        </w:rPr>
        <w:t>בתום</w:t>
      </w:r>
      <w:r w:rsidRPr="005379C5">
        <w:rPr>
          <w:rtl/>
        </w:rPr>
        <w:t xml:space="preserve"> </w:t>
      </w:r>
      <w:r w:rsidRPr="005379C5">
        <w:rPr>
          <w:rFonts w:hint="eastAsia"/>
          <w:rtl/>
        </w:rPr>
        <w:t>לב</w:t>
      </w:r>
      <w:r w:rsidRPr="005379C5">
        <w:rPr>
          <w:rtl/>
        </w:rPr>
        <w:t xml:space="preserve">, </w:t>
      </w:r>
      <w:r w:rsidRPr="005379C5">
        <w:rPr>
          <w:rFonts w:hint="eastAsia"/>
          <w:rtl/>
        </w:rPr>
        <w:t>גם</w:t>
      </w:r>
      <w:r w:rsidRPr="005379C5">
        <w:rPr>
          <w:rtl/>
        </w:rPr>
        <w:t xml:space="preserve"> </w:t>
      </w:r>
      <w:r w:rsidRPr="005379C5">
        <w:rPr>
          <w:rFonts w:hint="eastAsia"/>
          <w:rtl/>
        </w:rPr>
        <w:t>אם</w:t>
      </w:r>
      <w:r w:rsidRPr="005379C5">
        <w:rPr>
          <w:rtl/>
        </w:rPr>
        <w:t xml:space="preserve"> </w:t>
      </w:r>
      <w:r w:rsidRPr="005379C5">
        <w:rPr>
          <w:rFonts w:hint="eastAsia"/>
          <w:rtl/>
        </w:rPr>
        <w:t>היא</w:t>
      </w:r>
      <w:r w:rsidRPr="005379C5">
        <w:rPr>
          <w:rtl/>
        </w:rPr>
        <w:t xml:space="preserve"> </w:t>
      </w:r>
      <w:r w:rsidRPr="005379C5">
        <w:rPr>
          <w:rFonts w:hint="eastAsia"/>
          <w:rtl/>
        </w:rPr>
        <w:t>מנוגדת</w:t>
      </w:r>
      <w:r w:rsidRPr="005379C5">
        <w:rPr>
          <w:rtl/>
        </w:rPr>
        <w:t xml:space="preserve"> </w:t>
      </w:r>
      <w:r w:rsidRPr="005379C5">
        <w:rPr>
          <w:rFonts w:hint="eastAsia"/>
          <w:rtl/>
        </w:rPr>
        <w:t>לעמדת</w:t>
      </w:r>
      <w:r w:rsidRPr="005379C5">
        <w:rPr>
          <w:rtl/>
        </w:rPr>
        <w:t xml:space="preserve"> </w:t>
      </w:r>
      <w:r w:rsidRPr="005379C5">
        <w:rPr>
          <w:rFonts w:hint="eastAsia"/>
          <w:rtl/>
        </w:rPr>
        <w:t>פקיד</w:t>
      </w:r>
      <w:r w:rsidRPr="005379C5">
        <w:rPr>
          <w:rtl/>
        </w:rPr>
        <w:t xml:space="preserve"> </w:t>
      </w:r>
      <w:r w:rsidRPr="005379C5">
        <w:rPr>
          <w:rFonts w:hint="eastAsia"/>
          <w:rtl/>
        </w:rPr>
        <w:t>השומה</w:t>
      </w:r>
      <w:r w:rsidRPr="005379C5">
        <w:rPr>
          <w:rtl/>
        </w:rPr>
        <w:t xml:space="preserve">; </w:t>
      </w:r>
      <w:r w:rsidRPr="005379C5">
        <w:rPr>
          <w:rFonts w:hint="eastAsia"/>
          <w:rtl/>
        </w:rPr>
        <w:t>לבין</w:t>
      </w:r>
      <w:r w:rsidRPr="005379C5">
        <w:rPr>
          <w:rtl/>
        </w:rPr>
        <w:t xml:space="preserve"> </w:t>
      </w:r>
      <w:r w:rsidRPr="005379C5">
        <w:rPr>
          <w:rFonts w:hint="eastAsia"/>
          <w:rtl/>
        </w:rPr>
        <w:t>פגמים</w:t>
      </w:r>
      <w:r w:rsidRPr="005379C5">
        <w:rPr>
          <w:rtl/>
        </w:rPr>
        <w:t xml:space="preserve"> </w:t>
      </w:r>
      <w:r w:rsidRPr="005379C5">
        <w:rPr>
          <w:rFonts w:hint="eastAsia"/>
          <w:rtl/>
        </w:rPr>
        <w:t>שמקורם</w:t>
      </w:r>
      <w:r w:rsidRPr="005379C5">
        <w:rPr>
          <w:rtl/>
        </w:rPr>
        <w:t xml:space="preserve"> </w:t>
      </w:r>
      <w:r w:rsidRPr="005379C5">
        <w:rPr>
          <w:rFonts w:hint="eastAsia"/>
          <w:rtl/>
        </w:rPr>
        <w:t>בחוסר</w:t>
      </w:r>
      <w:r w:rsidRPr="005379C5">
        <w:rPr>
          <w:rtl/>
        </w:rPr>
        <w:t xml:space="preserve"> </w:t>
      </w:r>
      <w:r w:rsidRPr="005379C5">
        <w:rPr>
          <w:rFonts w:hint="eastAsia"/>
          <w:rtl/>
        </w:rPr>
        <w:t>תשומת</w:t>
      </w:r>
      <w:r w:rsidRPr="005379C5">
        <w:rPr>
          <w:rtl/>
        </w:rPr>
        <w:t xml:space="preserve"> </w:t>
      </w:r>
      <w:r w:rsidRPr="005379C5">
        <w:rPr>
          <w:rFonts w:hint="eastAsia"/>
          <w:rtl/>
        </w:rPr>
        <w:t>לב</w:t>
      </w:r>
      <w:r w:rsidRPr="005379C5">
        <w:rPr>
          <w:rtl/>
        </w:rPr>
        <w:t xml:space="preserve">, </w:t>
      </w:r>
      <w:r w:rsidRPr="005379C5">
        <w:rPr>
          <w:rFonts w:hint="eastAsia"/>
          <w:rtl/>
        </w:rPr>
        <w:t>אי</w:t>
      </w:r>
      <w:r w:rsidRPr="005379C5">
        <w:rPr>
          <w:rtl/>
        </w:rPr>
        <w:t>-</w:t>
      </w:r>
      <w:r w:rsidRPr="005379C5">
        <w:rPr>
          <w:rFonts w:hint="eastAsia"/>
          <w:rtl/>
        </w:rPr>
        <w:t>שקידה</w:t>
      </w:r>
      <w:r w:rsidRPr="005379C5">
        <w:rPr>
          <w:rtl/>
        </w:rPr>
        <w:t xml:space="preserve"> </w:t>
      </w:r>
      <w:r w:rsidRPr="005379C5">
        <w:rPr>
          <w:rFonts w:hint="eastAsia"/>
          <w:rtl/>
        </w:rPr>
        <w:t>ראויה</w:t>
      </w:r>
      <w:r w:rsidRPr="005379C5">
        <w:rPr>
          <w:rtl/>
        </w:rPr>
        <w:t xml:space="preserve"> </w:t>
      </w:r>
      <w:r w:rsidRPr="005379C5">
        <w:rPr>
          <w:rFonts w:hint="eastAsia"/>
          <w:rtl/>
        </w:rPr>
        <w:t>על</w:t>
      </w:r>
      <w:r w:rsidRPr="005379C5">
        <w:rPr>
          <w:rtl/>
        </w:rPr>
        <w:t xml:space="preserve"> </w:t>
      </w:r>
      <w:r w:rsidRPr="005379C5">
        <w:rPr>
          <w:rFonts w:hint="eastAsia"/>
          <w:rtl/>
        </w:rPr>
        <w:t>הדיווח</w:t>
      </w:r>
      <w:r w:rsidRPr="005379C5">
        <w:rPr>
          <w:rtl/>
        </w:rPr>
        <w:t xml:space="preserve"> </w:t>
      </w:r>
      <w:r w:rsidRPr="005379C5">
        <w:rPr>
          <w:rFonts w:hint="eastAsia"/>
          <w:rtl/>
        </w:rPr>
        <w:t>או</w:t>
      </w:r>
      <w:r w:rsidRPr="005379C5">
        <w:rPr>
          <w:rtl/>
        </w:rPr>
        <w:t xml:space="preserve"> </w:t>
      </w:r>
      <w:r w:rsidRPr="005379C5">
        <w:rPr>
          <w:rFonts w:hint="eastAsia"/>
          <w:rtl/>
        </w:rPr>
        <w:t>אי</w:t>
      </w:r>
      <w:r w:rsidRPr="005379C5">
        <w:rPr>
          <w:rtl/>
        </w:rPr>
        <w:t>-</w:t>
      </w:r>
      <w:r w:rsidRPr="005379C5">
        <w:rPr>
          <w:rFonts w:hint="eastAsia"/>
          <w:rtl/>
        </w:rPr>
        <w:t>עריכת</w:t>
      </w:r>
      <w:r w:rsidRPr="005379C5">
        <w:rPr>
          <w:rtl/>
        </w:rPr>
        <w:t xml:space="preserve"> </w:t>
      </w:r>
      <w:r w:rsidRPr="005379C5">
        <w:rPr>
          <w:rFonts w:hint="eastAsia"/>
          <w:rtl/>
        </w:rPr>
        <w:t>בירורים</w:t>
      </w:r>
      <w:r w:rsidRPr="005379C5">
        <w:rPr>
          <w:rtl/>
        </w:rPr>
        <w:t xml:space="preserve"> </w:t>
      </w:r>
      <w:r w:rsidRPr="005379C5">
        <w:rPr>
          <w:rFonts w:hint="eastAsia"/>
          <w:rtl/>
        </w:rPr>
        <w:t>נדרשים</w:t>
      </w:r>
      <w:r w:rsidRPr="005379C5">
        <w:rPr>
          <w:rtl/>
        </w:rPr>
        <w:t xml:space="preserve"> </w:t>
      </w:r>
      <w:r w:rsidRPr="005379C5">
        <w:rPr>
          <w:rFonts w:hint="eastAsia"/>
          <w:rtl/>
        </w:rPr>
        <w:t>בנוגע</w:t>
      </w:r>
      <w:r w:rsidRPr="005379C5">
        <w:rPr>
          <w:rtl/>
        </w:rPr>
        <w:t xml:space="preserve"> </w:t>
      </w:r>
      <w:r w:rsidRPr="005379C5">
        <w:rPr>
          <w:rFonts w:hint="eastAsia"/>
          <w:rtl/>
        </w:rPr>
        <w:t>אליו</w:t>
      </w:r>
      <w:r>
        <w:rPr>
          <w:rFonts w:hint="cs"/>
          <w:rtl/>
        </w:rPr>
        <w:t xml:space="preserve"> (</w:t>
      </w:r>
      <w:r w:rsidRPr="00FC2E41">
        <w:rPr>
          <w:rFonts w:hint="eastAsia"/>
          <w:rtl/>
        </w:rPr>
        <w:t>ע</w:t>
      </w:r>
      <w:r w:rsidRPr="00FC2E41">
        <w:rPr>
          <w:rtl/>
        </w:rPr>
        <w:t>"</w:t>
      </w:r>
      <w:r w:rsidRPr="00FC2E41">
        <w:rPr>
          <w:rFonts w:hint="eastAsia"/>
          <w:rtl/>
        </w:rPr>
        <w:t>א</w:t>
      </w:r>
      <w:r w:rsidRPr="00FC2E41">
        <w:rPr>
          <w:rtl/>
        </w:rPr>
        <w:t xml:space="preserve"> 3454/21 </w:t>
      </w:r>
      <w:r w:rsidRPr="005379C5">
        <w:rPr>
          <w:rFonts w:ascii="Century" w:hAnsi="Century" w:cs="Miriam" w:hint="eastAsia"/>
          <w:b/>
          <w:spacing w:val="0"/>
          <w:szCs w:val="24"/>
          <w:rtl/>
        </w:rPr>
        <w:t>יינות</w:t>
      </w:r>
      <w:r w:rsidRPr="005379C5">
        <w:rPr>
          <w:rFonts w:ascii="Century" w:hAnsi="Century" w:cs="Miriam"/>
          <w:b/>
          <w:spacing w:val="0"/>
          <w:szCs w:val="24"/>
          <w:rtl/>
        </w:rPr>
        <w:t xml:space="preserve"> </w:t>
      </w:r>
      <w:r w:rsidRPr="005379C5">
        <w:rPr>
          <w:rFonts w:ascii="Century" w:hAnsi="Century" w:cs="Miriam" w:hint="eastAsia"/>
          <w:b/>
          <w:spacing w:val="0"/>
          <w:szCs w:val="24"/>
          <w:rtl/>
        </w:rPr>
        <w:t>ביתן</w:t>
      </w:r>
      <w:r w:rsidRPr="005379C5">
        <w:rPr>
          <w:rFonts w:ascii="Century" w:hAnsi="Century" w:cs="Miriam"/>
          <w:b/>
          <w:spacing w:val="0"/>
          <w:szCs w:val="24"/>
          <w:rtl/>
        </w:rPr>
        <w:t xml:space="preserve"> </w:t>
      </w:r>
      <w:r w:rsidRPr="005379C5">
        <w:rPr>
          <w:rFonts w:ascii="Century" w:hAnsi="Century" w:cs="Miriam" w:hint="eastAsia"/>
          <w:b/>
          <w:spacing w:val="0"/>
          <w:szCs w:val="24"/>
          <w:rtl/>
        </w:rPr>
        <w:t>בע</w:t>
      </w:r>
      <w:r w:rsidRPr="005379C5">
        <w:rPr>
          <w:rFonts w:ascii="Century" w:hAnsi="Century" w:cs="Miriam"/>
          <w:b/>
          <w:spacing w:val="0"/>
          <w:szCs w:val="24"/>
          <w:rtl/>
        </w:rPr>
        <w:t>"</w:t>
      </w:r>
      <w:r w:rsidRPr="005379C5">
        <w:rPr>
          <w:rFonts w:ascii="Century" w:hAnsi="Century" w:cs="Miriam" w:hint="eastAsia"/>
          <w:b/>
          <w:spacing w:val="0"/>
          <w:szCs w:val="24"/>
          <w:rtl/>
        </w:rPr>
        <w:t>מ</w:t>
      </w:r>
      <w:r w:rsidRPr="005379C5">
        <w:rPr>
          <w:rFonts w:ascii="Century" w:hAnsi="Century" w:cs="Miriam"/>
          <w:b/>
          <w:spacing w:val="0"/>
          <w:szCs w:val="24"/>
          <w:rtl/>
        </w:rPr>
        <w:t xml:space="preserve"> </w:t>
      </w:r>
      <w:r w:rsidRPr="005379C5">
        <w:rPr>
          <w:rFonts w:ascii="Century" w:hAnsi="Century" w:cs="Miriam" w:hint="eastAsia"/>
          <w:b/>
          <w:spacing w:val="0"/>
          <w:szCs w:val="24"/>
          <w:rtl/>
        </w:rPr>
        <w:t>נ</w:t>
      </w:r>
      <w:r w:rsidRPr="005379C5">
        <w:rPr>
          <w:rFonts w:ascii="Century" w:hAnsi="Century" w:cs="Miriam"/>
          <w:b/>
          <w:spacing w:val="0"/>
          <w:szCs w:val="24"/>
          <w:rtl/>
        </w:rPr>
        <w:t xml:space="preserve">' </w:t>
      </w:r>
      <w:r w:rsidRPr="005379C5">
        <w:rPr>
          <w:rFonts w:ascii="Century" w:hAnsi="Century" w:cs="Miriam" w:hint="eastAsia"/>
          <w:b/>
          <w:spacing w:val="0"/>
          <w:szCs w:val="24"/>
          <w:rtl/>
        </w:rPr>
        <w:t>פקיד</w:t>
      </w:r>
      <w:r w:rsidRPr="005379C5">
        <w:rPr>
          <w:rFonts w:ascii="Century" w:hAnsi="Century" w:cs="Miriam"/>
          <w:b/>
          <w:spacing w:val="0"/>
          <w:szCs w:val="24"/>
          <w:rtl/>
        </w:rPr>
        <w:t xml:space="preserve"> </w:t>
      </w:r>
      <w:r w:rsidRPr="005379C5">
        <w:rPr>
          <w:rFonts w:ascii="Century" w:hAnsi="Century" w:cs="Miriam" w:hint="eastAsia"/>
          <w:b/>
          <w:spacing w:val="0"/>
          <w:szCs w:val="24"/>
          <w:rtl/>
        </w:rPr>
        <w:t>שומה</w:t>
      </w:r>
      <w:r w:rsidRPr="005379C5">
        <w:rPr>
          <w:rFonts w:ascii="Century" w:hAnsi="Century" w:cs="Miriam"/>
          <w:b/>
          <w:spacing w:val="0"/>
          <w:szCs w:val="24"/>
          <w:rtl/>
        </w:rPr>
        <w:t xml:space="preserve"> </w:t>
      </w:r>
      <w:r w:rsidRPr="005379C5">
        <w:rPr>
          <w:rFonts w:ascii="Century" w:hAnsi="Century" w:cs="Miriam" w:hint="eastAsia"/>
          <w:b/>
          <w:spacing w:val="0"/>
          <w:szCs w:val="24"/>
          <w:rtl/>
        </w:rPr>
        <w:t>אשקלון</w:t>
      </w:r>
      <w:r>
        <w:rPr>
          <w:rFonts w:hint="cs"/>
          <w:rtl/>
        </w:rPr>
        <w:t>, פסקה 17</w:t>
      </w:r>
      <w:r w:rsidRPr="00FC2E41">
        <w:rPr>
          <w:rtl/>
        </w:rPr>
        <w:t xml:space="preserve"> (12.</w:t>
      </w:r>
      <w:r>
        <w:rPr>
          <w:rFonts w:hint="cs"/>
          <w:rtl/>
        </w:rPr>
        <w:t>7</w:t>
      </w:r>
      <w:r w:rsidRPr="00FC2E41">
        <w:rPr>
          <w:rtl/>
        </w:rPr>
        <w:t>.2023)</w:t>
      </w:r>
      <w:r>
        <w:rPr>
          <w:rFonts w:hint="cs"/>
          <w:rtl/>
        </w:rPr>
        <w:t>).</w:t>
      </w:r>
    </w:p>
    <w:p w:rsidR="00ED79F5" w:rsidRDefault="00ED79F5" w:rsidP="00ED79F5">
      <w:pPr>
        <w:pStyle w:val="Ruller4"/>
        <w:numPr>
          <w:ilvl w:val="0"/>
          <w:numId w:val="0"/>
        </w:numPr>
      </w:pPr>
    </w:p>
    <w:p w:rsidR="00ED79F5" w:rsidRDefault="00ED79F5" w:rsidP="00ED79F5">
      <w:pPr>
        <w:pStyle w:val="Ruller4"/>
      </w:pPr>
      <w:r>
        <w:rPr>
          <w:rFonts w:hint="cs"/>
          <w:rtl/>
        </w:rPr>
        <w:t xml:space="preserve">בענייננו, בהתאם לקביעותיו העובדתיות של בית משפט קמא </w:t>
      </w:r>
      <w:r>
        <w:rPr>
          <w:rtl/>
        </w:rPr>
        <w:t>–</w:t>
      </w:r>
      <w:r>
        <w:rPr>
          <w:rFonts w:hint="cs"/>
          <w:rtl/>
        </w:rPr>
        <w:t xml:space="preserve"> שכזכור המערער חזר בו מהערעור לגביהן </w:t>
      </w:r>
      <w:r>
        <w:rPr>
          <w:rtl/>
        </w:rPr>
        <w:t>–</w:t>
      </w:r>
      <w:r>
        <w:rPr>
          <w:rFonts w:hint="cs"/>
          <w:rtl/>
        </w:rPr>
        <w:t xml:space="preserve"> עסקת המכר עליה דיווח המערער נעדרה כל טעם מסחרי </w:t>
      </w:r>
      <w:proofErr w:type="spellStart"/>
      <w:r>
        <w:rPr>
          <w:rFonts w:hint="cs"/>
          <w:rtl/>
        </w:rPr>
        <w:t>אמ</w:t>
      </w:r>
      <w:r w:rsidR="00510797">
        <w:rPr>
          <w:rFonts w:hint="cs"/>
          <w:rtl/>
        </w:rPr>
        <w:t>י</w:t>
      </w:r>
      <w:r>
        <w:rPr>
          <w:rFonts w:hint="cs"/>
          <w:rtl/>
        </w:rPr>
        <w:t>תי</w:t>
      </w:r>
      <w:proofErr w:type="spellEnd"/>
      <w:r>
        <w:rPr>
          <w:rFonts w:hint="cs"/>
          <w:rtl/>
        </w:rPr>
        <w:t>; והמניע היחיד שהוביל את המערער לביצועה היה רצונו למשוך כספים מהחברה בפטור מתשלום מס. כן קבע בית משפט קמא כי המערער ביקש לנצל פרצה שהתגלתה בהוראת סעיף 97(ב)(1) לפקודה. מכך עולה כי לא רק שהמערער התרשל בדווחו על העסקה, אלא שהוא פעל מתוך מניע פסול במטרה ברורה להפחית את תשלום המס שהוטל עליו (באופן שייתכן כי יכול היה להצדיק אף הטלת כפל קנס לפי סעיף 191(ג) לפקודה, שעניינו במקרים בהם "</w:t>
      </w:r>
      <w:r w:rsidRPr="00692382">
        <w:rPr>
          <w:rFonts w:ascii="Century" w:hAnsi="Century" w:cs="Miriam" w:hint="eastAsia"/>
          <w:b/>
          <w:spacing w:val="0"/>
          <w:sz w:val="22"/>
          <w:szCs w:val="24"/>
          <w:rtl/>
        </w:rPr>
        <w:t>ה</w:t>
      </w:r>
      <w:r>
        <w:rPr>
          <w:rFonts w:ascii="Century" w:hAnsi="Century" w:cs="Miriam" w:hint="eastAsia"/>
          <w:b/>
          <w:spacing w:val="0"/>
          <w:sz w:val="22"/>
          <w:szCs w:val="24"/>
          <w:rtl/>
        </w:rPr>
        <w:t>גרעון</w:t>
      </w:r>
      <w:r w:rsidRPr="00692382">
        <w:rPr>
          <w:rFonts w:ascii="Century" w:hAnsi="Century" w:cs="Miriam"/>
          <w:b/>
          <w:spacing w:val="0"/>
          <w:sz w:val="22"/>
          <w:szCs w:val="24"/>
          <w:rtl/>
        </w:rPr>
        <w:t xml:space="preserve"> </w:t>
      </w:r>
      <w:r w:rsidRPr="00692382">
        <w:rPr>
          <w:rFonts w:ascii="Century" w:hAnsi="Century" w:cs="Miriam" w:hint="eastAsia"/>
          <w:b/>
          <w:spacing w:val="0"/>
          <w:sz w:val="22"/>
          <w:szCs w:val="24"/>
          <w:rtl/>
        </w:rPr>
        <w:t>נוצר</w:t>
      </w:r>
      <w:r w:rsidRPr="00692382">
        <w:rPr>
          <w:rFonts w:ascii="Century" w:hAnsi="Century" w:cs="Miriam"/>
          <w:b/>
          <w:spacing w:val="0"/>
          <w:sz w:val="22"/>
          <w:szCs w:val="24"/>
          <w:rtl/>
        </w:rPr>
        <w:t xml:space="preserve"> </w:t>
      </w:r>
      <w:r w:rsidRPr="00692382">
        <w:rPr>
          <w:rFonts w:ascii="Century" w:hAnsi="Century" w:cs="Miriam" w:hint="eastAsia"/>
          <w:b/>
          <w:spacing w:val="0"/>
          <w:sz w:val="22"/>
          <w:szCs w:val="24"/>
          <w:rtl/>
        </w:rPr>
        <w:t>במזיד</w:t>
      </w:r>
      <w:r w:rsidRPr="00692382">
        <w:rPr>
          <w:rFonts w:ascii="Century" w:hAnsi="Century" w:cs="Miriam"/>
          <w:b/>
          <w:spacing w:val="0"/>
          <w:sz w:val="22"/>
          <w:szCs w:val="24"/>
          <w:rtl/>
        </w:rPr>
        <w:t xml:space="preserve"> </w:t>
      </w:r>
      <w:r w:rsidRPr="00692382">
        <w:rPr>
          <w:rFonts w:ascii="Century" w:hAnsi="Century" w:cs="Miriam" w:hint="eastAsia"/>
          <w:b/>
          <w:spacing w:val="0"/>
          <w:sz w:val="22"/>
          <w:szCs w:val="24"/>
          <w:rtl/>
        </w:rPr>
        <w:t>ומתוך</w:t>
      </w:r>
      <w:r w:rsidRPr="00692382">
        <w:rPr>
          <w:rFonts w:ascii="Century" w:hAnsi="Century" w:cs="Miriam"/>
          <w:b/>
          <w:spacing w:val="0"/>
          <w:sz w:val="22"/>
          <w:szCs w:val="24"/>
          <w:rtl/>
        </w:rPr>
        <w:t xml:space="preserve"> </w:t>
      </w:r>
      <w:r w:rsidRPr="00692382">
        <w:rPr>
          <w:rFonts w:ascii="Century" w:hAnsi="Century" w:cs="Miriam" w:hint="eastAsia"/>
          <w:b/>
          <w:spacing w:val="0"/>
          <w:sz w:val="22"/>
          <w:szCs w:val="24"/>
          <w:rtl/>
        </w:rPr>
        <w:t>כוונת</w:t>
      </w:r>
      <w:r w:rsidRPr="00692382">
        <w:rPr>
          <w:rFonts w:ascii="Century" w:hAnsi="Century" w:cs="Miriam"/>
          <w:b/>
          <w:spacing w:val="0"/>
          <w:sz w:val="22"/>
          <w:szCs w:val="24"/>
          <w:rtl/>
        </w:rPr>
        <w:t xml:space="preserve"> </w:t>
      </w:r>
      <w:r w:rsidRPr="00692382">
        <w:rPr>
          <w:rFonts w:ascii="Century" w:hAnsi="Century" w:cs="Miriam" w:hint="eastAsia"/>
          <w:b/>
          <w:spacing w:val="0"/>
          <w:sz w:val="22"/>
          <w:szCs w:val="24"/>
          <w:rtl/>
        </w:rPr>
        <w:t>הנישום</w:t>
      </w:r>
      <w:r w:rsidRPr="00692382">
        <w:rPr>
          <w:rFonts w:ascii="Century" w:hAnsi="Century" w:cs="Miriam"/>
          <w:b/>
          <w:spacing w:val="0"/>
          <w:sz w:val="22"/>
          <w:szCs w:val="24"/>
          <w:rtl/>
        </w:rPr>
        <w:t xml:space="preserve"> </w:t>
      </w:r>
      <w:r w:rsidRPr="00692382">
        <w:rPr>
          <w:rFonts w:ascii="Century" w:hAnsi="Century" w:cs="Miriam" w:hint="eastAsia"/>
          <w:b/>
          <w:spacing w:val="0"/>
          <w:sz w:val="22"/>
          <w:szCs w:val="24"/>
          <w:rtl/>
        </w:rPr>
        <w:t>להתחמק</w:t>
      </w:r>
      <w:r w:rsidRPr="00692382">
        <w:rPr>
          <w:rFonts w:ascii="Century" w:hAnsi="Century" w:cs="Miriam"/>
          <w:b/>
          <w:spacing w:val="0"/>
          <w:sz w:val="22"/>
          <w:szCs w:val="24"/>
          <w:rtl/>
        </w:rPr>
        <w:t xml:space="preserve"> </w:t>
      </w:r>
      <w:r w:rsidRPr="00692382">
        <w:rPr>
          <w:rFonts w:ascii="Century" w:hAnsi="Century" w:cs="Miriam" w:hint="eastAsia"/>
          <w:b/>
          <w:spacing w:val="0"/>
          <w:sz w:val="22"/>
          <w:szCs w:val="24"/>
          <w:rtl/>
        </w:rPr>
        <w:t>מתשלום</w:t>
      </w:r>
      <w:r w:rsidRPr="00692382">
        <w:rPr>
          <w:rFonts w:ascii="Century" w:hAnsi="Century" w:cs="Miriam"/>
          <w:b/>
          <w:spacing w:val="0"/>
          <w:sz w:val="22"/>
          <w:szCs w:val="24"/>
          <w:rtl/>
        </w:rPr>
        <w:t xml:space="preserve"> </w:t>
      </w:r>
      <w:r w:rsidRPr="00692382">
        <w:rPr>
          <w:rFonts w:ascii="Century" w:hAnsi="Century" w:cs="Miriam" w:hint="eastAsia"/>
          <w:b/>
          <w:spacing w:val="0"/>
          <w:sz w:val="22"/>
          <w:szCs w:val="24"/>
          <w:rtl/>
        </w:rPr>
        <w:t>מס</w:t>
      </w:r>
      <w:r>
        <w:rPr>
          <w:rFonts w:hint="cs"/>
          <w:rtl/>
        </w:rPr>
        <w:t>").</w:t>
      </w:r>
    </w:p>
    <w:p w:rsidR="00ED79F5" w:rsidRDefault="00ED79F5" w:rsidP="00ED79F5">
      <w:pPr>
        <w:pStyle w:val="Ruller4"/>
        <w:numPr>
          <w:ilvl w:val="0"/>
          <w:numId w:val="0"/>
        </w:numPr>
      </w:pPr>
    </w:p>
    <w:p w:rsidR="00ED79F5" w:rsidRDefault="00ED79F5" w:rsidP="00ED79F5">
      <w:pPr>
        <w:pStyle w:val="Ruller4"/>
        <w:numPr>
          <w:ilvl w:val="0"/>
          <w:numId w:val="0"/>
        </w:numPr>
        <w:rPr>
          <w:rtl/>
        </w:rPr>
      </w:pPr>
      <w:r>
        <w:rPr>
          <w:rtl/>
        </w:rPr>
        <w:tab/>
      </w:r>
      <w:r>
        <w:rPr>
          <w:rFonts w:hint="cs"/>
          <w:rtl/>
        </w:rPr>
        <w:t xml:space="preserve">בשים לב לקביעות אלה, לא השתכנעתי כי ההסברים שהציג המערער לפגמים שנפלו בדיווחו </w:t>
      </w:r>
      <w:r>
        <w:rPr>
          <w:rtl/>
        </w:rPr>
        <w:t>–</w:t>
      </w:r>
      <w:r>
        <w:rPr>
          <w:rFonts w:hint="cs"/>
          <w:rtl/>
        </w:rPr>
        <w:t xml:space="preserve"> אשר עיקרם בכך שהוא קיבל ייעוץ מקצועי וסבר בתום לב כי העסקה פטורה ממס </w:t>
      </w:r>
      <w:r>
        <w:rPr>
          <w:rtl/>
        </w:rPr>
        <w:t>–</w:t>
      </w:r>
      <w:r>
        <w:rPr>
          <w:rFonts w:hint="cs"/>
          <w:rtl/>
        </w:rPr>
        <w:t xml:space="preserve"> די בהם כדי להניח את הדעת ביחס להתנהלותו (ראו והשוו: </w:t>
      </w:r>
      <w:r w:rsidRPr="00F935C1">
        <w:rPr>
          <w:rFonts w:hint="eastAsia"/>
          <w:rtl/>
        </w:rPr>
        <w:t>ע</w:t>
      </w:r>
      <w:r w:rsidRPr="00F935C1">
        <w:rPr>
          <w:rtl/>
        </w:rPr>
        <w:t>"</w:t>
      </w:r>
      <w:r w:rsidRPr="00F935C1">
        <w:rPr>
          <w:rFonts w:hint="eastAsia"/>
          <w:rtl/>
        </w:rPr>
        <w:t>א</w:t>
      </w:r>
      <w:r w:rsidRPr="00F935C1">
        <w:rPr>
          <w:rtl/>
        </w:rPr>
        <w:t xml:space="preserve"> 1134/11 </w:t>
      </w:r>
      <w:proofErr w:type="spellStart"/>
      <w:r w:rsidRPr="00F935C1">
        <w:rPr>
          <w:rFonts w:ascii="Century" w:hAnsi="Century" w:cs="Miriam" w:hint="eastAsia"/>
          <w:b/>
          <w:spacing w:val="0"/>
          <w:sz w:val="22"/>
          <w:szCs w:val="24"/>
          <w:rtl/>
        </w:rPr>
        <w:t>ר</w:t>
      </w:r>
      <w:r w:rsidRPr="00F935C1">
        <w:rPr>
          <w:rFonts w:ascii="Century" w:hAnsi="Century" w:cs="Miriam"/>
          <w:b/>
          <w:spacing w:val="0"/>
          <w:sz w:val="22"/>
          <w:szCs w:val="24"/>
          <w:rtl/>
        </w:rPr>
        <w:t>.</w:t>
      </w:r>
      <w:r w:rsidRPr="00F935C1">
        <w:rPr>
          <w:rFonts w:ascii="Century" w:hAnsi="Century" w:cs="Miriam" w:hint="eastAsia"/>
          <w:b/>
          <w:spacing w:val="0"/>
          <w:sz w:val="22"/>
          <w:szCs w:val="24"/>
          <w:rtl/>
        </w:rPr>
        <w:t>מ</w:t>
      </w:r>
      <w:proofErr w:type="spellEnd"/>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שביט</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מבנים</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חברה</w:t>
      </w:r>
      <w:r w:rsidRPr="00F935C1">
        <w:rPr>
          <w:rFonts w:ascii="Century" w:hAnsi="Century" w:cs="Miriam"/>
          <w:b/>
          <w:spacing w:val="0"/>
          <w:sz w:val="22"/>
          <w:szCs w:val="24"/>
          <w:rtl/>
        </w:rPr>
        <w:t xml:space="preserve"> </w:t>
      </w:r>
      <w:proofErr w:type="spellStart"/>
      <w:r w:rsidRPr="00F935C1">
        <w:rPr>
          <w:rFonts w:ascii="Century" w:hAnsi="Century" w:cs="Miriam" w:hint="eastAsia"/>
          <w:b/>
          <w:spacing w:val="0"/>
          <w:sz w:val="22"/>
          <w:szCs w:val="24"/>
          <w:rtl/>
        </w:rPr>
        <w:t>לבנין</w:t>
      </w:r>
      <w:proofErr w:type="spellEnd"/>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השקעות</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ופיתוח</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בע</w:t>
      </w:r>
      <w:r w:rsidRPr="00F935C1">
        <w:rPr>
          <w:rFonts w:ascii="Century" w:hAnsi="Century" w:cs="Miriam"/>
          <w:b/>
          <w:spacing w:val="0"/>
          <w:sz w:val="22"/>
          <w:szCs w:val="24"/>
          <w:rtl/>
        </w:rPr>
        <w:t>"</w:t>
      </w:r>
      <w:r w:rsidRPr="00F935C1">
        <w:rPr>
          <w:rFonts w:ascii="Century" w:hAnsi="Century" w:cs="Miriam" w:hint="eastAsia"/>
          <w:b/>
          <w:spacing w:val="0"/>
          <w:sz w:val="22"/>
          <w:szCs w:val="24"/>
          <w:rtl/>
        </w:rPr>
        <w:t>מ</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נ</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פקיד</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שומה</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באר</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שבע</w:t>
      </w:r>
      <w:r>
        <w:rPr>
          <w:rFonts w:hint="cs"/>
          <w:rtl/>
        </w:rPr>
        <w:t>, פסקאות 32-30</w:t>
      </w:r>
      <w:r w:rsidRPr="00F935C1">
        <w:rPr>
          <w:rtl/>
        </w:rPr>
        <w:t xml:space="preserve"> (12.</w:t>
      </w:r>
      <w:r>
        <w:rPr>
          <w:rFonts w:hint="cs"/>
          <w:rtl/>
        </w:rPr>
        <w:t>5</w:t>
      </w:r>
      <w:r w:rsidRPr="00F935C1">
        <w:rPr>
          <w:rtl/>
        </w:rPr>
        <w:t>.2013)</w:t>
      </w:r>
      <w:r>
        <w:rPr>
          <w:rFonts w:hint="cs"/>
          <w:rtl/>
        </w:rPr>
        <w:t xml:space="preserve">; </w:t>
      </w:r>
      <w:r w:rsidRPr="009F1680">
        <w:rPr>
          <w:rFonts w:hint="eastAsia"/>
          <w:rtl/>
        </w:rPr>
        <w:t>ע</w:t>
      </w:r>
      <w:r w:rsidRPr="009F1680">
        <w:rPr>
          <w:rtl/>
        </w:rPr>
        <w:t>"</w:t>
      </w:r>
      <w:r w:rsidRPr="009F1680">
        <w:rPr>
          <w:rFonts w:hint="eastAsia"/>
          <w:rtl/>
        </w:rPr>
        <w:t>א</w:t>
      </w:r>
      <w:r w:rsidRPr="009F1680">
        <w:rPr>
          <w:rtl/>
        </w:rPr>
        <w:t xml:space="preserve"> 1002/15 </w:t>
      </w:r>
      <w:r w:rsidRPr="00F935C1">
        <w:rPr>
          <w:rFonts w:ascii="Century" w:hAnsi="Century" w:cs="Miriam" w:hint="eastAsia"/>
          <w:b/>
          <w:spacing w:val="0"/>
          <w:sz w:val="22"/>
          <w:szCs w:val="24"/>
          <w:rtl/>
        </w:rPr>
        <w:t>שהרבני</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נ</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פקיד</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שומה</w:t>
      </w:r>
      <w:r w:rsidRPr="00F935C1">
        <w:rPr>
          <w:rFonts w:ascii="Century" w:hAnsi="Century" w:cs="Miriam"/>
          <w:b/>
          <w:spacing w:val="0"/>
          <w:sz w:val="22"/>
          <w:szCs w:val="24"/>
          <w:rtl/>
        </w:rPr>
        <w:t xml:space="preserve"> </w:t>
      </w:r>
      <w:r w:rsidRPr="00F935C1">
        <w:rPr>
          <w:rFonts w:ascii="Century" w:hAnsi="Century" w:cs="Miriam" w:hint="eastAsia"/>
          <w:b/>
          <w:spacing w:val="0"/>
          <w:sz w:val="22"/>
          <w:szCs w:val="24"/>
          <w:rtl/>
        </w:rPr>
        <w:t>חיפה</w:t>
      </w:r>
      <w:r w:rsidRPr="00F935C1">
        <w:rPr>
          <w:rtl/>
        </w:rPr>
        <w:t xml:space="preserve"> </w:t>
      </w:r>
      <w:r w:rsidRPr="009F1680">
        <w:rPr>
          <w:rtl/>
        </w:rPr>
        <w:t>(</w:t>
      </w:r>
      <w:r>
        <w:rPr>
          <w:rFonts w:hint="cs"/>
          <w:rtl/>
        </w:rPr>
        <w:t>6</w:t>
      </w:r>
      <w:r w:rsidRPr="009F1680">
        <w:rPr>
          <w:rtl/>
        </w:rPr>
        <w:t>.</w:t>
      </w:r>
      <w:r>
        <w:rPr>
          <w:rFonts w:hint="cs"/>
          <w:rtl/>
        </w:rPr>
        <w:t>7</w:t>
      </w:r>
      <w:r w:rsidRPr="009F1680">
        <w:rPr>
          <w:rtl/>
        </w:rPr>
        <w:t>.2016</w:t>
      </w:r>
      <w:r>
        <w:rPr>
          <w:rFonts w:hint="cs"/>
          <w:rtl/>
        </w:rPr>
        <w:t>)). משכך, אני סבורה כי יש להותיר את קנס הגירעון שהוטל על המערער בשנות המס שבערעור על כנו.</w:t>
      </w:r>
    </w:p>
    <w:p w:rsidR="00ED79F5" w:rsidRDefault="00ED79F5" w:rsidP="00ED79F5">
      <w:pPr>
        <w:pStyle w:val="Ruller41"/>
        <w:rPr>
          <w:rtl/>
        </w:rPr>
      </w:pPr>
    </w:p>
    <w:p w:rsidR="00ED79F5" w:rsidRPr="005379C5" w:rsidRDefault="00ED79F5" w:rsidP="00ED79F5">
      <w:pPr>
        <w:pStyle w:val="Ruller41"/>
        <w:rPr>
          <w:rFonts w:ascii="Century" w:hAnsi="Century" w:cs="Miriam"/>
          <w:b/>
          <w:spacing w:val="0"/>
          <w:szCs w:val="24"/>
          <w:rtl/>
        </w:rPr>
      </w:pPr>
      <w:r w:rsidRPr="005379C5">
        <w:rPr>
          <w:rFonts w:ascii="Century" w:hAnsi="Century" w:cs="Miriam" w:hint="cs"/>
          <w:b/>
          <w:spacing w:val="0"/>
          <w:szCs w:val="24"/>
          <w:rtl/>
        </w:rPr>
        <w:t>סוף דבר</w:t>
      </w:r>
    </w:p>
    <w:p w:rsidR="00ED79F5" w:rsidRDefault="00ED79F5" w:rsidP="00ED79F5">
      <w:pPr>
        <w:pStyle w:val="Ruller41"/>
        <w:rPr>
          <w:rtl/>
        </w:rPr>
      </w:pPr>
    </w:p>
    <w:p w:rsidR="00ED79F5" w:rsidRDefault="00ED79F5" w:rsidP="00ED79F5">
      <w:pPr>
        <w:pStyle w:val="Ruller4"/>
        <w:rPr>
          <w:rtl/>
        </w:rPr>
      </w:pPr>
      <w:r>
        <w:rPr>
          <w:rFonts w:hint="cs"/>
          <w:rtl/>
        </w:rPr>
        <w:t>אם תישמע דעתי נורה על קבלת הערעור באופן חלקי, כך שהכנסות המערער אשר סווגו על ידי המשיב בשנות המס שבערעור כהכנסות מעבודה לפי סעיף 2(2) לפקודת מס הכנסה יסווגו כהכנסות מדיבידנד לפי סעיף 2(4) לפקודה; וקנס הגירעון שהוטל על המערער בשנים אלה יוותר על כנו.</w:t>
      </w:r>
    </w:p>
    <w:p w:rsidR="00ED79F5" w:rsidRDefault="00ED79F5" w:rsidP="00ED79F5">
      <w:pPr>
        <w:pStyle w:val="Ruller41"/>
        <w:rPr>
          <w:rtl/>
        </w:rPr>
      </w:pPr>
    </w:p>
    <w:p w:rsidR="00ED79F5" w:rsidRDefault="00ED79F5" w:rsidP="00ED79F5">
      <w:pPr>
        <w:pStyle w:val="Ruller41"/>
        <w:rPr>
          <w:rtl/>
        </w:rPr>
      </w:pPr>
      <w:r>
        <w:rPr>
          <w:rtl/>
        </w:rPr>
        <w:tab/>
      </w:r>
      <w:r>
        <w:rPr>
          <w:rFonts w:hint="cs"/>
          <w:rtl/>
        </w:rPr>
        <w:t>בהתחשב בתוצאה אליה הגעתי, אציע כי לא ייעשה צו להוצאות.</w:t>
      </w:r>
    </w:p>
    <w:tbl>
      <w:tblPr>
        <w:bidiVisual/>
        <w:tblW w:w="0" w:type="auto"/>
        <w:tblLook w:val="01E0" w:firstRow="1" w:lastRow="1" w:firstColumn="1" w:lastColumn="1" w:noHBand="0" w:noVBand="0"/>
      </w:tblPr>
      <w:tblGrid>
        <w:gridCol w:w="2769"/>
        <w:gridCol w:w="2769"/>
        <w:gridCol w:w="2774"/>
      </w:tblGrid>
      <w:tr w:rsidR="00510797">
        <w:tc>
          <w:tcPr>
            <w:tcW w:w="2842" w:type="dxa"/>
            <w:shd w:val="clear" w:color="auto" w:fill="auto"/>
          </w:tcPr>
          <w:p w:rsidR="00510797" w:rsidRDefault="00510797">
            <w:pPr>
              <w:pStyle w:val="Ruller41"/>
              <w:tabs>
                <w:tab w:val="clear" w:pos="800"/>
                <w:tab w:val="left" w:pos="3209"/>
                <w:tab w:val="left" w:pos="6753"/>
              </w:tabs>
              <w:jc w:val="left"/>
              <w:rPr>
                <w:rFonts w:ascii="Times New Roman" w:hAnsi="Times New Roman"/>
                <w:bCs/>
                <w:rtl/>
              </w:rPr>
            </w:pPr>
          </w:p>
        </w:tc>
        <w:tc>
          <w:tcPr>
            <w:tcW w:w="2843" w:type="dxa"/>
            <w:shd w:val="clear" w:color="auto" w:fill="auto"/>
          </w:tcPr>
          <w:p w:rsidR="00510797" w:rsidRDefault="00510797">
            <w:pPr>
              <w:pStyle w:val="Ruller41"/>
              <w:tabs>
                <w:tab w:val="clear" w:pos="800"/>
                <w:tab w:val="left" w:pos="3209"/>
                <w:tab w:val="left" w:pos="6753"/>
              </w:tabs>
              <w:jc w:val="center"/>
              <w:rPr>
                <w:rFonts w:ascii="Times New Roman" w:hAnsi="Times New Roman"/>
                <w:bCs/>
                <w:rtl/>
              </w:rPr>
            </w:pPr>
          </w:p>
        </w:tc>
        <w:tc>
          <w:tcPr>
            <w:tcW w:w="2843" w:type="dxa"/>
            <w:shd w:val="clear" w:color="auto" w:fill="auto"/>
          </w:tcPr>
          <w:p w:rsidR="00510797" w:rsidRPr="00510797" w:rsidRDefault="00510797">
            <w:pPr>
              <w:pStyle w:val="Ruller41"/>
              <w:tabs>
                <w:tab w:val="clear" w:pos="800"/>
                <w:tab w:val="left" w:pos="3209"/>
                <w:tab w:val="left" w:pos="6753"/>
              </w:tabs>
              <w:jc w:val="right"/>
              <w:rPr>
                <w:rFonts w:ascii="Times New Roman" w:hAnsi="Times New Roman"/>
                <w:b/>
                <w:rtl/>
              </w:rPr>
            </w:pPr>
            <w:r w:rsidRPr="00510797">
              <w:rPr>
                <w:rFonts w:ascii="Times New Roman" w:hAnsi="Times New Roman" w:hint="cs"/>
                <w:b/>
                <w:rtl/>
              </w:rPr>
              <w:t>ש ו פ ט ת</w:t>
            </w:r>
          </w:p>
        </w:tc>
      </w:tr>
    </w:tbl>
    <w:p w:rsidR="00510797" w:rsidRPr="00282678" w:rsidRDefault="00510797" w:rsidP="00ED79F5">
      <w:pPr>
        <w:pStyle w:val="Ruller41"/>
        <w:rPr>
          <w:rtl/>
        </w:rPr>
      </w:pPr>
    </w:p>
    <w:p w:rsidR="00510797" w:rsidRPr="00503A3E" w:rsidRDefault="00510797" w:rsidP="00510797">
      <w:pPr>
        <w:pStyle w:val="BODYVERDICT"/>
        <w:rPr>
          <w:rFonts w:cs="Miriam"/>
          <w:sz w:val="24"/>
          <w:szCs w:val="24"/>
          <w:u w:val="single"/>
          <w:rtl/>
        </w:rPr>
      </w:pPr>
      <w:r>
        <w:rPr>
          <w:rFonts w:cs="Miriam"/>
          <w:sz w:val="24"/>
          <w:szCs w:val="24"/>
          <w:u w:val="single"/>
          <w:rtl/>
        </w:rPr>
        <w:t xml:space="preserve">השופט </w:t>
      </w:r>
      <w:r>
        <w:rPr>
          <w:rFonts w:cs="Miriam" w:hint="cs"/>
          <w:sz w:val="24"/>
          <w:szCs w:val="24"/>
          <w:u w:val="single"/>
          <w:rtl/>
        </w:rPr>
        <w:t>נ</w:t>
      </w:r>
      <w:r>
        <w:rPr>
          <w:rFonts w:cs="Miriam"/>
          <w:sz w:val="24"/>
          <w:szCs w:val="24"/>
          <w:u w:val="single"/>
          <w:rtl/>
        </w:rPr>
        <w:t xml:space="preserve">' </w:t>
      </w:r>
      <w:proofErr w:type="spellStart"/>
      <w:r>
        <w:rPr>
          <w:rFonts w:cs="Miriam" w:hint="cs"/>
          <w:sz w:val="24"/>
          <w:szCs w:val="24"/>
          <w:u w:val="single"/>
          <w:rtl/>
        </w:rPr>
        <w:t>סולברג</w:t>
      </w:r>
      <w:proofErr w:type="spellEnd"/>
      <w:r>
        <w:rPr>
          <w:rFonts w:cs="Miriam"/>
          <w:sz w:val="24"/>
          <w:szCs w:val="24"/>
          <w:u w:val="single"/>
          <w:rtl/>
        </w:rPr>
        <w:t>:</w:t>
      </w:r>
    </w:p>
    <w:p w:rsidR="00ED79F5" w:rsidRDefault="00ED79F5" w:rsidP="00ED79F5">
      <w:pPr>
        <w:pStyle w:val="Ruller41"/>
        <w:rPr>
          <w:rtl/>
        </w:rPr>
      </w:pPr>
    </w:p>
    <w:p w:rsidR="00510797" w:rsidRDefault="00510797" w:rsidP="00ED79F5">
      <w:pPr>
        <w:pStyle w:val="Ruller41"/>
        <w:rPr>
          <w:rFonts w:hint="cs"/>
          <w:rtl/>
        </w:rPr>
      </w:pPr>
      <w:r>
        <w:rPr>
          <w:rtl/>
        </w:rPr>
        <w:tab/>
      </w:r>
      <w:r>
        <w:rPr>
          <w:rFonts w:hint="cs"/>
          <w:rtl/>
        </w:rPr>
        <w:t>אני מסכים.</w:t>
      </w:r>
    </w:p>
    <w:p w:rsidR="00510797" w:rsidRDefault="00510797" w:rsidP="00ED79F5">
      <w:pPr>
        <w:pStyle w:val="Ruller41"/>
        <w:rPr>
          <w:rtl/>
        </w:rPr>
      </w:pPr>
    </w:p>
    <w:tbl>
      <w:tblPr>
        <w:bidiVisual/>
        <w:tblW w:w="0" w:type="auto"/>
        <w:tblLook w:val="01E0" w:firstRow="1" w:lastRow="1" w:firstColumn="1" w:lastColumn="1" w:noHBand="0" w:noVBand="0"/>
      </w:tblPr>
      <w:tblGrid>
        <w:gridCol w:w="2769"/>
        <w:gridCol w:w="2769"/>
        <w:gridCol w:w="2774"/>
      </w:tblGrid>
      <w:tr w:rsidR="00510797" w:rsidRPr="00510797" w:rsidTr="00B270D3">
        <w:tc>
          <w:tcPr>
            <w:tcW w:w="2842" w:type="dxa"/>
            <w:shd w:val="clear" w:color="auto" w:fill="auto"/>
          </w:tcPr>
          <w:p w:rsidR="00510797" w:rsidRDefault="00510797" w:rsidP="00B270D3">
            <w:pPr>
              <w:pStyle w:val="Ruller41"/>
              <w:tabs>
                <w:tab w:val="clear" w:pos="800"/>
                <w:tab w:val="left" w:pos="3209"/>
                <w:tab w:val="left" w:pos="6753"/>
              </w:tabs>
              <w:jc w:val="left"/>
              <w:rPr>
                <w:rFonts w:ascii="Times New Roman" w:hAnsi="Times New Roman"/>
                <w:bCs/>
                <w:rtl/>
              </w:rPr>
            </w:pPr>
          </w:p>
        </w:tc>
        <w:tc>
          <w:tcPr>
            <w:tcW w:w="2843" w:type="dxa"/>
            <w:shd w:val="clear" w:color="auto" w:fill="auto"/>
          </w:tcPr>
          <w:p w:rsidR="00510797" w:rsidRDefault="00510797" w:rsidP="00B270D3">
            <w:pPr>
              <w:pStyle w:val="Ruller41"/>
              <w:tabs>
                <w:tab w:val="clear" w:pos="800"/>
                <w:tab w:val="left" w:pos="3209"/>
                <w:tab w:val="left" w:pos="6753"/>
              </w:tabs>
              <w:jc w:val="center"/>
              <w:rPr>
                <w:rFonts w:ascii="Times New Roman" w:hAnsi="Times New Roman"/>
                <w:bCs/>
                <w:rtl/>
              </w:rPr>
            </w:pPr>
          </w:p>
        </w:tc>
        <w:tc>
          <w:tcPr>
            <w:tcW w:w="2843" w:type="dxa"/>
            <w:shd w:val="clear" w:color="auto" w:fill="auto"/>
          </w:tcPr>
          <w:p w:rsidR="00510797" w:rsidRPr="00510797" w:rsidRDefault="00510797" w:rsidP="00510797">
            <w:pPr>
              <w:pStyle w:val="Ruller41"/>
              <w:tabs>
                <w:tab w:val="clear" w:pos="800"/>
                <w:tab w:val="left" w:pos="3209"/>
                <w:tab w:val="left" w:pos="6753"/>
              </w:tabs>
              <w:jc w:val="right"/>
              <w:rPr>
                <w:rFonts w:ascii="Times New Roman" w:hAnsi="Times New Roman"/>
                <w:b/>
                <w:rtl/>
              </w:rPr>
            </w:pPr>
            <w:r w:rsidRPr="00510797">
              <w:rPr>
                <w:rFonts w:ascii="Times New Roman" w:hAnsi="Times New Roman" w:hint="cs"/>
                <w:b/>
                <w:rtl/>
              </w:rPr>
              <w:t>ש ו פ ט</w:t>
            </w:r>
          </w:p>
        </w:tc>
      </w:tr>
    </w:tbl>
    <w:p w:rsidR="00510797" w:rsidRDefault="00510797" w:rsidP="00ED79F5">
      <w:pPr>
        <w:pStyle w:val="Ruller41"/>
        <w:rPr>
          <w:rtl/>
        </w:rPr>
      </w:pPr>
    </w:p>
    <w:p w:rsidR="00510797" w:rsidRDefault="00510797" w:rsidP="00ED79F5">
      <w:pPr>
        <w:pStyle w:val="Ruller41"/>
        <w:rPr>
          <w:rtl/>
        </w:rPr>
      </w:pPr>
    </w:p>
    <w:p w:rsidR="00510797" w:rsidRPr="00503A3E" w:rsidRDefault="00510797" w:rsidP="00510797">
      <w:pPr>
        <w:pStyle w:val="BODYVERDICT"/>
        <w:rPr>
          <w:rFonts w:cs="Miriam"/>
          <w:sz w:val="24"/>
          <w:szCs w:val="24"/>
          <w:u w:val="single"/>
          <w:rtl/>
        </w:rPr>
      </w:pPr>
      <w:r>
        <w:rPr>
          <w:rFonts w:cs="Miriam"/>
          <w:sz w:val="24"/>
          <w:szCs w:val="24"/>
          <w:u w:val="single"/>
          <w:rtl/>
        </w:rPr>
        <w:t xml:space="preserve">השופטת </w:t>
      </w:r>
      <w:r>
        <w:rPr>
          <w:rFonts w:cs="Miriam" w:hint="cs"/>
          <w:sz w:val="24"/>
          <w:szCs w:val="24"/>
          <w:u w:val="single"/>
          <w:rtl/>
        </w:rPr>
        <w:t>ג</w:t>
      </w:r>
      <w:r>
        <w:rPr>
          <w:rFonts w:cs="Miriam"/>
          <w:sz w:val="24"/>
          <w:szCs w:val="24"/>
          <w:u w:val="single"/>
          <w:rtl/>
        </w:rPr>
        <w:t xml:space="preserve">' </w:t>
      </w:r>
      <w:r>
        <w:rPr>
          <w:rFonts w:cs="Miriam" w:hint="cs"/>
          <w:sz w:val="24"/>
          <w:szCs w:val="24"/>
          <w:u w:val="single"/>
          <w:rtl/>
        </w:rPr>
        <w:t>כנפי-שטייניץ</w:t>
      </w:r>
      <w:r>
        <w:rPr>
          <w:rFonts w:cs="Miriam"/>
          <w:sz w:val="24"/>
          <w:szCs w:val="24"/>
          <w:u w:val="single"/>
          <w:rtl/>
        </w:rPr>
        <w:t>:</w:t>
      </w:r>
    </w:p>
    <w:p w:rsidR="00510797" w:rsidRDefault="00510797" w:rsidP="00ED79F5">
      <w:pPr>
        <w:pStyle w:val="Ruller41"/>
        <w:rPr>
          <w:rtl/>
        </w:rPr>
      </w:pPr>
    </w:p>
    <w:p w:rsidR="00510797" w:rsidRDefault="00510797" w:rsidP="00ED79F5">
      <w:pPr>
        <w:pStyle w:val="Ruller41"/>
        <w:rPr>
          <w:rFonts w:hint="cs"/>
          <w:rtl/>
        </w:rPr>
      </w:pPr>
      <w:r>
        <w:rPr>
          <w:rtl/>
        </w:rPr>
        <w:tab/>
      </w:r>
      <w:r>
        <w:rPr>
          <w:rFonts w:hint="cs"/>
          <w:rtl/>
        </w:rPr>
        <w:t>אני מסכימה.</w:t>
      </w:r>
    </w:p>
    <w:p w:rsidR="00510797" w:rsidRDefault="00510797" w:rsidP="00ED79F5">
      <w:pPr>
        <w:pStyle w:val="Ruller41"/>
        <w:rPr>
          <w:rtl/>
        </w:rPr>
      </w:pPr>
    </w:p>
    <w:tbl>
      <w:tblPr>
        <w:bidiVisual/>
        <w:tblW w:w="0" w:type="auto"/>
        <w:tblLook w:val="01E0" w:firstRow="1" w:lastRow="1" w:firstColumn="1" w:lastColumn="1" w:noHBand="0" w:noVBand="0"/>
      </w:tblPr>
      <w:tblGrid>
        <w:gridCol w:w="2769"/>
        <w:gridCol w:w="2769"/>
        <w:gridCol w:w="2774"/>
      </w:tblGrid>
      <w:tr w:rsidR="00510797" w:rsidRPr="00510797" w:rsidTr="00B270D3">
        <w:tc>
          <w:tcPr>
            <w:tcW w:w="2842" w:type="dxa"/>
            <w:shd w:val="clear" w:color="auto" w:fill="auto"/>
          </w:tcPr>
          <w:p w:rsidR="00510797" w:rsidRDefault="00510797" w:rsidP="00B270D3">
            <w:pPr>
              <w:pStyle w:val="Ruller41"/>
              <w:tabs>
                <w:tab w:val="clear" w:pos="800"/>
                <w:tab w:val="left" w:pos="3209"/>
                <w:tab w:val="left" w:pos="6753"/>
              </w:tabs>
              <w:jc w:val="left"/>
              <w:rPr>
                <w:rFonts w:ascii="Times New Roman" w:hAnsi="Times New Roman"/>
                <w:bCs/>
                <w:rtl/>
              </w:rPr>
            </w:pPr>
          </w:p>
        </w:tc>
        <w:tc>
          <w:tcPr>
            <w:tcW w:w="2843" w:type="dxa"/>
            <w:shd w:val="clear" w:color="auto" w:fill="auto"/>
          </w:tcPr>
          <w:p w:rsidR="00510797" w:rsidRDefault="00510797" w:rsidP="00B270D3">
            <w:pPr>
              <w:pStyle w:val="Ruller41"/>
              <w:tabs>
                <w:tab w:val="clear" w:pos="800"/>
                <w:tab w:val="left" w:pos="3209"/>
                <w:tab w:val="left" w:pos="6753"/>
              </w:tabs>
              <w:jc w:val="center"/>
              <w:rPr>
                <w:rFonts w:ascii="Times New Roman" w:hAnsi="Times New Roman"/>
                <w:bCs/>
                <w:rtl/>
              </w:rPr>
            </w:pPr>
          </w:p>
        </w:tc>
        <w:tc>
          <w:tcPr>
            <w:tcW w:w="2843" w:type="dxa"/>
            <w:shd w:val="clear" w:color="auto" w:fill="auto"/>
          </w:tcPr>
          <w:p w:rsidR="00510797" w:rsidRPr="00510797" w:rsidRDefault="00510797" w:rsidP="00B270D3">
            <w:pPr>
              <w:pStyle w:val="Ruller41"/>
              <w:tabs>
                <w:tab w:val="clear" w:pos="800"/>
                <w:tab w:val="left" w:pos="3209"/>
                <w:tab w:val="left" w:pos="6753"/>
              </w:tabs>
              <w:jc w:val="right"/>
              <w:rPr>
                <w:rFonts w:ascii="Times New Roman" w:hAnsi="Times New Roman"/>
                <w:b/>
                <w:rtl/>
              </w:rPr>
            </w:pPr>
            <w:r w:rsidRPr="00510797">
              <w:rPr>
                <w:rFonts w:ascii="Times New Roman" w:hAnsi="Times New Roman" w:hint="cs"/>
                <w:b/>
                <w:rtl/>
              </w:rPr>
              <w:t>ש ו פ ט ת</w:t>
            </w:r>
          </w:p>
        </w:tc>
      </w:tr>
    </w:tbl>
    <w:p w:rsidR="00510797" w:rsidRDefault="00510797" w:rsidP="00ED79F5">
      <w:pPr>
        <w:pStyle w:val="Ruller41"/>
        <w:rPr>
          <w:rtl/>
        </w:rPr>
      </w:pPr>
    </w:p>
    <w:p w:rsidR="001B259D" w:rsidRDefault="001B259D" w:rsidP="00ED79F5">
      <w:pPr>
        <w:pStyle w:val="Ruller41"/>
        <w:rPr>
          <w:rtl/>
        </w:rPr>
      </w:pPr>
    </w:p>
    <w:p w:rsidR="00510797" w:rsidRDefault="00510797" w:rsidP="00ED79F5">
      <w:pPr>
        <w:pStyle w:val="Ruller41"/>
        <w:rPr>
          <w:rFonts w:hint="cs"/>
          <w:rtl/>
        </w:rPr>
      </w:pPr>
      <w:r>
        <w:rPr>
          <w:rtl/>
        </w:rPr>
        <w:tab/>
      </w:r>
      <w:r>
        <w:rPr>
          <w:rFonts w:hint="cs"/>
          <w:rtl/>
        </w:rPr>
        <w:t xml:space="preserve">הוחלט כאמור בפסק דינה של השופטת </w:t>
      </w:r>
      <w:r w:rsidRPr="00510797">
        <w:rPr>
          <w:rFonts w:ascii="Century" w:hAnsi="Century" w:cs="Miriam" w:hint="cs"/>
          <w:b/>
          <w:spacing w:val="0"/>
          <w:szCs w:val="24"/>
          <w:rtl/>
        </w:rPr>
        <w:t>ר' רונן</w:t>
      </w:r>
      <w:r>
        <w:rPr>
          <w:rFonts w:hint="cs"/>
          <w:rtl/>
        </w:rPr>
        <w:t>.</w:t>
      </w:r>
    </w:p>
    <w:p w:rsidR="00510797" w:rsidRDefault="00510797" w:rsidP="00ED79F5">
      <w:pPr>
        <w:pStyle w:val="Ruller41"/>
        <w:rPr>
          <w:rtl/>
        </w:rPr>
      </w:pPr>
    </w:p>
    <w:p w:rsidR="00510797" w:rsidRDefault="00BA2BAE" w:rsidP="00ED79F5">
      <w:pPr>
        <w:pStyle w:val="Ruller41"/>
        <w:rPr>
          <w:rtl/>
        </w:rPr>
      </w:pPr>
      <w:r>
        <w:rPr>
          <w:rtl/>
        </w:rPr>
        <w:tab/>
        <w:t xml:space="preserve">ניתן היום, </w:t>
      </w:r>
      <w:r>
        <w:rPr>
          <w:rFonts w:hint="eastAsia"/>
          <w:rtl/>
        </w:rPr>
        <w:t>‏י</w:t>
      </w:r>
      <w:r>
        <w:rPr>
          <w:rtl/>
        </w:rPr>
        <w:t xml:space="preserve">"ב באלול </w:t>
      </w:r>
      <w:proofErr w:type="spellStart"/>
      <w:r>
        <w:rPr>
          <w:rtl/>
        </w:rPr>
        <w:t>התשפ"ג</w:t>
      </w:r>
      <w:proofErr w:type="spellEnd"/>
      <w:r>
        <w:rPr>
          <w:rtl/>
        </w:rPr>
        <w:t xml:space="preserve"> (</w:t>
      </w:r>
      <w:r>
        <w:rPr>
          <w:rFonts w:hint="eastAsia"/>
          <w:rtl/>
        </w:rPr>
        <w:t>‏</w:t>
      </w:r>
      <w:r>
        <w:rPr>
          <w:rtl/>
        </w:rPr>
        <w:t>29.8.2023).</w:t>
      </w:r>
    </w:p>
    <w:p w:rsidR="00016EF1" w:rsidRDefault="00016EF1" w:rsidP="00A51FAE">
      <w:pPr>
        <w:pStyle w:val="Ruller41"/>
        <w:rPr>
          <w:rtl/>
        </w:rPr>
      </w:pPr>
      <w:bookmarkStart w:id="5" w:name="_GoBack"/>
      <w:bookmarkEnd w:id="5"/>
    </w:p>
    <w:tbl>
      <w:tblPr>
        <w:bidiVisual/>
        <w:tblW w:w="0" w:type="auto"/>
        <w:tblLook w:val="01E0" w:firstRow="1" w:lastRow="1" w:firstColumn="1" w:lastColumn="1" w:noHBand="0" w:noVBand="0"/>
      </w:tblPr>
      <w:tblGrid>
        <w:gridCol w:w="2770"/>
        <w:gridCol w:w="2771"/>
        <w:gridCol w:w="2771"/>
      </w:tblGrid>
      <w:tr w:rsidR="001B259D">
        <w:tc>
          <w:tcPr>
            <w:tcW w:w="2842" w:type="dxa"/>
            <w:shd w:val="clear" w:color="auto" w:fill="auto"/>
          </w:tcPr>
          <w:p w:rsidR="001B259D" w:rsidRPr="001B259D" w:rsidRDefault="001B259D">
            <w:pPr>
              <w:pStyle w:val="Ruller41"/>
              <w:tabs>
                <w:tab w:val="clear" w:pos="800"/>
                <w:tab w:val="left" w:pos="3209"/>
                <w:tab w:val="left" w:pos="6753"/>
              </w:tabs>
              <w:jc w:val="left"/>
              <w:rPr>
                <w:rFonts w:ascii="Times New Roman" w:hAnsi="Times New Roman"/>
                <w:b/>
                <w:rtl/>
              </w:rPr>
            </w:pPr>
            <w:r>
              <w:rPr>
                <w:rFonts w:ascii="Times New Roman" w:hAnsi="Times New Roman" w:hint="cs"/>
                <w:b/>
                <w:rtl/>
              </w:rPr>
              <w:t>ש ו פ ט</w:t>
            </w:r>
          </w:p>
        </w:tc>
        <w:tc>
          <w:tcPr>
            <w:tcW w:w="2843" w:type="dxa"/>
            <w:shd w:val="clear" w:color="auto" w:fill="auto"/>
          </w:tcPr>
          <w:p w:rsidR="001B259D" w:rsidRPr="001B259D" w:rsidRDefault="001B259D">
            <w:pPr>
              <w:pStyle w:val="Ruller41"/>
              <w:tabs>
                <w:tab w:val="clear" w:pos="800"/>
                <w:tab w:val="left" w:pos="3209"/>
                <w:tab w:val="left" w:pos="6753"/>
              </w:tabs>
              <w:jc w:val="center"/>
              <w:rPr>
                <w:rFonts w:ascii="Times New Roman" w:hAnsi="Times New Roman"/>
                <w:b/>
                <w:rtl/>
              </w:rPr>
            </w:pPr>
            <w:r w:rsidRPr="001B259D">
              <w:rPr>
                <w:rFonts w:ascii="Times New Roman" w:hAnsi="Times New Roman" w:hint="cs"/>
                <w:b/>
                <w:rtl/>
              </w:rPr>
              <w:t>ש ו פ ט</w:t>
            </w:r>
            <w:r>
              <w:rPr>
                <w:rFonts w:ascii="Times New Roman" w:hAnsi="Times New Roman" w:hint="cs"/>
                <w:b/>
                <w:rtl/>
              </w:rPr>
              <w:t xml:space="preserve"> ת</w:t>
            </w:r>
          </w:p>
        </w:tc>
        <w:tc>
          <w:tcPr>
            <w:tcW w:w="2843" w:type="dxa"/>
            <w:shd w:val="clear" w:color="auto" w:fill="auto"/>
          </w:tcPr>
          <w:p w:rsidR="001B259D" w:rsidRPr="001B259D" w:rsidRDefault="001B259D">
            <w:pPr>
              <w:pStyle w:val="Ruller41"/>
              <w:tabs>
                <w:tab w:val="clear" w:pos="800"/>
                <w:tab w:val="left" w:pos="3209"/>
                <w:tab w:val="left" w:pos="6753"/>
              </w:tabs>
              <w:jc w:val="right"/>
              <w:rPr>
                <w:rFonts w:ascii="Times New Roman" w:hAnsi="Times New Roman"/>
                <w:b/>
                <w:rtl/>
              </w:rPr>
            </w:pPr>
            <w:r w:rsidRPr="001B259D">
              <w:rPr>
                <w:rFonts w:ascii="Times New Roman" w:hAnsi="Times New Roman" w:hint="cs"/>
                <w:b/>
                <w:rtl/>
              </w:rPr>
              <w:t>ש ו פ ט</w:t>
            </w:r>
            <w:r>
              <w:rPr>
                <w:rFonts w:ascii="Times New Roman" w:hAnsi="Times New Roman" w:hint="cs"/>
                <w:b/>
                <w:rtl/>
              </w:rPr>
              <w:t xml:space="preserve"> ת</w:t>
            </w:r>
          </w:p>
        </w:tc>
      </w:tr>
    </w:tbl>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63549B">
        <w:rPr>
          <w:sz w:val="16"/>
        </w:rPr>
        <w:t xml:space="preserve">22005500_P14.docx   </w:t>
      </w:r>
      <w:r w:rsidR="0063549B">
        <w:rPr>
          <w:sz w:val="16"/>
          <w:rtl/>
        </w:rPr>
        <w:t>שר</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headerReference w:type="first" r:id="rId12"/>
      <w:footerReference w:type="first" r:id="rId13"/>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00000000"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A2BAE">
      <w:rPr>
        <w:rStyle w:val="a5"/>
        <w:noProof/>
        <w:rtl/>
      </w:rPr>
      <w:t>18</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90742742"/>
    <w:lvl w:ilvl="0" w:tplc="862E0D7C">
      <w:start w:val="1"/>
      <w:numFmt w:val="decimal"/>
      <w:pStyle w:val="Ruller4"/>
      <w:lvlText w:val="%1."/>
      <w:lvlJc w:val="left"/>
      <w:pPr>
        <w:tabs>
          <w:tab w:val="num" w:pos="907"/>
        </w:tabs>
        <w:ind w:left="0" w:firstLine="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B4528"/>
    <w:rsid w:val="000C4690"/>
    <w:rsid w:val="000D25C4"/>
    <w:rsid w:val="00134A67"/>
    <w:rsid w:val="001A0164"/>
    <w:rsid w:val="001B259D"/>
    <w:rsid w:val="001E520D"/>
    <w:rsid w:val="00200D6B"/>
    <w:rsid w:val="00265F6E"/>
    <w:rsid w:val="002876BF"/>
    <w:rsid w:val="002A4A7A"/>
    <w:rsid w:val="002A4BF3"/>
    <w:rsid w:val="002F7BB6"/>
    <w:rsid w:val="003448B2"/>
    <w:rsid w:val="00361DB2"/>
    <w:rsid w:val="0037622E"/>
    <w:rsid w:val="00377102"/>
    <w:rsid w:val="00384918"/>
    <w:rsid w:val="0039709B"/>
    <w:rsid w:val="003D72DA"/>
    <w:rsid w:val="003F1F97"/>
    <w:rsid w:val="0041048F"/>
    <w:rsid w:val="00437D59"/>
    <w:rsid w:val="004610A4"/>
    <w:rsid w:val="004B29FF"/>
    <w:rsid w:val="004C7868"/>
    <w:rsid w:val="004F6848"/>
    <w:rsid w:val="00503A3E"/>
    <w:rsid w:val="00510797"/>
    <w:rsid w:val="00527F02"/>
    <w:rsid w:val="005803E2"/>
    <w:rsid w:val="0058440A"/>
    <w:rsid w:val="00591983"/>
    <w:rsid w:val="00624A42"/>
    <w:rsid w:val="0063549B"/>
    <w:rsid w:val="0065522F"/>
    <w:rsid w:val="006A30F7"/>
    <w:rsid w:val="006C42AD"/>
    <w:rsid w:val="00725345"/>
    <w:rsid w:val="00741CC0"/>
    <w:rsid w:val="007B4ED2"/>
    <w:rsid w:val="007B512F"/>
    <w:rsid w:val="007F7512"/>
    <w:rsid w:val="00810894"/>
    <w:rsid w:val="008143AB"/>
    <w:rsid w:val="008279C5"/>
    <w:rsid w:val="0083345F"/>
    <w:rsid w:val="00836667"/>
    <w:rsid w:val="00866D0F"/>
    <w:rsid w:val="008C2F11"/>
    <w:rsid w:val="008D78B9"/>
    <w:rsid w:val="008E3F85"/>
    <w:rsid w:val="009051E8"/>
    <w:rsid w:val="00914156"/>
    <w:rsid w:val="00916FF8"/>
    <w:rsid w:val="00922093"/>
    <w:rsid w:val="00930C85"/>
    <w:rsid w:val="009B38DA"/>
    <w:rsid w:val="009F0E7F"/>
    <w:rsid w:val="009F2F53"/>
    <w:rsid w:val="009F4187"/>
    <w:rsid w:val="00A034E9"/>
    <w:rsid w:val="00A12E0F"/>
    <w:rsid w:val="00A40227"/>
    <w:rsid w:val="00A51FAE"/>
    <w:rsid w:val="00A63613"/>
    <w:rsid w:val="00A80845"/>
    <w:rsid w:val="00AB69F7"/>
    <w:rsid w:val="00AD097B"/>
    <w:rsid w:val="00AD64B9"/>
    <w:rsid w:val="00AE022B"/>
    <w:rsid w:val="00B009CC"/>
    <w:rsid w:val="00B0782A"/>
    <w:rsid w:val="00B62B8C"/>
    <w:rsid w:val="00B63343"/>
    <w:rsid w:val="00B87FF7"/>
    <w:rsid w:val="00BA0B08"/>
    <w:rsid w:val="00BA2BAE"/>
    <w:rsid w:val="00BC0E82"/>
    <w:rsid w:val="00BD40F9"/>
    <w:rsid w:val="00C41C86"/>
    <w:rsid w:val="00C63A6C"/>
    <w:rsid w:val="00CA13AF"/>
    <w:rsid w:val="00CA1444"/>
    <w:rsid w:val="00CB1590"/>
    <w:rsid w:val="00CB7600"/>
    <w:rsid w:val="00CC0E9D"/>
    <w:rsid w:val="00CC3639"/>
    <w:rsid w:val="00D00A1A"/>
    <w:rsid w:val="00D00B1D"/>
    <w:rsid w:val="00D00CB7"/>
    <w:rsid w:val="00D25F16"/>
    <w:rsid w:val="00DF31FC"/>
    <w:rsid w:val="00E21CA9"/>
    <w:rsid w:val="00E31063"/>
    <w:rsid w:val="00E36FE9"/>
    <w:rsid w:val="00E73E98"/>
    <w:rsid w:val="00E75223"/>
    <w:rsid w:val="00E90D72"/>
    <w:rsid w:val="00EA0BE1"/>
    <w:rsid w:val="00EB1E01"/>
    <w:rsid w:val="00EC23AC"/>
    <w:rsid w:val="00EC2992"/>
    <w:rsid w:val="00ED46A4"/>
    <w:rsid w:val="00ED6FD9"/>
    <w:rsid w:val="00ED79F5"/>
    <w:rsid w:val="00EE3810"/>
    <w:rsid w:val="00F63C3B"/>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8B8E0"/>
  <w15:chartTrackingRefBased/>
  <w15:docId w15:val="{D88BE075-78EE-4E21-A0F6-FECB6C27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a4">
    <w:name w:val="כותרת תחתונה תו"/>
    <w:basedOn w:val="a0"/>
    <w:link w:val="a3"/>
    <w:rsid w:val="00ED79F5"/>
    <w:rPr>
      <w:rFonts w:cs="David"/>
      <w:szCs w:val="24"/>
    </w:rPr>
  </w:style>
  <w:style w:type="character" w:customStyle="1" w:styleId="a7">
    <w:name w:val="כותרת עליונה תו"/>
    <w:basedOn w:val="a0"/>
    <w:link w:val="a6"/>
    <w:rsid w:val="00ED79F5"/>
    <w:rPr>
      <w:rFonts w:cs="David"/>
      <w:szCs w:val="24"/>
    </w:rPr>
  </w:style>
  <w:style w:type="paragraph" w:customStyle="1" w:styleId="Ruller4">
    <w:name w:val="Ruller 4 ממוספר"/>
    <w:basedOn w:val="Ruller41"/>
    <w:next w:val="Ruller41"/>
    <w:rsid w:val="00ED79F5"/>
    <w:pPr>
      <w:numPr>
        <w:numId w:val="11"/>
      </w:numPr>
    </w:pPr>
    <w:rPr>
      <w:rFonts w:ascii="Garamond" w:hAnsi="Garamond"/>
      <w:sz w:val="24"/>
    </w:rPr>
  </w:style>
  <w:style w:type="paragraph" w:customStyle="1" w:styleId="Ruller40">
    <w:name w:val="Ruller4 אלפביתי"/>
    <w:basedOn w:val="Ruller41"/>
    <w:next w:val="Ruller41"/>
    <w:rsid w:val="00ED79F5"/>
    <w:pPr>
      <w:numPr>
        <w:numId w:val="12"/>
      </w:numPr>
    </w:pPr>
  </w:style>
  <w:style w:type="character" w:customStyle="1" w:styleId="Ruller42">
    <w:name w:val="Ruller4 תו"/>
    <w:basedOn w:val="a0"/>
    <w:link w:val="Ruller41"/>
    <w:locked/>
    <w:rsid w:val="00510797"/>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6101</Words>
  <Characters>28315</Characters>
  <Application>Microsoft Office Word</Application>
  <DocSecurity>0</DocSecurity>
  <Lines>658</Lines>
  <Paragraphs>134</Paragraphs>
  <ScaleCrop>false</ScaleCrop>
  <HeadingPairs>
    <vt:vector size="2" baseType="variant">
      <vt:variant>
        <vt:lpstr>שם</vt:lpstr>
      </vt:variant>
      <vt:variant>
        <vt:i4>1</vt:i4>
      </vt:variant>
    </vt:vector>
  </HeadingPairs>
  <TitlesOfParts>
    <vt:vector size="1" baseType="lpstr">
      <vt:lpstr>פסק-דין בתיק ע"א  550/22</vt:lpstr>
    </vt:vector>
  </TitlesOfParts>
  <Company/>
  <LinksUpToDate>false</LinksUpToDate>
  <CharactersWithSpaces>34282</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2023-08-29T12:48:29Z</cp:lastPrinted>
  <dcterms:created xsi:type="dcterms:W3CDTF">2023-08-29T12:48:29Z</dcterms:created>
  <dcterms:modified xsi:type="dcterms:W3CDTF">2023-08-29T12:48:29Z</dcterms:modified>
</cp:coreProperties>
</file>