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5C14FC">
        <w:tc>
          <w:tcPr>
            <w:tcW w:w="8363" w:type="dxa"/>
          </w:tcPr>
          <w:p w:rsidR="00916FF8" w:rsidRPr="00624A42" w:rsidRDefault="001E0107" w:rsidP="004C7868">
            <w:pPr>
              <w:pStyle w:val="FileNumber0"/>
              <w:rPr>
                <w:sz w:val="28"/>
                <w:u w:val="single"/>
                <w:rtl/>
              </w:rPr>
            </w:pPr>
            <w:bookmarkStart w:id="0" w:name="_GoBack"/>
            <w:bookmarkEnd w:id="0"/>
            <w:r>
              <w:rPr>
                <w:u w:val="single"/>
                <w:rtl/>
              </w:rPr>
              <w:t xml:space="preserve">בבית המשפט העליון </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1E0107">
            <w:pPr>
              <w:pStyle w:val="FileNumber"/>
              <w:rPr>
                <w:sz w:val="28"/>
                <w:szCs w:val="28"/>
              </w:rPr>
            </w:pPr>
            <w:bookmarkStart w:id="1" w:name="casename_body"/>
            <w:r>
              <w:rPr>
                <w:sz w:val="28"/>
                <w:szCs w:val="28"/>
                <w:rtl/>
              </w:rPr>
              <w:t>דנ"א  4004/22</w:t>
            </w:r>
          </w:p>
        </w:tc>
      </w:tr>
      <w:bookmarkEnd w:id="1"/>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1E0107">
            <w:pPr>
              <w:pStyle w:val="BodyRuller"/>
            </w:pPr>
            <w:r>
              <w:rPr>
                <w:rtl/>
              </w:rPr>
              <w:t>כבוד הנשיאה א' חיות</w:t>
            </w:r>
          </w:p>
        </w:tc>
      </w:tr>
      <w:tr w:rsidR="001E0107" w:rsidTr="00EC23AC">
        <w:trPr>
          <w:trHeight w:val="287"/>
        </w:trPr>
        <w:tc>
          <w:tcPr>
            <w:tcW w:w="3261" w:type="dxa"/>
          </w:tcPr>
          <w:p w:rsidR="001E0107" w:rsidRDefault="001E0107">
            <w:pPr>
              <w:pStyle w:val="BodyRuller"/>
              <w:rPr>
                <w:rtl/>
              </w:rPr>
            </w:pPr>
          </w:p>
        </w:tc>
        <w:tc>
          <w:tcPr>
            <w:tcW w:w="5239" w:type="dxa"/>
          </w:tcPr>
          <w:p w:rsidR="001E0107" w:rsidRDefault="001E0107">
            <w:pPr>
              <w:pStyle w:val="BodyRuller"/>
              <w:rPr>
                <w:rtl/>
              </w:rPr>
            </w:pPr>
            <w:r>
              <w:rPr>
                <w:rtl/>
              </w:rPr>
              <w:t>כבוד המשנה לנשיאה ע' פוגלמן</w:t>
            </w:r>
          </w:p>
        </w:tc>
      </w:tr>
      <w:tr w:rsidR="001E0107" w:rsidTr="00EC23AC">
        <w:trPr>
          <w:trHeight w:val="287"/>
        </w:trPr>
        <w:tc>
          <w:tcPr>
            <w:tcW w:w="3261" w:type="dxa"/>
          </w:tcPr>
          <w:p w:rsidR="001E0107" w:rsidRDefault="001E0107">
            <w:pPr>
              <w:pStyle w:val="BodyRuller"/>
              <w:rPr>
                <w:rtl/>
              </w:rPr>
            </w:pPr>
          </w:p>
        </w:tc>
        <w:tc>
          <w:tcPr>
            <w:tcW w:w="5239" w:type="dxa"/>
          </w:tcPr>
          <w:p w:rsidR="001E0107" w:rsidRDefault="001E0107">
            <w:pPr>
              <w:pStyle w:val="BodyRuller"/>
              <w:rPr>
                <w:rtl/>
              </w:rPr>
            </w:pPr>
            <w:r>
              <w:rPr>
                <w:rtl/>
              </w:rPr>
              <w:t>כבוד השופט י' עמית</w:t>
            </w:r>
          </w:p>
        </w:tc>
      </w:tr>
      <w:tr w:rsidR="001E0107" w:rsidTr="00EC23AC">
        <w:trPr>
          <w:trHeight w:val="287"/>
        </w:trPr>
        <w:tc>
          <w:tcPr>
            <w:tcW w:w="3261" w:type="dxa"/>
          </w:tcPr>
          <w:p w:rsidR="001E0107" w:rsidRDefault="001E0107">
            <w:pPr>
              <w:pStyle w:val="BodyRuller"/>
              <w:rPr>
                <w:rtl/>
              </w:rPr>
            </w:pPr>
          </w:p>
        </w:tc>
        <w:tc>
          <w:tcPr>
            <w:tcW w:w="5239" w:type="dxa"/>
          </w:tcPr>
          <w:p w:rsidR="001E0107" w:rsidRDefault="001E0107">
            <w:pPr>
              <w:pStyle w:val="BodyRuller"/>
              <w:rPr>
                <w:rtl/>
              </w:rPr>
            </w:pPr>
            <w:r>
              <w:rPr>
                <w:rtl/>
              </w:rPr>
              <w:t>כבוד השופט נ' סולברג</w:t>
            </w:r>
          </w:p>
        </w:tc>
      </w:tr>
      <w:tr w:rsidR="001E0107" w:rsidTr="00EC23AC">
        <w:trPr>
          <w:trHeight w:val="287"/>
        </w:trPr>
        <w:tc>
          <w:tcPr>
            <w:tcW w:w="3261" w:type="dxa"/>
          </w:tcPr>
          <w:p w:rsidR="001E0107" w:rsidRDefault="001E0107">
            <w:pPr>
              <w:pStyle w:val="BodyRuller"/>
              <w:rPr>
                <w:rtl/>
              </w:rPr>
            </w:pPr>
          </w:p>
        </w:tc>
        <w:tc>
          <w:tcPr>
            <w:tcW w:w="5239" w:type="dxa"/>
          </w:tcPr>
          <w:p w:rsidR="001E0107" w:rsidRDefault="001E0107">
            <w:pPr>
              <w:pStyle w:val="BodyRuller"/>
              <w:rPr>
                <w:rtl/>
              </w:rPr>
            </w:pPr>
            <w:r>
              <w:rPr>
                <w:rtl/>
              </w:rPr>
              <w:t>כבוד השופט ד' מינץ</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CB004C" w:rsidTr="00811881">
        <w:trPr>
          <w:trHeight w:val="287"/>
        </w:trPr>
        <w:tc>
          <w:tcPr>
            <w:tcW w:w="3261" w:type="dxa"/>
          </w:tcPr>
          <w:p w:rsidR="00CB004C" w:rsidRPr="00E75223" w:rsidRDefault="00CB004C" w:rsidP="00811881">
            <w:pPr>
              <w:pStyle w:val="BodyRuller"/>
              <w:rPr>
                <w:rFonts w:ascii="David" w:hAnsi="David"/>
              </w:rPr>
            </w:pPr>
            <w:r>
              <w:rPr>
                <w:rFonts w:ascii="David" w:hAnsi="David"/>
                <w:rtl/>
              </w:rPr>
              <w:t>המבקש:</w:t>
            </w:r>
          </w:p>
        </w:tc>
        <w:tc>
          <w:tcPr>
            <w:tcW w:w="5239" w:type="dxa"/>
          </w:tcPr>
          <w:p w:rsidR="00CB004C" w:rsidRDefault="00CB004C" w:rsidP="00811881">
            <w:pPr>
              <w:pStyle w:val="BodyRuller"/>
            </w:pPr>
            <w:r>
              <w:rPr>
                <w:rtl/>
              </w:rPr>
              <w:t>רועי חיון</w:t>
            </w:r>
          </w:p>
        </w:tc>
      </w:tr>
    </w:tbl>
    <w:p w:rsidR="00CB004C" w:rsidRDefault="00CB004C" w:rsidP="00CB004C">
      <w:pPr>
        <w:pStyle w:val="Ruller3"/>
        <w:spacing w:line="240" w:lineRule="auto"/>
      </w:pPr>
    </w:p>
    <w:tbl>
      <w:tblPr>
        <w:bidiVisual/>
        <w:tblW w:w="8363" w:type="dxa"/>
        <w:tblLook w:val="0000" w:firstRow="0" w:lastRow="0" w:firstColumn="0" w:lastColumn="0" w:noHBand="0" w:noVBand="0"/>
      </w:tblPr>
      <w:tblGrid>
        <w:gridCol w:w="3222"/>
        <w:gridCol w:w="5141"/>
      </w:tblGrid>
      <w:tr w:rsidR="00CB004C" w:rsidTr="00811881">
        <w:tc>
          <w:tcPr>
            <w:tcW w:w="3284" w:type="dxa"/>
          </w:tcPr>
          <w:p w:rsidR="00CB004C" w:rsidRDefault="00CB004C" w:rsidP="00811881">
            <w:pPr>
              <w:pStyle w:val="BodyRuller"/>
            </w:pPr>
          </w:p>
        </w:tc>
        <w:tc>
          <w:tcPr>
            <w:tcW w:w="5238" w:type="dxa"/>
          </w:tcPr>
          <w:p w:rsidR="00CB004C" w:rsidRDefault="00CB004C" w:rsidP="00811881">
            <w:pPr>
              <w:pStyle w:val="BodyRuller"/>
            </w:pPr>
            <w:r>
              <w:rPr>
                <w:rFonts w:hint="cs"/>
                <w:rtl/>
              </w:rPr>
              <w:t>נ</w:t>
            </w:r>
            <w:r>
              <w:t xml:space="preserve">  </w:t>
            </w:r>
            <w:r>
              <w:rPr>
                <w:rFonts w:hint="cs"/>
                <w:rtl/>
              </w:rPr>
              <w:t>ג</w:t>
            </w:r>
            <w:r>
              <w:t xml:space="preserve">  </w:t>
            </w:r>
            <w:r>
              <w:rPr>
                <w:rFonts w:hint="cs"/>
                <w:rtl/>
              </w:rPr>
              <w:t>ד</w:t>
            </w:r>
          </w:p>
        </w:tc>
      </w:tr>
    </w:tbl>
    <w:p w:rsidR="00CB004C" w:rsidRDefault="00CB004C" w:rsidP="00CB004C">
      <w:pPr>
        <w:pStyle w:val="Ruller3"/>
        <w:spacing w:line="240" w:lineRule="auto"/>
        <w:rPr>
          <w:rtl/>
        </w:rPr>
      </w:pPr>
    </w:p>
    <w:tbl>
      <w:tblPr>
        <w:bidiVisual/>
        <w:tblW w:w="8364" w:type="dxa"/>
        <w:tblLayout w:type="fixed"/>
        <w:tblLook w:val="0000" w:firstRow="0" w:lastRow="0" w:firstColumn="0" w:lastColumn="0" w:noHBand="0" w:noVBand="0"/>
      </w:tblPr>
      <w:tblGrid>
        <w:gridCol w:w="3210"/>
        <w:gridCol w:w="5154"/>
      </w:tblGrid>
      <w:tr w:rsidR="00CB004C" w:rsidTr="00811881">
        <w:trPr>
          <w:trHeight w:val="287"/>
        </w:trPr>
        <w:tc>
          <w:tcPr>
            <w:tcW w:w="3261" w:type="dxa"/>
          </w:tcPr>
          <w:p w:rsidR="00CB004C" w:rsidRPr="00E75223" w:rsidRDefault="00CB004C" w:rsidP="00811881">
            <w:pPr>
              <w:pStyle w:val="BodyRuller"/>
              <w:rPr>
                <w:rFonts w:ascii="David" w:hAnsi="David"/>
              </w:rPr>
            </w:pPr>
            <w:r>
              <w:rPr>
                <w:rFonts w:ascii="David" w:hAnsi="David"/>
                <w:rtl/>
              </w:rPr>
              <w:t>המשיב:</w:t>
            </w:r>
          </w:p>
        </w:tc>
        <w:tc>
          <w:tcPr>
            <w:tcW w:w="5239" w:type="dxa"/>
          </w:tcPr>
          <w:p w:rsidR="00CB004C" w:rsidRDefault="00CB004C" w:rsidP="00811881">
            <w:pPr>
              <w:pStyle w:val="BodyRuller"/>
            </w:pPr>
            <w:r>
              <w:rPr>
                <w:rtl/>
              </w:rPr>
              <w:t>פקיד שומה יחידה ארצית לשומה</w:t>
            </w:r>
          </w:p>
        </w:tc>
      </w:tr>
    </w:tbl>
    <w:p w:rsidR="00CB004C" w:rsidRDefault="00CB004C" w:rsidP="00CB004C">
      <w:pPr>
        <w:pStyle w:val="Ruller3"/>
        <w:spacing w:line="240" w:lineRule="auto"/>
      </w:pPr>
    </w:p>
    <w:tbl>
      <w:tblPr>
        <w:bidiVisual/>
        <w:tblW w:w="0" w:type="auto"/>
        <w:tblInd w:w="3209" w:type="dxa"/>
        <w:tblLook w:val="0000" w:firstRow="0" w:lastRow="0" w:firstColumn="0" w:lastColumn="0" w:noHBand="0" w:noVBand="0"/>
      </w:tblPr>
      <w:tblGrid>
        <w:gridCol w:w="5103"/>
      </w:tblGrid>
      <w:tr w:rsidR="00CB004C" w:rsidTr="00811881">
        <w:tc>
          <w:tcPr>
            <w:tcW w:w="5103" w:type="dxa"/>
          </w:tcPr>
          <w:p w:rsidR="00CB004C" w:rsidRPr="00265F6E" w:rsidRDefault="00CB004C" w:rsidP="00811881">
            <w:pPr>
              <w:pStyle w:val="BodyRuller"/>
              <w:jc w:val="both"/>
              <w:rPr>
                <w:sz w:val="24"/>
                <w:szCs w:val="24"/>
              </w:rPr>
            </w:pPr>
            <w:r>
              <w:rPr>
                <w:rFonts w:hint="cs"/>
                <w:sz w:val="24"/>
                <w:szCs w:val="24"/>
                <w:rtl/>
              </w:rPr>
              <w:t>דיון נוסף בפסק דינו של בית משפט זה שניתן ב-ע"א 6077/20 ביום 29.5.2022 על ידי כב' השופטים ג' קרא, ד' מינץ ו-ש' שוחט</w:t>
            </w:r>
          </w:p>
        </w:tc>
      </w:tr>
    </w:tbl>
    <w:p w:rsidR="00CB004C" w:rsidRDefault="00CB004C" w:rsidP="00CB004C">
      <w:pPr>
        <w:pStyle w:val="Ruller3"/>
        <w:spacing w:line="240" w:lineRule="auto"/>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4846"/>
        <w:gridCol w:w="287"/>
      </w:tblGrid>
      <w:tr w:rsidR="00CB004C" w:rsidRPr="003D137E" w:rsidTr="00811881">
        <w:tc>
          <w:tcPr>
            <w:tcW w:w="3230" w:type="dxa"/>
            <w:tcBorders>
              <w:top w:val="nil"/>
              <w:left w:val="nil"/>
              <w:bottom w:val="nil"/>
              <w:right w:val="nil"/>
            </w:tcBorders>
          </w:tcPr>
          <w:p w:rsidR="00CB004C" w:rsidRPr="003D137E" w:rsidRDefault="00CB004C" w:rsidP="00811881">
            <w:pPr>
              <w:pStyle w:val="BodyRuller"/>
              <w:rPr>
                <w:rFonts w:ascii="David" w:hAnsi="David"/>
                <w:sz w:val="24"/>
                <w:szCs w:val="24"/>
                <w:rtl/>
              </w:rPr>
            </w:pPr>
            <w:r w:rsidRPr="003D137E">
              <w:rPr>
                <w:rFonts w:ascii="David" w:hAnsi="David"/>
                <w:sz w:val="24"/>
                <w:szCs w:val="24"/>
                <w:rtl/>
              </w:rPr>
              <w:t>תאריך הישיבה:</w:t>
            </w:r>
          </w:p>
        </w:tc>
        <w:tc>
          <w:tcPr>
            <w:tcW w:w="4846" w:type="dxa"/>
            <w:tcBorders>
              <w:top w:val="nil"/>
              <w:left w:val="nil"/>
              <w:bottom w:val="nil"/>
              <w:right w:val="nil"/>
            </w:tcBorders>
          </w:tcPr>
          <w:p w:rsidR="00CB004C" w:rsidRPr="003D137E" w:rsidRDefault="00CB004C" w:rsidP="00811881">
            <w:pPr>
              <w:pStyle w:val="BodyRuller"/>
              <w:rPr>
                <w:rFonts w:ascii="David" w:hAnsi="David"/>
                <w:rtl/>
              </w:rPr>
            </w:pPr>
            <w:r>
              <w:rPr>
                <w:rFonts w:ascii="David" w:hAnsi="David" w:hint="cs"/>
                <w:sz w:val="24"/>
                <w:szCs w:val="24"/>
                <w:rtl/>
              </w:rPr>
              <w:t xml:space="preserve">ל' בשבט </w:t>
            </w:r>
            <w:proofErr w:type="spellStart"/>
            <w:r w:rsidRPr="003D137E">
              <w:rPr>
                <w:rFonts w:ascii="David" w:hAnsi="David"/>
                <w:sz w:val="24"/>
                <w:szCs w:val="24"/>
                <w:rtl/>
              </w:rPr>
              <w:t>התשפ"ג</w:t>
            </w:r>
            <w:proofErr w:type="spellEnd"/>
            <w:r w:rsidRPr="003D137E">
              <w:rPr>
                <w:rFonts w:ascii="David" w:hAnsi="David"/>
                <w:sz w:val="24"/>
                <w:szCs w:val="24"/>
                <w:rtl/>
              </w:rPr>
              <w:t xml:space="preserve"> (</w:t>
            </w:r>
            <w:r>
              <w:rPr>
                <w:rFonts w:ascii="David" w:hAnsi="David" w:hint="cs"/>
                <w:sz w:val="24"/>
                <w:szCs w:val="24"/>
                <w:rtl/>
              </w:rPr>
              <w:t>21</w:t>
            </w:r>
            <w:r w:rsidRPr="003D137E">
              <w:rPr>
                <w:rFonts w:ascii="David" w:hAnsi="David"/>
                <w:sz w:val="24"/>
                <w:szCs w:val="24"/>
                <w:rtl/>
              </w:rPr>
              <w:t>.</w:t>
            </w:r>
            <w:r>
              <w:rPr>
                <w:rFonts w:ascii="David" w:hAnsi="David" w:hint="cs"/>
                <w:sz w:val="24"/>
                <w:szCs w:val="24"/>
                <w:rtl/>
              </w:rPr>
              <w:t>2</w:t>
            </w:r>
            <w:r w:rsidRPr="003D137E">
              <w:rPr>
                <w:rFonts w:ascii="David" w:hAnsi="David"/>
                <w:sz w:val="24"/>
                <w:szCs w:val="24"/>
                <w:rtl/>
              </w:rPr>
              <w:t>.2023)</w:t>
            </w:r>
          </w:p>
        </w:tc>
        <w:tc>
          <w:tcPr>
            <w:tcW w:w="287" w:type="dxa"/>
            <w:tcBorders>
              <w:top w:val="nil"/>
              <w:left w:val="nil"/>
              <w:bottom w:val="nil"/>
              <w:right w:val="nil"/>
            </w:tcBorders>
          </w:tcPr>
          <w:p w:rsidR="00CB004C" w:rsidRPr="003D137E" w:rsidRDefault="00CB004C" w:rsidP="00811881">
            <w:pPr>
              <w:pStyle w:val="BodyRuller"/>
              <w:rPr>
                <w:rFonts w:ascii="David" w:hAnsi="David"/>
                <w:sz w:val="24"/>
                <w:szCs w:val="24"/>
                <w:rtl/>
              </w:rPr>
            </w:pPr>
          </w:p>
        </w:tc>
      </w:tr>
    </w:tbl>
    <w:p w:rsidR="00CB004C" w:rsidRDefault="00CB004C" w:rsidP="00CB004C">
      <w:pPr>
        <w:pStyle w:val="Ruller3"/>
        <w:spacing w:line="240" w:lineRule="auto"/>
        <w:rPr>
          <w:rtl/>
        </w:rPr>
      </w:pPr>
      <w:r>
        <w:rPr>
          <w:rFonts w:hint="cs"/>
          <w:rtl/>
        </w:rPr>
        <w:t xml:space="preserve"> </w:t>
      </w: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187"/>
        <w:gridCol w:w="25"/>
        <w:gridCol w:w="5124"/>
        <w:gridCol w:w="27"/>
      </w:tblGrid>
      <w:tr w:rsidR="00CB004C" w:rsidTr="00811881">
        <w:trPr>
          <w:gridAfter w:val="1"/>
          <w:wAfter w:w="27" w:type="dxa"/>
        </w:trPr>
        <w:tc>
          <w:tcPr>
            <w:tcW w:w="3214" w:type="dxa"/>
            <w:gridSpan w:val="2"/>
            <w:tcBorders>
              <w:top w:val="nil"/>
              <w:left w:val="nil"/>
              <w:bottom w:val="nil"/>
              <w:right w:val="nil"/>
            </w:tcBorders>
          </w:tcPr>
          <w:p w:rsidR="00CB004C" w:rsidRDefault="00CB004C" w:rsidP="00811881">
            <w:pPr>
              <w:pStyle w:val="BodyRuller"/>
            </w:pPr>
            <w:r>
              <w:rPr>
                <w:rtl/>
              </w:rPr>
              <w:t>בשם המבקש:</w:t>
            </w:r>
          </w:p>
        </w:tc>
        <w:tc>
          <w:tcPr>
            <w:tcW w:w="5149" w:type="dxa"/>
            <w:gridSpan w:val="2"/>
            <w:tcBorders>
              <w:top w:val="nil"/>
              <w:left w:val="nil"/>
              <w:bottom w:val="nil"/>
              <w:right w:val="nil"/>
            </w:tcBorders>
          </w:tcPr>
          <w:p w:rsidR="00CB004C" w:rsidRDefault="00CB004C" w:rsidP="00811881">
            <w:pPr>
              <w:pStyle w:val="BodyRuller"/>
              <w:jc w:val="both"/>
            </w:pPr>
            <w:r>
              <w:rPr>
                <w:rtl/>
              </w:rPr>
              <w:t xml:space="preserve">עו"ד </w:t>
            </w:r>
            <w:r>
              <w:rPr>
                <w:rFonts w:hint="cs"/>
                <w:rtl/>
              </w:rPr>
              <w:t xml:space="preserve">משה </w:t>
            </w:r>
            <w:r>
              <w:rPr>
                <w:rtl/>
              </w:rPr>
              <w:t>מזרחי</w:t>
            </w:r>
            <w:r>
              <w:rPr>
                <w:rFonts w:hint="cs"/>
                <w:rtl/>
              </w:rPr>
              <w:t xml:space="preserve">; עו"ד עמית </w:t>
            </w:r>
            <w:proofErr w:type="spellStart"/>
            <w:r>
              <w:rPr>
                <w:rFonts w:hint="cs"/>
                <w:rtl/>
              </w:rPr>
              <w:t>קריגל</w:t>
            </w:r>
            <w:proofErr w:type="spellEnd"/>
            <w:r>
              <w:rPr>
                <w:rFonts w:hint="cs"/>
                <w:rtl/>
              </w:rPr>
              <w:t>; עו"ד אלדד נח</w:t>
            </w:r>
          </w:p>
        </w:tc>
      </w:tr>
      <w:tr w:rsidR="00CB004C" w:rsidTr="00811881">
        <w:trPr>
          <w:gridBefore w:val="1"/>
          <w:wBefore w:w="27" w:type="dxa"/>
        </w:trPr>
        <w:tc>
          <w:tcPr>
            <w:tcW w:w="3212" w:type="dxa"/>
            <w:gridSpan w:val="2"/>
            <w:tcBorders>
              <w:top w:val="nil"/>
              <w:left w:val="nil"/>
              <w:bottom w:val="nil"/>
              <w:right w:val="nil"/>
            </w:tcBorders>
          </w:tcPr>
          <w:p w:rsidR="00CB004C" w:rsidRPr="009C72C2" w:rsidRDefault="00CB004C" w:rsidP="00811881">
            <w:pPr>
              <w:pStyle w:val="BodyRuller"/>
              <w:rPr>
                <w:sz w:val="12"/>
                <w:szCs w:val="18"/>
                <w:rtl/>
              </w:rPr>
            </w:pPr>
          </w:p>
          <w:p w:rsidR="00CB004C" w:rsidRDefault="00CB004C" w:rsidP="00811881">
            <w:pPr>
              <w:pStyle w:val="BodyRuller"/>
            </w:pPr>
            <w:r>
              <w:rPr>
                <w:rtl/>
              </w:rPr>
              <w:t>בשם המשיב:</w:t>
            </w:r>
          </w:p>
        </w:tc>
        <w:tc>
          <w:tcPr>
            <w:tcW w:w="5151" w:type="dxa"/>
            <w:gridSpan w:val="2"/>
            <w:tcBorders>
              <w:top w:val="nil"/>
              <w:left w:val="nil"/>
              <w:bottom w:val="nil"/>
              <w:right w:val="nil"/>
            </w:tcBorders>
          </w:tcPr>
          <w:p w:rsidR="00CB004C" w:rsidRPr="009C72C2" w:rsidRDefault="00CB004C" w:rsidP="00811881">
            <w:pPr>
              <w:pStyle w:val="BodyRuller"/>
              <w:rPr>
                <w:sz w:val="12"/>
                <w:szCs w:val="18"/>
                <w:rtl/>
              </w:rPr>
            </w:pPr>
          </w:p>
          <w:p w:rsidR="00CB004C" w:rsidRDefault="00CB004C" w:rsidP="00811881">
            <w:pPr>
              <w:pStyle w:val="BodyRuller"/>
            </w:pPr>
            <w:r>
              <w:rPr>
                <w:rtl/>
              </w:rPr>
              <w:t xml:space="preserve">עו"ד </w:t>
            </w:r>
            <w:r>
              <w:rPr>
                <w:rFonts w:hint="cs"/>
                <w:rtl/>
              </w:rPr>
              <w:t xml:space="preserve">חן </w:t>
            </w:r>
            <w:proofErr w:type="spellStart"/>
            <w:r>
              <w:rPr>
                <w:rFonts w:hint="cs"/>
                <w:rtl/>
              </w:rPr>
              <w:t>אבידוב</w:t>
            </w:r>
            <w:proofErr w:type="spellEnd"/>
          </w:p>
        </w:tc>
      </w:tr>
    </w:tbl>
    <w:p w:rsidR="00CB004C" w:rsidRDefault="00CB004C" w:rsidP="00CB004C">
      <w:pPr>
        <w:tabs>
          <w:tab w:val="left" w:pos="2552"/>
        </w:tabs>
        <w:rPr>
          <w:rtl/>
        </w:rPr>
      </w:pPr>
    </w:p>
    <w:p w:rsidR="00CB004C" w:rsidRDefault="00CB004C" w:rsidP="00CB004C">
      <w:pPr>
        <w:tabs>
          <w:tab w:val="left" w:pos="2552"/>
        </w:tabs>
      </w:pPr>
    </w:p>
    <w:tbl>
      <w:tblPr>
        <w:bidiVisual/>
        <w:tblW w:w="8363" w:type="dxa"/>
        <w:tblLook w:val="0000" w:firstRow="0" w:lastRow="0" w:firstColumn="0" w:lastColumn="0" w:noHBand="0" w:noVBand="0"/>
      </w:tblPr>
      <w:tblGrid>
        <w:gridCol w:w="8363"/>
      </w:tblGrid>
      <w:tr w:rsidR="00CB004C" w:rsidTr="00811881">
        <w:tc>
          <w:tcPr>
            <w:tcW w:w="9837" w:type="dxa"/>
          </w:tcPr>
          <w:p w:rsidR="00CB004C" w:rsidRDefault="00CB004C" w:rsidP="00811881">
            <w:pPr>
              <w:pStyle w:val="DocumentHead"/>
            </w:pPr>
            <w:bookmarkStart w:id="2" w:name="secretary"/>
            <w:bookmarkStart w:id="3" w:name="BeginProtocol"/>
            <w:bookmarkEnd w:id="2"/>
            <w:bookmarkEnd w:id="3"/>
            <w:r>
              <w:rPr>
                <w:rtl/>
              </w:rPr>
              <w:t>פסק-דין</w:t>
            </w:r>
          </w:p>
        </w:tc>
      </w:tr>
    </w:tbl>
    <w:p w:rsidR="00CB004C" w:rsidRDefault="00CB004C" w:rsidP="00CB004C">
      <w:pPr>
        <w:pStyle w:val="BODYVERDICT"/>
      </w:pPr>
    </w:p>
    <w:p w:rsidR="00CB004C" w:rsidRDefault="00CB004C" w:rsidP="00CB004C">
      <w:pPr>
        <w:pStyle w:val="BODYVERDICT"/>
        <w:rPr>
          <w:rFonts w:cs="Miriam"/>
          <w:sz w:val="24"/>
          <w:szCs w:val="24"/>
          <w:u w:val="single"/>
          <w:rtl/>
        </w:rPr>
      </w:pPr>
      <w:bookmarkStart w:id="4" w:name="Writer_Name"/>
      <w:bookmarkEnd w:id="4"/>
      <w:r>
        <w:rPr>
          <w:rFonts w:cs="Miriam"/>
          <w:sz w:val="24"/>
          <w:szCs w:val="24"/>
          <w:u w:val="single"/>
          <w:rtl/>
        </w:rPr>
        <w:t>השופט י' עמית:</w:t>
      </w:r>
    </w:p>
    <w:p w:rsidR="00CB004C" w:rsidRDefault="00CB004C" w:rsidP="00CB004C">
      <w:pPr>
        <w:pStyle w:val="Ruller41"/>
        <w:rPr>
          <w:rtl/>
        </w:rPr>
      </w:pPr>
    </w:p>
    <w:p w:rsidR="00CB004C" w:rsidRPr="00C346F6" w:rsidRDefault="00CB004C" w:rsidP="00CB004C">
      <w:pPr>
        <w:pStyle w:val="Ruller41"/>
        <w:rPr>
          <w:rtl/>
        </w:rPr>
      </w:pPr>
      <w:r>
        <w:rPr>
          <w:rtl/>
        </w:rPr>
        <w:tab/>
      </w:r>
      <w:r w:rsidRPr="00C346F6">
        <w:rPr>
          <w:rFonts w:hint="cs"/>
          <w:rtl/>
        </w:rPr>
        <w:t xml:space="preserve">דיון נוסף בעקבות פסק דינו של בית משפט זה בע"א 6077/20 </w:t>
      </w:r>
      <w:r w:rsidRPr="00C346F6">
        <w:rPr>
          <w:rFonts w:ascii="Century" w:hAnsi="Century" w:cs="Miriam" w:hint="cs"/>
          <w:b/>
          <w:spacing w:val="0"/>
          <w:szCs w:val="24"/>
          <w:rtl/>
        </w:rPr>
        <w:t>פקיד שומה יחידה ארצית לשומה נ' חיון</w:t>
      </w:r>
      <w:r w:rsidRPr="00C346F6">
        <w:rPr>
          <w:rFonts w:hint="cs"/>
          <w:rtl/>
        </w:rPr>
        <w:t xml:space="preserve"> שניתן ביום 29.5.2022. בפסק הדין נקבע בדעת רוב של השופטים </w:t>
      </w:r>
      <w:r w:rsidRPr="00C346F6">
        <w:rPr>
          <w:rFonts w:ascii="Century" w:hAnsi="Century" w:cs="Miriam" w:hint="cs"/>
          <w:b/>
          <w:spacing w:val="0"/>
          <w:szCs w:val="24"/>
          <w:rtl/>
        </w:rPr>
        <w:t>ג' קרא</w:t>
      </w:r>
      <w:r w:rsidRPr="00C346F6">
        <w:rPr>
          <w:rFonts w:hint="cs"/>
          <w:rtl/>
        </w:rPr>
        <w:t xml:space="preserve"> </w:t>
      </w:r>
      <w:r w:rsidRPr="00C346F6">
        <w:rPr>
          <w:rFonts w:ascii="Century" w:hAnsi="Century" w:hint="cs"/>
          <w:rtl/>
        </w:rPr>
        <w:t>ו-</w:t>
      </w:r>
      <w:r w:rsidRPr="00C346F6">
        <w:rPr>
          <w:rFonts w:ascii="Century" w:hAnsi="Century" w:cs="Miriam" w:hint="cs"/>
          <w:b/>
          <w:spacing w:val="0"/>
          <w:szCs w:val="24"/>
          <w:rtl/>
        </w:rPr>
        <w:t>ד' מינץ</w:t>
      </w:r>
      <w:r w:rsidRPr="00C346F6">
        <w:rPr>
          <w:rFonts w:hint="cs"/>
          <w:rtl/>
        </w:rPr>
        <w:t xml:space="preserve"> כנגד דעתו החולקת של השופט </w:t>
      </w:r>
      <w:r w:rsidRPr="00C346F6">
        <w:rPr>
          <w:rFonts w:ascii="Century" w:hAnsi="Century" w:cs="Miriam" w:hint="cs"/>
          <w:b/>
          <w:spacing w:val="0"/>
          <w:szCs w:val="24"/>
          <w:rtl/>
        </w:rPr>
        <w:t>ש' שוחט</w:t>
      </w:r>
      <w:r w:rsidRPr="00C346F6">
        <w:rPr>
          <w:rFonts w:hint="cs"/>
          <w:rtl/>
        </w:rPr>
        <w:t>, כי סכומי כסף של המבקש-הנישום שחולטו במסגרת פסק דין שניתן נגדו בהליך פלילי, אינם ניתנים לניכוי מהכנסתו החייבת.</w:t>
      </w:r>
    </w:p>
    <w:p w:rsidR="00CB004C" w:rsidRPr="00C346F6" w:rsidRDefault="00CB004C" w:rsidP="00CB004C">
      <w:pPr>
        <w:pStyle w:val="Ruller41"/>
        <w:rPr>
          <w:rFonts w:ascii="Century" w:hAnsi="Century" w:cs="Miriam"/>
          <w:b/>
          <w:spacing w:val="0"/>
          <w:szCs w:val="24"/>
          <w:rtl/>
        </w:rPr>
      </w:pPr>
    </w:p>
    <w:p w:rsidR="00CB004C" w:rsidRPr="00C346F6" w:rsidRDefault="00CB004C" w:rsidP="00CB004C">
      <w:pPr>
        <w:pStyle w:val="Ruller41"/>
        <w:rPr>
          <w:rFonts w:ascii="Century" w:hAnsi="Century" w:cs="Miriam"/>
          <w:b/>
          <w:spacing w:val="0"/>
          <w:szCs w:val="24"/>
          <w:rtl/>
        </w:rPr>
      </w:pPr>
      <w:r w:rsidRPr="00C346F6">
        <w:rPr>
          <w:rFonts w:ascii="Century" w:hAnsi="Century" w:cs="Miriam" w:hint="cs"/>
          <w:b/>
          <w:spacing w:val="0"/>
          <w:szCs w:val="24"/>
          <w:rtl/>
        </w:rPr>
        <w:t>רקע</w:t>
      </w:r>
    </w:p>
    <w:p w:rsidR="00CB004C" w:rsidRPr="00C346F6" w:rsidRDefault="00CB004C" w:rsidP="00CB004C">
      <w:pPr>
        <w:pStyle w:val="Ruller41"/>
        <w:rPr>
          <w:rtl/>
        </w:rPr>
      </w:pPr>
    </w:p>
    <w:p w:rsidR="00CB004C" w:rsidRPr="00C346F6" w:rsidRDefault="00CB004C" w:rsidP="00452F46">
      <w:pPr>
        <w:pStyle w:val="Ruller41"/>
        <w:rPr>
          <w:rtl/>
        </w:rPr>
      </w:pPr>
      <w:r w:rsidRPr="00C346F6">
        <w:rPr>
          <w:rFonts w:hint="cs"/>
          <w:rtl/>
        </w:rPr>
        <w:t>1.</w:t>
      </w:r>
      <w:r w:rsidRPr="00C346F6">
        <w:rPr>
          <w:rFonts w:hint="cs"/>
          <w:rtl/>
        </w:rPr>
        <w:tab/>
        <w:t xml:space="preserve">בשנת 2016 הורשע המבקש במסגרת הסדר טיעון בביצוע עבירות של ארגון הימורים ומשחקים אסורים ועריכתם. בגין מעשים אלו הורשע </w:t>
      </w:r>
      <w:r w:rsidR="000920FE">
        <w:rPr>
          <w:rFonts w:hint="cs"/>
          <w:rtl/>
        </w:rPr>
        <w:t>המבקש</w:t>
      </w:r>
      <w:r w:rsidR="00452F46">
        <w:rPr>
          <w:rFonts w:hint="cs"/>
          <w:rtl/>
        </w:rPr>
        <w:t xml:space="preserve"> </w:t>
      </w:r>
      <w:r w:rsidRPr="00C346F6">
        <w:rPr>
          <w:rFonts w:hint="cs"/>
          <w:rtl/>
        </w:rPr>
        <w:t xml:space="preserve">גם בעבירה של הלבנת הון, כמו גם בעבירת מס בגין העלמת הכנסותיו. הסדר הטיעון כלל עונש של </w:t>
      </w:r>
      <w:r w:rsidRPr="00C346F6">
        <w:rPr>
          <w:rFonts w:hint="cs"/>
          <w:rtl/>
        </w:rPr>
        <w:lastRenderedPageBreak/>
        <w:t xml:space="preserve">מאסר בפועל ומאסר על תנאי וכן קנס בסך 2 מיליון ₪. בנוסף לכך, והחשוב לענייננו, שבמסגרת הסדר הטיעון הסכימו הצדדים על </w:t>
      </w:r>
      <w:r w:rsidRPr="00C346F6">
        <w:rPr>
          <w:rFonts w:ascii="Century" w:hAnsi="Century" w:cs="Miriam" w:hint="cs"/>
          <w:b/>
          <w:spacing w:val="0"/>
          <w:szCs w:val="24"/>
          <w:rtl/>
        </w:rPr>
        <w:t>חילוט</w:t>
      </w:r>
      <w:r w:rsidRPr="00C346F6">
        <w:rPr>
          <w:rFonts w:hint="cs"/>
          <w:rtl/>
        </w:rPr>
        <w:t xml:space="preserve"> סכום של 5 מיליון ₪ מהונו של המבקש. הסדר הטיעון הותנה בכך שהמבקש ישלם את מס ההכנסה שבו הוא חב בגין ההכנסות הבלתי </w:t>
      </w:r>
      <w:proofErr w:type="spellStart"/>
      <w:r w:rsidRPr="00C346F6">
        <w:rPr>
          <w:rFonts w:hint="cs"/>
          <w:rtl/>
        </w:rPr>
        <w:t>מד</w:t>
      </w:r>
      <w:r w:rsidRPr="00C346F6">
        <w:rPr>
          <w:rFonts w:ascii="FrankRuehl" w:hAnsi="FrankRuehl"/>
          <w:rtl/>
        </w:rPr>
        <w:t>וּ</w:t>
      </w:r>
      <w:r w:rsidRPr="00C346F6">
        <w:rPr>
          <w:rFonts w:hint="cs"/>
          <w:rtl/>
        </w:rPr>
        <w:t>וחות</w:t>
      </w:r>
      <w:proofErr w:type="spellEnd"/>
      <w:r w:rsidRPr="00C346F6">
        <w:rPr>
          <w:rFonts w:hint="cs"/>
          <w:rtl/>
        </w:rPr>
        <w:t xml:space="preserve"> שצמחו לו.</w:t>
      </w:r>
    </w:p>
    <w:p w:rsidR="00CB004C" w:rsidRPr="00C346F6" w:rsidRDefault="00CB004C" w:rsidP="00CB004C">
      <w:pPr>
        <w:pStyle w:val="Ruller41"/>
        <w:rPr>
          <w:rtl/>
        </w:rPr>
      </w:pPr>
    </w:p>
    <w:p w:rsidR="00CB004C" w:rsidRPr="00C346F6" w:rsidRDefault="00CB004C" w:rsidP="00CB004C">
      <w:pPr>
        <w:pStyle w:val="Ruller41"/>
        <w:rPr>
          <w:rtl/>
        </w:rPr>
      </w:pPr>
      <w:r w:rsidRPr="00C346F6">
        <w:rPr>
          <w:rtl/>
        </w:rPr>
        <w:tab/>
      </w:r>
      <w:r w:rsidRPr="00C346F6">
        <w:rPr>
          <w:rFonts w:hint="cs"/>
          <w:rtl/>
        </w:rPr>
        <w:t xml:space="preserve">בהמשך לכך נחתם הסכם שומה בין פקיד השומה (להלן גם: </w:t>
      </w:r>
      <w:r w:rsidRPr="00C346F6">
        <w:rPr>
          <w:rFonts w:ascii="Century" w:hAnsi="Century" w:cs="Miriam" w:hint="cs"/>
          <w:b/>
          <w:spacing w:val="0"/>
          <w:szCs w:val="24"/>
          <w:rtl/>
        </w:rPr>
        <w:t>המשיב</w:t>
      </w:r>
      <w:r w:rsidRPr="00C346F6">
        <w:rPr>
          <w:rFonts w:hint="cs"/>
          <w:rtl/>
        </w:rPr>
        <w:t xml:space="preserve">) לבין המבקש, שבו הסכימו הצדדים כי בין השנים 2015-2010 המבקש הפיק הכנסות לא </w:t>
      </w:r>
      <w:proofErr w:type="spellStart"/>
      <w:r w:rsidRPr="00C346F6">
        <w:rPr>
          <w:rFonts w:hint="cs"/>
          <w:rtl/>
        </w:rPr>
        <w:t>מד</w:t>
      </w:r>
      <w:r w:rsidRPr="00C346F6">
        <w:rPr>
          <w:rFonts w:ascii="FrankRuehl" w:hAnsi="FrankRuehl"/>
          <w:rtl/>
        </w:rPr>
        <w:t>וּ</w:t>
      </w:r>
      <w:r w:rsidRPr="00C346F6">
        <w:rPr>
          <w:rFonts w:hint="cs"/>
          <w:rtl/>
        </w:rPr>
        <w:t>וחות</w:t>
      </w:r>
      <w:proofErr w:type="spellEnd"/>
      <w:r w:rsidRPr="00C346F6">
        <w:rPr>
          <w:rFonts w:hint="cs"/>
          <w:rtl/>
        </w:rPr>
        <w:t xml:space="preserve"> מעסק בסך של כ-6.8 מיליון ₪. שיעור המס המוסכם בגין הכנסות אלו הועמד על סך של 4.68 מיליון ₪. בד בבד, הוסכם בין הצדדים כי המבקש יהיה רשאי למצות את הליכי ההשגה והערעור בכל הנוגע להכרה בסכום </w:t>
      </w:r>
      <w:proofErr w:type="spellStart"/>
      <w:r w:rsidRPr="00C346F6">
        <w:rPr>
          <w:rFonts w:hint="cs"/>
          <w:rtl/>
        </w:rPr>
        <w:t>שח</w:t>
      </w:r>
      <w:r w:rsidRPr="00C346F6">
        <w:rPr>
          <w:rFonts w:ascii="FrankRuehl" w:hAnsi="FrankRuehl"/>
          <w:rtl/>
        </w:rPr>
        <w:t>וּ</w:t>
      </w:r>
      <w:r w:rsidRPr="00C346F6">
        <w:rPr>
          <w:rFonts w:hint="cs"/>
          <w:rtl/>
        </w:rPr>
        <w:t>לט</w:t>
      </w:r>
      <w:proofErr w:type="spellEnd"/>
      <w:r w:rsidRPr="00C346F6">
        <w:rPr>
          <w:rFonts w:hint="cs"/>
          <w:rtl/>
        </w:rPr>
        <w:t xml:space="preserve"> כהוצאה המותרת בניכוי. </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2.</w:t>
      </w:r>
      <w:r w:rsidRPr="00C346F6">
        <w:rPr>
          <w:rFonts w:hint="cs"/>
          <w:rtl/>
        </w:rPr>
        <w:tab/>
        <w:t xml:space="preserve">המבקש שילם את סכום המס המלא, ובהתאם להסכמת הצדדים פנה להשיג בפני פקיד השומה על סוגיית ניכוי החילוט כהוצאה. משנדחתה השגתו בעניין זה, הגיש המבקש ערעור לבית המשפט המחוזי, וערעורו התקבל (פסק דינו של כב' השופט </w:t>
      </w:r>
      <w:r w:rsidRPr="00C346F6">
        <w:rPr>
          <w:rFonts w:ascii="Century" w:hAnsi="Century" w:cs="Miriam" w:hint="cs"/>
          <w:b/>
          <w:spacing w:val="0"/>
          <w:szCs w:val="24"/>
          <w:rtl/>
        </w:rPr>
        <w:t xml:space="preserve">ה' </w:t>
      </w:r>
      <w:proofErr w:type="spellStart"/>
      <w:r w:rsidRPr="00C346F6">
        <w:rPr>
          <w:rFonts w:ascii="Century" w:hAnsi="Century" w:cs="Miriam" w:hint="cs"/>
          <w:b/>
          <w:spacing w:val="0"/>
          <w:szCs w:val="24"/>
          <w:rtl/>
        </w:rPr>
        <w:t>קירש</w:t>
      </w:r>
      <w:proofErr w:type="spellEnd"/>
      <w:r w:rsidRPr="00C346F6">
        <w:rPr>
          <w:rFonts w:hint="cs"/>
          <w:rtl/>
        </w:rPr>
        <w:t xml:space="preserve"> בע"מ 7963-04-18 מיום 31.5.2020). נעמוד בקצרה על עיקרי קביעותיו של בית המשפט המחוזי הרלוונטיות לדיון הנוסף דנן.</w:t>
      </w:r>
    </w:p>
    <w:p w:rsidR="00CB004C" w:rsidRPr="00C346F6" w:rsidRDefault="00CB004C" w:rsidP="00CB004C">
      <w:pPr>
        <w:pStyle w:val="Ruller41"/>
        <w:rPr>
          <w:rtl/>
        </w:rPr>
      </w:pPr>
    </w:p>
    <w:p w:rsidR="00CB004C" w:rsidRPr="00C346F6" w:rsidRDefault="00CB004C" w:rsidP="00CB004C">
      <w:pPr>
        <w:pStyle w:val="Ruller41"/>
        <w:rPr>
          <w:rFonts w:ascii="Century" w:hAnsi="Century" w:cs="Miriam"/>
          <w:b/>
          <w:spacing w:val="0"/>
          <w:szCs w:val="24"/>
          <w:rtl/>
        </w:rPr>
      </w:pPr>
      <w:r w:rsidRPr="00C346F6">
        <w:rPr>
          <w:rFonts w:ascii="Century" w:hAnsi="Century" w:cs="Miriam" w:hint="cs"/>
          <w:b/>
          <w:spacing w:val="0"/>
          <w:szCs w:val="24"/>
          <w:rtl/>
        </w:rPr>
        <w:t>עיקרי פסק דינו של בית המשפט המחוזי</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3.</w:t>
      </w:r>
      <w:r w:rsidRPr="00C346F6">
        <w:rPr>
          <w:rFonts w:hint="cs"/>
          <w:rtl/>
        </w:rPr>
        <w:tab/>
        <w:t xml:space="preserve">בית המשפט המחוזי קבע תחילה כי נוצרה בידי המבקש </w:t>
      </w:r>
      <w:r w:rsidRPr="00C346F6">
        <w:rPr>
          <w:rFonts w:ascii="Century" w:hAnsi="Century" w:cs="Miriam" w:hint="cs"/>
          <w:b/>
          <w:spacing w:val="0"/>
          <w:szCs w:val="24"/>
          <w:rtl/>
        </w:rPr>
        <w:t>הכנסה חייבת</w:t>
      </w:r>
      <w:r w:rsidRPr="00C346F6">
        <w:rPr>
          <w:rFonts w:hint="cs"/>
          <w:rtl/>
        </w:rPr>
        <w:t xml:space="preserve"> כתוצאה מארגון הימורים ומשחקים אסורים ועריכתם, וכי אין בחילוט הכספים כדי לאיין הכנסה זו. אל מסקנה זו הגיע בית המשפט המחוזי בהתבסס על ההלכה שנקבעה בע"א 4157/13 </w:t>
      </w:r>
      <w:r w:rsidRPr="00C346F6">
        <w:rPr>
          <w:rFonts w:ascii="Century" w:hAnsi="Century" w:cs="Miriam" w:hint="cs"/>
          <w:b/>
          <w:spacing w:val="0"/>
          <w:szCs w:val="24"/>
          <w:rtl/>
        </w:rPr>
        <w:t>דמארי נ' פקיד שומה רחובות</w:t>
      </w:r>
      <w:r w:rsidRPr="00C346F6">
        <w:rPr>
          <w:rFonts w:hint="cs"/>
          <w:rtl/>
        </w:rPr>
        <w:t xml:space="preserve"> (3.2.2015) (להלן: </w:t>
      </w:r>
      <w:r w:rsidRPr="00C346F6">
        <w:rPr>
          <w:rFonts w:ascii="Century" w:hAnsi="Century" w:cs="Miriam" w:hint="cs"/>
          <w:b/>
          <w:spacing w:val="0"/>
          <w:szCs w:val="24"/>
          <w:rtl/>
        </w:rPr>
        <w:t>ע"א דמארי</w:t>
      </w:r>
      <w:r w:rsidRPr="00C346F6">
        <w:rPr>
          <w:rFonts w:hint="cs"/>
          <w:rtl/>
        </w:rPr>
        <w:t xml:space="preserve">), שעוד נשוב ונידרש אליה ביתר הרחבה בהמשך דברינו. בד בבד, בית המשפט קבע כי ההכרה בהכנסה זו שצמחה למבקש, למרות חילוטה, עלולה להוביל להטלת מס על התעשרות שלא נותרה בסופו של יום בידי המבקש, ויתרה מכך </w:t>
      </w:r>
      <w:r w:rsidRPr="00C346F6">
        <w:rPr>
          <w:rtl/>
        </w:rPr>
        <w:t>–</w:t>
      </w:r>
      <w:r w:rsidRPr="00C346F6">
        <w:rPr>
          <w:rFonts w:hint="cs"/>
          <w:rtl/>
        </w:rPr>
        <w:t xml:space="preserve"> הכיס שאליו ישולם המס, קרי הקופה הציבורית, הוא אותו הכיס שאליו נכנסו כספי החילוט. בית המשפט קבע אפוא כי יש להתחשב באמור במסגרת האיזון שיש לערוך בסוגיית ההכרה בחילוט כהוצאה המותרת בניכוי. </w:t>
      </w:r>
    </w:p>
    <w:p w:rsidR="00CB004C" w:rsidRPr="00C346F6" w:rsidRDefault="00CB004C" w:rsidP="00CB004C">
      <w:pPr>
        <w:pStyle w:val="Ruller41"/>
        <w:rPr>
          <w:rtl/>
        </w:rPr>
      </w:pPr>
    </w:p>
    <w:p w:rsidR="00CB004C" w:rsidRPr="00C346F6" w:rsidRDefault="00CB004C" w:rsidP="003B392E">
      <w:pPr>
        <w:pStyle w:val="Ruller41"/>
        <w:rPr>
          <w:rtl/>
        </w:rPr>
      </w:pPr>
      <w:r w:rsidRPr="00C346F6">
        <w:rPr>
          <w:rtl/>
        </w:rPr>
        <w:tab/>
      </w:r>
      <w:r w:rsidRPr="00C346F6">
        <w:rPr>
          <w:rFonts w:hint="cs"/>
          <w:rtl/>
        </w:rPr>
        <w:t xml:space="preserve">באשר לשאלה אם חילוט הכספים הוא בגדר הוצאה לעניין </w:t>
      </w:r>
      <w:r w:rsidR="003B392E">
        <w:rPr>
          <w:rFonts w:hint="cs"/>
          <w:rtl/>
        </w:rPr>
        <w:t xml:space="preserve">פקודת מס הכנסה [נוסח חדש] (להלן: </w:t>
      </w:r>
      <w:r w:rsidR="003B392E" w:rsidRPr="00A20AD7">
        <w:rPr>
          <w:rFonts w:ascii="Century" w:hAnsi="Century" w:cs="Miriam" w:hint="eastAsia"/>
          <w:b/>
          <w:spacing w:val="0"/>
          <w:szCs w:val="24"/>
          <w:rtl/>
        </w:rPr>
        <w:t>פקודת</w:t>
      </w:r>
      <w:r w:rsidR="003B392E" w:rsidRPr="00A20AD7">
        <w:rPr>
          <w:rFonts w:ascii="Century" w:hAnsi="Century" w:cs="Miriam"/>
          <w:b/>
          <w:spacing w:val="0"/>
          <w:szCs w:val="24"/>
          <w:rtl/>
        </w:rPr>
        <w:t xml:space="preserve"> </w:t>
      </w:r>
      <w:r w:rsidR="003B392E" w:rsidRPr="00A20AD7">
        <w:rPr>
          <w:rFonts w:ascii="Century" w:hAnsi="Century" w:cs="Miriam" w:hint="eastAsia"/>
          <w:b/>
          <w:spacing w:val="0"/>
          <w:szCs w:val="24"/>
          <w:rtl/>
        </w:rPr>
        <w:t>מס</w:t>
      </w:r>
      <w:r w:rsidR="003B392E" w:rsidRPr="00A20AD7">
        <w:rPr>
          <w:rFonts w:ascii="Century" w:hAnsi="Century" w:cs="Miriam"/>
          <w:b/>
          <w:spacing w:val="0"/>
          <w:szCs w:val="24"/>
          <w:rtl/>
        </w:rPr>
        <w:t xml:space="preserve"> </w:t>
      </w:r>
      <w:r w:rsidR="003B392E" w:rsidRPr="00A20AD7">
        <w:rPr>
          <w:rFonts w:ascii="Century" w:hAnsi="Century" w:cs="Miriam" w:hint="eastAsia"/>
          <w:b/>
          <w:spacing w:val="0"/>
          <w:szCs w:val="24"/>
          <w:rtl/>
        </w:rPr>
        <w:t>הכנסה</w:t>
      </w:r>
      <w:r w:rsidR="003B392E" w:rsidRPr="003B392E">
        <w:rPr>
          <w:rFonts w:hint="cs"/>
          <w:rtl/>
        </w:rPr>
        <w:t xml:space="preserve"> </w:t>
      </w:r>
      <w:r w:rsidR="003B392E">
        <w:rPr>
          <w:rFonts w:hint="cs"/>
          <w:rtl/>
        </w:rPr>
        <w:t xml:space="preserve">או </w:t>
      </w:r>
      <w:r w:rsidR="003B392E" w:rsidRPr="00A20AD7">
        <w:rPr>
          <w:rFonts w:ascii="Century" w:hAnsi="Century" w:cs="Miriam" w:hint="eastAsia"/>
          <w:b/>
          <w:spacing w:val="0"/>
          <w:szCs w:val="24"/>
          <w:rtl/>
        </w:rPr>
        <w:t>הפקודה</w:t>
      </w:r>
      <w:r w:rsidR="003B392E">
        <w:rPr>
          <w:rFonts w:hint="cs"/>
          <w:rtl/>
        </w:rPr>
        <w:t>)</w:t>
      </w:r>
      <w:r w:rsidRPr="00C346F6">
        <w:rPr>
          <w:rFonts w:hint="cs"/>
          <w:rtl/>
        </w:rPr>
        <w:t xml:space="preserve">, בית המשפט צעד בעקבות הקביעות בע"א </w:t>
      </w:r>
      <w:r w:rsidRPr="00C346F6">
        <w:rPr>
          <w:rFonts w:ascii="Century" w:hAnsi="Century" w:cs="Miriam" w:hint="cs"/>
          <w:b/>
          <w:spacing w:val="0"/>
          <w:szCs w:val="24"/>
          <w:rtl/>
        </w:rPr>
        <w:t>דמארי</w:t>
      </w:r>
      <w:r w:rsidRPr="00C346F6">
        <w:rPr>
          <w:rFonts w:hint="cs"/>
          <w:rtl/>
        </w:rPr>
        <w:t xml:space="preserve"> והשיב על שאלה זו בחיוב, בקבעו כי כאשר מדובר בפירות עבירה כדוגמת ניהול הימורים, סכנת החילוט היא בבחינת סיכון מסיכוני העסק, מה שמוביל למסקנה כי מדובר בהוצאה. באשר לשאלה אם תקנת הציבור מונעת את התרת ניכוי ההוצאות, </w:t>
      </w:r>
      <w:r w:rsidRPr="00C346F6">
        <w:rPr>
          <w:rFonts w:hint="cs"/>
          <w:rtl/>
        </w:rPr>
        <w:lastRenderedPageBreak/>
        <w:t xml:space="preserve">בית המשפט השיב על כך בשלילה. בית המשפט עמד על כך שפעולת החילוט קרובה יותר במהותה להשבת </w:t>
      </w:r>
      <w:proofErr w:type="spellStart"/>
      <w:r w:rsidRPr="00C346F6">
        <w:rPr>
          <w:rFonts w:hint="cs"/>
          <w:rtl/>
        </w:rPr>
        <w:t>הגזילה</w:t>
      </w:r>
      <w:proofErr w:type="spellEnd"/>
      <w:r w:rsidRPr="00C346F6">
        <w:rPr>
          <w:rFonts w:hint="cs"/>
          <w:rtl/>
        </w:rPr>
        <w:t xml:space="preserve"> לקורבן העבירה מאשר לתשלום קנס פלילי; כי ההיבט </w:t>
      </w:r>
      <w:proofErr w:type="spellStart"/>
      <w:r w:rsidRPr="00C346F6">
        <w:rPr>
          <w:rFonts w:hint="cs"/>
          <w:rtl/>
        </w:rPr>
        <w:t>העונשי</w:t>
      </w:r>
      <w:proofErr w:type="spellEnd"/>
      <w:r w:rsidRPr="00C346F6">
        <w:rPr>
          <w:rFonts w:hint="cs"/>
          <w:rtl/>
        </w:rPr>
        <w:t xml:space="preserve"> במוסד החילוט הוא משני; וכי תכליותיו העיקריות של החילוט הן זו הקניינית </w:t>
      </w:r>
      <w:r w:rsidRPr="00C346F6">
        <w:rPr>
          <w:rtl/>
        </w:rPr>
        <w:t>–</w:t>
      </w:r>
      <w:r w:rsidRPr="00C346F6">
        <w:rPr>
          <w:rFonts w:hint="cs"/>
          <w:rtl/>
        </w:rPr>
        <w:t xml:space="preserve"> קרי שלילת ההנאה הכלכלית שהושגה כתוצאה מביצוע העבירות, וזו ההרתעתית </w:t>
      </w:r>
      <w:r w:rsidRPr="00C346F6">
        <w:rPr>
          <w:rtl/>
        </w:rPr>
        <w:t>–</w:t>
      </w:r>
      <w:r w:rsidRPr="00C346F6">
        <w:rPr>
          <w:rFonts w:hint="cs"/>
          <w:rtl/>
        </w:rPr>
        <w:t xml:space="preserve"> דהיינו להראות לכלל הציבור כי ביצוע עבירות מסוג זה לא משתלם. בית המשפט הוסיף כי אי-הכרה בהוצאות החילוט תגרום לגביית מס ביתר ולעיוות כלכלי, כי הפגיעה בקניינו של האזרח תהיה בלתי מידתית ומיותרת, וכי ככלל, בהעדר הוראת חוק מפורשת, ראוי להמעיט בשימוש בכלי המיסוי כמכשיר להשגת מטרות שאינן בתחום הפיסקאלי. ערעור המס שהגיש המבקש התקבל אפוא, ונקבע כי משחולט הסכום והופקע ההון מידיו של המבקש, אזי אין הצדקה </w:t>
      </w:r>
      <w:proofErr w:type="spellStart"/>
      <w:r w:rsidRPr="00C346F6">
        <w:rPr>
          <w:rFonts w:hint="cs"/>
          <w:rtl/>
        </w:rPr>
        <w:t>למסותו</w:t>
      </w:r>
      <w:proofErr w:type="spellEnd"/>
      <w:r w:rsidRPr="00C346F6">
        <w:rPr>
          <w:rFonts w:hint="cs"/>
          <w:rtl/>
        </w:rPr>
        <w:t xml:space="preserve"> כאילו נותר בידו, ויש להתיר ניכוי הוצאה בגובה הסכום המחולט.</w:t>
      </w:r>
    </w:p>
    <w:p w:rsidR="00CB004C" w:rsidRPr="00C346F6" w:rsidRDefault="00CB004C" w:rsidP="00CB004C">
      <w:pPr>
        <w:pStyle w:val="Ruller41"/>
        <w:rPr>
          <w:rtl/>
        </w:rPr>
      </w:pPr>
    </w:p>
    <w:p w:rsidR="00CB004C" w:rsidRPr="00C346F6" w:rsidRDefault="00CB004C" w:rsidP="00CB004C">
      <w:pPr>
        <w:pStyle w:val="Ruller41"/>
        <w:rPr>
          <w:rFonts w:ascii="Century" w:hAnsi="Century" w:cs="Miriam"/>
          <w:b/>
          <w:spacing w:val="0"/>
          <w:szCs w:val="24"/>
          <w:rtl/>
        </w:rPr>
      </w:pPr>
      <w:r w:rsidRPr="00C346F6">
        <w:rPr>
          <w:rFonts w:ascii="Century" w:hAnsi="Century" w:cs="Miriam" w:hint="cs"/>
          <w:b/>
          <w:spacing w:val="0"/>
          <w:szCs w:val="24"/>
          <w:rtl/>
        </w:rPr>
        <w:t>עיקרי פסק דינו של בית המשפט העליון בערעור</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4.</w:t>
      </w:r>
      <w:r w:rsidRPr="00C346F6">
        <w:rPr>
          <w:rFonts w:hint="cs"/>
          <w:rtl/>
        </w:rPr>
        <w:tab/>
        <w:t xml:space="preserve">על פסק דינו של בית המשפט המחוזי הגיש המשיב ערעור לבית משפט זה, שהתקבל כאמור בדעת רוב. פסק הדין העיקרי נכתב על ידי השופט </w:t>
      </w:r>
      <w:r w:rsidRPr="00C346F6">
        <w:rPr>
          <w:rFonts w:ascii="Century" w:hAnsi="Century" w:cs="Miriam" w:hint="cs"/>
          <w:b/>
          <w:spacing w:val="0"/>
          <w:szCs w:val="24"/>
          <w:rtl/>
        </w:rPr>
        <w:t>ג' קרא</w:t>
      </w:r>
      <w:r w:rsidRPr="00C346F6">
        <w:rPr>
          <w:rFonts w:hint="cs"/>
          <w:rtl/>
        </w:rPr>
        <w:t xml:space="preserve">, ונעמוד בקצרה על עיקרי קביעותיו. בדומה לבית המשפט המחוזי, תחילה צעד בית המשפט בדרכו של פסק הדין בעניין </w:t>
      </w:r>
      <w:r w:rsidRPr="00C346F6">
        <w:rPr>
          <w:rFonts w:ascii="Century" w:hAnsi="Century" w:cs="Miriam" w:hint="cs"/>
          <w:b/>
          <w:spacing w:val="0"/>
          <w:szCs w:val="24"/>
          <w:rtl/>
        </w:rPr>
        <w:t>דמארי</w:t>
      </w:r>
      <w:r w:rsidRPr="00C346F6">
        <w:rPr>
          <w:rFonts w:hint="cs"/>
          <w:rtl/>
        </w:rPr>
        <w:t xml:space="preserve">, וקבע גם כן כי חילוט הכספים אינו בהכרח פעולה המאיינת את עצם ההכנסה. השופט </w:t>
      </w:r>
      <w:r w:rsidRPr="00C346F6">
        <w:rPr>
          <w:rFonts w:ascii="Century" w:hAnsi="Century" w:cs="Miriam" w:hint="cs"/>
          <w:b/>
          <w:spacing w:val="0"/>
          <w:szCs w:val="24"/>
          <w:rtl/>
        </w:rPr>
        <w:t>קרא</w:t>
      </w:r>
      <w:r w:rsidRPr="00C346F6">
        <w:rPr>
          <w:rFonts w:hint="cs"/>
          <w:rtl/>
        </w:rPr>
        <w:t xml:space="preserve"> ציין כי לגישתו, יש לבחון את התייחסותו הסובייקטיבית של הנישום אל הכספים, ובמקרה דנן, משעה שהמבקש נהג בכספים מנהג בעלים, אזי יש לראותו כמי שחב בתשלום מס בגובה מלוא הסכום.</w:t>
      </w:r>
    </w:p>
    <w:p w:rsidR="00CB004C" w:rsidRPr="00C346F6" w:rsidRDefault="00CB004C" w:rsidP="00CB004C">
      <w:pPr>
        <w:pStyle w:val="Ruller41"/>
        <w:rPr>
          <w:rtl/>
        </w:rPr>
      </w:pPr>
    </w:p>
    <w:p w:rsidR="00CB004C" w:rsidRPr="00C346F6" w:rsidRDefault="00CB004C" w:rsidP="00CB004C">
      <w:pPr>
        <w:pStyle w:val="Ruller41"/>
        <w:rPr>
          <w:rtl/>
        </w:rPr>
      </w:pPr>
      <w:r w:rsidRPr="00C346F6">
        <w:rPr>
          <w:rtl/>
        </w:rPr>
        <w:tab/>
      </w:r>
      <w:r w:rsidRPr="00C346F6">
        <w:rPr>
          <w:rFonts w:hint="cs"/>
          <w:rtl/>
        </w:rPr>
        <w:t xml:space="preserve">באשר לשאלה שעמדה במוקד הערעור לגבי האפשרות להכיר בחילוט כהוצאה המותרת בניכוי, השופט </w:t>
      </w:r>
      <w:r w:rsidRPr="00C346F6">
        <w:rPr>
          <w:rFonts w:ascii="Century" w:hAnsi="Century" w:cs="Miriam" w:hint="cs"/>
          <w:b/>
          <w:spacing w:val="0"/>
          <w:szCs w:val="24"/>
          <w:rtl/>
        </w:rPr>
        <w:t>קרא</w:t>
      </w:r>
      <w:r w:rsidRPr="00C346F6">
        <w:rPr>
          <w:rFonts w:hint="cs"/>
          <w:rtl/>
        </w:rPr>
        <w:t xml:space="preserve"> הגיע למסקנה שונה מזו של בית המשפט המחוזי. ראשית נקבע כי חילוט פירות עבירה אינו בא בגדר רשימת ההוצאות </w:t>
      </w:r>
      <w:proofErr w:type="spellStart"/>
      <w:r w:rsidRPr="00C346F6">
        <w:rPr>
          <w:rFonts w:hint="cs"/>
          <w:rtl/>
        </w:rPr>
        <w:t>שניכויין</w:t>
      </w:r>
      <w:proofErr w:type="spellEnd"/>
      <w:r w:rsidRPr="00C346F6">
        <w:rPr>
          <w:rFonts w:hint="cs"/>
          <w:rtl/>
        </w:rPr>
        <w:t xml:space="preserve"> הותר במפורש בהוראות הפקודה; כי יש קושי לראות את החילוט כהוצאה </w:t>
      </w:r>
      <w:proofErr w:type="spellStart"/>
      <w:r w:rsidRPr="00C346F6">
        <w:rPr>
          <w:rFonts w:hint="cs"/>
          <w:rtl/>
        </w:rPr>
        <w:t>שה</w:t>
      </w:r>
      <w:r w:rsidRPr="00C346F6">
        <w:rPr>
          <w:rFonts w:ascii="FrankRuehl" w:hAnsi="FrankRuehl"/>
          <w:rtl/>
        </w:rPr>
        <w:t>וּ</w:t>
      </w:r>
      <w:r w:rsidRPr="00C346F6">
        <w:rPr>
          <w:rFonts w:hint="cs"/>
          <w:rtl/>
        </w:rPr>
        <w:t>צאה</w:t>
      </w:r>
      <w:proofErr w:type="spellEnd"/>
      <w:r w:rsidRPr="00C346F6">
        <w:rPr>
          <w:rFonts w:hint="cs"/>
          <w:rtl/>
        </w:rPr>
        <w:t xml:space="preserve"> בייצור הכנסה, בהינתן שההוצאה נעשתה בשלב שבו העסק (קרי עסקי ההימורים) חדל מלהתקיים; וכי מדובר בהוצאה שהולדתה בפעילות בלתי חוקית, שעה שהמבקש לא עמד בנטל השכנוע הכבד שמוטל עליו לצורך התרת ניכויה. באשר לאפשרות להכיר בחילוט כהוצאה מכוח "מבחן הסיכון" שיושם בע"א </w:t>
      </w:r>
      <w:r w:rsidRPr="00C346F6">
        <w:rPr>
          <w:rFonts w:ascii="Century" w:hAnsi="Century" w:cs="Miriam" w:hint="cs"/>
          <w:b/>
          <w:spacing w:val="0"/>
          <w:szCs w:val="24"/>
          <w:rtl/>
        </w:rPr>
        <w:t>דמארי</w:t>
      </w:r>
      <w:r w:rsidRPr="00C346F6">
        <w:rPr>
          <w:rFonts w:ascii="Century" w:hAnsi="Century" w:hint="cs"/>
          <w:rtl/>
        </w:rPr>
        <w:t xml:space="preserve">, השופט </w:t>
      </w:r>
      <w:r w:rsidRPr="00C346F6">
        <w:rPr>
          <w:rFonts w:ascii="Century" w:hAnsi="Century" w:cs="Miriam" w:hint="cs"/>
          <w:b/>
          <w:spacing w:val="0"/>
          <w:szCs w:val="24"/>
          <w:rtl/>
        </w:rPr>
        <w:t>קרא</w:t>
      </w:r>
      <w:r w:rsidRPr="00C346F6">
        <w:rPr>
          <w:rFonts w:hint="cs"/>
          <w:rtl/>
        </w:rPr>
        <w:t xml:space="preserve"> ציין כי לעמדתו, בהינתן אי-החוקיות שהניבה את ההכנסה, כלל לא ברור כי יש מקום ליישם מבחן זה וכי היישום </w:t>
      </w:r>
      <w:r w:rsidRPr="00C346F6">
        <w:rPr>
          <w:rFonts w:ascii="Century" w:hAnsi="Century" w:hint="cs"/>
          <w:rtl/>
        </w:rPr>
        <w:t>שנעשה בע"א</w:t>
      </w:r>
      <w:r w:rsidRPr="00C346F6">
        <w:rPr>
          <w:rFonts w:hint="cs"/>
          <w:rtl/>
        </w:rPr>
        <w:t xml:space="preserve"> </w:t>
      </w:r>
      <w:r w:rsidRPr="00C346F6">
        <w:rPr>
          <w:rFonts w:ascii="Century" w:hAnsi="Century" w:cs="Miriam" w:hint="cs"/>
          <w:b/>
          <w:spacing w:val="0"/>
          <w:szCs w:val="24"/>
          <w:rtl/>
        </w:rPr>
        <w:t xml:space="preserve">דמארי </w:t>
      </w:r>
      <w:r w:rsidRPr="00C346F6">
        <w:rPr>
          <w:rFonts w:hint="cs"/>
          <w:rtl/>
        </w:rPr>
        <w:t xml:space="preserve">מעורר קושי. מכל מקום, לגישת השופט </w:t>
      </w:r>
      <w:r w:rsidRPr="00C346F6">
        <w:rPr>
          <w:rFonts w:ascii="Century" w:hAnsi="Century" w:cs="Miriam" w:hint="cs"/>
          <w:b/>
          <w:spacing w:val="0"/>
          <w:szCs w:val="24"/>
          <w:rtl/>
        </w:rPr>
        <w:t>קרא</w:t>
      </w:r>
      <w:r w:rsidRPr="00C346F6">
        <w:rPr>
          <w:rFonts w:hint="cs"/>
          <w:rtl/>
        </w:rPr>
        <w:t xml:space="preserve">, אף אם היה מקום ליישם את מבחן הסיכון, לא היה בכך כדי לאפשר את ניכוי הוצאות החילוט, שכן יישום המבחן </w:t>
      </w:r>
      <w:r w:rsidRPr="00C346F6">
        <w:rPr>
          <w:rFonts w:hint="cs"/>
          <w:rtl/>
        </w:rPr>
        <w:lastRenderedPageBreak/>
        <w:t xml:space="preserve">מותנה בכך שההוצאה לא באה כתוצאה מפעולה אקטיבית של הנישום, בעוד שבמקרה דנן מעשיו הפליליים של המבקש "הם שגרמו ל'צרה' שבה הוא מצוי" (שם בפסקה 33). </w:t>
      </w:r>
    </w:p>
    <w:p w:rsidR="00CB004C" w:rsidRPr="00C346F6" w:rsidRDefault="00CB004C" w:rsidP="00CB004C">
      <w:pPr>
        <w:pStyle w:val="Ruller41"/>
        <w:rPr>
          <w:rtl/>
        </w:rPr>
      </w:pPr>
    </w:p>
    <w:p w:rsidR="00CB004C" w:rsidRPr="00C346F6" w:rsidRDefault="00CB004C" w:rsidP="00CB004C">
      <w:pPr>
        <w:pStyle w:val="Ruller41"/>
        <w:rPr>
          <w:rtl/>
        </w:rPr>
      </w:pPr>
      <w:r w:rsidRPr="00C346F6">
        <w:rPr>
          <w:rtl/>
        </w:rPr>
        <w:tab/>
      </w:r>
      <w:r w:rsidRPr="00C346F6">
        <w:rPr>
          <w:rFonts w:hint="cs"/>
          <w:rtl/>
        </w:rPr>
        <w:t xml:space="preserve">השופט </w:t>
      </w:r>
      <w:r w:rsidRPr="00C346F6">
        <w:rPr>
          <w:rFonts w:ascii="Century" w:hAnsi="Century" w:cs="Miriam" w:hint="cs"/>
          <w:b/>
          <w:spacing w:val="0"/>
          <w:szCs w:val="24"/>
          <w:rtl/>
        </w:rPr>
        <w:t>קרא</w:t>
      </w:r>
      <w:r w:rsidRPr="00C346F6">
        <w:rPr>
          <w:rFonts w:hint="cs"/>
          <w:rtl/>
        </w:rPr>
        <w:t xml:space="preserve"> הוסיף כי שיקולי מדיניות מובילים אף הם למסקנה כי אין להכיר בחילוט כהוצאה המותרת בניכוי. לגישתו, אין להסיק מלשונו של חוק איסור הלבנת הון כי החילוט אינו אמצעי ענישתי ואינו נמצא במרחב הענישה; אין לומר כי תכליתו הבלעדית או העיקרית של החילוט היא השבת המצב לקדמותו; ובין מכלול התכליות שהחילוט נועד להגשים ישנן גם תכליות שבמהותן </w:t>
      </w:r>
      <w:r>
        <w:rPr>
          <w:rFonts w:hint="cs"/>
          <w:rtl/>
        </w:rPr>
        <w:t xml:space="preserve">נועדו </w:t>
      </w:r>
      <w:r w:rsidRPr="00C346F6">
        <w:rPr>
          <w:rFonts w:hint="cs"/>
          <w:rtl/>
        </w:rPr>
        <w:t xml:space="preserve">לשם מלחמה בעבריינות. לנוכח האמור, השופט </w:t>
      </w:r>
      <w:r w:rsidRPr="00C346F6">
        <w:rPr>
          <w:rFonts w:ascii="Century" w:hAnsi="Century" w:cs="Miriam" w:hint="cs"/>
          <w:b/>
          <w:spacing w:val="0"/>
          <w:szCs w:val="24"/>
          <w:rtl/>
        </w:rPr>
        <w:t>קרא</w:t>
      </w:r>
      <w:r w:rsidRPr="00C346F6">
        <w:rPr>
          <w:rFonts w:hint="cs"/>
          <w:rtl/>
        </w:rPr>
        <w:t xml:space="preserve"> קבע כי התרת הניכוי תביא לפגיעה של ממש באינטרס הציבור ולסיכול מדיניות המחוקק וניסיונו להתמודד עם מקרי עבריינות דומים, וכי אין לשים את הדגש על "התכלית הקניינית" של הוצאת הכספים מידי העבריין. השופט </w:t>
      </w:r>
      <w:r w:rsidRPr="00C346F6">
        <w:rPr>
          <w:rFonts w:ascii="Century" w:hAnsi="Century" w:cs="Miriam" w:hint="cs"/>
          <w:b/>
          <w:spacing w:val="0"/>
          <w:szCs w:val="24"/>
          <w:rtl/>
        </w:rPr>
        <w:t>קרא</w:t>
      </w:r>
      <w:r w:rsidRPr="00C346F6">
        <w:rPr>
          <w:rFonts w:hint="cs"/>
          <w:rtl/>
        </w:rPr>
        <w:t xml:space="preserve"> היה ער לכך שיש בעמדתו משום ניגוד לעקרון של "שומת אמת", אולם הטעים כי יש מצבים שבהם פועלם של דיני המס צריך לעלות בקנה אחד עם מגמת הדין הפלילי, וכי אין כל קושי משפטי או מוסרי באי-הכרה בהוצאות החילוט כהוצאה שתנוכה מהכנסתו הבלתי חוקית של המבקש.</w:t>
      </w:r>
    </w:p>
    <w:p w:rsidR="00CB004C" w:rsidRPr="00C346F6" w:rsidRDefault="00CB004C" w:rsidP="00CB004C">
      <w:pPr>
        <w:pStyle w:val="Ruller41"/>
        <w:rPr>
          <w:rtl/>
        </w:rPr>
      </w:pPr>
    </w:p>
    <w:p w:rsidR="00CB004C" w:rsidRPr="00C346F6" w:rsidRDefault="00CB004C" w:rsidP="00CB004C">
      <w:pPr>
        <w:pStyle w:val="Ruller41"/>
      </w:pPr>
      <w:r w:rsidRPr="00C346F6">
        <w:rPr>
          <w:rFonts w:hint="cs"/>
          <w:rtl/>
        </w:rPr>
        <w:t>5.</w:t>
      </w:r>
      <w:r w:rsidRPr="00C346F6">
        <w:rPr>
          <w:rFonts w:hint="cs"/>
          <w:rtl/>
        </w:rPr>
        <w:tab/>
        <w:t xml:space="preserve">עמדתו של השופט </w:t>
      </w:r>
      <w:r w:rsidRPr="00C346F6">
        <w:rPr>
          <w:rFonts w:ascii="Century" w:hAnsi="Century" w:cs="Miriam" w:hint="cs"/>
          <w:b/>
          <w:spacing w:val="0"/>
          <w:szCs w:val="24"/>
          <w:rtl/>
        </w:rPr>
        <w:t>שוחט</w:t>
      </w:r>
      <w:r w:rsidRPr="00C346F6">
        <w:rPr>
          <w:rFonts w:hint="cs"/>
          <w:rtl/>
        </w:rPr>
        <w:t xml:space="preserve"> היתה שונה. לגישתו, אין מקום להבחין בין הנסיבות בע"א </w:t>
      </w:r>
      <w:r w:rsidRPr="00C346F6">
        <w:rPr>
          <w:rFonts w:ascii="Century" w:hAnsi="Century" w:cs="Miriam" w:hint="cs"/>
          <w:b/>
          <w:spacing w:val="0"/>
          <w:szCs w:val="24"/>
          <w:rtl/>
        </w:rPr>
        <w:t>דמארי</w:t>
      </w:r>
      <w:r w:rsidRPr="00C346F6">
        <w:rPr>
          <w:rFonts w:hint="cs"/>
          <w:rtl/>
        </w:rPr>
        <w:t xml:space="preserve"> לנסיבות המקרה דנן ואין עילה לסטות מההלכה שנקבעה שם. משכך, על רקע יישום "מבחן הסיכון" כפי שנעשה בע"א </w:t>
      </w:r>
      <w:r w:rsidRPr="00C346F6">
        <w:rPr>
          <w:rFonts w:ascii="Century" w:hAnsi="Century" w:cs="Miriam" w:hint="cs"/>
          <w:b/>
          <w:spacing w:val="0"/>
          <w:szCs w:val="24"/>
          <w:rtl/>
        </w:rPr>
        <w:t>דמארי</w:t>
      </w:r>
      <w:r w:rsidRPr="00C346F6">
        <w:rPr>
          <w:rFonts w:hint="cs"/>
          <w:rtl/>
        </w:rPr>
        <w:t xml:space="preserve">, יש לראות את פעולת החילוט במקרה דנן כהתממשות של "סיכון מסיכוני העסק" שעניינו בארגון הימורים אסורים, זאת, בפרט משעה שעסקי ההימורים של המבקש מהווים "עסק או משלח יד" באופן מובהק יותר לעומת הפעולות שנדונו בע"א </w:t>
      </w:r>
      <w:r w:rsidRPr="00C346F6">
        <w:rPr>
          <w:rFonts w:ascii="Century" w:hAnsi="Century" w:cs="Miriam" w:hint="cs"/>
          <w:b/>
          <w:spacing w:val="0"/>
          <w:szCs w:val="24"/>
          <w:rtl/>
        </w:rPr>
        <w:t>דמארי</w:t>
      </w:r>
      <w:r w:rsidRPr="00C346F6">
        <w:rPr>
          <w:rFonts w:hint="cs"/>
          <w:rtl/>
        </w:rPr>
        <w:t xml:space="preserve">. השופט </w:t>
      </w:r>
      <w:r w:rsidRPr="00C346F6">
        <w:rPr>
          <w:rFonts w:ascii="Century" w:hAnsi="Century" w:cs="Miriam" w:hint="cs"/>
          <w:b/>
          <w:spacing w:val="0"/>
          <w:szCs w:val="24"/>
          <w:rtl/>
        </w:rPr>
        <w:t>שוחט</w:t>
      </w:r>
      <w:r w:rsidRPr="00C346F6">
        <w:rPr>
          <w:rFonts w:hint="cs"/>
          <w:rtl/>
        </w:rPr>
        <w:t xml:space="preserve"> הוסיף כי לגישתו, "מבחן הסיכון" טבוע באופן מובנה במנגנון החילוט, כפי שעולה מהוראות חוק איסור הלבנת הון, המורות במפורש על חילוט רכושו של מי שהורשע בעבירות אלו, בבחינת "מעין התראה שמופנית כלפי העבריין, שלפיה בלעו עתיד להיות מוצא מפיו ככל שיורשע בעבירות אלה" (פסקה 8 לחוות דעתו). השופט </w:t>
      </w:r>
      <w:r w:rsidRPr="00C346F6">
        <w:rPr>
          <w:rFonts w:ascii="Century" w:hAnsi="Century" w:cs="Miriam" w:hint="cs"/>
          <w:b/>
          <w:spacing w:val="0"/>
          <w:szCs w:val="24"/>
          <w:rtl/>
        </w:rPr>
        <w:t>שוחט</w:t>
      </w:r>
      <w:r w:rsidRPr="00C346F6">
        <w:rPr>
          <w:rFonts w:hint="cs"/>
          <w:rtl/>
        </w:rPr>
        <w:t xml:space="preserve"> אף היה שותף לעמדת בית המשפט המחוזי כי התכלית </w:t>
      </w:r>
      <w:proofErr w:type="spellStart"/>
      <w:r w:rsidRPr="00C346F6">
        <w:rPr>
          <w:rFonts w:hint="cs"/>
          <w:rtl/>
        </w:rPr>
        <w:t>העונשית</w:t>
      </w:r>
      <w:proofErr w:type="spellEnd"/>
      <w:r w:rsidRPr="00C346F6">
        <w:rPr>
          <w:rFonts w:hint="cs"/>
          <w:rtl/>
        </w:rPr>
        <w:t xml:space="preserve"> אינה תכלית עיקרית של מנגנון החילוט, וכי לנוכח מאפייניו האזרחיים הדומיננטיים של החילוט, אין לאסור את ניכוי כספי החילוט כהוצאה מטעמים של תקנת הציבור, זאת גם מתוך שאיפה לשמור על </w:t>
      </w:r>
      <w:proofErr w:type="spellStart"/>
      <w:r w:rsidRPr="00C346F6">
        <w:rPr>
          <w:rFonts w:hint="cs"/>
          <w:rtl/>
        </w:rPr>
        <w:t>העקרון</w:t>
      </w:r>
      <w:proofErr w:type="spellEnd"/>
      <w:r w:rsidRPr="00C346F6">
        <w:rPr>
          <w:rFonts w:hint="cs"/>
          <w:rtl/>
        </w:rPr>
        <w:t xml:space="preserve"> של גביית מס אמת.</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6.</w:t>
      </w:r>
      <w:r w:rsidRPr="00C346F6">
        <w:rPr>
          <w:rFonts w:hint="cs"/>
          <w:rtl/>
        </w:rPr>
        <w:tab/>
        <w:t xml:space="preserve">חברי, השופט </w:t>
      </w:r>
      <w:r w:rsidRPr="00C346F6">
        <w:rPr>
          <w:rFonts w:ascii="Century" w:hAnsi="Century" w:cs="Miriam" w:hint="cs"/>
          <w:b/>
          <w:spacing w:val="0"/>
          <w:szCs w:val="24"/>
          <w:rtl/>
        </w:rPr>
        <w:t>מינץ</w:t>
      </w:r>
      <w:r w:rsidRPr="00C346F6">
        <w:rPr>
          <w:rFonts w:hint="cs"/>
          <w:rtl/>
        </w:rPr>
        <w:t xml:space="preserve">, הצטרף לעמדתו של השופט </w:t>
      </w:r>
      <w:r w:rsidRPr="00C346F6">
        <w:rPr>
          <w:rFonts w:ascii="Century" w:hAnsi="Century" w:cs="Miriam" w:hint="cs"/>
          <w:b/>
          <w:spacing w:val="0"/>
          <w:szCs w:val="24"/>
          <w:rtl/>
        </w:rPr>
        <w:t>קרא</w:t>
      </w:r>
      <w:r w:rsidRPr="00C346F6">
        <w:rPr>
          <w:rFonts w:hint="cs"/>
          <w:rtl/>
        </w:rPr>
        <w:t xml:space="preserve">. לעמדתו, אף מבלי להידרש ל"מבחן הסיכון", אין מקום לספק בדבר אופיו </w:t>
      </w:r>
      <w:proofErr w:type="spellStart"/>
      <w:r w:rsidRPr="00C346F6">
        <w:rPr>
          <w:rFonts w:hint="cs"/>
          <w:rtl/>
        </w:rPr>
        <w:t>העונשי</w:t>
      </w:r>
      <w:proofErr w:type="spellEnd"/>
      <w:r w:rsidRPr="00C346F6">
        <w:rPr>
          <w:rFonts w:hint="cs"/>
          <w:rtl/>
        </w:rPr>
        <w:t>-הרתעתי של החילוט, ואין לומר כי מנגנון החילוט הוא בעל מאפיינים אזרחיים דומיננטיים, ומשכך מתחייבת המסקנה כי אין להתיר ניכויים של הכספים שחולטו.</w:t>
      </w:r>
    </w:p>
    <w:p w:rsidR="00CB004C" w:rsidRPr="00C346F6" w:rsidRDefault="00CB004C" w:rsidP="00CB004C">
      <w:pPr>
        <w:pStyle w:val="Ruller41"/>
        <w:rPr>
          <w:rtl/>
        </w:rPr>
      </w:pPr>
    </w:p>
    <w:p w:rsidR="00CB004C" w:rsidRPr="00C346F6" w:rsidRDefault="00CB004C" w:rsidP="00CB004C">
      <w:pPr>
        <w:pStyle w:val="Ruller41"/>
        <w:rPr>
          <w:rFonts w:ascii="Century" w:hAnsi="Century" w:cs="Miriam"/>
          <w:b/>
          <w:spacing w:val="0"/>
          <w:szCs w:val="24"/>
          <w:rtl/>
        </w:rPr>
      </w:pPr>
      <w:r w:rsidRPr="00C346F6">
        <w:rPr>
          <w:rFonts w:ascii="Century" w:hAnsi="Century" w:cs="Miriam" w:hint="cs"/>
          <w:b/>
          <w:spacing w:val="0"/>
          <w:szCs w:val="24"/>
          <w:rtl/>
        </w:rPr>
        <w:t>עיקר טענות הצדדים בדיון הנוסף</w:t>
      </w:r>
    </w:p>
    <w:p w:rsidR="00CB004C" w:rsidRPr="00C346F6" w:rsidRDefault="00CB004C" w:rsidP="00CB004C">
      <w:pPr>
        <w:pStyle w:val="Ruller41"/>
        <w:rPr>
          <w:rtl/>
        </w:rPr>
      </w:pPr>
    </w:p>
    <w:p w:rsidR="00CB004C" w:rsidRPr="00C346F6" w:rsidRDefault="00CB004C" w:rsidP="00FA1042">
      <w:pPr>
        <w:pStyle w:val="Ruller41"/>
        <w:rPr>
          <w:rtl/>
        </w:rPr>
      </w:pPr>
      <w:r w:rsidRPr="00C346F6">
        <w:rPr>
          <w:rFonts w:hint="cs"/>
          <w:rtl/>
        </w:rPr>
        <w:t>7.</w:t>
      </w:r>
      <w:r w:rsidRPr="00C346F6">
        <w:rPr>
          <w:rFonts w:hint="cs"/>
          <w:rtl/>
        </w:rPr>
        <w:tab/>
        <w:t xml:space="preserve">בעקבות פסק הדין הגיש </w:t>
      </w:r>
      <w:r w:rsidR="00FA1042">
        <w:rPr>
          <w:rFonts w:hint="cs"/>
          <w:rtl/>
        </w:rPr>
        <w:t>המבקש</w:t>
      </w:r>
      <w:r w:rsidRPr="00C346F6">
        <w:rPr>
          <w:rFonts w:hint="cs"/>
          <w:rtl/>
        </w:rPr>
        <w:t xml:space="preserve"> בקשה לקיים דיון נוסף בפסק הדין שניתן בערעור, וזו נתקבלה על ידי חברתי, הנשיאה </w:t>
      </w:r>
      <w:r w:rsidRPr="00C346F6">
        <w:rPr>
          <w:rFonts w:ascii="Century" w:hAnsi="Century" w:cs="Miriam" w:hint="cs"/>
          <w:b/>
          <w:spacing w:val="0"/>
          <w:szCs w:val="24"/>
          <w:rtl/>
        </w:rPr>
        <w:t>א' חיות</w:t>
      </w:r>
      <w:r w:rsidRPr="00C346F6">
        <w:rPr>
          <w:rFonts w:hint="cs"/>
          <w:rtl/>
        </w:rPr>
        <w:t>, בהחלטתה מיום 22.9.2022. בהתאם לאמור בהחלטתה הגישו הצדדים השלמות טיעון בכתב, ובהמשך לכך השמיעו את טענותיהם בעל פה בדיון שהתקיים לפנינו. נתאר בקצרה את עיקרי טענותיהם.</w:t>
      </w:r>
    </w:p>
    <w:p w:rsidR="00CB004C" w:rsidRPr="00C346F6" w:rsidRDefault="00CB004C" w:rsidP="00CB004C">
      <w:pPr>
        <w:pStyle w:val="Ruller41"/>
        <w:rPr>
          <w:rtl/>
        </w:rPr>
      </w:pPr>
    </w:p>
    <w:p w:rsidR="00CB004C" w:rsidRPr="00C346F6" w:rsidRDefault="00CB004C" w:rsidP="00CB004C">
      <w:pPr>
        <w:pStyle w:val="Ruller41"/>
        <w:rPr>
          <w:rFonts w:ascii="Century" w:hAnsi="Century"/>
          <w:rtl/>
        </w:rPr>
      </w:pPr>
      <w:r w:rsidRPr="00C346F6">
        <w:rPr>
          <w:rFonts w:hint="cs"/>
          <w:rtl/>
        </w:rPr>
        <w:t>8.</w:t>
      </w:r>
      <w:r w:rsidRPr="00C346F6">
        <w:rPr>
          <w:rFonts w:hint="cs"/>
          <w:rtl/>
        </w:rPr>
        <w:tab/>
        <w:t xml:space="preserve">המבקש הציג בפתח טיעונו שתי שאלות הטעונות לשיטתו הכרעה בגדרו של הדיון הנוסף: האחת </w:t>
      </w:r>
      <w:r w:rsidRPr="00C346F6">
        <w:rPr>
          <w:rtl/>
        </w:rPr>
        <w:t>–</w:t>
      </w:r>
      <w:r w:rsidRPr="00C346F6">
        <w:rPr>
          <w:rFonts w:hint="cs"/>
          <w:rtl/>
        </w:rPr>
        <w:t xml:space="preserve"> מהי מהות החילוט, עונש או השבה? </w:t>
      </w:r>
      <w:proofErr w:type="spellStart"/>
      <w:r w:rsidRPr="00C346F6">
        <w:rPr>
          <w:rFonts w:hint="cs"/>
          <w:rtl/>
        </w:rPr>
        <w:t>והשניה</w:t>
      </w:r>
      <w:proofErr w:type="spellEnd"/>
      <w:r w:rsidRPr="00C346F6">
        <w:rPr>
          <w:rFonts w:hint="cs"/>
          <w:rtl/>
        </w:rPr>
        <w:t xml:space="preserve"> </w:t>
      </w:r>
      <w:r w:rsidRPr="00C346F6">
        <w:rPr>
          <w:rtl/>
        </w:rPr>
        <w:t>–</w:t>
      </w:r>
      <w:r w:rsidRPr="00C346F6">
        <w:rPr>
          <w:rFonts w:hint="cs"/>
          <w:rtl/>
        </w:rPr>
        <w:t xml:space="preserve"> בהנחה שמדובר בהשבה, האם יש מקום להתיר את ניכויה כהוצאה בהתאם להוראות פקודת מס הכנסה והלכת </w:t>
      </w:r>
      <w:r w:rsidRPr="00C346F6">
        <w:rPr>
          <w:rFonts w:ascii="Century" w:hAnsi="Century" w:cs="Miriam" w:hint="cs"/>
          <w:b/>
          <w:spacing w:val="0"/>
          <w:szCs w:val="24"/>
          <w:rtl/>
        </w:rPr>
        <w:t>דמארי</w:t>
      </w:r>
      <w:r w:rsidRPr="00C346F6">
        <w:rPr>
          <w:rFonts w:hint="cs"/>
          <w:rtl/>
        </w:rPr>
        <w:t xml:space="preserve">? כתימוכין לעמדתו כי יש לסווג את החילוט כבעל מאפיינים תרופתיים, המבקש מפנה לשורה של אמירות בפסיקה המלמדות כי החילוט איננו עונש. כמו כן, המבקש מצביע על כך שניתן לחלט רכוש רק עד שיעור הרכוש האסור שנתפס (או שוויו), וכן מצביע על כך שכספי חילוט מיועדים ככלל לתיקון נזקי העבירה, אם באמצעות העברתם במידת האפשר לנפגעי העבירה ואם לקרנות חילוט המשמשות למטרות מוגדרות. לגישת המבקש, מאפיינים אלה של החילוט מלמדים על אופיו הקנייני, כפי שגם עולה מדברים שנאמרו על ידי נציגי הממשלה במסגרת הליכי החקיקה. </w:t>
      </w:r>
      <w:r w:rsidRPr="00C346F6">
        <w:rPr>
          <w:rFonts w:ascii="Century" w:hAnsi="Century" w:hint="cs"/>
          <w:rtl/>
        </w:rPr>
        <w:t xml:space="preserve">באשר לשאלת יישומו של "מבחן הסיכון", המבקש טוען כי הנמקת השופט </w:t>
      </w:r>
      <w:r w:rsidRPr="00C346F6">
        <w:rPr>
          <w:rFonts w:ascii="Century" w:hAnsi="Century" w:cs="Miriam" w:hint="cs"/>
          <w:b/>
          <w:spacing w:val="0"/>
          <w:szCs w:val="24"/>
          <w:rtl/>
        </w:rPr>
        <w:t>קרא</w:t>
      </w:r>
      <w:r w:rsidRPr="00C346F6">
        <w:rPr>
          <w:rFonts w:ascii="Century" w:hAnsi="Century" w:hint="cs"/>
          <w:rtl/>
        </w:rPr>
        <w:t xml:space="preserve"> בפסק הדין בערעור, שלפיה אין להתיר ניכוי מקום שבו מדובר בהוצאות שמקורן בצרה שהנישום הביא על עצמו </w:t>
      </w:r>
      <w:r w:rsidRPr="00C346F6">
        <w:rPr>
          <w:rFonts w:ascii="Century" w:hAnsi="Century"/>
          <w:rtl/>
        </w:rPr>
        <w:t>–</w:t>
      </w:r>
      <w:r w:rsidRPr="00C346F6">
        <w:rPr>
          <w:rFonts w:ascii="Century" w:hAnsi="Century" w:hint="cs"/>
          <w:rtl/>
        </w:rPr>
        <w:t xml:space="preserve"> היא שגויה, שכן במקרה דנן אין מדובר במצב שבו </w:t>
      </w:r>
      <w:r w:rsidRPr="00C346F6">
        <w:rPr>
          <w:rFonts w:ascii="Century" w:hAnsi="Century" w:cs="Miriam" w:hint="cs"/>
          <w:b/>
          <w:spacing w:val="0"/>
          <w:szCs w:val="24"/>
          <w:rtl/>
        </w:rPr>
        <w:t>ההוצאה</w:t>
      </w:r>
      <w:r w:rsidRPr="00C346F6">
        <w:rPr>
          <w:rFonts w:ascii="Century" w:hAnsi="Century" w:hint="cs"/>
          <w:rtl/>
        </w:rPr>
        <w:t xml:space="preserve"> היא "צרה שהנישום הביא על עצמו", אלא </w:t>
      </w:r>
      <w:r w:rsidRPr="00C346F6">
        <w:rPr>
          <w:rFonts w:ascii="Century" w:hAnsi="Century" w:cs="Miriam" w:hint="cs"/>
          <w:b/>
          <w:spacing w:val="0"/>
          <w:szCs w:val="24"/>
          <w:rtl/>
        </w:rPr>
        <w:t>העסק כולו</w:t>
      </w:r>
      <w:r w:rsidRPr="00C346F6">
        <w:rPr>
          <w:rFonts w:ascii="Century" w:hAnsi="Century" w:hint="cs"/>
          <w:rtl/>
        </w:rPr>
        <w:t xml:space="preserve"> הוא "הצרה" שהנישום הביא על עצמו, ומשעה שנקבע </w:t>
      </w:r>
      <w:r w:rsidRPr="00C346F6">
        <w:rPr>
          <w:rFonts w:ascii="Century" w:hAnsi="Century" w:cs="Miriam" w:hint="cs"/>
          <w:b/>
          <w:spacing w:val="0"/>
          <w:szCs w:val="24"/>
          <w:rtl/>
        </w:rPr>
        <w:t>שההכנסה</w:t>
      </w:r>
      <w:r w:rsidRPr="00C346F6">
        <w:rPr>
          <w:rFonts w:ascii="Century" w:hAnsi="Century" w:hint="cs"/>
          <w:rtl/>
        </w:rPr>
        <w:t xml:space="preserve"> כשרה למיסוי, אזי אי-הכרה </w:t>
      </w:r>
      <w:r w:rsidRPr="00C346F6">
        <w:rPr>
          <w:rFonts w:ascii="Century" w:hAnsi="Century" w:cs="Miriam" w:hint="cs"/>
          <w:b/>
          <w:spacing w:val="0"/>
          <w:szCs w:val="24"/>
          <w:rtl/>
        </w:rPr>
        <w:t>בהוצאה</w:t>
      </w:r>
      <w:r w:rsidRPr="00C346F6">
        <w:rPr>
          <w:rFonts w:ascii="Century" w:hAnsi="Century" w:hint="cs"/>
          <w:rtl/>
        </w:rPr>
        <w:t xml:space="preserve"> שמקורה באותה צרה תוביל לעיוות כלכלי בדמות תשלום מס על התעשרות שחולטה, באופן המהווה ענישה נוספת. המבקש מוסיף כי עמדת המדינה במקרים אחרים בעבר, כמו גם הוראות הפרשנות של הפקודה, אף הן הכירו באפשרות לנכות כספים שהוחזרו, וחובת ההגינות של רשויות המס מחייבת לאפשר זאת גם במקרים מהסוג דנן.</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9.</w:t>
      </w:r>
      <w:r w:rsidRPr="00C346F6">
        <w:rPr>
          <w:rFonts w:ascii="Century" w:hAnsi="Century" w:hint="cs"/>
          <w:rtl/>
        </w:rPr>
        <w:tab/>
        <w:t xml:space="preserve">המשיב, פקיד השומה, סבור מנגד כי מבחן הסיכון כלל לא חל כאשר מדובר על תשלומים המושתים בגזר דין פלילי או מכוחו </w:t>
      </w:r>
      <w:r w:rsidRPr="00C346F6">
        <w:rPr>
          <w:rFonts w:ascii="Century" w:hAnsi="Century"/>
          <w:rtl/>
        </w:rPr>
        <w:t>–</w:t>
      </w:r>
      <w:r w:rsidRPr="00C346F6">
        <w:rPr>
          <w:rFonts w:ascii="Century" w:hAnsi="Century" w:hint="cs"/>
          <w:rtl/>
        </w:rPr>
        <w:t xml:space="preserve"> ודי בכך כדי להביא לדחיית עמדת המבקש. מכל מקום, המשיב מוסיף </w:t>
      </w:r>
      <w:r w:rsidRPr="00C346F6">
        <w:rPr>
          <w:rFonts w:ascii="Century" w:hAnsi="Century"/>
          <w:rtl/>
        </w:rPr>
        <w:t>–</w:t>
      </w:r>
      <w:r w:rsidRPr="00C346F6">
        <w:rPr>
          <w:rFonts w:ascii="Century" w:hAnsi="Century" w:hint="cs"/>
          <w:rtl/>
        </w:rPr>
        <w:t xml:space="preserve"> לשיטתו למעלה מן הדרוש </w:t>
      </w:r>
      <w:r w:rsidRPr="00C346F6">
        <w:rPr>
          <w:rFonts w:ascii="Century" w:hAnsi="Century"/>
          <w:rtl/>
        </w:rPr>
        <w:t>–</w:t>
      </w:r>
      <w:r w:rsidRPr="00C346F6">
        <w:rPr>
          <w:rFonts w:ascii="Century" w:hAnsi="Century" w:hint="cs"/>
          <w:rtl/>
        </w:rPr>
        <w:t xml:space="preserve"> כי משעה שמדובר בחילוט שנעשה במסגרת הליך פלילי כדי לשרת את תכליות הענישה (להבדיל מפיצוי נזיקי המשולם לניזוק), אזי אין להתיר את ניכויו מכוח תקנת הציבור. עוד נטען במענה לטענות שהעלה המבקש, כי החילוט בישראל אינו מוגבל בהכרח לשיעור הרווח שהגיע </w:t>
      </w:r>
      <w:r w:rsidRPr="00C346F6">
        <w:rPr>
          <w:rFonts w:ascii="Century" w:hAnsi="Century" w:hint="cs"/>
          <w:rtl/>
        </w:rPr>
        <w:lastRenderedPageBreak/>
        <w:t>לידי העבריין כתוצאה מביצוע העבירה, וכי סכומי החילוט אינם משולמים לנפגעי העבירה או להטבתם אלא מועברים ככלל לקרן החילוט הכללית. באשר לטענת המבקש כי אי ניכוי החילוט כהוצאה יוביל לגביית מס שאינו "מס אמת", המשיב טוען כי משעה שנקבע בפסק הדין מושא הדיון הנוסף כי חילוט אינו מותר בניכוי כהוצאה, אזי אי ניכויו הוא מס אמת בעוד שניכויו הוא המביא להשתת מס שאינו אמת.</w:t>
      </w:r>
    </w:p>
    <w:p w:rsidR="00CB004C" w:rsidRPr="00C346F6" w:rsidRDefault="00CB004C" w:rsidP="00CB004C">
      <w:pPr>
        <w:pStyle w:val="Ruller41"/>
        <w:rPr>
          <w:rtl/>
        </w:rPr>
      </w:pPr>
      <w:r w:rsidRPr="00C346F6">
        <w:rPr>
          <w:rFonts w:hint="cs"/>
          <w:rtl/>
        </w:rPr>
        <w:t xml:space="preserve"> </w:t>
      </w:r>
    </w:p>
    <w:p w:rsidR="00CB004C" w:rsidRPr="00C346F6" w:rsidRDefault="00CB004C" w:rsidP="00CB004C">
      <w:pPr>
        <w:pStyle w:val="Ruller41"/>
        <w:rPr>
          <w:rtl/>
        </w:rPr>
      </w:pPr>
      <w:r w:rsidRPr="00C346F6">
        <w:rPr>
          <w:rFonts w:hint="cs"/>
          <w:rtl/>
        </w:rPr>
        <w:t>10.</w:t>
      </w:r>
      <w:r w:rsidRPr="00C346F6">
        <w:rPr>
          <w:rFonts w:hint="cs"/>
          <w:rtl/>
        </w:rPr>
        <w:tab/>
      </w:r>
      <w:proofErr w:type="spellStart"/>
      <w:r w:rsidRPr="00C346F6">
        <w:rPr>
          <w:rFonts w:hint="cs"/>
          <w:rtl/>
        </w:rPr>
        <w:t>יצויין</w:t>
      </w:r>
      <w:proofErr w:type="spellEnd"/>
      <w:r w:rsidRPr="00C346F6">
        <w:rPr>
          <w:rFonts w:hint="cs"/>
          <w:rtl/>
        </w:rPr>
        <w:t xml:space="preserve"> כי הצדדים התייחסו בקצרה גם לדין בארצות הברית. כמו כן, המבקש הגיש תשובה קצרה להשלמת הטיעון מטעם המשיב, שבה חזר על טענתו כי עמדתו העקבית של משרד המשפטים היא כי חילוט אינו עונש אלא השבה; וכי בפסיקה קודמת המדינה הבהירה לבית המשפט כי לאחר חילוט תיערך התחשבנות בדבר חבות המס בהליכים המתאימים</w:t>
      </w:r>
      <w:r w:rsidRPr="00C346F6">
        <w:rPr>
          <w:rFonts w:ascii="Century" w:hAnsi="Century" w:hint="cs"/>
          <w:rtl/>
        </w:rPr>
        <w:t xml:space="preserve">. עוד נטען כי עמדתו של המשיב לא עולה בקנה אחד עם ההלכה שנקבעה בעניין </w:t>
      </w:r>
      <w:r w:rsidRPr="00C346F6">
        <w:rPr>
          <w:rFonts w:ascii="Century" w:hAnsi="Century" w:cs="Miriam" w:hint="cs"/>
          <w:b/>
          <w:spacing w:val="0"/>
          <w:szCs w:val="24"/>
          <w:rtl/>
        </w:rPr>
        <w:t>דמארי</w:t>
      </w:r>
      <w:r w:rsidRPr="00C346F6">
        <w:rPr>
          <w:rFonts w:ascii="Century" w:hAnsi="Century" w:hint="cs"/>
          <w:rtl/>
        </w:rPr>
        <w:t>, שם נפסק כי תשלומי השבה של רכוש שהושג בעבירה יותרו בניכוי.</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11.</w:t>
      </w:r>
      <w:r w:rsidRPr="00C346F6">
        <w:rPr>
          <w:rtl/>
        </w:rPr>
        <w:tab/>
      </w:r>
      <w:r w:rsidRPr="00C346F6">
        <w:rPr>
          <w:rFonts w:hint="cs"/>
          <w:rtl/>
        </w:rPr>
        <w:t xml:space="preserve">במהלך הדיון שהתקיים לפנינו, ביקש בא כוח המבקש להדגיש, בין היתר, כי על המבקש הושתו עונשים נוספים, לרבות מאסר וקנס, וכי דיני המס לא צריכים "ליצור אירוע בלתי כלכלי כדי לעזור לתקנת הציבור", וזאת בפרט משעה שבמסגרת הסדר הטיעון הוסכם כי דין החילוט לצרכי מס אינו ידוע. </w:t>
      </w:r>
      <w:r w:rsidRPr="00C346F6">
        <w:rPr>
          <w:rFonts w:ascii="Century" w:hAnsi="Century" w:hint="cs"/>
          <w:rtl/>
        </w:rPr>
        <w:t xml:space="preserve">מנגד, בא כוח המשיב, לצד טענתו העקרונית כי חילוט כלל לא מוכר כהוצאה המותרת בניכוי, הוסיף וטען כי מלבד פסק הדין בע"א </w:t>
      </w:r>
      <w:r w:rsidRPr="00C346F6">
        <w:rPr>
          <w:rFonts w:ascii="Century" w:hAnsi="Century" w:cs="Miriam" w:hint="cs"/>
          <w:b/>
          <w:spacing w:val="0"/>
          <w:szCs w:val="24"/>
          <w:rtl/>
        </w:rPr>
        <w:t>דמארי</w:t>
      </w:r>
      <w:r w:rsidRPr="00C346F6">
        <w:rPr>
          <w:rFonts w:ascii="Century" w:hAnsi="Century" w:hint="cs"/>
          <w:rtl/>
        </w:rPr>
        <w:t xml:space="preserve">, אין תקדים לכך שהסיכון של העבריין להיתפס נכנס בגדרו של מבחן הסיכון, מה עוד שנושא זה עלה בפסק הדין בע"א </w:t>
      </w:r>
      <w:r w:rsidRPr="00C346F6">
        <w:rPr>
          <w:rFonts w:ascii="Century" w:hAnsi="Century" w:cs="Miriam" w:hint="cs"/>
          <w:b/>
          <w:spacing w:val="0"/>
          <w:szCs w:val="24"/>
          <w:rtl/>
        </w:rPr>
        <w:t>דמארי</w:t>
      </w:r>
      <w:r w:rsidRPr="00C346F6">
        <w:rPr>
          <w:rFonts w:ascii="Century" w:hAnsi="Century" w:hint="cs"/>
          <w:rtl/>
        </w:rPr>
        <w:t xml:space="preserve"> מבלי שנשמעו טענות מפי הצדדים בנושא. </w:t>
      </w:r>
      <w:r w:rsidRPr="00C346F6">
        <w:rPr>
          <w:rFonts w:hint="cs"/>
          <w:rtl/>
        </w:rPr>
        <w:t>מכל מקום, המשיב סבור כי אין לראות חילוט כהשבה קניינית, והגם שמדובר ברכיב שאינו קנס, עדיין מדובר באמצעי שמושת על העבריין, וקשה להלום כי המדינה תשתתף בכך בעקיפין בדרך של הכרה בחילוט כהוצאה.</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ascii="Century" w:hAnsi="Century" w:cs="Miriam" w:hint="cs"/>
          <w:b/>
          <w:spacing w:val="0"/>
          <w:szCs w:val="24"/>
          <w:rtl/>
        </w:rPr>
        <w:t>דיון והכרעה</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12.</w:t>
      </w:r>
      <w:r w:rsidRPr="00C346F6">
        <w:rPr>
          <w:rtl/>
        </w:rPr>
        <w:tab/>
      </w:r>
      <w:r w:rsidRPr="00C346F6">
        <w:rPr>
          <w:rFonts w:hint="cs"/>
          <w:rtl/>
        </w:rPr>
        <w:t>למקרא פסק דינו של בית המשפט המחוזי ופסק הדין מושא הדיון הנוסף, ולאחר בחינת טענות הצדדים ושמיעת טענותיהם בעל פה, עמדתי היא כי יש להותיר על כנו את פסק הדין. דהיינו, יש להותיר על כנה את ההלכה שקובעת כי סכומים שחולטו בגדרו של הליך פלילי, אינם מותרים בניכוי כהוצאה מהכנסתו החייבת של הנישום-הנאשם שהורשע.</w:t>
      </w:r>
    </w:p>
    <w:p w:rsidR="00CB004C" w:rsidRPr="00C346F6" w:rsidRDefault="00CB004C" w:rsidP="00CB004C">
      <w:pPr>
        <w:pStyle w:val="Ruller41"/>
        <w:rPr>
          <w:rtl/>
        </w:rPr>
      </w:pPr>
    </w:p>
    <w:p w:rsidR="00CB004C" w:rsidRPr="00C346F6" w:rsidRDefault="00CB004C" w:rsidP="00CB004C">
      <w:pPr>
        <w:pStyle w:val="Ruller41"/>
        <w:rPr>
          <w:rFonts w:ascii="Century" w:hAnsi="Century"/>
          <w:rtl/>
        </w:rPr>
      </w:pPr>
      <w:r w:rsidRPr="00C346F6">
        <w:rPr>
          <w:rtl/>
        </w:rPr>
        <w:lastRenderedPageBreak/>
        <w:tab/>
      </w:r>
      <w:r w:rsidRPr="00C346F6">
        <w:rPr>
          <w:rFonts w:hint="cs"/>
          <w:rtl/>
        </w:rPr>
        <w:t xml:space="preserve">לעמדתי, הסוגיה העומדת על הפרק אינה מן </w:t>
      </w:r>
      <w:proofErr w:type="spellStart"/>
      <w:r w:rsidRPr="00C346F6">
        <w:rPr>
          <w:rFonts w:hint="cs"/>
          <w:rtl/>
        </w:rPr>
        <w:t>המורכב</w:t>
      </w:r>
      <w:r w:rsidRPr="00C346F6">
        <w:rPr>
          <w:rFonts w:ascii="FrankRuehl" w:hAnsi="FrankRuehl"/>
          <w:rtl/>
        </w:rPr>
        <w:t>וֹ</w:t>
      </w:r>
      <w:r w:rsidRPr="00C346F6">
        <w:rPr>
          <w:rFonts w:hint="cs"/>
          <w:rtl/>
        </w:rPr>
        <w:t>ת</w:t>
      </w:r>
      <w:proofErr w:type="spellEnd"/>
      <w:r w:rsidRPr="00C346F6">
        <w:rPr>
          <w:rFonts w:hint="cs"/>
          <w:rtl/>
        </w:rPr>
        <w:t xml:space="preserve">, ודומה כי </w:t>
      </w:r>
      <w:proofErr w:type="spellStart"/>
      <w:r w:rsidRPr="00C346F6">
        <w:rPr>
          <w:rFonts w:hint="cs"/>
          <w:rtl/>
        </w:rPr>
        <w:t>המורכב</w:t>
      </w:r>
      <w:r w:rsidRPr="00C346F6">
        <w:rPr>
          <w:rFonts w:ascii="FrankRuehl" w:hAnsi="FrankRuehl"/>
          <w:rtl/>
        </w:rPr>
        <w:t>וּ</w:t>
      </w:r>
      <w:r w:rsidRPr="00C346F6">
        <w:rPr>
          <w:rFonts w:hint="cs"/>
          <w:rtl/>
        </w:rPr>
        <w:t>ת</w:t>
      </w:r>
      <w:proofErr w:type="spellEnd"/>
      <w:r w:rsidRPr="00C346F6">
        <w:rPr>
          <w:rFonts w:hint="cs"/>
          <w:rtl/>
        </w:rPr>
        <w:t xml:space="preserve">-כביכול האופפת אותה נעוצה במידה רבה באמירות שנכללו בפסק הדין בע"א </w:t>
      </w:r>
      <w:r w:rsidRPr="00C346F6">
        <w:rPr>
          <w:rFonts w:ascii="Century" w:hAnsi="Century" w:cs="Miriam" w:hint="cs"/>
          <w:b/>
          <w:spacing w:val="0"/>
          <w:szCs w:val="24"/>
          <w:rtl/>
        </w:rPr>
        <w:t>דמארי</w:t>
      </w:r>
      <w:r w:rsidRPr="00C346F6">
        <w:rPr>
          <w:rFonts w:ascii="Century" w:hAnsi="Century" w:hint="cs"/>
          <w:rtl/>
        </w:rPr>
        <w:t xml:space="preserve">. ואכן, בית המשפט המחוזי ובית משפט זה </w:t>
      </w:r>
      <w:r w:rsidRPr="00C346F6">
        <w:rPr>
          <w:rFonts w:ascii="Century" w:hAnsi="Century"/>
          <w:rtl/>
        </w:rPr>
        <w:t>–</w:t>
      </w:r>
      <w:r w:rsidRPr="00C346F6">
        <w:rPr>
          <w:rFonts w:ascii="Century" w:hAnsi="Century" w:hint="cs"/>
          <w:rtl/>
        </w:rPr>
        <w:t xml:space="preserve"> והצדדים שלפנינו </w:t>
      </w:r>
      <w:r w:rsidRPr="00C346F6">
        <w:rPr>
          <w:rFonts w:ascii="Century" w:hAnsi="Century"/>
          <w:rtl/>
        </w:rPr>
        <w:t>–</w:t>
      </w:r>
      <w:r w:rsidRPr="00C346F6">
        <w:rPr>
          <w:rFonts w:ascii="Century" w:hAnsi="Century" w:hint="cs"/>
          <w:rtl/>
        </w:rPr>
        <w:t xml:space="preserve"> התייחסו כולם לאמירות מתוך פסק הדין בעניין </w:t>
      </w:r>
      <w:r w:rsidRPr="00C346F6">
        <w:rPr>
          <w:rFonts w:ascii="Century" w:hAnsi="Century" w:cs="Miriam" w:hint="cs"/>
          <w:b/>
          <w:spacing w:val="0"/>
          <w:szCs w:val="24"/>
          <w:rtl/>
        </w:rPr>
        <w:t>דמארי</w:t>
      </w:r>
      <w:r w:rsidRPr="00C346F6">
        <w:rPr>
          <w:rFonts w:ascii="Century" w:hAnsi="Century" w:hint="cs"/>
          <w:rtl/>
        </w:rPr>
        <w:t xml:space="preserve">, אם מתוך רצון לאמצן ולהחילן על הסוגיה שלפנינו, ואם מתוך הסתייגות במטרה להימנע מהחלתן בנסיבות המקרה דנן. לנוכח האמור, למען הבהירות, מן הראוי כי ניתן דעתנו תחילה ביתר הרחבה על פרשת </w:t>
      </w:r>
      <w:r w:rsidRPr="00C346F6">
        <w:rPr>
          <w:rFonts w:ascii="Century" w:hAnsi="Century" w:cs="Miriam" w:hint="cs"/>
          <w:b/>
          <w:spacing w:val="0"/>
          <w:szCs w:val="24"/>
          <w:rtl/>
        </w:rPr>
        <w:t>דמארי</w:t>
      </w:r>
      <w:r w:rsidRPr="00C346F6">
        <w:rPr>
          <w:rFonts w:ascii="Century" w:hAnsi="Century" w:hint="cs"/>
          <w:rtl/>
        </w:rPr>
        <w:t xml:space="preserve"> ועל האמירות הרלוונטיות שנכללו בפסק הדין. </w:t>
      </w:r>
    </w:p>
    <w:p w:rsidR="00CB004C" w:rsidRPr="00C346F6" w:rsidRDefault="00CB004C" w:rsidP="00CB004C">
      <w:pPr>
        <w:pStyle w:val="Ruller41"/>
        <w:rPr>
          <w:rtl/>
        </w:rPr>
      </w:pPr>
    </w:p>
    <w:p w:rsidR="00CB004C" w:rsidRPr="00C346F6" w:rsidRDefault="00CB004C" w:rsidP="00CB004C">
      <w:pPr>
        <w:pStyle w:val="Ruller41"/>
        <w:rPr>
          <w:rFonts w:ascii="Century" w:hAnsi="Century" w:cs="Miriam"/>
          <w:b/>
          <w:spacing w:val="0"/>
          <w:szCs w:val="24"/>
          <w:rtl/>
        </w:rPr>
      </w:pPr>
      <w:r w:rsidRPr="00C346F6">
        <w:rPr>
          <w:rFonts w:ascii="Century" w:hAnsi="Century" w:cs="Miriam" w:hint="cs"/>
          <w:b/>
          <w:spacing w:val="0"/>
          <w:szCs w:val="24"/>
          <w:rtl/>
        </w:rPr>
        <w:t>פרשת דמארי והירשזון</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13.</w:t>
      </w:r>
      <w:r w:rsidRPr="00C346F6">
        <w:rPr>
          <w:rFonts w:hint="cs"/>
          <w:rtl/>
        </w:rPr>
        <w:tab/>
        <w:t xml:space="preserve">בפסק הדין בע"א </w:t>
      </w:r>
      <w:r w:rsidRPr="00C346F6">
        <w:rPr>
          <w:rFonts w:ascii="Century" w:hAnsi="Century" w:cs="Miriam" w:hint="cs"/>
          <w:b/>
          <w:spacing w:val="0"/>
          <w:szCs w:val="24"/>
          <w:rtl/>
        </w:rPr>
        <w:t>דמארי</w:t>
      </w:r>
      <w:r w:rsidRPr="00C346F6">
        <w:rPr>
          <w:rFonts w:hint="cs"/>
          <w:rtl/>
        </w:rPr>
        <w:t xml:space="preserve"> נדונו שני ערעורים. האחד נסב על עניינה של אילנה דמארי (ע"א 4157/13) והשני על עניינו של אברהם הירשזון (ע"א 4489/13). השניים הורשעו בפרשיות נפרדות בגניבת סכומי כסף משמעותיים והחזקתם למשך מספר שנים. הם נדונו בשל כך לעונשי מאסר וקנסות כספיים, והשיבו את כספי הגניבה בעת שהתנהלו נגדם ההליכים הפליליים (דמארי השיבה את הכספים מכוח הסכם פשרה בהליך אזרחי). בתמצית, השאלה המשותפת לשני הערעורים היתה אם יש לראות את כספי הגניבה, בפרט לאחר שהושבו, כהכנסה החייבת במס, ובמידה שכן </w:t>
      </w:r>
      <w:r w:rsidRPr="00C346F6">
        <w:rPr>
          <w:rtl/>
        </w:rPr>
        <w:t>–</w:t>
      </w:r>
      <w:r w:rsidRPr="00C346F6">
        <w:rPr>
          <w:rFonts w:hint="cs"/>
          <w:rtl/>
        </w:rPr>
        <w:t xml:space="preserve"> האם יש להתיר את קיזוז הכספים שהושבו כהפסד או להכיר בהם כהוצאה בייצור הכנסה ולהתיר את ניכוי</w:t>
      </w:r>
      <w:r w:rsidRPr="00C346F6">
        <w:rPr>
          <w:rFonts w:ascii="FrankRuehl" w:hAnsi="FrankRuehl"/>
          <w:rtl/>
        </w:rPr>
        <w:t>ָ</w:t>
      </w:r>
      <w:r w:rsidRPr="00C346F6">
        <w:rPr>
          <w:rFonts w:hint="cs"/>
          <w:rtl/>
        </w:rPr>
        <w:t>ים כנגד הכנסתם החייבת של השניים.</w:t>
      </w:r>
    </w:p>
    <w:p w:rsidR="00CB004C" w:rsidRPr="00C346F6" w:rsidRDefault="00CB004C" w:rsidP="00CB004C">
      <w:pPr>
        <w:pStyle w:val="Ruller41"/>
        <w:rPr>
          <w:rtl/>
        </w:rPr>
      </w:pPr>
    </w:p>
    <w:p w:rsidR="00CB004C" w:rsidRPr="00C346F6" w:rsidRDefault="00CB004C" w:rsidP="00CB004C">
      <w:pPr>
        <w:pStyle w:val="Ruller41"/>
        <w:rPr>
          <w:rFonts w:ascii="Century" w:hAnsi="Century"/>
          <w:rtl/>
        </w:rPr>
      </w:pPr>
      <w:r w:rsidRPr="00C346F6">
        <w:rPr>
          <w:rFonts w:ascii="Century" w:hAnsi="Century" w:hint="cs"/>
          <w:b/>
          <w:spacing w:val="0"/>
          <w:rtl/>
        </w:rPr>
        <w:t>14</w:t>
      </w:r>
      <w:r w:rsidRPr="00C346F6">
        <w:rPr>
          <w:rFonts w:ascii="Century" w:hAnsi="Century" w:hint="cs"/>
          <w:rtl/>
        </w:rPr>
        <w:t xml:space="preserve">. </w:t>
      </w:r>
      <w:r w:rsidR="00B16EE8">
        <w:rPr>
          <w:rFonts w:ascii="Century" w:hAnsi="Century"/>
          <w:rtl/>
        </w:rPr>
        <w:tab/>
      </w:r>
      <w:r w:rsidRPr="00C346F6">
        <w:rPr>
          <w:rFonts w:ascii="Century" w:hAnsi="Century" w:hint="cs"/>
          <w:rtl/>
        </w:rPr>
        <w:t xml:space="preserve">חוות הדעת העיקרית נכתבה על ידי המשנה לנשיאה </w:t>
      </w:r>
      <w:r w:rsidRPr="00C346F6">
        <w:rPr>
          <w:rFonts w:ascii="Century" w:hAnsi="Century" w:cs="Miriam" w:hint="cs"/>
          <w:b/>
          <w:spacing w:val="0"/>
          <w:szCs w:val="24"/>
          <w:rtl/>
        </w:rPr>
        <w:t>א' רובינשטיין</w:t>
      </w:r>
      <w:r w:rsidRPr="00C346F6">
        <w:rPr>
          <w:rFonts w:ascii="Century" w:hAnsi="Century" w:hint="cs"/>
          <w:rtl/>
        </w:rPr>
        <w:t xml:space="preserve">. תחילה עמד השופט </w:t>
      </w:r>
      <w:r w:rsidRPr="00C346F6">
        <w:rPr>
          <w:rFonts w:ascii="Century" w:hAnsi="Century" w:cs="Miriam" w:hint="cs"/>
          <w:b/>
          <w:spacing w:val="0"/>
          <w:szCs w:val="24"/>
          <w:rtl/>
        </w:rPr>
        <w:t>רובינשטיין</w:t>
      </w:r>
      <w:r w:rsidRPr="00C346F6">
        <w:rPr>
          <w:rFonts w:ascii="Century" w:hAnsi="Century" w:hint="cs"/>
          <w:rtl/>
        </w:rPr>
        <w:t xml:space="preserve"> על נקודת המוצא לדיון, כפי שזו נובעת מההלכה המושרשת, שלפיה יש להטיל מס על רווחים שהופקו תוך ביצוע פעילות בלתי חוקית. משם פנה לדון בשאלה אם יש למסות הכנסה בלתי חוקית כאשר קיימת חובת השבה (ובעיקר כשישנה השבה בפועל). סקירה של המשפט המשווה בסוגיה זו העלתה כי ברוב המכריע של שיטות המשפט שנסקרו, ההלכה הנוהגת היא שיש למסות רווחים שקיימת לגביהם חובת השבה. בחינת הדין הישראלי הובילה את השופט </w:t>
      </w:r>
      <w:r w:rsidRPr="00C346F6">
        <w:rPr>
          <w:rFonts w:ascii="Century" w:hAnsi="Century" w:cs="Miriam" w:hint="cs"/>
          <w:b/>
          <w:spacing w:val="0"/>
          <w:szCs w:val="24"/>
          <w:rtl/>
        </w:rPr>
        <w:t>רובינשטיין</w:t>
      </w:r>
      <w:r w:rsidRPr="00C346F6">
        <w:rPr>
          <w:rFonts w:ascii="Century" w:hAnsi="Century" w:hint="cs"/>
          <w:rtl/>
        </w:rPr>
        <w:t xml:space="preserve"> למסקנה זהה, המגשימה לדבריו את תכליתה המרכזית של פקודת מס הכנסה למסות את הכנסתו החייבת של הנישום. השופט </w:t>
      </w:r>
      <w:r w:rsidRPr="00C346F6">
        <w:rPr>
          <w:rFonts w:ascii="Century" w:hAnsi="Century" w:cs="Miriam" w:hint="cs"/>
          <w:b/>
          <w:spacing w:val="0"/>
          <w:szCs w:val="24"/>
          <w:rtl/>
        </w:rPr>
        <w:t>רובינשטיין</w:t>
      </w:r>
      <w:r w:rsidRPr="00C346F6">
        <w:rPr>
          <w:rFonts w:ascii="Century" w:hAnsi="Century" w:hint="cs"/>
          <w:rtl/>
        </w:rPr>
        <w:t xml:space="preserve"> הטעים כי ביסוד מסקנתו עומדים שיקולי טובת הציבור, ובכללם עקרון היסוד לפיו לא יצא חוטא נשכר ומניעת הפליה לטובה של נישומים עבריינים לעומת נישומים שומרי חוק. כל זאת, לצד שיקולים שמקורם במדיניות מיסוי, ובכללם הצורך לנקוט גישה סובייקטיבית הבוחנת כיצד התייחס הנישום בעצמו לכספים עת הוחזקו ברשותו; וכן התפישה כי בחישוב ההכנסה החייבת (להבדיל מחישוב ניכויים או קיזוזים) אין להביא </w:t>
      </w:r>
      <w:r w:rsidRPr="00C346F6">
        <w:rPr>
          <w:rFonts w:ascii="Century" w:hAnsi="Century" w:hint="cs"/>
          <w:rtl/>
        </w:rPr>
        <w:lastRenderedPageBreak/>
        <w:t xml:space="preserve">בחשבון את שאירע </w:t>
      </w:r>
      <w:r w:rsidRPr="00C346F6">
        <w:rPr>
          <w:rFonts w:ascii="Century" w:hAnsi="Century" w:cs="Miriam" w:hint="cs"/>
          <w:b/>
          <w:spacing w:val="0"/>
          <w:szCs w:val="24"/>
          <w:rtl/>
        </w:rPr>
        <w:t>לאחר</w:t>
      </w:r>
      <w:r w:rsidRPr="00C346F6">
        <w:rPr>
          <w:rFonts w:ascii="Century" w:hAnsi="Century" w:hint="cs"/>
          <w:rtl/>
        </w:rPr>
        <w:t xml:space="preserve"> קבלת ההכנסה, ואין בהשבת הכספים כדי "לאיין" את ההכנסה, אף אם ההשבה בוצעה בטרם הוצאה השומה.</w:t>
      </w:r>
    </w:p>
    <w:p w:rsidR="00CB004C" w:rsidRPr="00C346F6" w:rsidRDefault="00CB004C" w:rsidP="00CB004C">
      <w:pPr>
        <w:pStyle w:val="Ruller41"/>
        <w:rPr>
          <w:rtl/>
        </w:rPr>
      </w:pPr>
    </w:p>
    <w:p w:rsidR="00CB004C" w:rsidRPr="00C346F6" w:rsidRDefault="00CB004C" w:rsidP="00CB004C">
      <w:pPr>
        <w:pStyle w:val="Ruller41"/>
        <w:rPr>
          <w:rtl/>
        </w:rPr>
      </w:pPr>
      <w:r w:rsidRPr="00C346F6">
        <w:rPr>
          <w:rFonts w:hint="cs"/>
          <w:rtl/>
        </w:rPr>
        <w:t>15.</w:t>
      </w:r>
      <w:r w:rsidRPr="00C346F6">
        <w:rPr>
          <w:rFonts w:hint="cs"/>
          <w:rtl/>
        </w:rPr>
        <w:tab/>
        <w:t xml:space="preserve">משהגיע למסקנה כי יש לסווג את כספי הגניבה כהכנסה החייבת במס, עבר השופט </w:t>
      </w:r>
      <w:r w:rsidRPr="00C346F6">
        <w:rPr>
          <w:rFonts w:ascii="Century" w:hAnsi="Century" w:cs="Miriam" w:hint="cs"/>
          <w:b/>
          <w:spacing w:val="0"/>
          <w:szCs w:val="24"/>
          <w:rtl/>
        </w:rPr>
        <w:t>רובינשטיין</w:t>
      </w:r>
      <w:r w:rsidRPr="00C346F6">
        <w:rPr>
          <w:rFonts w:hint="cs"/>
          <w:rtl/>
        </w:rPr>
        <w:t xml:space="preserve"> לדון בשאלה אם יש מקום לאפשר את ניכוי תשלומי ההשבה כהוצאה בייצור הכנסה או לקזזם כהפסד. השופט </w:t>
      </w:r>
      <w:r w:rsidRPr="00C346F6">
        <w:rPr>
          <w:rFonts w:ascii="Century" w:hAnsi="Century" w:cs="Miriam" w:hint="cs"/>
          <w:b/>
          <w:spacing w:val="0"/>
          <w:szCs w:val="24"/>
          <w:rtl/>
        </w:rPr>
        <w:t>רובינשטיין</w:t>
      </w:r>
      <w:r w:rsidRPr="00C346F6">
        <w:rPr>
          <w:rFonts w:hint="cs"/>
          <w:rtl/>
        </w:rPr>
        <w:t xml:space="preserve"> עמד על כך שמכוח תקנת הציבור, כאשר מדובר בהוצאות בלתי חוקיות, ככלל אין להתיר את </w:t>
      </w:r>
      <w:proofErr w:type="spellStart"/>
      <w:r w:rsidRPr="00C346F6">
        <w:rPr>
          <w:rFonts w:hint="cs"/>
          <w:rtl/>
        </w:rPr>
        <w:t>ניכויין</w:t>
      </w:r>
      <w:proofErr w:type="spellEnd"/>
      <w:r w:rsidRPr="00C346F6">
        <w:rPr>
          <w:rFonts w:hint="cs"/>
          <w:rtl/>
        </w:rPr>
        <w:t xml:space="preserve"> (וזאת אף שההכנסות שהופקו מהפעילות הבלתי חוקית חייבות במס). בדומה, אין להתיר ניכוי </w:t>
      </w:r>
      <w:r w:rsidRPr="00C346F6">
        <w:rPr>
          <w:rFonts w:ascii="Century" w:hAnsi="Century" w:cs="Miriam" w:hint="cs"/>
          <w:b/>
          <w:spacing w:val="0"/>
          <w:szCs w:val="24"/>
          <w:rtl/>
        </w:rPr>
        <w:t>קנסות</w:t>
      </w:r>
      <w:r w:rsidRPr="00C346F6">
        <w:rPr>
          <w:rFonts w:hint="cs"/>
          <w:rtl/>
        </w:rPr>
        <w:t xml:space="preserve">, שכן יהא בכך כדי לפגוע במדיניות הציבורית שביסוד הטלת הקנס ולהביא להשתתפות הציבור במימון הקנס, מה עוד שכלל לא ניתן לסווג תשלום קנס כהוצאה בייצור ההכנסה. לעומת זאת, כאשר קיים ספק לגבי טיב התשלום שלגביו מתבקש הניכוי, קרי אם מדובר בקנס האסור בניכוי אם לאו, יש לברר את אופיו ולבחון אם מדובר בתשלום </w:t>
      </w:r>
      <w:r w:rsidRPr="00C346F6">
        <w:rPr>
          <w:rFonts w:ascii="Century" w:hAnsi="Century" w:cs="Miriam" w:hint="cs"/>
          <w:b/>
          <w:spacing w:val="0"/>
          <w:szCs w:val="24"/>
          <w:rtl/>
        </w:rPr>
        <w:t>עונשי</w:t>
      </w:r>
      <w:r w:rsidRPr="00C346F6">
        <w:rPr>
          <w:rFonts w:hint="cs"/>
          <w:rtl/>
        </w:rPr>
        <w:t xml:space="preserve"> או </w:t>
      </w:r>
      <w:r w:rsidRPr="00C346F6">
        <w:rPr>
          <w:rFonts w:ascii="Century" w:hAnsi="Century" w:cs="Miriam" w:hint="cs"/>
          <w:b/>
          <w:spacing w:val="0"/>
          <w:szCs w:val="24"/>
          <w:rtl/>
        </w:rPr>
        <w:t>תרופתי</w:t>
      </w:r>
      <w:r w:rsidRPr="00C346F6">
        <w:rPr>
          <w:rFonts w:hint="cs"/>
          <w:rtl/>
        </w:rPr>
        <w:t xml:space="preserve"> ואם מתן אפשרות לנכותו יסכל את המדיניות הציבורית שביסוד הטלתו.</w:t>
      </w:r>
    </w:p>
    <w:p w:rsidR="00CB004C" w:rsidRPr="00C346F6" w:rsidRDefault="00CB004C" w:rsidP="00CB004C">
      <w:pPr>
        <w:pStyle w:val="Ruller41"/>
        <w:rPr>
          <w:rtl/>
        </w:rPr>
      </w:pPr>
    </w:p>
    <w:p w:rsidR="00CB004C" w:rsidRPr="00C346F6" w:rsidRDefault="00CB004C" w:rsidP="00CB004C">
      <w:pPr>
        <w:pStyle w:val="Ruller41"/>
        <w:rPr>
          <w:rtl/>
        </w:rPr>
      </w:pPr>
      <w:r w:rsidRPr="00C346F6">
        <w:rPr>
          <w:rtl/>
        </w:rPr>
        <w:tab/>
      </w:r>
      <w:r w:rsidRPr="00C346F6">
        <w:rPr>
          <w:rFonts w:hint="cs"/>
          <w:rtl/>
        </w:rPr>
        <w:t xml:space="preserve">באשר לתשלומי ההשבה, השופט </w:t>
      </w:r>
      <w:r w:rsidRPr="00C346F6">
        <w:rPr>
          <w:rFonts w:ascii="Century" w:hAnsi="Century" w:cs="Miriam" w:hint="cs"/>
          <w:b/>
          <w:spacing w:val="0"/>
          <w:szCs w:val="24"/>
          <w:rtl/>
        </w:rPr>
        <w:t>רובינשטיין</w:t>
      </w:r>
      <w:r w:rsidRPr="00C346F6">
        <w:rPr>
          <w:rFonts w:hint="cs"/>
          <w:rtl/>
        </w:rPr>
        <w:t xml:space="preserve"> אימץ מבחני עזר הלקוחים מהפסיקה בארצות הברית, ועמד על כך שבשני המקרים של דמארי והירשזון, </w:t>
      </w:r>
      <w:r w:rsidRPr="00C346F6">
        <w:rPr>
          <w:rFonts w:ascii="Century" w:hAnsi="Century" w:cs="Miriam" w:hint="cs"/>
          <w:b/>
          <w:spacing w:val="0"/>
          <w:szCs w:val="24"/>
          <w:rtl/>
        </w:rPr>
        <w:t>נמעני ההשבה</w:t>
      </w:r>
      <w:r w:rsidRPr="00C346F6">
        <w:rPr>
          <w:rFonts w:hint="cs"/>
          <w:rtl/>
        </w:rPr>
        <w:t xml:space="preserve"> היו קרבנות העבירה, קרי אנשים פרטיים, מה שמלמד על מטרה תרופתית בעיקרה בהשתת התשלום; </w:t>
      </w:r>
      <w:r w:rsidRPr="00C346F6">
        <w:rPr>
          <w:rFonts w:ascii="Century" w:hAnsi="Century" w:cs="Miriam" w:hint="cs"/>
          <w:b/>
          <w:spacing w:val="0"/>
          <w:szCs w:val="24"/>
          <w:rtl/>
        </w:rPr>
        <w:t>המקור שממנו נבע התשלום</w:t>
      </w:r>
      <w:r w:rsidRPr="00C346F6">
        <w:rPr>
          <w:rFonts w:hint="cs"/>
          <w:rtl/>
        </w:rPr>
        <w:t xml:space="preserve"> לא היה הוראת דין או מהוראת בית המשפט, אלא נעשה מטעמיהם של המערערים עצמם, הגם שיש להניח כי נמהלו בהשבה שיקולים של הקלה בעונש (במקרה של דמארי מקור חובת ההשבה היה הסכם פשרה בהליך אזרחי, ובמקרה של הירשזון ההשבה אמנם נעשתה במהלך ההליכים הפליליים, אך ביוזמתו של הירשזון ולא בהוראת בית המשפט במסגרת גזר הדין); </w:t>
      </w:r>
      <w:r w:rsidRPr="00C346F6">
        <w:rPr>
          <w:rFonts w:ascii="Century" w:hAnsi="Century" w:hint="cs"/>
          <w:rtl/>
        </w:rPr>
        <w:t xml:space="preserve">ותשלומי ההשבה </w:t>
      </w:r>
      <w:r w:rsidRPr="00C346F6">
        <w:rPr>
          <w:rFonts w:ascii="Century" w:hAnsi="Century" w:cs="Miriam" w:hint="cs"/>
          <w:b/>
          <w:spacing w:val="0"/>
          <w:szCs w:val="24"/>
          <w:rtl/>
        </w:rPr>
        <w:t>לא היו תחליף קנס</w:t>
      </w:r>
      <w:r w:rsidRPr="00C346F6">
        <w:rPr>
          <w:rFonts w:hint="cs"/>
          <w:rtl/>
        </w:rPr>
        <w:t xml:space="preserve">, כך שגם אם במבחן התוצאה התשלום השפיע על הקלה בעונשם, לא זה עיקר המהות, שהיא תרופתית ונועדה לתיקון העוול לבעלי הכסף הנגזל. השופט </w:t>
      </w:r>
      <w:r w:rsidRPr="00C346F6">
        <w:rPr>
          <w:rFonts w:ascii="Century" w:hAnsi="Century" w:cs="Miriam" w:hint="cs"/>
          <w:b/>
          <w:spacing w:val="0"/>
          <w:szCs w:val="24"/>
          <w:rtl/>
        </w:rPr>
        <w:t>רובינשטיין</w:t>
      </w:r>
      <w:r w:rsidRPr="00C346F6">
        <w:rPr>
          <w:rFonts w:hint="cs"/>
          <w:rtl/>
        </w:rPr>
        <w:t xml:space="preserve"> הגיע אפוא למסקנה כי התרת הניכוי אין בה משום סיכול תקנת הציבור, ובהינתן הצורך להשתדל לקיים ככל שניתן משטר של </w:t>
      </w:r>
      <w:r w:rsidRPr="00C346F6">
        <w:rPr>
          <w:rFonts w:ascii="Century" w:hAnsi="Century" w:cs="Miriam" w:hint="cs"/>
          <w:b/>
          <w:spacing w:val="0"/>
          <w:szCs w:val="24"/>
          <w:rtl/>
        </w:rPr>
        <w:t>מיסוי אמת</w:t>
      </w:r>
      <w:r w:rsidRPr="00C346F6">
        <w:rPr>
          <w:rFonts w:hint="cs"/>
          <w:rtl/>
        </w:rPr>
        <w:t>, אזי במישור העקרוני ניתן לאפשר ניכוי של תשלומי השבה המשולמים לקרבנות העבירה.</w:t>
      </w:r>
    </w:p>
    <w:p w:rsidR="00CB004C" w:rsidRPr="00C346F6" w:rsidRDefault="00CB004C" w:rsidP="00CB004C">
      <w:pPr>
        <w:pStyle w:val="Ruller41"/>
        <w:rPr>
          <w:rtl/>
        </w:rPr>
      </w:pPr>
    </w:p>
    <w:p w:rsidR="00CB004C" w:rsidRPr="00C346F6" w:rsidRDefault="00CB004C" w:rsidP="00CB004C">
      <w:pPr>
        <w:pStyle w:val="Ruller41"/>
        <w:rPr>
          <w:rFonts w:ascii="Century" w:hAnsi="Century"/>
          <w:rtl/>
        </w:rPr>
      </w:pPr>
      <w:r w:rsidRPr="00C346F6">
        <w:rPr>
          <w:rFonts w:hint="cs"/>
          <w:rtl/>
        </w:rPr>
        <w:t>16.</w:t>
      </w:r>
      <w:r w:rsidRPr="00C346F6">
        <w:rPr>
          <w:rtl/>
        </w:rPr>
        <w:tab/>
      </w:r>
      <w:r w:rsidRPr="00C346F6">
        <w:rPr>
          <w:rFonts w:hint="cs"/>
          <w:rtl/>
        </w:rPr>
        <w:t xml:space="preserve">בהמשך למסקנתו כי אין מניעה עקרונית להתיר ניכוי של תשלומי השבה לקרבנות העבירה, פנה השופט </w:t>
      </w:r>
      <w:r w:rsidRPr="00C346F6">
        <w:rPr>
          <w:rFonts w:ascii="Century" w:hAnsi="Century" w:cs="Miriam" w:hint="cs"/>
          <w:b/>
          <w:spacing w:val="0"/>
          <w:szCs w:val="24"/>
          <w:rtl/>
        </w:rPr>
        <w:t>רובינשטיין</w:t>
      </w:r>
      <w:r w:rsidRPr="00C346F6">
        <w:rPr>
          <w:rFonts w:hint="cs"/>
          <w:rtl/>
        </w:rPr>
        <w:t xml:space="preserve"> לבחון אם ניתן לראות תשלומים אלה כהוצאה בייצור הכנסה. לדבריו, יש קושי ביישום המבחנים הנוהגים שלפיהם יש לקבוע אם ההוצאה נועדה לשם קיום העסק והשבחתו, שהרי בעת שבוצעו תשלומי ההשבה בנסיבות דנן "הפעילות העסקית" של עסקי המעילה והגניבה הופסקה זה מכבר. עם זאת, השופט </w:t>
      </w:r>
      <w:r w:rsidRPr="00C346F6">
        <w:rPr>
          <w:rFonts w:ascii="Century" w:hAnsi="Century" w:cs="Miriam" w:hint="cs"/>
          <w:b/>
          <w:spacing w:val="0"/>
          <w:szCs w:val="24"/>
          <w:rtl/>
        </w:rPr>
        <w:t>רובינשטיין</w:t>
      </w:r>
      <w:r w:rsidRPr="00C346F6">
        <w:rPr>
          <w:rFonts w:hint="cs"/>
          <w:rtl/>
        </w:rPr>
        <w:t xml:space="preserve"> סבר כי ניתן להעניק פרשנות אחרת למבחן ההוצאה בייצור הכנסה, שלפיה </w:t>
      </w:r>
      <w:r w:rsidRPr="00C346F6">
        <w:rPr>
          <w:rFonts w:hint="cs"/>
          <w:rtl/>
        </w:rPr>
        <w:lastRenderedPageBreak/>
        <w:t xml:space="preserve">יש לבחון אם תשלומי ההשבה מהווים "חלק מן הסיכונים השוטפים הקשורים לייצור ההכנסה". </w:t>
      </w:r>
      <w:r w:rsidRPr="00C346F6">
        <w:rPr>
          <w:rFonts w:ascii="Century" w:hAnsi="Century" w:hint="cs"/>
          <w:rtl/>
        </w:rPr>
        <w:t xml:space="preserve">לדבריו, "אחד 'הסיכונים המקצועיים' המובהקים ב'עסקי' המעילה, היא שאם ייתפס המועל, יידרש להשיב את השלל לבעליו החוקיים" (שם, פסקה ק"ג). דהיינו, השבה עתידית של הכספים היתה סכנה צפויה שנלוותה לפעילות יוצרת ההכנסה. משכך, לגישתו של השופט </w:t>
      </w:r>
      <w:r w:rsidRPr="00C346F6">
        <w:rPr>
          <w:rFonts w:ascii="Century" w:hAnsi="Century" w:cs="Miriam" w:hint="cs"/>
          <w:b/>
          <w:spacing w:val="0"/>
          <w:szCs w:val="24"/>
          <w:rtl/>
        </w:rPr>
        <w:t>רובינשטיין</w:t>
      </w:r>
      <w:r w:rsidRPr="00C346F6">
        <w:rPr>
          <w:rFonts w:ascii="Century" w:hAnsi="Century" w:hint="cs"/>
          <w:rtl/>
        </w:rPr>
        <w:t xml:space="preserve">, "בגדרי פרשנות תכליתית, ומתוך מגמה כי יוטל מס על הכנסתו החייבת של הנישום, אשר תביא בחשבון הסופי גם את הוצאותיו, נטייתי היא לאפשר בנסיבות אלה ניכוי תשלומי ההשבה" (שם).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17.</w:t>
      </w:r>
      <w:r w:rsidRPr="00C346F6">
        <w:rPr>
          <w:rFonts w:ascii="Century" w:hAnsi="Century" w:hint="cs"/>
          <w:rtl/>
        </w:rPr>
        <w:tab/>
        <w:t xml:space="preserve">גם כאן לא תם הדיון בפסק הדין, שכן עדיין נותר לבחון אם וכיצד יש לאפשר את ניכוי תשלומי ההשבה, לנוכח העובדה שדמארי והירשזון טענו כי יש לאפשר להם לעשות זאת באופן </w:t>
      </w:r>
      <w:r w:rsidRPr="00C346F6">
        <w:rPr>
          <w:rFonts w:ascii="Century" w:hAnsi="Century" w:cs="Miriam" w:hint="cs"/>
          <w:b/>
          <w:spacing w:val="0"/>
          <w:szCs w:val="24"/>
          <w:rtl/>
        </w:rPr>
        <w:t>רטרואקטיבי</w:t>
      </w:r>
      <w:r w:rsidRPr="00C346F6">
        <w:rPr>
          <w:rFonts w:ascii="Century" w:hAnsi="Century" w:hint="cs"/>
          <w:rtl/>
        </w:rPr>
        <w:t xml:space="preserve">, קרי לנכות את הוצאות ההשבה למפרע כהוצאה בשנות המס שבשומה, אף שתשלומי ההשבה בוצעו בשנים מאוחרות יותר. יש לציין כי סוגיה זו חורגת מהדיון הנוסף שלפנינו, ולפיכך ניתן להסתפק בתיאור השורה התחתונה. השופט </w:t>
      </w:r>
      <w:r w:rsidRPr="00C346F6">
        <w:rPr>
          <w:rFonts w:ascii="Century" w:hAnsi="Century" w:cs="Miriam" w:hint="cs"/>
          <w:b/>
          <w:spacing w:val="0"/>
          <w:szCs w:val="24"/>
          <w:rtl/>
        </w:rPr>
        <w:t>רובינשטיין</w:t>
      </w:r>
      <w:r w:rsidRPr="00C346F6">
        <w:rPr>
          <w:rFonts w:ascii="Century" w:hAnsi="Century" w:hint="cs"/>
          <w:rtl/>
        </w:rPr>
        <w:t xml:space="preserve"> קבע כי בהתאם לדין ולפסיקה, לא ניתן להתיר </w:t>
      </w:r>
      <w:r w:rsidRPr="00C346F6">
        <w:rPr>
          <w:rFonts w:ascii="Century" w:hAnsi="Century" w:cs="Miriam" w:hint="cs"/>
          <w:b/>
          <w:spacing w:val="0"/>
          <w:szCs w:val="24"/>
          <w:rtl/>
        </w:rPr>
        <w:t>ניכוי</w:t>
      </w:r>
      <w:r w:rsidRPr="00C346F6">
        <w:rPr>
          <w:rFonts w:ascii="Century" w:hAnsi="Century" w:hint="cs"/>
          <w:rtl/>
        </w:rPr>
        <w:t xml:space="preserve"> הוצאה בדיעבד. עם זאת, על מנת להגשים את האיזון הנכון בין שמירה על תקנת הציבור ושמירה על עקרון גביית מס אמת, השופט </w:t>
      </w:r>
      <w:r w:rsidRPr="00C346F6">
        <w:rPr>
          <w:rFonts w:ascii="Century" w:hAnsi="Century" w:cs="Miriam" w:hint="cs"/>
          <w:b/>
          <w:spacing w:val="0"/>
          <w:szCs w:val="24"/>
          <w:rtl/>
        </w:rPr>
        <w:t>רובינשטיין</w:t>
      </w:r>
      <w:r w:rsidRPr="00C346F6">
        <w:rPr>
          <w:rFonts w:ascii="Century" w:hAnsi="Century" w:hint="cs"/>
          <w:rtl/>
        </w:rPr>
        <w:t xml:space="preserve"> סבר כי יש לאפשר למערערים </w:t>
      </w:r>
      <w:r w:rsidRPr="00C346F6">
        <w:rPr>
          <w:rFonts w:ascii="Century" w:hAnsi="Century" w:cs="Miriam" w:hint="cs"/>
          <w:b/>
          <w:spacing w:val="0"/>
          <w:szCs w:val="24"/>
          <w:rtl/>
        </w:rPr>
        <w:t>לקזז</w:t>
      </w:r>
      <w:r w:rsidRPr="00C346F6">
        <w:rPr>
          <w:rFonts w:ascii="Century" w:hAnsi="Century" w:hint="cs"/>
          <w:rtl/>
        </w:rPr>
        <w:t xml:space="preserve"> את תשלומי ההשבה, כהפסד רטרואקטיבי. בד בבד, לנוכח "אשמתם" של דמארי והירשזון בגניבת הכספים ואי השבתם במשך תקופה ארוכה, השופט </w:t>
      </w:r>
      <w:r w:rsidRPr="00C346F6">
        <w:rPr>
          <w:rFonts w:ascii="Century" w:hAnsi="Century" w:cs="Miriam" w:hint="cs"/>
          <w:b/>
          <w:spacing w:val="0"/>
          <w:szCs w:val="24"/>
          <w:rtl/>
        </w:rPr>
        <w:t>רובינשטיין</w:t>
      </w:r>
      <w:r w:rsidRPr="00C346F6">
        <w:rPr>
          <w:rFonts w:ascii="Century" w:hAnsi="Century" w:hint="cs"/>
          <w:rtl/>
        </w:rPr>
        <w:t xml:space="preserve"> סבר כי אין לאפשר להם לקזז את סכומי ההשבה במלואם, אלא אך במחציתם, בבחינת איזון בין עקרון גביית מס אמת אל מול "הרקע הלא חיובי" כלשונו של מעשי הנישומים (שם, פסקה קי"ג). [במאמר מוסגר: דומה כי בכך ביקש השופט </w:t>
      </w:r>
      <w:r w:rsidRPr="00C346F6">
        <w:rPr>
          <w:rFonts w:ascii="Century" w:hAnsi="Century" w:cs="Miriam" w:hint="cs"/>
          <w:b/>
          <w:spacing w:val="0"/>
          <w:szCs w:val="24"/>
          <w:rtl/>
        </w:rPr>
        <w:t>רובינשטיין</w:t>
      </w:r>
      <w:r w:rsidRPr="00C346F6">
        <w:rPr>
          <w:rFonts w:ascii="Century" w:hAnsi="Century" w:hint="cs"/>
          <w:rtl/>
        </w:rPr>
        <w:t xml:space="preserve"> לעצב מעין "תרופת אמצע" בדיני המס. נושא זה חורג גם הוא מענייננו, ולפיכך לא אדרש אליו ולשאלת קיומו או העדרו של בסיס משפטי לכך (על התפתחותן של "תרופות אמצע" בדין האזרחי, ראו אורי ניר "'יצא וחצי תאוותו בידו' </w:t>
      </w:r>
      <w:r w:rsidRPr="00C346F6">
        <w:rPr>
          <w:rFonts w:ascii="Century" w:hAnsi="Century"/>
          <w:rtl/>
        </w:rPr>
        <w:t>–</w:t>
      </w:r>
      <w:r w:rsidRPr="00C346F6">
        <w:rPr>
          <w:rFonts w:ascii="Century" w:hAnsi="Century" w:hint="cs"/>
          <w:rtl/>
        </w:rPr>
        <w:t xml:space="preserve"> התפתחותן של תרופות אמצע חדשות במשפט האזרחי ותרומתה הגדולה של הנשיאה נאור לעיצובן של תרופות אלו" </w:t>
      </w:r>
      <w:r w:rsidRPr="00C346F6">
        <w:rPr>
          <w:rFonts w:ascii="Century" w:hAnsi="Century" w:cs="Miriam" w:hint="cs"/>
          <w:b/>
          <w:spacing w:val="0"/>
          <w:szCs w:val="24"/>
          <w:rtl/>
        </w:rPr>
        <w:t>ספר מרים נאור</w:t>
      </w:r>
      <w:r w:rsidRPr="00C346F6">
        <w:rPr>
          <w:rFonts w:ascii="Century" w:hAnsi="Century" w:hint="cs"/>
          <w:rtl/>
        </w:rPr>
        <w:t xml:space="preserve"> 807 (א' ברק, ד' ברק-ארז, מ' גל, ר' </w:t>
      </w:r>
      <w:proofErr w:type="spellStart"/>
      <w:r w:rsidRPr="00C346F6">
        <w:rPr>
          <w:rFonts w:ascii="Century" w:hAnsi="Century" w:hint="cs"/>
          <w:rtl/>
        </w:rPr>
        <w:t>פוליאק</w:t>
      </w:r>
      <w:proofErr w:type="spellEnd"/>
      <w:r w:rsidRPr="00C346F6">
        <w:rPr>
          <w:rFonts w:ascii="Century" w:hAnsi="Century" w:hint="cs"/>
          <w:rtl/>
        </w:rPr>
        <w:t xml:space="preserve">, א' </w:t>
      </w:r>
      <w:proofErr w:type="spellStart"/>
      <w:r w:rsidRPr="00C346F6">
        <w:rPr>
          <w:rFonts w:ascii="Century" w:hAnsi="Century" w:hint="cs"/>
          <w:rtl/>
        </w:rPr>
        <w:t>וסטרייך</w:t>
      </w:r>
      <w:proofErr w:type="spellEnd"/>
      <w:r w:rsidRPr="00C346F6">
        <w:rPr>
          <w:rFonts w:ascii="Century" w:hAnsi="Century" w:hint="cs"/>
          <w:rtl/>
        </w:rPr>
        <w:t xml:space="preserve"> וס' כהן עורכים, 2023))].</w:t>
      </w:r>
    </w:p>
    <w:p w:rsidR="00CB004C" w:rsidRPr="00C346F6" w:rsidRDefault="00CB004C" w:rsidP="00CB004C">
      <w:pPr>
        <w:pStyle w:val="Ruller41"/>
        <w:rPr>
          <w:rFonts w:ascii="Century" w:hAnsi="Century"/>
          <w:rtl/>
        </w:rPr>
      </w:pPr>
      <w:r w:rsidRPr="00C346F6">
        <w:rPr>
          <w:rFonts w:ascii="Century" w:hAnsi="Century"/>
          <w:rtl/>
        </w:rPr>
        <w:tab/>
      </w:r>
    </w:p>
    <w:p w:rsidR="00CB004C" w:rsidRPr="00C346F6" w:rsidRDefault="00CB004C" w:rsidP="00CB004C">
      <w:pPr>
        <w:pStyle w:val="Ruller41"/>
        <w:rPr>
          <w:rFonts w:ascii="Century" w:hAnsi="Century"/>
          <w:rtl/>
        </w:rPr>
      </w:pPr>
      <w:r w:rsidRPr="00C346F6">
        <w:rPr>
          <w:rFonts w:ascii="Century" w:hAnsi="Century" w:hint="cs"/>
          <w:rtl/>
        </w:rPr>
        <w:t>18.</w:t>
      </w:r>
      <w:r w:rsidRPr="00C346F6">
        <w:rPr>
          <w:rFonts w:ascii="Century" w:hAnsi="Century" w:hint="cs"/>
          <w:rtl/>
        </w:rPr>
        <w:tab/>
        <w:t xml:space="preserve">השופט </w:t>
      </w:r>
      <w:r w:rsidRPr="00C346F6">
        <w:rPr>
          <w:rFonts w:ascii="Century" w:hAnsi="Century" w:cs="Miriam" w:hint="cs"/>
          <w:b/>
          <w:spacing w:val="0"/>
          <w:szCs w:val="24"/>
          <w:rtl/>
        </w:rPr>
        <w:t>הנדל</w:t>
      </w:r>
      <w:r w:rsidRPr="00C346F6">
        <w:rPr>
          <w:rFonts w:ascii="Century" w:hAnsi="Century" w:hint="cs"/>
          <w:rtl/>
        </w:rPr>
        <w:t xml:space="preserve"> צעד כברת דרך עם העמדה שהציג השופט </w:t>
      </w:r>
      <w:r w:rsidRPr="00C346F6">
        <w:rPr>
          <w:rFonts w:ascii="Century" w:hAnsi="Century" w:cs="Miriam" w:hint="cs"/>
          <w:b/>
          <w:spacing w:val="0"/>
          <w:szCs w:val="24"/>
          <w:rtl/>
        </w:rPr>
        <w:t>רובינשטיין</w:t>
      </w:r>
      <w:r w:rsidRPr="00C346F6">
        <w:rPr>
          <w:rFonts w:ascii="Century" w:hAnsi="Century" w:hint="cs"/>
          <w:rtl/>
        </w:rPr>
        <w:t xml:space="preserve">, אך הגיע לתוצאה שונה. השופט </w:t>
      </w:r>
      <w:r w:rsidRPr="00C346F6">
        <w:rPr>
          <w:rFonts w:ascii="Century" w:hAnsi="Century" w:cs="Miriam" w:hint="cs"/>
          <w:b/>
          <w:spacing w:val="0"/>
          <w:szCs w:val="24"/>
          <w:rtl/>
        </w:rPr>
        <w:t>הנדל</w:t>
      </w:r>
      <w:r w:rsidRPr="00C346F6">
        <w:rPr>
          <w:rFonts w:ascii="Century" w:hAnsi="Century" w:hint="cs"/>
          <w:rtl/>
        </w:rPr>
        <w:t xml:space="preserve"> סבר אף הוא יש לראות את כספי המעילה והגניבה כהכנסה החייבת במס, גם אם קיימת חובת השבה של הכספים לבעליהם וגם אם הושבו בפועל. לדבריו, ככל שהנישום שהחזיק בכספים יכול היה לנהוג בהם כבשלו, אזי יש לראות בהם כהכנסתו. באשר לשאלה אם ניתן לנכות את תשלומי ההשבה, השופט </w:t>
      </w:r>
      <w:r w:rsidRPr="00C346F6">
        <w:rPr>
          <w:rFonts w:ascii="Century" w:hAnsi="Century" w:cs="Miriam" w:hint="cs"/>
          <w:b/>
          <w:spacing w:val="0"/>
          <w:szCs w:val="24"/>
          <w:rtl/>
        </w:rPr>
        <w:t>הנדל</w:t>
      </w:r>
      <w:r w:rsidRPr="00C346F6">
        <w:rPr>
          <w:rFonts w:ascii="Century" w:hAnsi="Century" w:hint="cs"/>
          <w:rtl/>
        </w:rPr>
        <w:t xml:space="preserve"> הצביע על כך שההשבה עצמה אינה הוצאה בלתי חוקית, ומשכך אין לראות את ההכרה בה כנוגדת את תקנת הציבור. לגישתו, הקביעה אם יש להתיר את ניכוי ההוצאה תוכרע תחילה לפי </w:t>
      </w:r>
      <w:r w:rsidRPr="00C346F6">
        <w:rPr>
          <w:rFonts w:ascii="Century" w:hAnsi="Century" w:hint="cs"/>
          <w:rtl/>
        </w:rPr>
        <w:lastRenderedPageBreak/>
        <w:t xml:space="preserve">השאלה אם ניתן </w:t>
      </w:r>
      <w:r w:rsidRPr="00C346F6">
        <w:rPr>
          <w:rFonts w:ascii="Century" w:hAnsi="Century" w:cs="Miriam" w:hint="cs"/>
          <w:b/>
          <w:spacing w:val="0"/>
          <w:szCs w:val="24"/>
          <w:rtl/>
        </w:rPr>
        <w:t>להתיר</w:t>
      </w:r>
      <w:r w:rsidRPr="00C346F6">
        <w:rPr>
          <w:rFonts w:ascii="Century" w:hAnsi="Century" w:hint="cs"/>
          <w:rtl/>
        </w:rPr>
        <w:t xml:space="preserve"> את ניכויה כהוצאה לפי מבחני פקודת מס הכנסה (הוצאה בייצור הכנסה), וככל שהתשובה על כך חיובית, יש לבחון אם יש מקום </w:t>
      </w:r>
      <w:r w:rsidRPr="00C346F6">
        <w:rPr>
          <w:rFonts w:ascii="Century" w:hAnsi="Century" w:cs="Miriam" w:hint="cs"/>
          <w:b/>
          <w:spacing w:val="0"/>
          <w:szCs w:val="24"/>
          <w:rtl/>
        </w:rPr>
        <w:t>לשלול</w:t>
      </w:r>
      <w:r w:rsidRPr="00C346F6">
        <w:rPr>
          <w:rFonts w:ascii="Century" w:hAnsi="Century" w:hint="cs"/>
          <w:rtl/>
        </w:rPr>
        <w:t xml:space="preserve"> את הניכוי משיקולי מדיניות. לעיצומם של דברים, השופט </w:t>
      </w:r>
      <w:r w:rsidRPr="00C346F6">
        <w:rPr>
          <w:rFonts w:ascii="Century" w:hAnsi="Century" w:cs="Miriam" w:hint="cs"/>
          <w:b/>
          <w:spacing w:val="0"/>
          <w:szCs w:val="24"/>
          <w:rtl/>
        </w:rPr>
        <w:t>הנדל</w:t>
      </w:r>
      <w:r w:rsidRPr="00C346F6">
        <w:rPr>
          <w:rFonts w:ascii="Century" w:hAnsi="Century" w:hint="cs"/>
          <w:rtl/>
        </w:rPr>
        <w:t xml:space="preserve"> הסכים כי ניתן לראות בתשלומי ההשבה כהוצאה עסקית הכרוכה ושלובה בייצור ההכנסה, בהיותם התממשות של "'סיכון מסיכוני העסק' בסוג עסק כזה של גניבה או מעילה" (שם, פסקה 15 לפסק דינו).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עם זאת, השופט </w:t>
      </w:r>
      <w:r w:rsidRPr="00C346F6">
        <w:rPr>
          <w:rFonts w:ascii="Century" w:hAnsi="Century" w:cs="Miriam" w:hint="cs"/>
          <w:b/>
          <w:spacing w:val="0"/>
          <w:szCs w:val="24"/>
          <w:rtl/>
        </w:rPr>
        <w:t>הנדל</w:t>
      </w:r>
      <w:r w:rsidRPr="00C346F6">
        <w:rPr>
          <w:rFonts w:ascii="Century" w:hAnsi="Century" w:hint="cs"/>
          <w:rtl/>
        </w:rPr>
        <w:t xml:space="preserve"> היה שותף לעמדתו של השופט </w:t>
      </w:r>
      <w:r w:rsidRPr="00C346F6">
        <w:rPr>
          <w:rFonts w:ascii="Century" w:hAnsi="Century" w:cs="Miriam" w:hint="cs"/>
          <w:b/>
          <w:spacing w:val="0"/>
          <w:szCs w:val="24"/>
          <w:rtl/>
        </w:rPr>
        <w:t>רובינשטיין</w:t>
      </w:r>
      <w:r w:rsidRPr="00C346F6">
        <w:rPr>
          <w:rFonts w:ascii="Century" w:hAnsi="Century" w:hint="cs"/>
          <w:rtl/>
        </w:rPr>
        <w:t xml:space="preserve"> כי לא ניתן לאפשר את </w:t>
      </w:r>
      <w:r w:rsidRPr="00C346F6">
        <w:rPr>
          <w:rFonts w:ascii="Century" w:hAnsi="Century" w:cs="Miriam" w:hint="cs"/>
          <w:b/>
          <w:spacing w:val="0"/>
          <w:szCs w:val="24"/>
          <w:rtl/>
        </w:rPr>
        <w:t>הניכוי</w:t>
      </w:r>
      <w:r w:rsidRPr="00C346F6">
        <w:rPr>
          <w:rFonts w:ascii="Century" w:hAnsi="Century" w:hint="cs"/>
          <w:rtl/>
        </w:rPr>
        <w:t xml:space="preserve"> באופן רטרואקטיבי. בד בבד, ובניגוד לעמדת השופט </w:t>
      </w:r>
      <w:r w:rsidRPr="00C346F6">
        <w:rPr>
          <w:rFonts w:ascii="Century" w:hAnsi="Century" w:cs="Miriam" w:hint="cs"/>
          <w:b/>
          <w:spacing w:val="0"/>
          <w:szCs w:val="24"/>
          <w:rtl/>
        </w:rPr>
        <w:t>רובינשטיין</w:t>
      </w:r>
      <w:r w:rsidRPr="00C346F6">
        <w:rPr>
          <w:rFonts w:ascii="Century" w:hAnsi="Century" w:hint="cs"/>
          <w:rtl/>
        </w:rPr>
        <w:t xml:space="preserve">, השופט </w:t>
      </w:r>
      <w:r w:rsidRPr="00C346F6">
        <w:rPr>
          <w:rFonts w:ascii="Century" w:hAnsi="Century" w:cs="Miriam" w:hint="cs"/>
          <w:b/>
          <w:spacing w:val="0"/>
          <w:szCs w:val="24"/>
          <w:rtl/>
        </w:rPr>
        <w:t>הנדל</w:t>
      </w:r>
      <w:r w:rsidRPr="00C346F6">
        <w:rPr>
          <w:rFonts w:ascii="Century" w:hAnsi="Century" w:hint="cs"/>
          <w:rtl/>
        </w:rPr>
        <w:t xml:space="preserve"> סבר כי הוראות הפקודה גם אינן מאפשרות לבצע </w:t>
      </w:r>
      <w:r w:rsidRPr="00C346F6">
        <w:rPr>
          <w:rFonts w:ascii="Century" w:hAnsi="Century" w:cs="Miriam" w:hint="cs"/>
          <w:b/>
          <w:spacing w:val="0"/>
          <w:szCs w:val="24"/>
          <w:rtl/>
        </w:rPr>
        <w:t>קיזוז</w:t>
      </w:r>
      <w:r w:rsidRPr="00C346F6">
        <w:rPr>
          <w:rFonts w:ascii="Century" w:hAnsi="Century" w:hint="cs"/>
          <w:rtl/>
        </w:rPr>
        <w:t xml:space="preserve"> לאחור. השופט </w:t>
      </w:r>
      <w:r w:rsidRPr="00C346F6">
        <w:rPr>
          <w:rFonts w:ascii="Century" w:hAnsi="Century" w:cs="Miriam" w:hint="cs"/>
          <w:b/>
          <w:spacing w:val="0"/>
          <w:szCs w:val="24"/>
          <w:rtl/>
        </w:rPr>
        <w:t>הנדל</w:t>
      </w:r>
      <w:r w:rsidRPr="00C346F6">
        <w:rPr>
          <w:rFonts w:ascii="Century" w:hAnsi="Century" w:hint="cs"/>
          <w:rtl/>
        </w:rPr>
        <w:t xml:space="preserve"> הטעים כי לשון החוק היא נקודת המוצא, ו"לא ניתן להרחיבה באופן מרחיק לכת, על דרך של הכנסת מילים בפי המחוקק, שלא נאמרו או נרמזו בדרך כלשהי על ידו", וכי אין בעקרון של גביית מס אמת כדי לאפשר </w:t>
      </w:r>
      <w:proofErr w:type="spellStart"/>
      <w:r w:rsidRPr="00C346F6">
        <w:rPr>
          <w:rFonts w:ascii="Century" w:hAnsi="Century" w:hint="cs"/>
          <w:rtl/>
        </w:rPr>
        <w:t>סטיה</w:t>
      </w:r>
      <w:proofErr w:type="spellEnd"/>
      <w:r w:rsidRPr="00C346F6">
        <w:rPr>
          <w:rFonts w:ascii="Century" w:hAnsi="Century" w:hint="cs"/>
          <w:rtl/>
        </w:rPr>
        <w:t xml:space="preserve"> מכך. כן הצביע השופט </w:t>
      </w:r>
      <w:r w:rsidRPr="00C346F6">
        <w:rPr>
          <w:rFonts w:ascii="Century" w:hAnsi="Century" w:cs="Miriam" w:hint="cs"/>
          <w:b/>
          <w:spacing w:val="0"/>
          <w:szCs w:val="24"/>
          <w:rtl/>
        </w:rPr>
        <w:t>הנדל</w:t>
      </w:r>
      <w:r w:rsidRPr="00C346F6">
        <w:rPr>
          <w:rFonts w:ascii="Century" w:hAnsi="Century" w:hint="cs"/>
          <w:rtl/>
        </w:rPr>
        <w:t xml:space="preserve"> על כך שהתרת קיזוז לאחור במקרה של השבת כספי גניבה, תפגע בנישום שומר החוק שאינו רשאי לבצע קיזוז לאחור, וספק אם התרת קיזוז לאחור במקרה של גניבה משקפת דין רצוי מבחינת שיקולי מדיניות.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עמדת של השופט </w:t>
      </w:r>
      <w:r w:rsidRPr="00C346F6">
        <w:rPr>
          <w:rFonts w:ascii="Century" w:hAnsi="Century" w:cs="Miriam" w:hint="cs"/>
          <w:b/>
          <w:spacing w:val="0"/>
          <w:szCs w:val="24"/>
          <w:rtl/>
        </w:rPr>
        <w:t>הנדל</w:t>
      </w:r>
      <w:r w:rsidRPr="00C346F6">
        <w:rPr>
          <w:rFonts w:ascii="Century" w:hAnsi="Century" w:hint="cs"/>
          <w:rtl/>
        </w:rPr>
        <w:t xml:space="preserve"> באשר להעדר אפשרות להתיר קיזוז לאחור נותרה כדעת מיעוט, לאחר שחברי, השופט </w:t>
      </w:r>
      <w:r w:rsidRPr="00C346F6">
        <w:rPr>
          <w:rFonts w:ascii="Century" w:hAnsi="Century" w:cs="Miriam" w:hint="cs"/>
          <w:b/>
          <w:spacing w:val="0"/>
          <w:szCs w:val="24"/>
          <w:rtl/>
        </w:rPr>
        <w:t>סולברג</w:t>
      </w:r>
      <w:r w:rsidRPr="00C346F6">
        <w:rPr>
          <w:rFonts w:ascii="Century" w:hAnsi="Century" w:hint="cs"/>
          <w:rtl/>
        </w:rPr>
        <w:t xml:space="preserve">, צירף דעתו לזו של השופט </w:t>
      </w:r>
      <w:r w:rsidRPr="00C346F6">
        <w:rPr>
          <w:rFonts w:ascii="Century" w:hAnsi="Century" w:cs="Miriam" w:hint="cs"/>
          <w:b/>
          <w:spacing w:val="0"/>
          <w:szCs w:val="24"/>
          <w:rtl/>
        </w:rPr>
        <w:t>רובינשטיין</w:t>
      </w:r>
      <w:r w:rsidRPr="00C346F6">
        <w:rPr>
          <w:rFonts w:ascii="Century" w:hAnsi="Century" w:hint="cs"/>
          <w:rtl/>
        </w:rPr>
        <w:t>.</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19.</w:t>
      </w:r>
      <w:r w:rsidRPr="00C346F6">
        <w:rPr>
          <w:rFonts w:ascii="Century" w:hAnsi="Century" w:hint="cs"/>
          <w:rtl/>
        </w:rPr>
        <w:tab/>
        <w:t xml:space="preserve">להשלמת התמונה נציין כי בעקבות פסק הדין הגיש פקיד השומה בקשה לקיים דיון נוסף, וזו נתקבלה על ידי הנשיאה </w:t>
      </w:r>
      <w:r w:rsidRPr="00C346F6">
        <w:rPr>
          <w:rFonts w:ascii="Century" w:hAnsi="Century" w:cs="Miriam" w:hint="cs"/>
          <w:b/>
          <w:spacing w:val="0"/>
          <w:szCs w:val="24"/>
          <w:rtl/>
        </w:rPr>
        <w:t>מ' נאור</w:t>
      </w:r>
      <w:r w:rsidRPr="00C346F6">
        <w:rPr>
          <w:rFonts w:ascii="Century" w:hAnsi="Century" w:hint="cs"/>
          <w:rtl/>
        </w:rPr>
        <w:t xml:space="preserve">, שהורתה על קיום דיון נוסף בפני שבעה שופטים </w:t>
      </w:r>
      <w:r>
        <w:rPr>
          <w:rFonts w:ascii="Century" w:hAnsi="Century" w:hint="cs"/>
          <w:rtl/>
        </w:rPr>
        <w:t xml:space="preserve">אך ורק </w:t>
      </w:r>
      <w:r w:rsidRPr="00C346F6">
        <w:rPr>
          <w:rFonts w:ascii="Century" w:hAnsi="Century" w:hint="cs"/>
          <w:rtl/>
        </w:rPr>
        <w:t xml:space="preserve">בשאלה </w:t>
      </w:r>
      <w:r w:rsidRPr="00C346F6">
        <w:rPr>
          <w:rFonts w:hint="cs"/>
          <w:rtl/>
        </w:rPr>
        <w:t>"אם ניתן לקזז הפסדים 'לאחור', קרי כנגד הכנסות שהופקו בשנות מס שקדמו לשנת ההפסד" (</w:t>
      </w:r>
      <w:r w:rsidRPr="00C346F6">
        <w:rPr>
          <w:rFonts w:ascii="Century" w:hAnsi="Century" w:hint="cs"/>
          <w:rtl/>
        </w:rPr>
        <w:t>דנ"א 2308/15</w:t>
      </w:r>
      <w:r w:rsidRPr="00C346F6">
        <w:rPr>
          <w:rFonts w:hint="cs"/>
          <w:rtl/>
        </w:rPr>
        <w:t xml:space="preserve">) (להלן: </w:t>
      </w:r>
      <w:r w:rsidRPr="00C346F6">
        <w:rPr>
          <w:rFonts w:ascii="Century" w:hAnsi="Century" w:cs="Miriam" w:hint="cs"/>
          <w:b/>
          <w:spacing w:val="0"/>
          <w:szCs w:val="24"/>
          <w:rtl/>
        </w:rPr>
        <w:t>דנ"א דמארי</w:t>
      </w:r>
      <w:r w:rsidRPr="00C346F6">
        <w:rPr>
          <w:rFonts w:hint="cs"/>
          <w:rtl/>
        </w:rPr>
        <w:t xml:space="preserve">). </w:t>
      </w:r>
      <w:r w:rsidRPr="00C346F6">
        <w:rPr>
          <w:rFonts w:ascii="Century" w:hAnsi="Century" w:hint="cs"/>
          <w:rtl/>
        </w:rPr>
        <w:t xml:space="preserve">בפסק הדין בדיון הנוסף הנשיאה </w:t>
      </w:r>
      <w:r w:rsidRPr="00C346F6">
        <w:rPr>
          <w:rFonts w:ascii="Century" w:hAnsi="Century" w:cs="Miriam" w:hint="cs"/>
          <w:b/>
          <w:spacing w:val="0"/>
          <w:szCs w:val="24"/>
          <w:rtl/>
        </w:rPr>
        <w:t>נאור</w:t>
      </w:r>
      <w:r w:rsidRPr="00C346F6">
        <w:rPr>
          <w:rFonts w:ascii="Century" w:hAnsi="Century" w:hint="cs"/>
          <w:rtl/>
        </w:rPr>
        <w:t xml:space="preserve"> הבהירה כי תיחום השאלה שהועמדה לדיון נוסף באופן האמור מהווה דחיה של טענתם החלופית של המשיבים-הנישומים לקיים דיון נוסף גם בשאלה אם כספי גניבה שהושבו מהווים הכנסה (שאלה שלגביה הכריע בית המשפט פה אחד בפסק דינו בע"א</w:t>
      </w:r>
      <w:r w:rsidRPr="00C346F6">
        <w:rPr>
          <w:rFonts w:ascii="Century" w:hAnsi="Century" w:cs="Miriam" w:hint="cs"/>
          <w:b/>
          <w:spacing w:val="0"/>
          <w:szCs w:val="24"/>
          <w:rtl/>
        </w:rPr>
        <w:t xml:space="preserve"> דמארי</w:t>
      </w:r>
      <w:r w:rsidRPr="00C346F6">
        <w:rPr>
          <w:rFonts w:ascii="Century" w:hAnsi="Century" w:hint="cs"/>
          <w:rtl/>
        </w:rPr>
        <w:t>). מכל מקום, כפי שצוין, סוגיית קיזוז ההפסדים לאחור אינה מתעוררת בדיון הנוסף שלפנינו. משכך, לא ארחיב את הדיבור על ההנמקות ב</w:t>
      </w:r>
      <w:r w:rsidRPr="00C346F6">
        <w:rPr>
          <w:rFonts w:ascii="Century" w:hAnsi="Century" w:cs="Miriam" w:hint="cs"/>
          <w:b/>
          <w:spacing w:val="0"/>
          <w:szCs w:val="24"/>
          <w:rtl/>
        </w:rPr>
        <w:t>דנ"א דמארי</w:t>
      </w:r>
      <w:r w:rsidRPr="00C346F6">
        <w:rPr>
          <w:rFonts w:ascii="Century" w:hAnsi="Century" w:hint="cs"/>
          <w:rtl/>
        </w:rPr>
        <w:t xml:space="preserve">, ואומר בקצרה כי נקבע בו, בדעת רוב של שישה משופטי ההרכב, כי בניגוד לעמדת הרוב בפסק הדין מושא הדיון הנוסף </w:t>
      </w:r>
      <w:r w:rsidRPr="00C346F6">
        <w:rPr>
          <w:rFonts w:ascii="Century" w:hAnsi="Century"/>
          <w:rtl/>
        </w:rPr>
        <w:t>–</w:t>
      </w:r>
      <w:r w:rsidRPr="00C346F6">
        <w:rPr>
          <w:rFonts w:ascii="Century" w:hAnsi="Century" w:hint="cs"/>
          <w:rtl/>
        </w:rPr>
        <w:t xml:space="preserve"> לא ניתן לבצע קיזוז לאחור.</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עתה, לאחר שהצגנו את עיקרי פסק הדין בעניין </w:t>
      </w:r>
      <w:r w:rsidRPr="00C346F6">
        <w:rPr>
          <w:rFonts w:ascii="Century" w:hAnsi="Century" w:cs="Miriam" w:hint="cs"/>
          <w:b/>
          <w:spacing w:val="0"/>
          <w:szCs w:val="24"/>
          <w:rtl/>
        </w:rPr>
        <w:t>דמארי</w:t>
      </w:r>
      <w:r w:rsidRPr="00C346F6">
        <w:rPr>
          <w:rFonts w:ascii="Century" w:hAnsi="Century" w:hint="cs"/>
          <w:rtl/>
        </w:rPr>
        <w:t>, נפנה לשאלות המתעוררות בדיון הנוסף שלפנינו, ונקדים תחילה מילים אחדות על הנושא של מיסוי הכנסות בלתי חוקיות ועל עקרון גביית מס אמת.</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cs="Miriam" w:hint="cs"/>
          <w:b/>
          <w:spacing w:val="0"/>
          <w:szCs w:val="24"/>
          <w:rtl/>
        </w:rPr>
        <w:t>מיסוי הכנסות בלתי חוקיות</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20.</w:t>
      </w:r>
      <w:r w:rsidRPr="00C346F6">
        <w:rPr>
          <w:rFonts w:ascii="Century" w:hAnsi="Century"/>
          <w:rtl/>
        </w:rPr>
        <w:tab/>
      </w:r>
      <w:r w:rsidRPr="00C346F6">
        <w:rPr>
          <w:rFonts w:ascii="Century" w:hAnsi="Century" w:hint="cs"/>
          <w:rtl/>
        </w:rPr>
        <w:t xml:space="preserve">עוד בטרם הידרשות לסוגיית </w:t>
      </w:r>
      <w:r w:rsidRPr="00C346F6">
        <w:rPr>
          <w:rFonts w:ascii="Century" w:hAnsi="Century" w:cs="Miriam" w:hint="cs"/>
          <w:b/>
          <w:spacing w:val="0"/>
          <w:szCs w:val="24"/>
          <w:rtl/>
        </w:rPr>
        <w:t>ניכוי</w:t>
      </w:r>
      <w:r w:rsidRPr="00C346F6">
        <w:rPr>
          <w:rFonts w:ascii="Century" w:hAnsi="Century" w:hint="cs"/>
          <w:rtl/>
        </w:rPr>
        <w:t xml:space="preserve"> הוצאות החילוט העומדת במוקד דיוננו, ישנה סוגיה מקדימה שעניינה בשאלה אם הכנסתו של נישום שהופקה כתוצאה מפעילות בלתי חוקית היא בכלל הכנסה חייבת במס; וככל שיש לראותה כהכנסה חייבת במס, האם קיומה של חובת השבה לגבי כספים אלו או השבתם בפועל (או חילוטם), מביאים ל"איון" ההכנסה ולשלילת מעמדה כהכנסה חייבת במס. בית משפט זה בע"א </w:t>
      </w:r>
      <w:r w:rsidRPr="00C346F6">
        <w:rPr>
          <w:rFonts w:ascii="Century" w:hAnsi="Century" w:cs="Miriam" w:hint="cs"/>
          <w:b/>
          <w:spacing w:val="0"/>
          <w:szCs w:val="24"/>
          <w:rtl/>
        </w:rPr>
        <w:t>דמארי</w:t>
      </w:r>
      <w:r w:rsidRPr="00C346F6">
        <w:rPr>
          <w:rFonts w:ascii="Century" w:hAnsi="Century" w:hint="cs"/>
          <w:rtl/>
        </w:rPr>
        <w:t xml:space="preserve"> השיב על השאלה הראשונה בחיוב ועל השאלה השניה בשלילה; בית המשפט המחוזי שהכריע בעניינו של המבקש צעד, מטבע הדברים, בעקבות פסק הדין בעניין </w:t>
      </w:r>
      <w:r w:rsidRPr="00C346F6">
        <w:rPr>
          <w:rFonts w:ascii="Century" w:hAnsi="Century" w:cs="Miriam" w:hint="cs"/>
          <w:b/>
          <w:spacing w:val="0"/>
          <w:szCs w:val="24"/>
          <w:rtl/>
        </w:rPr>
        <w:t>דמארי</w:t>
      </w:r>
      <w:r w:rsidRPr="00C346F6">
        <w:rPr>
          <w:rFonts w:ascii="Century" w:hAnsi="Century" w:hint="cs"/>
          <w:rtl/>
        </w:rPr>
        <w:t>; וגישה זו קיבלה חיזוק נוסף בפסק הדין מושא הדיון הנוסף, שצעד גם הוא בתלם זה.</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21.</w:t>
      </w:r>
      <w:r w:rsidRPr="00C346F6">
        <w:rPr>
          <w:rFonts w:ascii="Century" w:hAnsi="Century"/>
          <w:rtl/>
        </w:rPr>
        <w:tab/>
      </w:r>
      <w:r w:rsidRPr="00C346F6">
        <w:rPr>
          <w:rFonts w:ascii="Century" w:hAnsi="Century" w:hint="cs"/>
          <w:rtl/>
        </w:rPr>
        <w:t xml:space="preserve">הנחת היסוד המסווגת הכנסות בלתי חוקיות כהכנסות החייבות במס, משקפת הלכה נוהגת ומושרשת בפסיקה הישראלית ובשיטות משפט נוספות, שאין מקום לסטות ממנה </w:t>
      </w:r>
      <w:r w:rsidRPr="00C346F6">
        <w:rPr>
          <w:rFonts w:ascii="FrankRuehl" w:hAnsi="FrankRuehl" w:hint="cs"/>
          <w:sz w:val="28"/>
          <w:rtl/>
        </w:rPr>
        <w:t xml:space="preserve">(ראו הסקירה בדין הישראלי ובמשפט המשווה בע"א </w:t>
      </w:r>
      <w:r w:rsidRPr="00C346F6">
        <w:rPr>
          <w:rFonts w:ascii="Century" w:hAnsi="Century" w:cs="Miriam" w:hint="cs"/>
          <w:b/>
          <w:spacing w:val="0"/>
          <w:szCs w:val="24"/>
          <w:rtl/>
        </w:rPr>
        <w:t>דמארי</w:t>
      </w:r>
      <w:r w:rsidRPr="00C346F6">
        <w:rPr>
          <w:rFonts w:ascii="FrankRuehl" w:hAnsi="FrankRuehl" w:hint="cs"/>
          <w:sz w:val="28"/>
          <w:rtl/>
        </w:rPr>
        <w:t>, פסקאות ל'-מ'</w:t>
      </w:r>
      <w:r w:rsidRPr="00C346F6">
        <w:rPr>
          <w:rFonts w:ascii="Century" w:hAnsi="Century" w:hint="cs"/>
          <w:rtl/>
        </w:rPr>
        <w:t xml:space="preserve">). כפי שהוסבר, הטלת מס על הכנסות שהופקו כתוצאה מפעילות בלתי חוקית היא פעולה מתחייבת, הן לנוכח לשון הפקודה שאינה כוללת הוראה המעניקה פטור להכנסות מסוג זה; הן במישור הערכי והתכליתי, לבל יצא חוטא נשכר ולבל יימצאו נישומים מפרי חוק מופלים לטובה לעומת נישומים שומר חוק. כפי שציין השופט </w:t>
      </w:r>
      <w:r w:rsidRPr="00C346F6">
        <w:rPr>
          <w:rFonts w:ascii="Century" w:hAnsi="Century" w:cs="Miriam" w:hint="cs"/>
          <w:b/>
          <w:spacing w:val="0"/>
          <w:szCs w:val="24"/>
          <w:rtl/>
        </w:rPr>
        <w:t>א' א' לוי</w:t>
      </w:r>
      <w:r w:rsidRPr="00C346F6">
        <w:rPr>
          <w:rFonts w:ascii="Century" w:hAnsi="Century" w:hint="cs"/>
          <w:rtl/>
        </w:rPr>
        <w:t xml:space="preserve"> באחת הפרשות: </w:t>
      </w:r>
    </w:p>
    <w:p w:rsidR="00CB004C" w:rsidRPr="00C346F6" w:rsidRDefault="00CB004C" w:rsidP="00CB004C">
      <w:pPr>
        <w:pStyle w:val="Ruller41"/>
        <w:rPr>
          <w:rtl/>
        </w:rPr>
      </w:pPr>
    </w:p>
    <w:p w:rsidR="00CB004C" w:rsidRPr="00C346F6" w:rsidRDefault="00CB004C" w:rsidP="00CB004C">
      <w:pPr>
        <w:pStyle w:val="Ruller5"/>
        <w:rPr>
          <w:rFonts w:ascii="FrankRuehl" w:hAnsi="FrankRuehl"/>
          <w:sz w:val="28"/>
          <w:rtl/>
        </w:rPr>
      </w:pPr>
      <w:r w:rsidRPr="00C346F6">
        <w:rPr>
          <w:rFonts w:hint="cs"/>
          <w:rtl/>
        </w:rPr>
        <w:t>"א</w:t>
      </w:r>
      <w:r w:rsidRPr="00C346F6">
        <w:rPr>
          <w:rtl/>
        </w:rPr>
        <w:t>ין מניעה מהטלת מס על רווח שהופק מפעילות בלתי חוקית או על נכס שנרכש שלא כדין. אדרבה, בתי-המשפט נוהגים לעשות זאת מקום שבו הם מרשיעים נאשמים בפעילות בלתי חוקית שכרוך בה גם רווח. אין בהטלת המס משום מחילה על אי-חוקיות המעשה. רשויות המס בודקות את הערך הכלכלי של הפעולה בלי להביע עמדה כלפי מוסריותה או כלפי חוקיותה. גישה אחרת הייתה מעניקה פטור מחובת המס למי שנהנה מפעילות בלתי חוקית.</w:t>
      </w:r>
      <w:r w:rsidRPr="00C346F6">
        <w:rPr>
          <w:rFonts w:hint="cs"/>
          <w:rtl/>
        </w:rPr>
        <w:t xml:space="preserve"> </w:t>
      </w:r>
      <w:r w:rsidRPr="00C346F6">
        <w:rPr>
          <w:rtl/>
        </w:rPr>
        <w:t>חוקיותו של מקור הרווח – כמו חוקיותו של מקור השבח – אינה רלוונטית אפוא לעניין החיוב במס</w:t>
      </w:r>
      <w:r w:rsidRPr="00C346F6">
        <w:rPr>
          <w:rFonts w:hint="cs"/>
          <w:rtl/>
        </w:rPr>
        <w:t>" (</w:t>
      </w:r>
      <w:r w:rsidRPr="00C346F6">
        <w:rPr>
          <w:rFonts w:ascii="FrankRuehl" w:hAnsi="FrankRuehl"/>
          <w:sz w:val="28"/>
          <w:rtl/>
        </w:rPr>
        <w:t xml:space="preserve">ע"א 471/03‏ </w:t>
      </w:r>
      <w:r w:rsidRPr="00C346F6">
        <w:rPr>
          <w:rFonts w:ascii="Century" w:hAnsi="Century" w:cs="Miriam"/>
          <w:b/>
          <w:spacing w:val="0"/>
          <w:szCs w:val="24"/>
          <w:rtl/>
        </w:rPr>
        <w:t>אהרוני נ' מנהל מס שבח מקרקעין (חדרה)‏</w:t>
      </w:r>
      <w:r w:rsidRPr="00C346F6">
        <w:rPr>
          <w:rFonts w:ascii="FrankRuehl" w:hAnsi="FrankRuehl"/>
          <w:sz w:val="28"/>
          <w:rtl/>
        </w:rPr>
        <w:t>, פ</w:t>
      </w:r>
      <w:r w:rsidRPr="00C346F6">
        <w:rPr>
          <w:rFonts w:ascii="FrankRuehl" w:hAnsi="FrankRuehl" w:hint="cs"/>
          <w:sz w:val="28"/>
          <w:rtl/>
        </w:rPr>
        <w:t>"</w:t>
      </w:r>
      <w:r w:rsidRPr="00C346F6">
        <w:rPr>
          <w:rFonts w:ascii="FrankRuehl" w:hAnsi="FrankRuehl"/>
          <w:sz w:val="28"/>
          <w:rtl/>
        </w:rPr>
        <w:t>ד נח(3) 54</w:t>
      </w:r>
      <w:r w:rsidRPr="00C346F6">
        <w:rPr>
          <w:rFonts w:ascii="FrankRuehl" w:hAnsi="FrankRuehl" w:hint="cs"/>
          <w:sz w:val="28"/>
          <w:rtl/>
        </w:rPr>
        <w:t xml:space="preserve">, 61 (2004)). </w:t>
      </w:r>
    </w:p>
    <w:p w:rsidR="00CB004C" w:rsidRPr="00C346F6" w:rsidRDefault="00CB004C" w:rsidP="00CB004C">
      <w:pPr>
        <w:pStyle w:val="Ruller41"/>
        <w:rPr>
          <w:rtl/>
        </w:rPr>
      </w:pPr>
    </w:p>
    <w:p w:rsidR="00CB004C" w:rsidRPr="00C346F6" w:rsidRDefault="00CB004C" w:rsidP="00CB004C">
      <w:pPr>
        <w:pStyle w:val="Ruller41"/>
        <w:rPr>
          <w:rFonts w:ascii="Century" w:hAnsi="Century"/>
          <w:rtl/>
        </w:rPr>
      </w:pPr>
      <w:r w:rsidRPr="00C346F6">
        <w:rPr>
          <w:rFonts w:ascii="FrankRuehl" w:hAnsi="FrankRuehl"/>
          <w:sz w:val="28"/>
          <w:rtl/>
        </w:rPr>
        <w:tab/>
      </w:r>
      <w:r w:rsidRPr="00C346F6">
        <w:rPr>
          <w:rFonts w:ascii="FrankRuehl" w:hAnsi="FrankRuehl" w:hint="cs"/>
          <w:sz w:val="28"/>
          <w:rtl/>
        </w:rPr>
        <w:t xml:space="preserve">(כן ראו בפסק הדין מושא הדיון הנוסף, פסקה 22 לחוות דעתו של השופט </w:t>
      </w:r>
      <w:r w:rsidRPr="00C346F6">
        <w:rPr>
          <w:rFonts w:ascii="Century" w:hAnsi="Century" w:cs="Miriam" w:hint="cs"/>
          <w:b/>
          <w:spacing w:val="0"/>
          <w:szCs w:val="24"/>
          <w:rtl/>
        </w:rPr>
        <w:t>קרא</w:t>
      </w:r>
      <w:r w:rsidRPr="00C346F6">
        <w:rPr>
          <w:rFonts w:ascii="FrankRuehl" w:hAnsi="FrankRuehl" w:hint="cs"/>
          <w:sz w:val="28"/>
          <w:rtl/>
        </w:rPr>
        <w:t xml:space="preserve">; ועיינו עוד אצל נירה </w:t>
      </w:r>
      <w:proofErr w:type="spellStart"/>
      <w:r w:rsidRPr="00C346F6">
        <w:rPr>
          <w:rFonts w:ascii="FrankRuehl" w:hAnsi="FrankRuehl" w:hint="cs"/>
          <w:sz w:val="28"/>
          <w:rtl/>
        </w:rPr>
        <w:t>אורצקי</w:t>
      </w:r>
      <w:proofErr w:type="spellEnd"/>
      <w:r w:rsidRPr="00C346F6">
        <w:rPr>
          <w:rFonts w:ascii="FrankRuehl" w:hAnsi="FrankRuehl" w:hint="cs"/>
          <w:sz w:val="28"/>
          <w:rtl/>
        </w:rPr>
        <w:t xml:space="preserve"> </w:t>
      </w:r>
      <w:r w:rsidRPr="00C346F6">
        <w:rPr>
          <w:rFonts w:ascii="Century" w:hAnsi="Century" w:cs="Miriam" w:hint="cs"/>
          <w:b/>
          <w:spacing w:val="0"/>
          <w:szCs w:val="24"/>
          <w:rtl/>
        </w:rPr>
        <w:t>הכנסות והוצאות בלתי-חוקיות בדיני מיסים</w:t>
      </w:r>
      <w:r w:rsidRPr="00C346F6">
        <w:rPr>
          <w:rFonts w:ascii="FrankRuehl" w:hAnsi="FrankRuehl" w:hint="cs"/>
          <w:sz w:val="28"/>
          <w:rtl/>
        </w:rPr>
        <w:t xml:space="preserve"> 26 (1990)</w:t>
      </w:r>
      <w:r w:rsidRPr="00C346F6">
        <w:rPr>
          <w:rFonts w:ascii="Century" w:hAnsi="Century" w:hint="cs"/>
          <w:rtl/>
        </w:rPr>
        <w:t xml:space="preserve"> (להלן: </w:t>
      </w:r>
      <w:proofErr w:type="spellStart"/>
      <w:r w:rsidRPr="00C346F6">
        <w:rPr>
          <w:rFonts w:ascii="Century" w:hAnsi="Century" w:cs="Miriam" w:hint="cs"/>
          <w:b/>
          <w:spacing w:val="0"/>
          <w:szCs w:val="24"/>
          <w:rtl/>
        </w:rPr>
        <w:t>אורצקי</w:t>
      </w:r>
      <w:proofErr w:type="spellEnd"/>
      <w:r w:rsidRPr="00C346F6">
        <w:rPr>
          <w:rFonts w:ascii="Century" w:hAnsi="Century" w:hint="cs"/>
          <w:rtl/>
        </w:rPr>
        <w:t xml:space="preserve">)); אהרן </w:t>
      </w:r>
      <w:proofErr w:type="spellStart"/>
      <w:r w:rsidRPr="00C346F6">
        <w:rPr>
          <w:rFonts w:ascii="Century" w:hAnsi="Century" w:hint="cs"/>
          <w:rtl/>
        </w:rPr>
        <w:t>נמדר</w:t>
      </w:r>
      <w:proofErr w:type="spellEnd"/>
      <w:r w:rsidRPr="00C346F6">
        <w:rPr>
          <w:rFonts w:ascii="Century" w:hAnsi="Century" w:hint="cs"/>
          <w:rtl/>
        </w:rPr>
        <w:t xml:space="preserve"> </w:t>
      </w:r>
      <w:r w:rsidRPr="00C346F6">
        <w:rPr>
          <w:rFonts w:ascii="Century" w:hAnsi="Century" w:cs="Miriam" w:hint="cs"/>
          <w:b/>
          <w:spacing w:val="0"/>
          <w:szCs w:val="24"/>
          <w:rtl/>
        </w:rPr>
        <w:t xml:space="preserve">מס הכנסה </w:t>
      </w:r>
      <w:r w:rsidRPr="00C346F6">
        <w:rPr>
          <w:rFonts w:ascii="Century" w:hAnsi="Century" w:cs="Miriam"/>
          <w:b/>
          <w:spacing w:val="0"/>
          <w:szCs w:val="24"/>
          <w:rtl/>
        </w:rPr>
        <w:t>–</w:t>
      </w:r>
      <w:r w:rsidRPr="00C346F6">
        <w:rPr>
          <w:rFonts w:ascii="Century" w:hAnsi="Century" w:cs="Miriam" w:hint="cs"/>
          <w:b/>
          <w:spacing w:val="0"/>
          <w:szCs w:val="24"/>
          <w:rtl/>
        </w:rPr>
        <w:t xml:space="preserve"> יסודות ועיקרים</w:t>
      </w:r>
      <w:r w:rsidRPr="00C346F6">
        <w:rPr>
          <w:rFonts w:ascii="Century" w:hAnsi="Century" w:hint="cs"/>
          <w:rtl/>
        </w:rPr>
        <w:t xml:space="preserve"> 72 (2013) (להלן: </w:t>
      </w:r>
      <w:proofErr w:type="spellStart"/>
      <w:r w:rsidRPr="00C346F6">
        <w:rPr>
          <w:rFonts w:ascii="Century" w:hAnsi="Century" w:cs="Miriam" w:hint="cs"/>
          <w:b/>
          <w:spacing w:val="0"/>
          <w:szCs w:val="24"/>
          <w:rtl/>
        </w:rPr>
        <w:t>נמדר</w:t>
      </w:r>
      <w:proofErr w:type="spellEnd"/>
      <w:r w:rsidRPr="00C346F6">
        <w:rPr>
          <w:rFonts w:ascii="Century" w:hAnsi="Century" w:hint="cs"/>
          <w:rtl/>
        </w:rPr>
        <w:t xml:space="preserve">); אמנון רפאל </w:t>
      </w:r>
      <w:r w:rsidRPr="00C346F6">
        <w:rPr>
          <w:rFonts w:ascii="Century" w:hAnsi="Century" w:cs="Miriam" w:hint="cs"/>
          <w:b/>
          <w:spacing w:val="0"/>
          <w:szCs w:val="24"/>
          <w:rtl/>
        </w:rPr>
        <w:t>מס הכנסה</w:t>
      </w:r>
      <w:r w:rsidRPr="00C346F6">
        <w:rPr>
          <w:rFonts w:ascii="Century" w:hAnsi="Century" w:hint="cs"/>
          <w:rtl/>
        </w:rPr>
        <w:t xml:space="preserve"> 300-299 (מהדורה רביעית, 2009) (להלן: </w:t>
      </w:r>
      <w:r w:rsidRPr="00C346F6">
        <w:rPr>
          <w:rFonts w:ascii="Century" w:hAnsi="Century" w:cs="Miriam" w:hint="cs"/>
          <w:b/>
          <w:spacing w:val="0"/>
          <w:szCs w:val="24"/>
          <w:rtl/>
        </w:rPr>
        <w:t>רפאל</w:t>
      </w:r>
      <w:r w:rsidRPr="00C346F6">
        <w:rPr>
          <w:rFonts w:ascii="Century" w:hAnsi="Century" w:hint="cs"/>
          <w:rtl/>
        </w:rPr>
        <w:t>)).</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lastRenderedPageBreak/>
        <w:t>22.</w:t>
      </w:r>
      <w:r w:rsidRPr="00C346F6">
        <w:rPr>
          <w:rFonts w:ascii="Century" w:hAnsi="Century"/>
          <w:rtl/>
        </w:rPr>
        <w:tab/>
      </w:r>
      <w:r w:rsidRPr="00C346F6">
        <w:rPr>
          <w:rFonts w:ascii="Century" w:hAnsi="Century" w:hint="cs"/>
          <w:rtl/>
        </w:rPr>
        <w:t xml:space="preserve">נאמן להלכה שנקבעה בעניין </w:t>
      </w:r>
      <w:r w:rsidRPr="00C346F6">
        <w:rPr>
          <w:rFonts w:ascii="Century" w:hAnsi="Century" w:cs="Miriam" w:hint="cs"/>
          <w:b/>
          <w:spacing w:val="0"/>
          <w:szCs w:val="24"/>
          <w:rtl/>
        </w:rPr>
        <w:t>דמארי</w:t>
      </w:r>
      <w:r w:rsidRPr="00C346F6">
        <w:rPr>
          <w:rFonts w:ascii="Century" w:hAnsi="Century" w:hint="cs"/>
          <w:rtl/>
        </w:rPr>
        <w:t xml:space="preserve">, איני רואה להרהר אחר התפישה הגורסת כי הכנסה בלתי חוקית שומרת על מעמדה כהכנסה חייבת גם כאשר קיימת לגביה חובת השבה, וגם אם הכספים הושבו בפועל או חולטו. כפי שהוסבר, לצורך סיווג הכנסה כחייבת אין להביא בחשבון את שהתרחש לאחר קבלתה, וככלל יש להפריד בין סיווג ההכנסה על פי מועד הפקתה לבין היתכנות עתידית לשלילתה. כמו כן, סיווג ההכנסה נעשה על בסיס תוכנה המהותי-כלכלי ואופן התייחסותו הסובייקטיבית של הנישום לכספים, אם תפש אותם כקניינו שלו ונהג בהם מנהג בעלים אם לאו, וככלל אין בשלילה מאוחרת של הכספים כדי לשנות את טיבה של ההכנסה למן מועד הפקתה ועד לשלילתה (שם, פסקאות ס"ב-ס"ה; כן ראו בפסק הדין מושא הדיון הנוסף, פסקאות 24-22 לחוות דעתו של השופט </w:t>
      </w:r>
      <w:r w:rsidRPr="00C346F6">
        <w:rPr>
          <w:rFonts w:ascii="Century" w:hAnsi="Century" w:cs="Miriam" w:hint="cs"/>
          <w:b/>
          <w:spacing w:val="0"/>
          <w:szCs w:val="24"/>
          <w:rtl/>
        </w:rPr>
        <w:t>קרא</w:t>
      </w:r>
      <w:r w:rsidRPr="00C346F6">
        <w:rPr>
          <w:rFonts w:ascii="Century" w:hAnsi="Century" w:hint="cs"/>
          <w:rtl/>
        </w:rPr>
        <w:t xml:space="preserve"> והאסמכתאות שם; </w:t>
      </w:r>
      <w:proofErr w:type="spellStart"/>
      <w:r w:rsidRPr="00C346F6">
        <w:rPr>
          <w:rFonts w:ascii="Century" w:hAnsi="Century" w:cs="Miriam" w:hint="cs"/>
          <w:b/>
          <w:spacing w:val="0"/>
          <w:szCs w:val="24"/>
          <w:rtl/>
        </w:rPr>
        <w:t>נמדר</w:t>
      </w:r>
      <w:proofErr w:type="spellEnd"/>
      <w:r w:rsidRPr="00C346F6">
        <w:rPr>
          <w:rFonts w:ascii="Century" w:hAnsi="Century" w:hint="cs"/>
          <w:rtl/>
        </w:rPr>
        <w:t xml:space="preserve"> בעמ' 74); והשוו ליוסף מ' </w:t>
      </w:r>
      <w:proofErr w:type="spellStart"/>
      <w:r w:rsidRPr="00C346F6">
        <w:rPr>
          <w:rFonts w:ascii="Century" w:hAnsi="Century" w:hint="cs"/>
          <w:rtl/>
        </w:rPr>
        <w:t>אדרעי</w:t>
      </w:r>
      <w:proofErr w:type="spellEnd"/>
      <w:r w:rsidRPr="00C346F6">
        <w:rPr>
          <w:rFonts w:ascii="Century" w:hAnsi="Century" w:hint="cs"/>
          <w:rtl/>
        </w:rPr>
        <w:t xml:space="preserve"> "על הכנסה גולמית ועל הכנסה חייבת: על ההבחנה בין אי-חבות במס לבין ניכוי הוצאות" </w:t>
      </w:r>
      <w:r w:rsidRPr="00C346F6">
        <w:rPr>
          <w:rFonts w:ascii="Century" w:hAnsi="Century" w:cs="Miriam" w:hint="cs"/>
          <w:b/>
          <w:spacing w:val="0"/>
          <w:szCs w:val="24"/>
          <w:rtl/>
        </w:rPr>
        <w:t>ספר לפידות</w:t>
      </w:r>
      <w:r w:rsidRPr="00C346F6">
        <w:rPr>
          <w:rFonts w:ascii="Century" w:hAnsi="Century" w:hint="cs"/>
          <w:rtl/>
        </w:rPr>
        <w:t xml:space="preserve"> 19 (ד' </w:t>
      </w:r>
      <w:proofErr w:type="spellStart"/>
      <w:r w:rsidRPr="00C346F6">
        <w:rPr>
          <w:rFonts w:ascii="Century" w:hAnsi="Century" w:hint="cs"/>
          <w:rtl/>
        </w:rPr>
        <w:t>גליקסברג</w:t>
      </w:r>
      <w:proofErr w:type="spellEnd"/>
      <w:r w:rsidRPr="00C346F6">
        <w:rPr>
          <w:rFonts w:ascii="Century" w:hAnsi="Century" w:hint="cs"/>
          <w:rtl/>
        </w:rPr>
        <w:t xml:space="preserve"> עורך, 2015), שגישתו נדחתה בע"א </w:t>
      </w:r>
      <w:r w:rsidRPr="00C346F6">
        <w:rPr>
          <w:rFonts w:ascii="Century" w:hAnsi="Century" w:cs="Miriam" w:hint="cs"/>
          <w:b/>
          <w:spacing w:val="0"/>
          <w:szCs w:val="24"/>
          <w:rtl/>
        </w:rPr>
        <w:t>דמארי</w:t>
      </w:r>
      <w:r w:rsidRPr="00C346F6">
        <w:rPr>
          <w:rFonts w:ascii="Century" w:hAnsi="Century" w:hint="cs"/>
          <w:rtl/>
        </w:rPr>
        <w:t xml:space="preserve">).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אוסיף לעניין זה, כי בעת בחינת התייחסותו הסובייקטיבית של הנישום לכספים, יש ליתן את הדעת על פרק הזמן שבו החזיק בכספים וטיב השימוש שעשה בהם. אכן, לא דומה מי "שמתפרנס" דרך קבע מתקבולים בלתי חוקיים, שיש לראותו כמי שנהג בכספים מנהג בעלים </w:t>
      </w:r>
      <w:proofErr w:type="spellStart"/>
      <w:r w:rsidRPr="00C346F6">
        <w:rPr>
          <w:rFonts w:ascii="Century" w:hAnsi="Century" w:hint="cs"/>
          <w:rtl/>
        </w:rPr>
        <w:t>ולמסותו</w:t>
      </w:r>
      <w:proofErr w:type="spellEnd"/>
      <w:r w:rsidRPr="00C346F6">
        <w:rPr>
          <w:rFonts w:ascii="Century" w:hAnsi="Century" w:hint="cs"/>
          <w:rtl/>
        </w:rPr>
        <w:t xml:space="preserve"> בהתאם; לגנב שנתפס עם השלל ברשותו בעודו נמלט מהזירה (שלא נהג ולא יכול היה לנהוג בכסף מנהג בעלים), שאין לראותו כמי שצמחה לו הכנסה בגובה השלל (ראו בדומה דברי השופט </w:t>
      </w:r>
      <w:r w:rsidRPr="00C346F6">
        <w:rPr>
          <w:rFonts w:ascii="Century" w:hAnsi="Century" w:cs="Miriam" w:hint="cs"/>
          <w:b/>
          <w:spacing w:val="0"/>
          <w:szCs w:val="24"/>
          <w:rtl/>
        </w:rPr>
        <w:t>הנדל</w:t>
      </w:r>
      <w:r w:rsidRPr="00C346F6">
        <w:rPr>
          <w:rFonts w:ascii="Century" w:hAnsi="Century" w:hint="cs"/>
          <w:rtl/>
        </w:rPr>
        <w:t xml:space="preserve"> בע"א </w:t>
      </w:r>
      <w:r w:rsidRPr="00C346F6">
        <w:rPr>
          <w:rFonts w:ascii="Century" w:hAnsi="Century" w:cs="Miriam" w:hint="cs"/>
          <w:b/>
          <w:spacing w:val="0"/>
          <w:szCs w:val="24"/>
          <w:rtl/>
        </w:rPr>
        <w:t>דמארי</w:t>
      </w:r>
      <w:r w:rsidRPr="00C346F6">
        <w:rPr>
          <w:rFonts w:ascii="Century" w:hAnsi="Century" w:hint="cs"/>
          <w:rtl/>
        </w:rPr>
        <w:t>, פסקה 8 לפסק דינו).</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23.</w:t>
      </w:r>
      <w:r w:rsidRPr="00C346F6">
        <w:rPr>
          <w:rFonts w:ascii="Century" w:hAnsi="Century"/>
          <w:rtl/>
        </w:rPr>
        <w:tab/>
      </w:r>
      <w:r w:rsidRPr="00C346F6">
        <w:rPr>
          <w:rFonts w:ascii="Century" w:hAnsi="Century" w:hint="cs"/>
          <w:rtl/>
        </w:rPr>
        <w:t xml:space="preserve">הנה כי כן, כללו של דבר שחילוט הכנסה בלתי חוקית שהפיק הנישום או חיובו של הנישום להשיב את הכספים בחלוף תקופה מאז שנתקבלו בידיו, אינם שוללים למפרע את מעמדה של ההכנסה </w:t>
      </w:r>
      <w:proofErr w:type="spellStart"/>
      <w:r w:rsidRPr="00C346F6">
        <w:rPr>
          <w:rFonts w:ascii="Century" w:hAnsi="Century" w:hint="cs"/>
          <w:rtl/>
        </w:rPr>
        <w:t>ככזו</w:t>
      </w:r>
      <w:proofErr w:type="spellEnd"/>
      <w:r w:rsidRPr="00C346F6">
        <w:rPr>
          <w:rFonts w:ascii="Century" w:hAnsi="Century" w:hint="cs"/>
          <w:rtl/>
        </w:rPr>
        <w:t xml:space="preserve"> החייבת במס. עיון בטיעוני הצדדים במקרה שלפנינו מעלה כי אף לשיטתם, הכנסות המבקש כתוצאה מעסקי ההימורים הן הכנסה החייבת במס; ואין בעצם חילוט הסכומים לאחר מכן במסגרת ההליך הפלילי כדי לשלול מהכנסות אלה את מעמדן כהכנסה חייבת, לא מלכתחילה ולא בדיעבד. זוהי אפוא נקודת המוצא לדיוננו, בבחינת אקדמות </w:t>
      </w:r>
      <w:proofErr w:type="spellStart"/>
      <w:r w:rsidRPr="00C346F6">
        <w:rPr>
          <w:rFonts w:ascii="Century" w:hAnsi="Century" w:hint="cs"/>
          <w:rtl/>
        </w:rPr>
        <w:t>מילין</w:t>
      </w:r>
      <w:proofErr w:type="spellEnd"/>
      <w:r w:rsidRPr="00C346F6">
        <w:rPr>
          <w:rFonts w:ascii="Century" w:hAnsi="Century" w:hint="cs"/>
          <w:rtl/>
        </w:rPr>
        <w:t xml:space="preserve"> לסוגיית </w:t>
      </w:r>
      <w:r w:rsidRPr="00C346F6">
        <w:rPr>
          <w:rFonts w:ascii="Century" w:hAnsi="Century" w:cs="Miriam" w:hint="cs"/>
          <w:b/>
          <w:spacing w:val="0"/>
          <w:szCs w:val="24"/>
          <w:rtl/>
        </w:rPr>
        <w:t>ניכוי</w:t>
      </w:r>
      <w:r w:rsidRPr="00C346F6">
        <w:rPr>
          <w:rFonts w:ascii="Century" w:hAnsi="Century" w:hint="cs"/>
          <w:rtl/>
        </w:rPr>
        <w:t xml:space="preserve"> הסכום שחולט כהוצאה.</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cs="Miriam" w:hint="cs"/>
          <w:b/>
          <w:spacing w:val="0"/>
          <w:szCs w:val="24"/>
          <w:rtl/>
        </w:rPr>
        <w:t>עקרון גביית מס אמת</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24.</w:t>
      </w:r>
      <w:r w:rsidRPr="00C346F6">
        <w:rPr>
          <w:rFonts w:ascii="Century" w:hAnsi="Century" w:hint="cs"/>
          <w:rtl/>
        </w:rPr>
        <w:tab/>
        <w:t xml:space="preserve">משעה שהזכרנו את ההלכה הקובעת כי תקבולים בלתי חוקיים הם הכנסה חייבת, ומעת שעמדנו על הצורך להתחקות אחר מהותה הכלכלית של ההכנסה, ראוי להתייחס </w:t>
      </w:r>
      <w:r w:rsidRPr="00C346F6">
        <w:rPr>
          <w:rFonts w:ascii="Century" w:hAnsi="Century" w:hint="cs"/>
          <w:rtl/>
        </w:rPr>
        <w:lastRenderedPageBreak/>
        <w:t xml:space="preserve">בקצרה לטענה שהעלה פקיד השומה, הסבור כי אי-הכרה בחילוט כהוצאה המותרת בניכוי כלל אינה מנוגדת לעיקרון של גביית מס אמת.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כך, לטענת פקיד השומה, מס אמת הוא מס בהתאם להוראות הדין, ובהינתן הקביעה בפסק הדין מושא הדיון הנוסף כי סכומי החילוט במקרה דנן אינם מותרים בניכוי, הרי שממילא אי-ניכויים מגשים את העיקרון של גביית מס אמת, ודווקא התרת ניכויים היא שתגרור מיסוי שאינו אמת. כתימוכין לטענתו אף ציטט פקיד השומה מדבריו של השופט </w:t>
      </w:r>
      <w:r w:rsidRPr="00C346F6">
        <w:rPr>
          <w:rFonts w:ascii="Century" w:hAnsi="Century" w:cs="Miriam" w:hint="cs"/>
          <w:b/>
          <w:spacing w:val="0"/>
          <w:szCs w:val="24"/>
          <w:rtl/>
        </w:rPr>
        <w:t>קרא</w:t>
      </w:r>
      <w:r w:rsidRPr="00C346F6">
        <w:rPr>
          <w:rFonts w:ascii="Century" w:hAnsi="Century" w:hint="cs"/>
          <w:rtl/>
        </w:rPr>
        <w:t xml:space="preserve"> בפסק הדין, שהעיר כי אי-התרת ניכוי הסכום שחולט כהוצאה אינה מעוררת קושי משפטי או מוסרי, שכן זו המסקנה המתבקשת מהדין הקיים ומאופיו של החילוט.</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25.</w:t>
      </w:r>
      <w:r w:rsidRPr="00C346F6">
        <w:rPr>
          <w:rFonts w:ascii="Century" w:hAnsi="Century"/>
          <w:rtl/>
        </w:rPr>
        <w:tab/>
      </w:r>
      <w:r w:rsidRPr="00C346F6">
        <w:rPr>
          <w:rFonts w:ascii="Century" w:hAnsi="Century" w:hint="cs"/>
          <w:rtl/>
        </w:rPr>
        <w:t xml:space="preserve">אין לקבל טענה זו של פקיד השומה. לא זו בלבד שהיא לוקה בהנחת המבוקש, אלא שהיא אף כוללת הצגה חלקית (שמא בלתי ראויה) של דברי השופט </w:t>
      </w:r>
      <w:r w:rsidRPr="00C346F6">
        <w:rPr>
          <w:rFonts w:ascii="Century" w:hAnsi="Century" w:cs="Miriam" w:hint="cs"/>
          <w:b/>
          <w:spacing w:val="0"/>
          <w:szCs w:val="24"/>
          <w:rtl/>
        </w:rPr>
        <w:t>קרא</w:t>
      </w:r>
      <w:r w:rsidRPr="00C346F6">
        <w:rPr>
          <w:rFonts w:ascii="Century" w:hAnsi="Century" w:hint="cs"/>
          <w:rtl/>
        </w:rPr>
        <w:t xml:space="preserve"> בפסק הדין. ודוק: </w:t>
      </w:r>
      <w:r w:rsidRPr="00C346F6">
        <w:rPr>
          <w:rFonts w:ascii="Century" w:hAnsi="Century"/>
          <w:rtl/>
        </w:rPr>
        <w:t>העובדה ש</w:t>
      </w:r>
      <w:r w:rsidRPr="00C346F6">
        <w:rPr>
          <w:rFonts w:ascii="Century" w:hAnsi="Century" w:hint="cs"/>
          <w:rtl/>
        </w:rPr>
        <w:t>בפסק הדין מושא הדיון הנוסף, בית המשפט בחר לאמץ את גישת פקיד השומה ולא להתיר את ניכוי סכומי החילוט כהוצאה, אין פירושה כי התוצאה אינה עומדת במתח אל מול העיקרון של גביית מס אמת. במקרה דנן הדברים יפים שבעתיים, שהרי מצויים אנו בגדרו של דיון נוסף שבו עלינו להעמיד לבחינה נוספת את ההלכה שנקבעה בפסק הדין. ממילא, לא ניתן לקבל את טענתו של פקיד השומה כי לנוכח הקביעה בפסק הדין מדובר במס אמת, שהרי שאלה זו בעינה עומדת ועודנה טעונה הכרעתנו.</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26.</w:t>
      </w:r>
      <w:r w:rsidRPr="00C346F6">
        <w:rPr>
          <w:rFonts w:ascii="Century" w:hAnsi="Century" w:hint="cs"/>
          <w:rtl/>
        </w:rPr>
        <w:tab/>
        <w:t xml:space="preserve">ולעצם  הטענה. "המונח </w:t>
      </w:r>
      <w:r w:rsidRPr="00C346F6">
        <w:rPr>
          <w:rFonts w:ascii="Century" w:hAnsi="Century" w:cs="Miriam" w:hint="cs"/>
          <w:b/>
          <w:spacing w:val="0"/>
          <w:szCs w:val="24"/>
          <w:rtl/>
        </w:rPr>
        <w:t>'הכנסה'</w:t>
      </w:r>
      <w:r w:rsidRPr="00C346F6">
        <w:rPr>
          <w:rFonts w:ascii="Century" w:hAnsi="Century" w:hint="cs"/>
          <w:rtl/>
        </w:rPr>
        <w:t xml:space="preserve"> מבקש לתאר תוספת ל'עושרו' הכלכלי של הנישום" (</w:t>
      </w:r>
      <w:r w:rsidRPr="00C346F6">
        <w:rPr>
          <w:rFonts w:ascii="Century" w:hAnsi="Century" w:cs="Miriam" w:hint="cs"/>
          <w:b/>
          <w:spacing w:val="0"/>
          <w:szCs w:val="24"/>
          <w:rtl/>
        </w:rPr>
        <w:t>רפאל</w:t>
      </w:r>
      <w:r w:rsidRPr="00C346F6">
        <w:rPr>
          <w:rFonts w:ascii="Century" w:hAnsi="Century" w:hint="cs"/>
          <w:rtl/>
        </w:rPr>
        <w:t xml:space="preserve"> בעמ' 42, ההדגשה הוספה </w:t>
      </w:r>
      <w:r w:rsidRPr="00C346F6">
        <w:rPr>
          <w:rFonts w:ascii="Century" w:hAnsi="Century"/>
          <w:rtl/>
        </w:rPr>
        <w:t>–</w:t>
      </w:r>
      <w:r w:rsidRPr="00C346F6">
        <w:rPr>
          <w:rFonts w:ascii="Century" w:hAnsi="Century" w:hint="cs"/>
          <w:rtl/>
        </w:rPr>
        <w:t xml:space="preserve"> </w:t>
      </w:r>
      <w:proofErr w:type="spellStart"/>
      <w:r w:rsidRPr="00C346F6">
        <w:rPr>
          <w:rFonts w:ascii="Century" w:hAnsi="Century" w:hint="cs"/>
          <w:rtl/>
        </w:rPr>
        <w:t>י"ע</w:t>
      </w:r>
      <w:proofErr w:type="spellEnd"/>
      <w:r w:rsidRPr="00C346F6">
        <w:rPr>
          <w:rFonts w:ascii="Century" w:hAnsi="Century" w:hint="cs"/>
          <w:rtl/>
        </w:rPr>
        <w:t xml:space="preserve">). </w:t>
      </w:r>
      <w:r w:rsidRPr="00C346F6">
        <w:rPr>
          <w:rFonts w:ascii="Century" w:hAnsi="Century" w:cs="Miriam" w:hint="cs"/>
          <w:b/>
          <w:spacing w:val="0"/>
          <w:szCs w:val="24"/>
          <w:rtl/>
        </w:rPr>
        <w:t>מס הכנסה</w:t>
      </w:r>
      <w:r w:rsidRPr="00C346F6">
        <w:rPr>
          <w:rFonts w:ascii="Century" w:hAnsi="Century" w:hint="cs"/>
          <w:rtl/>
        </w:rPr>
        <w:t xml:space="preserve">, בתורו, </w:t>
      </w:r>
      <w:r w:rsidRPr="00C346F6">
        <w:rPr>
          <w:rFonts w:ascii="Century" w:hAnsi="Century"/>
          <w:rtl/>
        </w:rPr>
        <w:t xml:space="preserve">נועד </w:t>
      </w:r>
      <w:r w:rsidRPr="00C346F6">
        <w:rPr>
          <w:rFonts w:ascii="Century" w:hAnsi="Century" w:hint="cs"/>
          <w:rtl/>
        </w:rPr>
        <w:t xml:space="preserve">על פי טיבו </w:t>
      </w:r>
      <w:r w:rsidRPr="00C346F6">
        <w:rPr>
          <w:rFonts w:ascii="Century" w:hAnsi="Century"/>
          <w:rtl/>
        </w:rPr>
        <w:t>לחול על</w:t>
      </w:r>
      <w:r w:rsidRPr="00C346F6">
        <w:rPr>
          <w:rFonts w:ascii="Century" w:hAnsi="Century" w:hint="cs"/>
          <w:rtl/>
        </w:rPr>
        <w:t xml:space="preserve"> </w:t>
      </w:r>
      <w:r w:rsidRPr="00C346F6">
        <w:rPr>
          <w:rFonts w:ascii="Century" w:hAnsi="Century" w:cs="Miriam"/>
          <w:b/>
          <w:spacing w:val="0"/>
          <w:szCs w:val="24"/>
          <w:rtl/>
        </w:rPr>
        <w:t>התעשרות</w:t>
      </w:r>
      <w:r w:rsidRPr="00C346F6">
        <w:rPr>
          <w:rFonts w:ascii="Century" w:hAnsi="Century" w:cs="Miriam" w:hint="cs"/>
          <w:b/>
          <w:spacing w:val="0"/>
          <w:szCs w:val="24"/>
          <w:rtl/>
        </w:rPr>
        <w:t>ו</w:t>
      </w:r>
      <w:r w:rsidRPr="00C346F6">
        <w:rPr>
          <w:rFonts w:ascii="Century" w:hAnsi="Century"/>
          <w:rtl/>
        </w:rPr>
        <w:t xml:space="preserve"> של הנישום</w:t>
      </w:r>
      <w:r w:rsidRPr="00C346F6">
        <w:rPr>
          <w:rFonts w:ascii="Century" w:hAnsi="Century" w:hint="cs"/>
          <w:rtl/>
        </w:rPr>
        <w:t>,</w:t>
      </w:r>
      <w:r w:rsidRPr="00C346F6">
        <w:rPr>
          <w:rFonts w:ascii="Century" w:hAnsi="Century"/>
          <w:rtl/>
        </w:rPr>
        <w:t xml:space="preserve"> ו</w:t>
      </w:r>
      <w:r w:rsidRPr="00C346F6">
        <w:rPr>
          <w:rFonts w:ascii="Century" w:hAnsi="Century" w:hint="cs"/>
          <w:rtl/>
        </w:rPr>
        <w:t>אין מטרתו</w:t>
      </w:r>
      <w:r w:rsidRPr="00C346F6">
        <w:rPr>
          <w:rFonts w:ascii="Century" w:hAnsi="Century"/>
          <w:rtl/>
        </w:rPr>
        <w:t xml:space="preserve"> להותיר את הנישום בחסרון כיס</w:t>
      </w:r>
      <w:r w:rsidRPr="00C346F6">
        <w:rPr>
          <w:rFonts w:ascii="Century" w:hAnsi="Century" w:hint="cs"/>
          <w:rtl/>
        </w:rPr>
        <w:t xml:space="preserve"> (וראו הגדרת "הכנסה חייבת" בסעיף 1 לפקודה). הדברים הם בגדר מושכלות יסוד בדיני המס שאין צורך להרחיב לגביהם (ראו גם בפסקה 27 לפסק דינו של בית המשפט המחוזי, שעמד גם הוא על כך שמושכלות יסוד בדיני המס הן שמס הכנסה יוטל על התעשרות בלבד (וככלל על התעשרות ממומשת)).</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מצב</w:t>
      </w:r>
      <w:r w:rsidRPr="00C346F6">
        <w:rPr>
          <w:rFonts w:ascii="Century" w:hAnsi="Century"/>
          <w:rtl/>
        </w:rPr>
        <w:t xml:space="preserve"> שבו התעשרות שהפיק אדם נ</w:t>
      </w:r>
      <w:r w:rsidRPr="00C346F6">
        <w:rPr>
          <w:rFonts w:ascii="Century" w:hAnsi="Century" w:hint="cs"/>
          <w:rtl/>
        </w:rPr>
        <w:t>שללת</w:t>
      </w:r>
      <w:r w:rsidRPr="00C346F6">
        <w:rPr>
          <w:rFonts w:ascii="Century" w:hAnsi="Century"/>
          <w:rtl/>
        </w:rPr>
        <w:t xml:space="preserve"> ממנו</w:t>
      </w:r>
      <w:r w:rsidRPr="00C346F6">
        <w:rPr>
          <w:rFonts w:ascii="Century" w:hAnsi="Century" w:hint="cs"/>
          <w:rtl/>
        </w:rPr>
        <w:t xml:space="preserve"> והוא נדרש להשיבה, </w:t>
      </w:r>
      <w:r w:rsidRPr="00C346F6">
        <w:rPr>
          <w:rFonts w:ascii="Century" w:hAnsi="Century"/>
          <w:rtl/>
        </w:rPr>
        <w:t>ו</w:t>
      </w:r>
      <w:r w:rsidRPr="00C346F6">
        <w:rPr>
          <w:rFonts w:ascii="Century" w:hAnsi="Century" w:hint="cs"/>
          <w:rtl/>
        </w:rPr>
        <w:t>בד בבד</w:t>
      </w:r>
      <w:r w:rsidRPr="00C346F6">
        <w:rPr>
          <w:rFonts w:ascii="Century" w:hAnsi="Century"/>
          <w:rtl/>
        </w:rPr>
        <w:t xml:space="preserve"> הוא נדרש לשאת במלוא המס על ההתעשרות </w:t>
      </w:r>
      <w:r w:rsidRPr="00C346F6">
        <w:rPr>
          <w:rFonts w:ascii="Century" w:hAnsi="Century" w:hint="cs"/>
          <w:rtl/>
        </w:rPr>
        <w:t>(</w:t>
      </w:r>
      <w:r w:rsidRPr="00C346F6">
        <w:rPr>
          <w:rFonts w:ascii="Century" w:hAnsi="Century"/>
          <w:rtl/>
        </w:rPr>
        <w:t>באופן שמותירו "במינוס"</w:t>
      </w:r>
      <w:r w:rsidRPr="00C346F6">
        <w:rPr>
          <w:rFonts w:ascii="Century" w:hAnsi="Century" w:hint="cs"/>
          <w:rtl/>
        </w:rPr>
        <w:t>)</w:t>
      </w:r>
      <w:r w:rsidRPr="00C346F6">
        <w:rPr>
          <w:rFonts w:ascii="Century" w:hAnsi="Century"/>
          <w:rtl/>
        </w:rPr>
        <w:t xml:space="preserve">, </w:t>
      </w:r>
      <w:r w:rsidRPr="00C346F6">
        <w:rPr>
          <w:rFonts w:ascii="Century" w:hAnsi="Century" w:hint="cs"/>
          <w:rtl/>
        </w:rPr>
        <w:t xml:space="preserve">משקף </w:t>
      </w:r>
      <w:r w:rsidRPr="00C346F6">
        <w:rPr>
          <w:rFonts w:ascii="Century" w:hAnsi="Century"/>
          <w:rtl/>
        </w:rPr>
        <w:t xml:space="preserve">תוצאה </w:t>
      </w:r>
      <w:r w:rsidRPr="00C346F6">
        <w:rPr>
          <w:rFonts w:ascii="Century" w:hAnsi="Century" w:hint="cs"/>
          <w:rtl/>
        </w:rPr>
        <w:t xml:space="preserve">שמצויה </w:t>
      </w:r>
      <w:r w:rsidRPr="00C346F6">
        <w:rPr>
          <w:rFonts w:ascii="Century" w:hAnsi="Century"/>
          <w:rtl/>
        </w:rPr>
        <w:t xml:space="preserve">במתח </w:t>
      </w:r>
      <w:r w:rsidRPr="00C346F6">
        <w:rPr>
          <w:rFonts w:ascii="Century" w:hAnsi="Century" w:hint="cs"/>
          <w:rtl/>
        </w:rPr>
        <w:t>עם</w:t>
      </w:r>
      <w:r w:rsidRPr="00C346F6">
        <w:rPr>
          <w:rFonts w:ascii="Century" w:hAnsi="Century"/>
          <w:rtl/>
        </w:rPr>
        <w:t xml:space="preserve"> העיקרון של גביית מס אמת.</w:t>
      </w:r>
      <w:r w:rsidRPr="00C346F6">
        <w:rPr>
          <w:rFonts w:ascii="Century" w:hAnsi="Century" w:hint="cs"/>
          <w:rtl/>
        </w:rPr>
        <w:t xml:space="preserve"> הדברים הם בגדר המובן מאליו, ולא בכדי שלושת שופטי ההרכב בע"א </w:t>
      </w:r>
      <w:r w:rsidRPr="00C346F6">
        <w:rPr>
          <w:rFonts w:ascii="Century" w:hAnsi="Century" w:cs="Miriam" w:hint="cs"/>
          <w:b/>
          <w:spacing w:val="0"/>
          <w:szCs w:val="24"/>
          <w:rtl/>
        </w:rPr>
        <w:t>דמארי</w:t>
      </w:r>
      <w:r w:rsidRPr="00C346F6">
        <w:rPr>
          <w:rFonts w:ascii="Century" w:hAnsi="Century" w:hint="cs"/>
          <w:rtl/>
        </w:rPr>
        <w:t xml:space="preserve">, לרבות השופט </w:t>
      </w:r>
      <w:r w:rsidRPr="00C346F6">
        <w:rPr>
          <w:rFonts w:ascii="Century" w:hAnsi="Century" w:cs="Miriam" w:hint="cs"/>
          <w:b/>
          <w:spacing w:val="0"/>
          <w:szCs w:val="24"/>
          <w:rtl/>
        </w:rPr>
        <w:t>הנדל</w:t>
      </w:r>
      <w:r w:rsidRPr="00C346F6">
        <w:rPr>
          <w:rFonts w:ascii="Century" w:hAnsi="Century" w:hint="cs"/>
          <w:rtl/>
        </w:rPr>
        <w:t xml:space="preserve"> שנותר במיעוט, עמדו על כך במפורש. כך, השופט </w:t>
      </w:r>
      <w:r w:rsidRPr="00C346F6">
        <w:rPr>
          <w:rFonts w:ascii="Century" w:hAnsi="Century" w:cs="Miriam" w:hint="cs"/>
          <w:b/>
          <w:spacing w:val="0"/>
          <w:szCs w:val="24"/>
          <w:rtl/>
        </w:rPr>
        <w:t xml:space="preserve">רובינשטיין </w:t>
      </w:r>
      <w:r w:rsidRPr="00C346F6">
        <w:rPr>
          <w:rFonts w:ascii="Century" w:hAnsi="Century" w:hint="cs"/>
          <w:rtl/>
        </w:rPr>
        <w:t xml:space="preserve">ציין כי "אם לא תינתן להם האפשרות לקזז את </w:t>
      </w:r>
      <w:r w:rsidRPr="00C346F6">
        <w:rPr>
          <w:rFonts w:ascii="Century" w:hAnsi="Century" w:hint="cs"/>
          <w:rtl/>
        </w:rPr>
        <w:lastRenderedPageBreak/>
        <w:t xml:space="preserve">תשלומי ההשבה כהפסד כנגד הכנסה משנים קודמות, </w:t>
      </w:r>
      <w:r w:rsidRPr="00C346F6">
        <w:rPr>
          <w:rFonts w:ascii="Century" w:hAnsi="Century" w:cs="Miriam" w:hint="cs"/>
          <w:b/>
          <w:spacing w:val="0"/>
          <w:szCs w:val="24"/>
          <w:rtl/>
        </w:rPr>
        <w:t>יעמוד הדבר בניגוד למידת הצדק ולעקרונות של מס אמת</w:t>
      </w:r>
      <w:r w:rsidRPr="00C346F6">
        <w:rPr>
          <w:rFonts w:ascii="Century" w:hAnsi="Century" w:hint="cs"/>
          <w:rtl/>
        </w:rPr>
        <w:t xml:space="preserve">" (שם, פסקה קי"ב); השופט </w:t>
      </w:r>
      <w:r w:rsidRPr="00C346F6">
        <w:rPr>
          <w:rFonts w:ascii="Century" w:hAnsi="Century" w:cs="Miriam" w:hint="cs"/>
          <w:b/>
          <w:spacing w:val="0"/>
          <w:szCs w:val="24"/>
          <w:rtl/>
        </w:rPr>
        <w:t>הנדל</w:t>
      </w:r>
      <w:r w:rsidRPr="00C346F6">
        <w:rPr>
          <w:rFonts w:ascii="Century" w:hAnsi="Century" w:hint="cs"/>
          <w:rtl/>
        </w:rPr>
        <w:t xml:space="preserve"> ציין כי הרחבת אפשרות לקזז הפסדים גם לאחור "</w:t>
      </w:r>
      <w:r w:rsidRPr="00C346F6">
        <w:rPr>
          <w:rFonts w:ascii="Century" w:hAnsi="Century" w:cs="Miriam" w:hint="cs"/>
          <w:b/>
          <w:spacing w:val="0"/>
          <w:szCs w:val="24"/>
          <w:rtl/>
        </w:rPr>
        <w:t>מגנה על עיקרון גביית מס אמת</w:t>
      </w:r>
      <w:r w:rsidRPr="00C346F6">
        <w:rPr>
          <w:rFonts w:ascii="Century" w:hAnsi="Century" w:hint="cs"/>
          <w:rtl/>
        </w:rPr>
        <w:t xml:space="preserve"> ומביאה בחשבון את העובדה כי כספי הגניבה הושבו ולא נותרו בכיסי המערערים", וכי "</w:t>
      </w:r>
      <w:r w:rsidRPr="00C346F6">
        <w:rPr>
          <w:rFonts w:ascii="Century" w:hAnsi="Century" w:cs="Miriam" w:hint="cs"/>
          <w:b/>
          <w:spacing w:val="0"/>
          <w:szCs w:val="24"/>
          <w:rtl/>
        </w:rPr>
        <w:t>לכשעצמה זוהי תוצאה צודקת</w:t>
      </w:r>
      <w:r w:rsidRPr="00C346F6">
        <w:rPr>
          <w:rFonts w:ascii="Century" w:hAnsi="Century" w:hint="cs"/>
          <w:rtl/>
        </w:rPr>
        <w:t xml:space="preserve"> [...]" (שם, פסקה 20 לפסק דינו); השופט </w:t>
      </w:r>
      <w:r w:rsidRPr="00C346F6">
        <w:rPr>
          <w:rFonts w:ascii="Century" w:hAnsi="Century" w:cs="Miriam" w:hint="cs"/>
          <w:b/>
          <w:spacing w:val="0"/>
          <w:szCs w:val="24"/>
          <w:rtl/>
        </w:rPr>
        <w:t>סולברג</w:t>
      </w:r>
      <w:r w:rsidRPr="00C346F6">
        <w:rPr>
          <w:rFonts w:ascii="Century" w:hAnsi="Century" w:hint="cs"/>
          <w:rtl/>
        </w:rPr>
        <w:t xml:space="preserve"> הצטרף גם הוא לנימוקיו של השופט </w:t>
      </w:r>
      <w:r w:rsidRPr="00C346F6">
        <w:rPr>
          <w:rFonts w:ascii="Century" w:hAnsi="Century" w:cs="Miriam" w:hint="cs"/>
          <w:b/>
          <w:spacing w:val="0"/>
          <w:szCs w:val="24"/>
          <w:rtl/>
        </w:rPr>
        <w:t>רובינשטיין</w:t>
      </w:r>
      <w:r w:rsidRPr="00C346F6">
        <w:rPr>
          <w:rFonts w:ascii="Century" w:hAnsi="Century" w:hint="cs"/>
          <w:rtl/>
        </w:rPr>
        <w:t xml:space="preserve">, בכללם "מניעת עוול לנישום, </w:t>
      </w:r>
      <w:r w:rsidRPr="00C346F6">
        <w:rPr>
          <w:rFonts w:ascii="Century" w:hAnsi="Century" w:cs="Miriam" w:hint="cs"/>
          <w:b/>
          <w:spacing w:val="0"/>
          <w:szCs w:val="24"/>
          <w:rtl/>
        </w:rPr>
        <w:t>גביית מס אמת</w:t>
      </w:r>
      <w:r w:rsidRPr="00C346F6">
        <w:rPr>
          <w:rFonts w:ascii="Century" w:hAnsi="Century" w:hint="cs"/>
          <w:rtl/>
        </w:rPr>
        <w:t xml:space="preserve"> מאת המערערים ולא 'כפל קנס'" (שם, פסקה 6 לפסק דינו). גם בדנ"א </w:t>
      </w:r>
      <w:r w:rsidRPr="00C346F6">
        <w:rPr>
          <w:rFonts w:ascii="Century" w:hAnsi="Century" w:cs="Miriam" w:hint="cs"/>
          <w:b/>
          <w:spacing w:val="0"/>
          <w:szCs w:val="24"/>
          <w:rtl/>
        </w:rPr>
        <w:t>דמארי</w:t>
      </w:r>
      <w:r w:rsidRPr="00C346F6">
        <w:rPr>
          <w:rFonts w:ascii="Century" w:hAnsi="Century" w:hint="cs"/>
          <w:rtl/>
        </w:rPr>
        <w:t xml:space="preserve">, שבו השופט </w:t>
      </w:r>
      <w:r w:rsidRPr="00C346F6">
        <w:rPr>
          <w:rFonts w:ascii="Century" w:hAnsi="Century" w:cs="Miriam" w:hint="cs"/>
          <w:b/>
          <w:spacing w:val="0"/>
          <w:szCs w:val="24"/>
          <w:rtl/>
        </w:rPr>
        <w:t>סולברג</w:t>
      </w:r>
      <w:r w:rsidRPr="00C346F6">
        <w:rPr>
          <w:rFonts w:ascii="Century" w:hAnsi="Century" w:hint="cs"/>
          <w:rtl/>
        </w:rPr>
        <w:t xml:space="preserve"> שינה עמדתו והצטרף לעמדת הרוב שקבעה כי לא ניתן לבצע קיזוז לאחור, הוא שב והדגיש כי "</w:t>
      </w:r>
      <w:r w:rsidRPr="00C346F6">
        <w:rPr>
          <w:rFonts w:ascii="Century" w:hAnsi="Century" w:cs="Miriam" w:hint="cs"/>
          <w:b/>
          <w:spacing w:val="0"/>
          <w:szCs w:val="24"/>
          <w:rtl/>
        </w:rPr>
        <w:t>התוצאה אינה טובה; אין כאן מס אמת</w:t>
      </w:r>
      <w:r w:rsidRPr="00C346F6">
        <w:rPr>
          <w:rFonts w:hint="cs"/>
          <w:sz w:val="28"/>
          <w:rtl/>
        </w:rPr>
        <w:t xml:space="preserve">. אדם נאלץ לשלם מס על מה שאינו בידו בסיטואציה הנתונה" (שם, פסקה 4 לפסק דינו) (ההדגשות לעיל הוספו </w:t>
      </w:r>
      <w:r w:rsidRPr="00C346F6">
        <w:rPr>
          <w:sz w:val="28"/>
          <w:rtl/>
        </w:rPr>
        <w:t>–</w:t>
      </w:r>
      <w:r w:rsidRPr="00C346F6">
        <w:rPr>
          <w:rFonts w:hint="cs"/>
          <w:sz w:val="28"/>
          <w:rtl/>
        </w:rPr>
        <w:t xml:space="preserve"> </w:t>
      </w:r>
      <w:proofErr w:type="spellStart"/>
      <w:r w:rsidRPr="00C346F6">
        <w:rPr>
          <w:rFonts w:hint="cs"/>
          <w:sz w:val="28"/>
          <w:rtl/>
        </w:rPr>
        <w:t>י"ע</w:t>
      </w:r>
      <w:proofErr w:type="spellEnd"/>
      <w:r w:rsidRPr="00C346F6">
        <w:rPr>
          <w:rFonts w:hint="cs"/>
          <w:sz w:val="28"/>
          <w:rtl/>
        </w:rPr>
        <w:t>).</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אם לא די בכך, הרי </w:t>
      </w:r>
      <w:r w:rsidRPr="00C346F6">
        <w:rPr>
          <w:rFonts w:ascii="Century" w:hAnsi="Century" w:cs="Miriam" w:hint="cs"/>
          <w:b/>
          <w:spacing w:val="0"/>
          <w:szCs w:val="24"/>
          <w:rtl/>
        </w:rPr>
        <w:t>שבניגוד</w:t>
      </w:r>
      <w:r w:rsidRPr="00C346F6">
        <w:rPr>
          <w:rFonts w:ascii="Century" w:hAnsi="Century" w:hint="cs"/>
          <w:rtl/>
        </w:rPr>
        <w:t xml:space="preserve"> לאופן שבו הוצגו הדברים על ידי פקיד השומה בתשובתו, עיון בפסק הדין מושא הדיון הנוסף (באותה פסקה ממש שממנה ציטט פקיד השומה) מלמד כי השופט </w:t>
      </w:r>
      <w:r w:rsidRPr="00C346F6">
        <w:rPr>
          <w:rFonts w:ascii="Century" w:hAnsi="Century" w:cs="Miriam" w:hint="cs"/>
          <w:b/>
          <w:spacing w:val="0"/>
          <w:szCs w:val="24"/>
          <w:rtl/>
        </w:rPr>
        <w:t>קרא</w:t>
      </w:r>
      <w:r w:rsidRPr="00C346F6">
        <w:rPr>
          <w:rFonts w:ascii="Century" w:hAnsi="Century" w:hint="cs"/>
          <w:rtl/>
        </w:rPr>
        <w:t xml:space="preserve"> </w:t>
      </w:r>
      <w:r w:rsidRPr="00C346F6">
        <w:rPr>
          <w:rFonts w:ascii="Century" w:hAnsi="Century"/>
          <w:rtl/>
        </w:rPr>
        <w:t>–</w:t>
      </w:r>
      <w:r w:rsidRPr="00C346F6">
        <w:rPr>
          <w:rFonts w:ascii="Century" w:hAnsi="Century" w:hint="cs"/>
          <w:rtl/>
        </w:rPr>
        <w:t xml:space="preserve"> שעל דבריו ביקש פקיד השומה להסתמך </w:t>
      </w:r>
      <w:r w:rsidRPr="00C346F6">
        <w:rPr>
          <w:rFonts w:ascii="Century" w:hAnsi="Century"/>
          <w:rtl/>
        </w:rPr>
        <w:t>–</w:t>
      </w:r>
      <w:r w:rsidRPr="00C346F6">
        <w:rPr>
          <w:rFonts w:ascii="Century" w:hAnsi="Century" w:hint="cs"/>
          <w:rtl/>
        </w:rPr>
        <w:t xml:space="preserve"> אף הוא הכיר בכך שאי-התרת ניכוי הסכום שחולט כהוצאה </w:t>
      </w:r>
      <w:r w:rsidRPr="00C346F6">
        <w:rPr>
          <w:rFonts w:ascii="Century" w:hAnsi="Century" w:cs="Miriam" w:hint="cs"/>
          <w:b/>
          <w:spacing w:val="0"/>
          <w:szCs w:val="24"/>
          <w:rtl/>
        </w:rPr>
        <w:t>אינה</w:t>
      </w:r>
      <w:r w:rsidRPr="00C346F6">
        <w:rPr>
          <w:rFonts w:ascii="Century" w:hAnsi="Century" w:hint="cs"/>
          <w:rtl/>
        </w:rPr>
        <w:t xml:space="preserve"> מתיישבת עם העיקרון של גביית מס אמת, ובלשונו: "</w:t>
      </w:r>
      <w:r w:rsidRPr="00C346F6">
        <w:rPr>
          <w:rFonts w:ascii="Century" w:hAnsi="Century" w:cs="Miriam" w:hint="cs"/>
          <w:b/>
          <w:spacing w:val="0"/>
          <w:szCs w:val="24"/>
          <w:rtl/>
        </w:rPr>
        <w:t>אדגיש, כי מודע אני לעצם הפגיעה בעקרון הנוגד בדבר 'שומת אמת'</w:t>
      </w:r>
      <w:r w:rsidRPr="00C346F6">
        <w:rPr>
          <w:rFonts w:ascii="Century" w:hAnsi="Century" w:hint="cs"/>
          <w:rtl/>
        </w:rPr>
        <w:t xml:space="preserve">" (שם, פסקה 52). למותר לציין כי השופט </w:t>
      </w:r>
      <w:r w:rsidRPr="00C346F6">
        <w:rPr>
          <w:rFonts w:ascii="Century" w:hAnsi="Century" w:cs="Miriam" w:hint="cs"/>
          <w:b/>
          <w:spacing w:val="0"/>
          <w:szCs w:val="24"/>
          <w:rtl/>
        </w:rPr>
        <w:t>שוחט</w:t>
      </w:r>
      <w:r w:rsidRPr="00C346F6">
        <w:rPr>
          <w:rFonts w:ascii="Century" w:hAnsi="Century" w:hint="cs"/>
          <w:rtl/>
        </w:rPr>
        <w:t xml:space="preserve">, שנותר במיעוט בפסק הדין וסבר כי ניתן להתיר את ניכוי סכומי החילוט, היה גם הוא שותף לעמדה כי במצב שבו ההתעשרות שבגינה ממוסה הנישום </w:t>
      </w:r>
      <w:proofErr w:type="spellStart"/>
      <w:r w:rsidRPr="00C346F6">
        <w:rPr>
          <w:rFonts w:ascii="Century" w:hAnsi="Century" w:hint="cs"/>
          <w:rtl/>
        </w:rPr>
        <w:t>ה</w:t>
      </w:r>
      <w:r w:rsidRPr="00C346F6">
        <w:rPr>
          <w:rFonts w:ascii="FrankRuehl" w:hAnsi="FrankRuehl"/>
          <w:rtl/>
        </w:rPr>
        <w:t>וּ</w:t>
      </w:r>
      <w:r w:rsidRPr="00C346F6">
        <w:rPr>
          <w:rFonts w:ascii="Century" w:hAnsi="Century" w:hint="cs"/>
          <w:rtl/>
        </w:rPr>
        <w:t>צאה</w:t>
      </w:r>
      <w:proofErr w:type="spellEnd"/>
      <w:r w:rsidRPr="00C346F6">
        <w:rPr>
          <w:rFonts w:ascii="Century" w:hAnsi="Century" w:hint="cs"/>
          <w:rtl/>
        </w:rPr>
        <w:t xml:space="preserve"> מידיו, אזי אי-התרת הניכוי נוגדת את עקרון היסוד של גביית מס אמת (שם, פסקה 27 לפסק דינו).</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872D59">
        <w:rPr>
          <w:rFonts w:ascii="Century" w:hAnsi="Century" w:hint="cs"/>
          <w:rtl/>
        </w:rPr>
        <w:t>27.</w:t>
      </w:r>
      <w:r w:rsidRPr="00872D59">
        <w:rPr>
          <w:rFonts w:ascii="Century" w:hAnsi="Century" w:hint="cs"/>
          <w:rtl/>
        </w:rPr>
        <w:tab/>
      </w:r>
      <w:r w:rsidRPr="00872D59">
        <w:rPr>
          <w:rFonts w:ascii="Century" w:hAnsi="Century" w:hint="eastAsia"/>
          <w:rtl/>
        </w:rPr>
        <w:t>לנוכח</w:t>
      </w:r>
      <w:r w:rsidRPr="00872D59">
        <w:rPr>
          <w:rFonts w:ascii="Century" w:hAnsi="Century"/>
          <w:rtl/>
        </w:rPr>
        <w:t xml:space="preserve"> </w:t>
      </w:r>
      <w:r w:rsidRPr="00872D59">
        <w:rPr>
          <w:rFonts w:ascii="Century" w:hAnsi="Century" w:hint="eastAsia"/>
          <w:rtl/>
        </w:rPr>
        <w:t>האמור</w:t>
      </w:r>
      <w:r w:rsidRPr="00872D59">
        <w:rPr>
          <w:rFonts w:ascii="Century" w:hAnsi="Century"/>
          <w:rtl/>
        </w:rPr>
        <w:t xml:space="preserve"> </w:t>
      </w:r>
      <w:r w:rsidRPr="00872D59">
        <w:rPr>
          <w:rFonts w:ascii="Century" w:hAnsi="Century" w:hint="eastAsia"/>
          <w:rtl/>
        </w:rPr>
        <w:t>לעיל</w:t>
      </w:r>
      <w:r w:rsidRPr="00872D59">
        <w:rPr>
          <w:rFonts w:ascii="Century" w:hAnsi="Century"/>
          <w:rtl/>
        </w:rPr>
        <w:t xml:space="preserve">, </w:t>
      </w:r>
      <w:r w:rsidRPr="00235506">
        <w:rPr>
          <w:rFonts w:ascii="Century" w:hAnsi="Century" w:hint="eastAsia"/>
          <w:rtl/>
        </w:rPr>
        <w:t>תמיהה</w:t>
      </w:r>
      <w:r w:rsidRPr="00235506">
        <w:rPr>
          <w:rFonts w:ascii="Century" w:hAnsi="Century"/>
          <w:rtl/>
        </w:rPr>
        <w:t xml:space="preserve"> </w:t>
      </w:r>
      <w:r w:rsidRPr="00235506">
        <w:rPr>
          <w:rFonts w:ascii="Century" w:hAnsi="Century" w:hint="eastAsia"/>
          <w:rtl/>
        </w:rPr>
        <w:t>היא</w:t>
      </w:r>
      <w:r w:rsidRPr="00235506">
        <w:rPr>
          <w:rFonts w:ascii="Century" w:hAnsi="Century"/>
          <w:rtl/>
        </w:rPr>
        <w:t xml:space="preserve"> </w:t>
      </w:r>
      <w:r w:rsidRPr="00872D59">
        <w:rPr>
          <w:rFonts w:ascii="Century" w:hAnsi="Century" w:hint="eastAsia"/>
          <w:rtl/>
        </w:rPr>
        <w:t>מה</w:t>
      </w:r>
      <w:r w:rsidRPr="00872D59">
        <w:rPr>
          <w:rFonts w:ascii="Century" w:hAnsi="Century"/>
          <w:rtl/>
        </w:rPr>
        <w:t xml:space="preserve"> </w:t>
      </w:r>
      <w:r w:rsidRPr="00872D59">
        <w:rPr>
          <w:rFonts w:ascii="Century" w:hAnsi="Century" w:hint="eastAsia"/>
          <w:rtl/>
        </w:rPr>
        <w:t>ראה</w:t>
      </w:r>
      <w:r w:rsidRPr="00872D59">
        <w:rPr>
          <w:rFonts w:ascii="Century" w:hAnsi="Century"/>
          <w:rtl/>
        </w:rPr>
        <w:t xml:space="preserve"> </w:t>
      </w:r>
      <w:r w:rsidRPr="00872D59">
        <w:rPr>
          <w:rFonts w:ascii="Century" w:hAnsi="Century" w:hint="eastAsia"/>
          <w:rtl/>
        </w:rPr>
        <w:t>פקיד</w:t>
      </w:r>
      <w:r w:rsidRPr="00872D59">
        <w:rPr>
          <w:rFonts w:ascii="Century" w:hAnsi="Century"/>
          <w:rtl/>
        </w:rPr>
        <w:t xml:space="preserve"> </w:t>
      </w:r>
      <w:r w:rsidRPr="00872D59">
        <w:rPr>
          <w:rFonts w:ascii="Century" w:hAnsi="Century" w:hint="eastAsia"/>
          <w:rtl/>
        </w:rPr>
        <w:t>השומה</w:t>
      </w:r>
      <w:r w:rsidRPr="00872D59">
        <w:rPr>
          <w:rFonts w:ascii="Century" w:hAnsi="Century"/>
          <w:rtl/>
        </w:rPr>
        <w:t xml:space="preserve"> </w:t>
      </w:r>
      <w:r w:rsidRPr="00872D59">
        <w:rPr>
          <w:rFonts w:ascii="Century" w:hAnsi="Century" w:hint="eastAsia"/>
          <w:rtl/>
        </w:rPr>
        <w:t>לטעון</w:t>
      </w:r>
      <w:r w:rsidRPr="00872D59">
        <w:rPr>
          <w:rFonts w:ascii="Century" w:hAnsi="Century"/>
          <w:rtl/>
        </w:rPr>
        <w:t xml:space="preserve"> </w:t>
      </w:r>
      <w:r w:rsidRPr="00872D59">
        <w:rPr>
          <w:rFonts w:ascii="Century" w:hAnsi="Century" w:hint="eastAsia"/>
          <w:rtl/>
        </w:rPr>
        <w:t>כי</w:t>
      </w:r>
      <w:r w:rsidRPr="00872D59">
        <w:rPr>
          <w:rFonts w:ascii="Century" w:hAnsi="Century"/>
          <w:rtl/>
        </w:rPr>
        <w:t xml:space="preserve"> </w:t>
      </w:r>
      <w:r w:rsidRPr="00872D59">
        <w:rPr>
          <w:rFonts w:ascii="Century" w:hAnsi="Century" w:hint="eastAsia"/>
          <w:rtl/>
        </w:rPr>
        <w:t>אי</w:t>
      </w:r>
      <w:r w:rsidRPr="00872D59">
        <w:rPr>
          <w:rFonts w:ascii="Century" w:hAnsi="Century"/>
          <w:rtl/>
        </w:rPr>
        <w:t>-</w:t>
      </w:r>
      <w:r w:rsidRPr="00872D59">
        <w:rPr>
          <w:rFonts w:ascii="Century" w:hAnsi="Century" w:hint="eastAsia"/>
          <w:rtl/>
        </w:rPr>
        <w:t>הכרה</w:t>
      </w:r>
      <w:r w:rsidRPr="00872D59">
        <w:rPr>
          <w:rFonts w:ascii="Century" w:hAnsi="Century"/>
          <w:rtl/>
        </w:rPr>
        <w:t xml:space="preserve"> </w:t>
      </w:r>
      <w:r w:rsidRPr="00872D59">
        <w:rPr>
          <w:rFonts w:ascii="Century" w:hAnsi="Century" w:hint="eastAsia"/>
          <w:rtl/>
        </w:rPr>
        <w:t>בסכומי</w:t>
      </w:r>
      <w:r w:rsidRPr="00872D59">
        <w:rPr>
          <w:rFonts w:ascii="Century" w:hAnsi="Century"/>
          <w:rtl/>
        </w:rPr>
        <w:t xml:space="preserve"> </w:t>
      </w:r>
      <w:r w:rsidRPr="00872D59">
        <w:rPr>
          <w:rFonts w:ascii="Century" w:hAnsi="Century" w:hint="eastAsia"/>
          <w:rtl/>
        </w:rPr>
        <w:t>החילוט</w:t>
      </w:r>
      <w:r w:rsidRPr="00872D59">
        <w:rPr>
          <w:rFonts w:ascii="Century" w:hAnsi="Century"/>
          <w:rtl/>
        </w:rPr>
        <w:t xml:space="preserve"> </w:t>
      </w:r>
      <w:r w:rsidRPr="00872D59">
        <w:rPr>
          <w:rFonts w:ascii="Century" w:hAnsi="Century" w:hint="eastAsia"/>
          <w:rtl/>
        </w:rPr>
        <w:t>כהוצאה</w:t>
      </w:r>
      <w:r w:rsidRPr="00872D59">
        <w:rPr>
          <w:rFonts w:ascii="Century" w:hAnsi="Century"/>
          <w:rtl/>
        </w:rPr>
        <w:t xml:space="preserve"> </w:t>
      </w:r>
      <w:r w:rsidRPr="00872D59">
        <w:rPr>
          <w:rFonts w:ascii="Century" w:hAnsi="Century" w:hint="eastAsia"/>
          <w:rtl/>
        </w:rPr>
        <w:t>מגשימה</w:t>
      </w:r>
      <w:r w:rsidRPr="00872D59">
        <w:rPr>
          <w:rFonts w:ascii="Century" w:hAnsi="Century"/>
          <w:rtl/>
        </w:rPr>
        <w:t xml:space="preserve"> </w:t>
      </w:r>
      <w:r w:rsidRPr="00872D59">
        <w:rPr>
          <w:rFonts w:ascii="Century" w:hAnsi="Century" w:hint="eastAsia"/>
          <w:rtl/>
        </w:rPr>
        <w:t>את</w:t>
      </w:r>
      <w:r w:rsidRPr="00872D59">
        <w:rPr>
          <w:rFonts w:ascii="Century" w:hAnsi="Century"/>
          <w:rtl/>
        </w:rPr>
        <w:t xml:space="preserve"> </w:t>
      </w:r>
      <w:r w:rsidRPr="00872D59">
        <w:rPr>
          <w:rFonts w:ascii="Century" w:hAnsi="Century" w:hint="eastAsia"/>
          <w:rtl/>
        </w:rPr>
        <w:t>העיקרון</w:t>
      </w:r>
      <w:r w:rsidRPr="00872D59">
        <w:rPr>
          <w:rFonts w:ascii="Century" w:hAnsi="Century"/>
          <w:rtl/>
        </w:rPr>
        <w:t xml:space="preserve"> </w:t>
      </w:r>
      <w:r w:rsidRPr="00872D59">
        <w:rPr>
          <w:rFonts w:ascii="Century" w:hAnsi="Century" w:hint="eastAsia"/>
          <w:rtl/>
        </w:rPr>
        <w:t>של</w:t>
      </w:r>
      <w:r w:rsidRPr="00872D59">
        <w:rPr>
          <w:rFonts w:ascii="Century" w:hAnsi="Century"/>
          <w:rtl/>
        </w:rPr>
        <w:t xml:space="preserve"> </w:t>
      </w:r>
      <w:r w:rsidRPr="00872D59">
        <w:rPr>
          <w:rFonts w:ascii="Century" w:hAnsi="Century" w:hint="eastAsia"/>
          <w:rtl/>
        </w:rPr>
        <w:t>גביית</w:t>
      </w:r>
      <w:r w:rsidRPr="00872D59">
        <w:rPr>
          <w:rFonts w:ascii="Century" w:hAnsi="Century"/>
          <w:rtl/>
        </w:rPr>
        <w:t xml:space="preserve"> </w:t>
      </w:r>
      <w:r w:rsidRPr="00872D59">
        <w:rPr>
          <w:rFonts w:ascii="Century" w:hAnsi="Century" w:hint="eastAsia"/>
          <w:rtl/>
        </w:rPr>
        <w:t>מס</w:t>
      </w:r>
      <w:r w:rsidRPr="00872D59">
        <w:rPr>
          <w:rFonts w:ascii="Century" w:hAnsi="Century"/>
          <w:rtl/>
        </w:rPr>
        <w:t xml:space="preserve"> </w:t>
      </w:r>
      <w:r w:rsidRPr="00872D59">
        <w:rPr>
          <w:rFonts w:ascii="Century" w:hAnsi="Century" w:hint="eastAsia"/>
          <w:rtl/>
        </w:rPr>
        <w:t>אמת</w:t>
      </w:r>
      <w:r w:rsidRPr="00872D59">
        <w:rPr>
          <w:rFonts w:ascii="Century" w:hAnsi="Century"/>
          <w:rtl/>
        </w:rPr>
        <w:t xml:space="preserve">. </w:t>
      </w:r>
      <w:r w:rsidRPr="00872D59">
        <w:rPr>
          <w:rFonts w:ascii="Century" w:hAnsi="Century" w:hint="eastAsia"/>
          <w:rtl/>
        </w:rPr>
        <w:t>אומר</w:t>
      </w:r>
      <w:r w:rsidRPr="00872D59">
        <w:rPr>
          <w:rFonts w:ascii="Century" w:hAnsi="Century"/>
          <w:rtl/>
        </w:rPr>
        <w:t xml:space="preserve"> </w:t>
      </w:r>
      <w:r w:rsidRPr="00872D59">
        <w:rPr>
          <w:rFonts w:ascii="Century" w:hAnsi="Century" w:hint="eastAsia"/>
          <w:rtl/>
        </w:rPr>
        <w:t>בזהירות</w:t>
      </w:r>
      <w:r w:rsidRPr="00872D59">
        <w:rPr>
          <w:rFonts w:ascii="Century" w:hAnsi="Century"/>
          <w:rtl/>
        </w:rPr>
        <w:t xml:space="preserve">, </w:t>
      </w:r>
      <w:r w:rsidRPr="00872D59">
        <w:rPr>
          <w:rFonts w:ascii="Century" w:hAnsi="Century" w:hint="eastAsia"/>
          <w:rtl/>
        </w:rPr>
        <w:t>כי</w:t>
      </w:r>
      <w:r w:rsidRPr="00872D59">
        <w:rPr>
          <w:rFonts w:ascii="Century" w:hAnsi="Century"/>
          <w:rtl/>
        </w:rPr>
        <w:t xml:space="preserve"> </w:t>
      </w:r>
      <w:r w:rsidRPr="00872D59">
        <w:rPr>
          <w:rFonts w:ascii="Century" w:hAnsi="Century" w:hint="eastAsia"/>
          <w:rtl/>
        </w:rPr>
        <w:t>אל</w:t>
      </w:r>
      <w:r w:rsidRPr="00872D59">
        <w:rPr>
          <w:rFonts w:ascii="Century" w:hAnsi="Century"/>
          <w:rtl/>
        </w:rPr>
        <w:t xml:space="preserve"> </w:t>
      </w:r>
      <w:r w:rsidRPr="00872D59">
        <w:rPr>
          <w:rFonts w:ascii="Century" w:hAnsi="Century" w:hint="eastAsia"/>
          <w:rtl/>
        </w:rPr>
        <w:t>לו</w:t>
      </w:r>
      <w:r w:rsidRPr="00872D59">
        <w:rPr>
          <w:rFonts w:ascii="Century" w:hAnsi="Century"/>
          <w:rtl/>
        </w:rPr>
        <w:t xml:space="preserve"> </w:t>
      </w:r>
      <w:r w:rsidRPr="00872D59">
        <w:rPr>
          <w:rFonts w:ascii="Century" w:hAnsi="Century" w:hint="eastAsia"/>
          <w:rtl/>
        </w:rPr>
        <w:t>לפקיד</w:t>
      </w:r>
      <w:r w:rsidRPr="00872D59">
        <w:rPr>
          <w:rFonts w:ascii="Century" w:hAnsi="Century"/>
          <w:rtl/>
        </w:rPr>
        <w:t xml:space="preserve"> </w:t>
      </w:r>
      <w:r w:rsidRPr="00872D59">
        <w:rPr>
          <w:rFonts w:ascii="Century" w:hAnsi="Century" w:hint="eastAsia"/>
          <w:rtl/>
        </w:rPr>
        <w:t>השומה</w:t>
      </w:r>
      <w:r w:rsidRPr="00872D59">
        <w:rPr>
          <w:rFonts w:ascii="Century" w:hAnsi="Century"/>
          <w:rtl/>
        </w:rPr>
        <w:t xml:space="preserve">, </w:t>
      </w:r>
      <w:r w:rsidRPr="00872D59">
        <w:rPr>
          <w:rFonts w:ascii="Century" w:hAnsi="Century" w:hint="eastAsia"/>
          <w:rtl/>
        </w:rPr>
        <w:t>כעניין</w:t>
      </w:r>
      <w:r w:rsidRPr="00872D59">
        <w:rPr>
          <w:rFonts w:ascii="Century" w:hAnsi="Century"/>
          <w:rtl/>
        </w:rPr>
        <w:t xml:space="preserve"> </w:t>
      </w:r>
      <w:r w:rsidRPr="00872D59">
        <w:rPr>
          <w:rFonts w:ascii="Century" w:hAnsi="Century" w:hint="eastAsia"/>
          <w:rtl/>
        </w:rPr>
        <w:t>שבמדיניות</w:t>
      </w:r>
      <w:r w:rsidRPr="00872D59">
        <w:rPr>
          <w:rFonts w:ascii="Century" w:hAnsi="Century"/>
          <w:rtl/>
        </w:rPr>
        <w:t xml:space="preserve">, </w:t>
      </w:r>
      <w:r w:rsidRPr="00872D59">
        <w:rPr>
          <w:rFonts w:ascii="Century" w:hAnsi="Century" w:hint="eastAsia"/>
          <w:rtl/>
        </w:rPr>
        <w:t>לנקוט</w:t>
      </w:r>
      <w:r w:rsidRPr="00872D59">
        <w:rPr>
          <w:rFonts w:ascii="Century" w:hAnsi="Century"/>
          <w:rtl/>
        </w:rPr>
        <w:t xml:space="preserve"> </w:t>
      </w:r>
      <w:r w:rsidRPr="00872D59">
        <w:rPr>
          <w:rFonts w:ascii="Century" w:hAnsi="Century" w:hint="eastAsia"/>
          <w:rtl/>
        </w:rPr>
        <w:t>את</w:t>
      </w:r>
      <w:r w:rsidRPr="00872D59">
        <w:rPr>
          <w:rFonts w:ascii="Century" w:hAnsi="Century"/>
          <w:rtl/>
        </w:rPr>
        <w:t xml:space="preserve"> </w:t>
      </w:r>
      <w:r w:rsidRPr="00872D59">
        <w:rPr>
          <w:rFonts w:ascii="Century" w:hAnsi="Century" w:hint="eastAsia"/>
          <w:rtl/>
        </w:rPr>
        <w:t>העמדה</w:t>
      </w:r>
      <w:r w:rsidRPr="00872D59">
        <w:rPr>
          <w:rFonts w:ascii="Century" w:hAnsi="Century"/>
          <w:rtl/>
        </w:rPr>
        <w:t xml:space="preserve"> </w:t>
      </w:r>
      <w:r w:rsidRPr="00872D59">
        <w:rPr>
          <w:rFonts w:ascii="Century" w:hAnsi="Century" w:hint="eastAsia"/>
          <w:rtl/>
        </w:rPr>
        <w:t>המשפטית</w:t>
      </w:r>
      <w:r w:rsidRPr="00872D59">
        <w:rPr>
          <w:rFonts w:ascii="Century" w:hAnsi="Century"/>
          <w:rtl/>
        </w:rPr>
        <w:t xml:space="preserve"> </w:t>
      </w:r>
      <w:r w:rsidRPr="00872D59">
        <w:rPr>
          <w:rFonts w:ascii="Century" w:hAnsi="Century" w:hint="eastAsia"/>
          <w:rtl/>
        </w:rPr>
        <w:t>הקיצונית</w:t>
      </w:r>
      <w:r w:rsidRPr="00872D59">
        <w:rPr>
          <w:rFonts w:ascii="Century" w:hAnsi="Century"/>
          <w:rtl/>
        </w:rPr>
        <w:t xml:space="preserve"> </w:t>
      </w:r>
      <w:r w:rsidRPr="00872D59">
        <w:rPr>
          <w:rFonts w:ascii="Century" w:hAnsi="Century" w:hint="eastAsia"/>
          <w:rtl/>
        </w:rPr>
        <w:t>ביותר</w:t>
      </w:r>
      <w:r w:rsidRPr="00872D59">
        <w:rPr>
          <w:rFonts w:ascii="Century" w:hAnsi="Century"/>
          <w:rtl/>
        </w:rPr>
        <w:t xml:space="preserve"> </w:t>
      </w:r>
      <w:r w:rsidRPr="00872D59">
        <w:rPr>
          <w:rFonts w:ascii="Century" w:hAnsi="Century" w:hint="eastAsia"/>
          <w:rtl/>
        </w:rPr>
        <w:t>האפשרית</w:t>
      </w:r>
      <w:r w:rsidRPr="00872D59">
        <w:rPr>
          <w:rFonts w:ascii="Century" w:hAnsi="Century"/>
          <w:rtl/>
        </w:rPr>
        <w:t xml:space="preserve">. </w:t>
      </w:r>
      <w:r w:rsidRPr="00872D59">
        <w:rPr>
          <w:rFonts w:ascii="Century" w:hAnsi="Century" w:hint="eastAsia"/>
          <w:rtl/>
        </w:rPr>
        <w:t>בהקשר</w:t>
      </w:r>
      <w:r w:rsidRPr="00872D59">
        <w:rPr>
          <w:rFonts w:ascii="Century" w:hAnsi="Century"/>
          <w:rtl/>
        </w:rPr>
        <w:t xml:space="preserve"> </w:t>
      </w:r>
      <w:r w:rsidRPr="00872D59">
        <w:rPr>
          <w:rFonts w:ascii="Century" w:hAnsi="Century" w:hint="eastAsia"/>
          <w:rtl/>
        </w:rPr>
        <w:t>אחר</w:t>
      </w:r>
      <w:r w:rsidRPr="00872D59">
        <w:rPr>
          <w:rFonts w:ascii="Century" w:hAnsi="Century"/>
          <w:rtl/>
        </w:rPr>
        <w:t xml:space="preserve"> </w:t>
      </w:r>
      <w:r w:rsidRPr="00872D59">
        <w:rPr>
          <w:rFonts w:ascii="Century" w:hAnsi="Century" w:hint="eastAsia"/>
          <w:rtl/>
        </w:rPr>
        <w:t>נזדמן</w:t>
      </w:r>
      <w:r w:rsidRPr="00872D59">
        <w:rPr>
          <w:rFonts w:ascii="Century" w:hAnsi="Century"/>
          <w:rtl/>
        </w:rPr>
        <w:t xml:space="preserve"> </w:t>
      </w:r>
      <w:r w:rsidRPr="00872D59">
        <w:rPr>
          <w:rFonts w:ascii="Century" w:hAnsi="Century" w:hint="eastAsia"/>
          <w:rtl/>
        </w:rPr>
        <w:t>לי</w:t>
      </w:r>
      <w:r w:rsidRPr="00872D59">
        <w:rPr>
          <w:rFonts w:ascii="Century" w:hAnsi="Century"/>
          <w:rtl/>
        </w:rPr>
        <w:t xml:space="preserve"> </w:t>
      </w:r>
      <w:r w:rsidRPr="00872D59">
        <w:rPr>
          <w:rFonts w:ascii="Century" w:hAnsi="Century" w:hint="eastAsia"/>
          <w:rtl/>
        </w:rPr>
        <w:t>להעיר</w:t>
      </w:r>
      <w:r w:rsidRPr="00872D59">
        <w:rPr>
          <w:rFonts w:ascii="Century" w:hAnsi="Century"/>
          <w:rtl/>
        </w:rPr>
        <w:t xml:space="preserve"> </w:t>
      </w:r>
      <w:r w:rsidRPr="00872D59">
        <w:rPr>
          <w:rFonts w:ascii="Century" w:hAnsi="Century" w:hint="eastAsia"/>
          <w:rtl/>
        </w:rPr>
        <w:t>כי</w:t>
      </w:r>
      <w:r w:rsidRPr="00872D59">
        <w:rPr>
          <w:rFonts w:ascii="Century" w:hAnsi="Century"/>
          <w:rtl/>
        </w:rPr>
        <w:t xml:space="preserve"> "</w:t>
      </w:r>
      <w:r w:rsidRPr="00872D59">
        <w:rPr>
          <w:rFonts w:ascii="FrankRuehl" w:hAnsi="FrankRuehl"/>
          <w:sz w:val="28"/>
          <w:rtl/>
        </w:rPr>
        <w:t xml:space="preserve">המטרה שצריכה לעמוד לנגד עיניהן של רשויות המס אינה לפלס לעצמן את הנתיב הפרשני המוביל לגביית מס בשיעור הגבוה ביותר האפשרי, אלא לחתור לגביית מס אמת על פי לשונן של הוראות החוק ותכליתן" </w:t>
      </w:r>
      <w:r w:rsidRPr="00872D59">
        <w:rPr>
          <w:rFonts w:ascii="Century" w:hAnsi="Century"/>
          <w:rtl/>
        </w:rPr>
        <w:t>(</w:t>
      </w:r>
      <w:r w:rsidRPr="00872D59">
        <w:rPr>
          <w:rFonts w:ascii="Century" w:hAnsi="Century" w:hint="eastAsia"/>
          <w:rtl/>
        </w:rPr>
        <w:t>ע</w:t>
      </w:r>
      <w:r w:rsidRPr="00872D59">
        <w:rPr>
          <w:rFonts w:ascii="Century" w:hAnsi="Century"/>
          <w:rtl/>
        </w:rPr>
        <w:t>"</w:t>
      </w:r>
      <w:r w:rsidRPr="00872D59">
        <w:rPr>
          <w:rFonts w:ascii="Century" w:hAnsi="Century" w:hint="eastAsia"/>
          <w:rtl/>
        </w:rPr>
        <w:t>א</w:t>
      </w:r>
      <w:r w:rsidRPr="00872D59">
        <w:rPr>
          <w:rFonts w:ascii="Century" w:hAnsi="Century"/>
          <w:rtl/>
        </w:rPr>
        <w:t xml:space="preserve"> 3277/19 </w:t>
      </w:r>
      <w:r w:rsidRPr="00872D59">
        <w:rPr>
          <w:rFonts w:ascii="Century" w:hAnsi="Century" w:cs="Miriam" w:hint="eastAsia"/>
          <w:b/>
          <w:spacing w:val="0"/>
          <w:szCs w:val="24"/>
          <w:rtl/>
        </w:rPr>
        <w:t>פקיד</w:t>
      </w:r>
      <w:r w:rsidRPr="00872D59">
        <w:rPr>
          <w:rFonts w:ascii="Century" w:hAnsi="Century" w:cs="Miriam"/>
          <w:b/>
          <w:spacing w:val="0"/>
          <w:szCs w:val="24"/>
          <w:rtl/>
        </w:rPr>
        <w:t xml:space="preserve"> </w:t>
      </w:r>
      <w:r w:rsidRPr="00872D59">
        <w:rPr>
          <w:rFonts w:ascii="Century" w:hAnsi="Century" w:cs="Miriam" w:hint="eastAsia"/>
          <w:b/>
          <w:spacing w:val="0"/>
          <w:szCs w:val="24"/>
          <w:rtl/>
        </w:rPr>
        <w:t>שומה</w:t>
      </w:r>
      <w:r w:rsidRPr="00872D59">
        <w:rPr>
          <w:rFonts w:ascii="Century" w:hAnsi="Century" w:cs="Miriam"/>
          <w:b/>
          <w:spacing w:val="0"/>
          <w:szCs w:val="24"/>
          <w:rtl/>
        </w:rPr>
        <w:t xml:space="preserve"> </w:t>
      </w:r>
      <w:r w:rsidRPr="00872D59">
        <w:rPr>
          <w:rFonts w:ascii="Century" w:hAnsi="Century" w:cs="Miriam" w:hint="eastAsia"/>
          <w:b/>
          <w:spacing w:val="0"/>
          <w:szCs w:val="24"/>
          <w:rtl/>
        </w:rPr>
        <w:t>ירושלים</w:t>
      </w:r>
      <w:r w:rsidRPr="00872D59">
        <w:rPr>
          <w:rFonts w:ascii="Century" w:hAnsi="Century" w:cs="Miriam"/>
          <w:b/>
          <w:spacing w:val="0"/>
          <w:szCs w:val="24"/>
          <w:rtl/>
        </w:rPr>
        <w:t xml:space="preserve"> </w:t>
      </w:r>
      <w:r w:rsidRPr="00872D59">
        <w:rPr>
          <w:rFonts w:ascii="Century" w:hAnsi="Century" w:cs="Miriam" w:hint="eastAsia"/>
          <w:b/>
          <w:spacing w:val="0"/>
          <w:szCs w:val="24"/>
          <w:rtl/>
        </w:rPr>
        <w:t>נ</w:t>
      </w:r>
      <w:r w:rsidRPr="00872D59">
        <w:rPr>
          <w:rFonts w:ascii="Century" w:hAnsi="Century" w:cs="Miriam"/>
          <w:b/>
          <w:spacing w:val="0"/>
          <w:szCs w:val="24"/>
          <w:rtl/>
        </w:rPr>
        <w:t xml:space="preserve">' </w:t>
      </w:r>
      <w:proofErr w:type="spellStart"/>
      <w:r w:rsidRPr="00872D59">
        <w:rPr>
          <w:rFonts w:ascii="Century" w:hAnsi="Century" w:cs="Miriam" w:hint="eastAsia"/>
          <w:b/>
          <w:spacing w:val="0"/>
          <w:szCs w:val="24"/>
          <w:rtl/>
        </w:rPr>
        <w:t>סקמסקי</w:t>
      </w:r>
      <w:proofErr w:type="spellEnd"/>
      <w:r w:rsidRPr="00872D59">
        <w:rPr>
          <w:rFonts w:ascii="Century" w:hAnsi="Century"/>
          <w:rtl/>
        </w:rPr>
        <w:t xml:space="preserve">, </w:t>
      </w:r>
      <w:r w:rsidRPr="00872D59">
        <w:rPr>
          <w:rFonts w:ascii="Century" w:hAnsi="Century" w:hint="eastAsia"/>
          <w:rtl/>
        </w:rPr>
        <w:t>פסקה</w:t>
      </w:r>
      <w:r w:rsidRPr="00872D59">
        <w:rPr>
          <w:rFonts w:ascii="Century" w:hAnsi="Century"/>
          <w:rtl/>
        </w:rPr>
        <w:t xml:space="preserve"> 49 (16.8.2021)). </w:t>
      </w:r>
      <w:r w:rsidRPr="00872D59">
        <w:rPr>
          <w:rFonts w:ascii="Century" w:hAnsi="Century" w:hint="eastAsia"/>
          <w:rtl/>
        </w:rPr>
        <w:t>בדומה</w:t>
      </w:r>
      <w:r w:rsidRPr="00872D59">
        <w:rPr>
          <w:rFonts w:ascii="Century" w:hAnsi="Century"/>
          <w:rtl/>
        </w:rPr>
        <w:t xml:space="preserve">, </w:t>
      </w:r>
      <w:r w:rsidRPr="00872D59">
        <w:rPr>
          <w:rFonts w:ascii="Century" w:hAnsi="Century" w:hint="eastAsia"/>
          <w:rtl/>
        </w:rPr>
        <w:t>בעת</w:t>
      </w:r>
      <w:r w:rsidRPr="00872D59">
        <w:rPr>
          <w:rFonts w:ascii="Century" w:hAnsi="Century"/>
          <w:rtl/>
        </w:rPr>
        <w:t xml:space="preserve"> </w:t>
      </w:r>
      <w:r w:rsidRPr="00872D59">
        <w:rPr>
          <w:rFonts w:ascii="Century" w:hAnsi="Century" w:hint="eastAsia"/>
          <w:rtl/>
        </w:rPr>
        <w:t>התדיינות</w:t>
      </w:r>
      <w:r w:rsidRPr="00872D59">
        <w:rPr>
          <w:rFonts w:ascii="Century" w:hAnsi="Century"/>
          <w:rtl/>
        </w:rPr>
        <w:t xml:space="preserve"> </w:t>
      </w:r>
      <w:r w:rsidRPr="00872D59">
        <w:rPr>
          <w:rFonts w:ascii="Century" w:hAnsi="Century" w:hint="eastAsia"/>
          <w:rtl/>
        </w:rPr>
        <w:t>של</w:t>
      </w:r>
      <w:r w:rsidRPr="00872D59">
        <w:rPr>
          <w:rFonts w:ascii="Century" w:hAnsi="Century"/>
          <w:rtl/>
        </w:rPr>
        <w:t xml:space="preserve"> </w:t>
      </w:r>
      <w:r w:rsidRPr="00872D59">
        <w:rPr>
          <w:rFonts w:ascii="Century" w:hAnsi="Century" w:hint="eastAsia"/>
          <w:rtl/>
        </w:rPr>
        <w:t>פקיד</w:t>
      </w:r>
      <w:r w:rsidRPr="00872D59">
        <w:rPr>
          <w:rFonts w:ascii="Century" w:hAnsi="Century"/>
          <w:rtl/>
        </w:rPr>
        <w:t xml:space="preserve"> </w:t>
      </w:r>
      <w:r w:rsidRPr="00872D59">
        <w:rPr>
          <w:rFonts w:ascii="Century" w:hAnsi="Century" w:hint="eastAsia"/>
          <w:rtl/>
        </w:rPr>
        <w:t>השומה</w:t>
      </w:r>
      <w:r w:rsidRPr="00872D59">
        <w:rPr>
          <w:rFonts w:ascii="Century" w:hAnsi="Century"/>
          <w:rtl/>
        </w:rPr>
        <w:t xml:space="preserve"> </w:t>
      </w:r>
      <w:r w:rsidRPr="00872D59">
        <w:rPr>
          <w:rFonts w:ascii="Century" w:hAnsi="Century" w:hint="eastAsia"/>
          <w:rtl/>
        </w:rPr>
        <w:t>מול</w:t>
      </w:r>
      <w:r w:rsidRPr="00872D59">
        <w:rPr>
          <w:rFonts w:ascii="Century" w:hAnsi="Century"/>
          <w:rtl/>
        </w:rPr>
        <w:t xml:space="preserve"> </w:t>
      </w:r>
      <w:r w:rsidRPr="00872D59">
        <w:rPr>
          <w:rFonts w:ascii="Century" w:hAnsi="Century" w:hint="eastAsia"/>
          <w:rtl/>
        </w:rPr>
        <w:t>הנישום</w:t>
      </w:r>
      <w:r w:rsidRPr="00872D59">
        <w:rPr>
          <w:rFonts w:ascii="Century" w:hAnsi="Century"/>
          <w:rtl/>
        </w:rPr>
        <w:t xml:space="preserve">, </w:t>
      </w:r>
      <w:r w:rsidRPr="00872D59">
        <w:rPr>
          <w:rFonts w:ascii="Century" w:hAnsi="Century" w:hint="eastAsia"/>
          <w:rtl/>
        </w:rPr>
        <w:t>אם</w:t>
      </w:r>
      <w:r w:rsidRPr="00872D59">
        <w:rPr>
          <w:rFonts w:ascii="Century" w:hAnsi="Century"/>
          <w:rtl/>
        </w:rPr>
        <w:t xml:space="preserve"> </w:t>
      </w:r>
      <w:r w:rsidRPr="00872D59">
        <w:rPr>
          <w:rFonts w:ascii="Century" w:hAnsi="Century" w:hint="eastAsia"/>
          <w:rtl/>
        </w:rPr>
        <w:t>בשלב</w:t>
      </w:r>
      <w:r w:rsidRPr="00872D59">
        <w:rPr>
          <w:rFonts w:ascii="Century" w:hAnsi="Century"/>
          <w:rtl/>
        </w:rPr>
        <w:t xml:space="preserve"> </w:t>
      </w:r>
      <w:r w:rsidRPr="00872D59">
        <w:rPr>
          <w:rFonts w:ascii="Century" w:hAnsi="Century" w:hint="eastAsia"/>
          <w:rtl/>
        </w:rPr>
        <w:t>השומה</w:t>
      </w:r>
      <w:r w:rsidRPr="00872D59">
        <w:rPr>
          <w:rFonts w:ascii="Century" w:hAnsi="Century"/>
          <w:rtl/>
        </w:rPr>
        <w:t xml:space="preserve"> </w:t>
      </w:r>
      <w:r w:rsidRPr="00872D59">
        <w:rPr>
          <w:rFonts w:ascii="Century" w:hAnsi="Century" w:hint="eastAsia"/>
          <w:rtl/>
        </w:rPr>
        <w:t>ואם</w:t>
      </w:r>
      <w:r w:rsidRPr="00872D59">
        <w:rPr>
          <w:rFonts w:ascii="Century" w:hAnsi="Century"/>
          <w:rtl/>
        </w:rPr>
        <w:t xml:space="preserve"> </w:t>
      </w:r>
      <w:r w:rsidRPr="00872D59">
        <w:rPr>
          <w:rFonts w:ascii="Century" w:hAnsi="Century" w:hint="eastAsia"/>
          <w:rtl/>
        </w:rPr>
        <w:t>בשלב</w:t>
      </w:r>
      <w:r w:rsidRPr="00872D59">
        <w:rPr>
          <w:rFonts w:ascii="Century" w:hAnsi="Century"/>
          <w:rtl/>
        </w:rPr>
        <w:t xml:space="preserve"> </w:t>
      </w:r>
      <w:r w:rsidRPr="00872D59">
        <w:rPr>
          <w:rFonts w:ascii="Century" w:hAnsi="Century" w:hint="eastAsia"/>
          <w:rtl/>
        </w:rPr>
        <w:t>ההשגה</w:t>
      </w:r>
      <w:r w:rsidRPr="00872D59">
        <w:rPr>
          <w:rFonts w:ascii="Century" w:hAnsi="Century"/>
          <w:rtl/>
        </w:rPr>
        <w:t xml:space="preserve"> </w:t>
      </w:r>
      <w:r w:rsidRPr="00872D59">
        <w:rPr>
          <w:rFonts w:ascii="Century" w:hAnsi="Century" w:hint="eastAsia"/>
          <w:rtl/>
        </w:rPr>
        <w:t>והערעור</w:t>
      </w:r>
      <w:r w:rsidRPr="00872D59">
        <w:rPr>
          <w:rFonts w:ascii="Century" w:hAnsi="Century"/>
          <w:rtl/>
        </w:rPr>
        <w:t xml:space="preserve">, </w:t>
      </w:r>
      <w:r w:rsidRPr="00872D59">
        <w:rPr>
          <w:rFonts w:ascii="Century" w:hAnsi="Century" w:hint="eastAsia"/>
          <w:rtl/>
        </w:rPr>
        <w:t>ראוי</w:t>
      </w:r>
      <w:r w:rsidRPr="00872D59">
        <w:rPr>
          <w:rFonts w:ascii="Century" w:hAnsi="Century"/>
          <w:rtl/>
        </w:rPr>
        <w:t xml:space="preserve"> </w:t>
      </w:r>
      <w:r w:rsidRPr="00872D59">
        <w:rPr>
          <w:rFonts w:ascii="Century" w:hAnsi="Century" w:hint="eastAsia"/>
          <w:rtl/>
        </w:rPr>
        <w:t>לפקיד</w:t>
      </w:r>
      <w:r w:rsidRPr="00872D59">
        <w:rPr>
          <w:rFonts w:ascii="Century" w:hAnsi="Century"/>
          <w:rtl/>
        </w:rPr>
        <w:t xml:space="preserve"> </w:t>
      </w:r>
      <w:r w:rsidRPr="00872D59">
        <w:rPr>
          <w:rFonts w:ascii="Century" w:hAnsi="Century" w:hint="eastAsia"/>
          <w:rtl/>
        </w:rPr>
        <w:t>השומה</w:t>
      </w:r>
      <w:r w:rsidRPr="00872D59">
        <w:rPr>
          <w:rFonts w:ascii="Century" w:hAnsi="Century"/>
          <w:rtl/>
        </w:rPr>
        <w:t xml:space="preserve"> </w:t>
      </w:r>
      <w:r w:rsidRPr="00235506">
        <w:rPr>
          <w:rFonts w:ascii="Century" w:hAnsi="Century" w:hint="eastAsia"/>
          <w:rtl/>
        </w:rPr>
        <w:t>ש</w:t>
      </w:r>
      <w:r w:rsidRPr="00872D59">
        <w:rPr>
          <w:rFonts w:ascii="Century" w:hAnsi="Century" w:hint="eastAsia"/>
          <w:rtl/>
        </w:rPr>
        <w:t>לא</w:t>
      </w:r>
      <w:r w:rsidRPr="00872D59">
        <w:rPr>
          <w:rFonts w:ascii="Century" w:hAnsi="Century"/>
          <w:rtl/>
        </w:rPr>
        <w:t xml:space="preserve"> </w:t>
      </w:r>
      <w:r w:rsidRPr="00872D59">
        <w:rPr>
          <w:rFonts w:ascii="Century" w:hAnsi="Century" w:hint="eastAsia"/>
          <w:rtl/>
        </w:rPr>
        <w:t>להתפתות</w:t>
      </w:r>
      <w:r w:rsidRPr="00872D59">
        <w:rPr>
          <w:rFonts w:ascii="Century" w:hAnsi="Century"/>
          <w:rtl/>
        </w:rPr>
        <w:t xml:space="preserve"> </w:t>
      </w:r>
      <w:r w:rsidRPr="00872D59">
        <w:rPr>
          <w:rFonts w:ascii="Century" w:hAnsi="Century" w:hint="eastAsia"/>
          <w:rtl/>
        </w:rPr>
        <w:t>להתנצח</w:t>
      </w:r>
      <w:r w:rsidRPr="00872D59">
        <w:rPr>
          <w:rFonts w:ascii="Century" w:hAnsi="Century"/>
          <w:rtl/>
        </w:rPr>
        <w:t xml:space="preserve"> </w:t>
      </w:r>
      <w:r w:rsidRPr="00872D59">
        <w:rPr>
          <w:rFonts w:ascii="Century" w:hAnsi="Century" w:hint="eastAsia"/>
          <w:rtl/>
        </w:rPr>
        <w:t>על</w:t>
      </w:r>
      <w:r w:rsidRPr="00872D59">
        <w:rPr>
          <w:rFonts w:ascii="Century" w:hAnsi="Century"/>
          <w:rtl/>
        </w:rPr>
        <w:t xml:space="preserve"> </w:t>
      </w:r>
      <w:r w:rsidRPr="00872D59">
        <w:rPr>
          <w:rFonts w:ascii="Century" w:hAnsi="Century" w:hint="eastAsia"/>
          <w:rtl/>
        </w:rPr>
        <w:t>כל</w:t>
      </w:r>
      <w:r w:rsidRPr="00872D59">
        <w:rPr>
          <w:rFonts w:ascii="Century" w:hAnsi="Century"/>
          <w:rtl/>
        </w:rPr>
        <w:t xml:space="preserve"> </w:t>
      </w:r>
      <w:r w:rsidRPr="00872D59">
        <w:rPr>
          <w:rFonts w:ascii="Century" w:hAnsi="Century" w:hint="eastAsia"/>
          <w:rtl/>
        </w:rPr>
        <w:t>טענה</w:t>
      </w:r>
      <w:r w:rsidRPr="00872D59">
        <w:rPr>
          <w:rFonts w:ascii="Century" w:hAnsi="Century"/>
          <w:rtl/>
        </w:rPr>
        <w:t xml:space="preserve"> </w:t>
      </w:r>
      <w:r w:rsidRPr="00872D59">
        <w:rPr>
          <w:rFonts w:ascii="Century" w:hAnsi="Century" w:hint="eastAsia"/>
          <w:rtl/>
        </w:rPr>
        <w:t>וטענה</w:t>
      </w:r>
      <w:r w:rsidRPr="00872D59">
        <w:rPr>
          <w:rFonts w:ascii="Century" w:hAnsi="Century"/>
          <w:rtl/>
        </w:rPr>
        <w:t xml:space="preserve"> </w:t>
      </w:r>
      <w:r w:rsidRPr="00872D59">
        <w:rPr>
          <w:rFonts w:ascii="Century" w:hAnsi="Century" w:hint="eastAsia"/>
          <w:rtl/>
        </w:rPr>
        <w:t>שמעלה</w:t>
      </w:r>
      <w:r w:rsidRPr="00872D59">
        <w:rPr>
          <w:rFonts w:ascii="Century" w:hAnsi="Century"/>
          <w:rtl/>
        </w:rPr>
        <w:t xml:space="preserve"> </w:t>
      </w:r>
      <w:r w:rsidRPr="00872D59">
        <w:rPr>
          <w:rFonts w:ascii="Century" w:hAnsi="Century" w:hint="eastAsia"/>
          <w:rtl/>
        </w:rPr>
        <w:t>הנישום</w:t>
      </w:r>
      <w:r w:rsidRPr="00872D59">
        <w:rPr>
          <w:rFonts w:ascii="Century" w:hAnsi="Century"/>
          <w:rtl/>
        </w:rPr>
        <w:t xml:space="preserve">. </w:t>
      </w:r>
      <w:r w:rsidRPr="00872D59">
        <w:rPr>
          <w:rFonts w:ascii="Century" w:hAnsi="Century" w:hint="eastAsia"/>
          <w:rtl/>
        </w:rPr>
        <w:t>התנהלות</w:t>
      </w:r>
      <w:r w:rsidRPr="00872D59">
        <w:rPr>
          <w:rFonts w:ascii="Century" w:hAnsi="Century"/>
          <w:rtl/>
        </w:rPr>
        <w:t xml:space="preserve"> </w:t>
      </w:r>
      <w:r w:rsidRPr="00872D59">
        <w:rPr>
          <w:rFonts w:ascii="Century" w:hAnsi="Century" w:hint="eastAsia"/>
          <w:rtl/>
        </w:rPr>
        <w:t>שכזו</w:t>
      </w:r>
      <w:r w:rsidRPr="00872D59">
        <w:rPr>
          <w:rFonts w:ascii="Century" w:hAnsi="Century"/>
          <w:rtl/>
        </w:rPr>
        <w:t xml:space="preserve">, </w:t>
      </w:r>
      <w:r w:rsidRPr="00872D59">
        <w:rPr>
          <w:rFonts w:ascii="Century" w:hAnsi="Century" w:hint="eastAsia"/>
          <w:rtl/>
        </w:rPr>
        <w:t>שלעתים</w:t>
      </w:r>
      <w:r w:rsidRPr="00872D59">
        <w:rPr>
          <w:rFonts w:ascii="Century" w:hAnsi="Century"/>
          <w:rtl/>
        </w:rPr>
        <w:t xml:space="preserve"> </w:t>
      </w:r>
      <w:r w:rsidRPr="00872D59">
        <w:rPr>
          <w:rFonts w:ascii="Century" w:hAnsi="Century" w:hint="eastAsia"/>
          <w:rtl/>
        </w:rPr>
        <w:t>נדמה</w:t>
      </w:r>
      <w:r w:rsidRPr="00872D59">
        <w:rPr>
          <w:rFonts w:ascii="Century" w:hAnsi="Century"/>
          <w:rtl/>
        </w:rPr>
        <w:t xml:space="preserve"> </w:t>
      </w:r>
      <w:r w:rsidRPr="00872D59">
        <w:rPr>
          <w:rFonts w:ascii="Century" w:hAnsi="Century" w:hint="eastAsia"/>
          <w:rtl/>
        </w:rPr>
        <w:t>כי</w:t>
      </w:r>
      <w:r w:rsidRPr="00872D59">
        <w:rPr>
          <w:rFonts w:ascii="Century" w:hAnsi="Century"/>
          <w:rtl/>
        </w:rPr>
        <w:t xml:space="preserve"> </w:t>
      </w:r>
      <w:r w:rsidRPr="00872D59">
        <w:rPr>
          <w:rFonts w:ascii="Century" w:hAnsi="Century" w:hint="eastAsia"/>
          <w:rtl/>
        </w:rPr>
        <w:t>היא</w:t>
      </w:r>
      <w:r w:rsidRPr="00872D59">
        <w:rPr>
          <w:rFonts w:ascii="Century" w:hAnsi="Century"/>
          <w:rtl/>
        </w:rPr>
        <w:t xml:space="preserve"> </w:t>
      </w:r>
      <w:r w:rsidRPr="00872D59">
        <w:rPr>
          <w:rFonts w:ascii="Century" w:hAnsi="Century" w:hint="eastAsia"/>
          <w:rtl/>
        </w:rPr>
        <w:t>לשם</w:t>
      </w:r>
      <w:r w:rsidRPr="00872D59">
        <w:rPr>
          <w:rFonts w:ascii="Century" w:hAnsi="Century"/>
          <w:rtl/>
        </w:rPr>
        <w:t xml:space="preserve"> </w:t>
      </w:r>
      <w:r w:rsidRPr="00872D59">
        <w:rPr>
          <w:rFonts w:ascii="Century" w:hAnsi="Century" w:hint="eastAsia"/>
          <w:rtl/>
        </w:rPr>
        <w:t>ההתנצחות</w:t>
      </w:r>
      <w:r w:rsidRPr="00872D59">
        <w:rPr>
          <w:rFonts w:ascii="Century" w:hAnsi="Century"/>
          <w:rtl/>
        </w:rPr>
        <w:t xml:space="preserve"> </w:t>
      </w:r>
      <w:r w:rsidRPr="00872D59">
        <w:rPr>
          <w:rFonts w:ascii="Century" w:hAnsi="Century" w:hint="eastAsia"/>
          <w:rtl/>
        </w:rPr>
        <w:t>גרידא</w:t>
      </w:r>
      <w:r w:rsidRPr="00872D59">
        <w:rPr>
          <w:rFonts w:ascii="Century" w:hAnsi="Century"/>
          <w:rtl/>
        </w:rPr>
        <w:t xml:space="preserve">, </w:t>
      </w:r>
      <w:r w:rsidRPr="00872D59">
        <w:rPr>
          <w:rFonts w:ascii="Century" w:hAnsi="Century" w:hint="eastAsia"/>
          <w:rtl/>
        </w:rPr>
        <w:t>אינה</w:t>
      </w:r>
      <w:r w:rsidRPr="00872D59">
        <w:rPr>
          <w:rFonts w:ascii="Century" w:hAnsi="Century"/>
          <w:rtl/>
        </w:rPr>
        <w:t xml:space="preserve"> </w:t>
      </w:r>
      <w:r w:rsidRPr="00872D59">
        <w:rPr>
          <w:rFonts w:ascii="Century" w:hAnsi="Century" w:hint="eastAsia"/>
          <w:rtl/>
        </w:rPr>
        <w:t>מבטאת</w:t>
      </w:r>
      <w:r w:rsidRPr="00872D59">
        <w:rPr>
          <w:rFonts w:ascii="Century" w:hAnsi="Century"/>
          <w:rtl/>
        </w:rPr>
        <w:t xml:space="preserve"> </w:t>
      </w:r>
      <w:r w:rsidRPr="00872D59">
        <w:rPr>
          <w:rFonts w:ascii="Century" w:hAnsi="Century" w:hint="eastAsia"/>
          <w:rtl/>
        </w:rPr>
        <w:t>מחלוקת</w:t>
      </w:r>
      <w:r w:rsidRPr="00872D59">
        <w:rPr>
          <w:rFonts w:ascii="Century" w:hAnsi="Century"/>
          <w:rtl/>
        </w:rPr>
        <w:t xml:space="preserve"> </w:t>
      </w:r>
      <w:r w:rsidRPr="00872D59">
        <w:rPr>
          <w:rFonts w:ascii="Century" w:hAnsi="Century" w:hint="eastAsia"/>
          <w:rtl/>
        </w:rPr>
        <w:t>לשם</w:t>
      </w:r>
      <w:r w:rsidRPr="00872D59">
        <w:rPr>
          <w:rFonts w:ascii="Century" w:hAnsi="Century"/>
          <w:rtl/>
        </w:rPr>
        <w:t xml:space="preserve"> </w:t>
      </w:r>
      <w:r w:rsidRPr="00872D59">
        <w:rPr>
          <w:rFonts w:ascii="Century" w:hAnsi="Century" w:hint="eastAsia"/>
          <w:rtl/>
        </w:rPr>
        <w:t>שמיים</w:t>
      </w:r>
      <w:r w:rsidRPr="00872D59">
        <w:rPr>
          <w:rFonts w:ascii="Century" w:hAnsi="Century"/>
          <w:rtl/>
        </w:rPr>
        <w:t xml:space="preserve"> </w:t>
      </w:r>
      <w:proofErr w:type="spellStart"/>
      <w:r w:rsidRPr="00872D59">
        <w:rPr>
          <w:rFonts w:ascii="Century" w:hAnsi="Century" w:hint="eastAsia"/>
          <w:rtl/>
        </w:rPr>
        <w:t>וככזו</w:t>
      </w:r>
      <w:proofErr w:type="spellEnd"/>
      <w:r w:rsidRPr="00872D59">
        <w:rPr>
          <w:rFonts w:ascii="Century" w:hAnsi="Century"/>
          <w:rtl/>
        </w:rPr>
        <w:t xml:space="preserve"> </w:t>
      </w:r>
      <w:r w:rsidRPr="00872D59">
        <w:rPr>
          <w:rFonts w:ascii="Century" w:hAnsi="Century" w:hint="eastAsia"/>
          <w:rtl/>
        </w:rPr>
        <w:t>אין</w:t>
      </w:r>
      <w:r w:rsidRPr="00872D59">
        <w:rPr>
          <w:rFonts w:ascii="Century" w:hAnsi="Century"/>
          <w:rtl/>
        </w:rPr>
        <w:t xml:space="preserve"> </w:t>
      </w:r>
      <w:r w:rsidRPr="00872D59">
        <w:rPr>
          <w:rFonts w:ascii="Century" w:hAnsi="Century" w:hint="eastAsia"/>
          <w:rtl/>
        </w:rPr>
        <w:t>סופה</w:t>
      </w:r>
      <w:r w:rsidRPr="00872D59">
        <w:rPr>
          <w:rFonts w:ascii="Century" w:hAnsi="Century"/>
          <w:rtl/>
        </w:rPr>
        <w:t xml:space="preserve"> </w:t>
      </w:r>
      <w:r w:rsidRPr="00872D59">
        <w:rPr>
          <w:rFonts w:ascii="Century" w:hAnsi="Century" w:hint="eastAsia"/>
          <w:rtl/>
        </w:rPr>
        <w:t>להתקיים</w:t>
      </w:r>
      <w:r w:rsidRPr="00872D59">
        <w:rPr>
          <w:rFonts w:ascii="Century" w:hAnsi="Century"/>
          <w:rtl/>
        </w:rPr>
        <w:t xml:space="preserve"> (</w:t>
      </w:r>
      <w:r w:rsidRPr="00872D59">
        <w:rPr>
          <w:rFonts w:ascii="Century" w:hAnsi="Century" w:hint="eastAsia"/>
          <w:rtl/>
        </w:rPr>
        <w:t>משנה</w:t>
      </w:r>
      <w:r w:rsidRPr="00872D59">
        <w:rPr>
          <w:rFonts w:ascii="Century" w:hAnsi="Century"/>
          <w:rtl/>
        </w:rPr>
        <w:t xml:space="preserve">, </w:t>
      </w:r>
      <w:r w:rsidRPr="00872D59">
        <w:rPr>
          <w:rFonts w:ascii="Century" w:hAnsi="Century" w:hint="eastAsia"/>
          <w:rtl/>
        </w:rPr>
        <w:t>אבות</w:t>
      </w:r>
      <w:r w:rsidRPr="00872D59">
        <w:rPr>
          <w:rFonts w:ascii="Century" w:hAnsi="Century"/>
          <w:rtl/>
        </w:rPr>
        <w:t xml:space="preserve"> </w:t>
      </w:r>
      <w:r w:rsidRPr="00872D59">
        <w:rPr>
          <w:rFonts w:ascii="Century" w:hAnsi="Century" w:hint="eastAsia"/>
          <w:rtl/>
        </w:rPr>
        <w:t>ה</w:t>
      </w:r>
      <w:r w:rsidRPr="00872D59">
        <w:rPr>
          <w:rFonts w:ascii="Century" w:hAnsi="Century"/>
          <w:rtl/>
        </w:rPr>
        <w:t xml:space="preserve">, </w:t>
      </w:r>
      <w:proofErr w:type="spellStart"/>
      <w:r w:rsidRPr="00872D59">
        <w:rPr>
          <w:rFonts w:ascii="Century" w:hAnsi="Century" w:hint="eastAsia"/>
          <w:rtl/>
        </w:rPr>
        <w:t>יז</w:t>
      </w:r>
      <w:proofErr w:type="spellEnd"/>
      <w:r w:rsidRPr="00872D59">
        <w:rPr>
          <w:rFonts w:ascii="Century" w:hAnsi="Century"/>
          <w:rtl/>
        </w:rPr>
        <w:t xml:space="preserve">).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28.</w:t>
      </w:r>
      <w:r w:rsidRPr="00C346F6">
        <w:rPr>
          <w:rFonts w:ascii="Century" w:hAnsi="Century"/>
          <w:rtl/>
        </w:rPr>
        <w:tab/>
      </w:r>
      <w:r w:rsidRPr="00C346F6">
        <w:rPr>
          <w:rFonts w:ascii="Century" w:hAnsi="Century" w:hint="cs"/>
          <w:rtl/>
        </w:rPr>
        <w:t xml:space="preserve">לגופם של דברים, אני סבור כי ראוי להעמיד את הדברים באור אחר.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קביעה האוסרת על ניכוי הסכום שחולט כהוצאה </w:t>
      </w:r>
      <w:r w:rsidRPr="00C346F6">
        <w:rPr>
          <w:rFonts w:ascii="Century" w:hAnsi="Century"/>
          <w:rtl/>
        </w:rPr>
        <w:t>–</w:t>
      </w:r>
      <w:r w:rsidRPr="00C346F6">
        <w:rPr>
          <w:rFonts w:ascii="Century" w:hAnsi="Century" w:hint="cs"/>
          <w:rtl/>
        </w:rPr>
        <w:t xml:space="preserve"> אכן מצויה במתח אל מול העיקרון של גביית מס אמת. יש להכיר בקיומו של מתח זה, מבלי לנסות לטשטשו ולעמעמו. בד בבד, "עקרון זה [של גביית מס אמת], חרף מעמדו הרם בדיני המס, </w:t>
      </w:r>
      <w:r w:rsidRPr="00C346F6">
        <w:rPr>
          <w:rFonts w:ascii="Century" w:hAnsi="Century" w:cs="Miriam" w:hint="cs"/>
          <w:b/>
          <w:spacing w:val="0"/>
          <w:szCs w:val="24"/>
          <w:rtl/>
        </w:rPr>
        <w:t>אינו בן יחיד</w:t>
      </w:r>
      <w:r w:rsidRPr="00C346F6">
        <w:rPr>
          <w:rFonts w:ascii="Century" w:hAnsi="Century" w:hint="cs"/>
          <w:rtl/>
        </w:rPr>
        <w:t xml:space="preserve">" (דברי השופט </w:t>
      </w:r>
      <w:r w:rsidRPr="00C346F6">
        <w:rPr>
          <w:rFonts w:ascii="Century" w:hAnsi="Century" w:cs="Miriam" w:hint="cs"/>
          <w:b/>
          <w:spacing w:val="0"/>
          <w:szCs w:val="24"/>
          <w:rtl/>
        </w:rPr>
        <w:t>הנדל</w:t>
      </w:r>
      <w:r w:rsidRPr="00C346F6">
        <w:rPr>
          <w:rFonts w:ascii="Century" w:hAnsi="Century" w:hint="cs"/>
          <w:rtl/>
        </w:rPr>
        <w:t xml:space="preserve"> בע"א </w:t>
      </w:r>
      <w:r w:rsidRPr="00C346F6">
        <w:rPr>
          <w:rFonts w:ascii="Century" w:hAnsi="Century" w:cs="Miriam" w:hint="cs"/>
          <w:b/>
          <w:spacing w:val="0"/>
          <w:szCs w:val="24"/>
          <w:rtl/>
        </w:rPr>
        <w:t>דמארי</w:t>
      </w:r>
      <w:r w:rsidRPr="00C346F6">
        <w:rPr>
          <w:rFonts w:ascii="Century" w:hAnsi="Century" w:hint="cs"/>
          <w:rtl/>
        </w:rPr>
        <w:t xml:space="preserve">, פסקה 20 לפסק דינו (ההדגשה הוספה </w:t>
      </w:r>
      <w:r w:rsidRPr="00C346F6">
        <w:rPr>
          <w:rFonts w:ascii="Century" w:hAnsi="Century"/>
          <w:rtl/>
        </w:rPr>
        <w:t>–</w:t>
      </w:r>
      <w:r w:rsidRPr="00C346F6">
        <w:rPr>
          <w:rFonts w:ascii="Century" w:hAnsi="Century" w:hint="cs"/>
          <w:rtl/>
        </w:rPr>
        <w:t xml:space="preserve"> </w:t>
      </w:r>
      <w:proofErr w:type="spellStart"/>
      <w:r w:rsidRPr="00C346F6">
        <w:rPr>
          <w:rFonts w:ascii="Century" w:hAnsi="Century" w:hint="cs"/>
          <w:rtl/>
        </w:rPr>
        <w:t>י"ע</w:t>
      </w:r>
      <w:proofErr w:type="spellEnd"/>
      <w:r w:rsidRPr="00C346F6">
        <w:rPr>
          <w:rFonts w:ascii="Century" w:hAnsi="Century" w:hint="cs"/>
          <w:rtl/>
        </w:rPr>
        <w:t>)).  לעתים מתעורר הצורך לבחון אם קיימים טעמים כבדי משקל אחרים העומדים מנגד שבכוחם להכריעו.</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דברים אלה אינם בגדר חידוש. קיים מגוון של דוגמאות בהקשרים שונים בדיני המס המבטאים זאת. דוגמה קרובה לענייננו היא ההלכה שאינה מאפשרת ניכוי הוצאות בלתי חוקיות. כך, לדוגמה, ראובן שמנהל ארגון פשיעה ומעסיק בעלי זרוע שיגבו עבורו דמי פרוטקשן ו"יאכפו" במידת הצורך את ביצוע התשלום, לא יוכל לנכות את שכרם כהוצאה. באופן דומה, שמעון שהקים מעבדה לגידול סמים לא יוכל לנכות כהוצאה את עלויות שתילי המריחואנה וגידולם, אף </w:t>
      </w:r>
      <w:proofErr w:type="spellStart"/>
      <w:r w:rsidRPr="00C346F6">
        <w:rPr>
          <w:rFonts w:ascii="Century" w:hAnsi="Century" w:hint="cs"/>
          <w:rtl/>
        </w:rPr>
        <w:t>שיחוייב</w:t>
      </w:r>
      <w:proofErr w:type="spellEnd"/>
      <w:r w:rsidRPr="00C346F6">
        <w:rPr>
          <w:rFonts w:ascii="Century" w:hAnsi="Century" w:hint="cs"/>
          <w:rtl/>
        </w:rPr>
        <w:t xml:space="preserve"> במלוא המס בגין הכנסותיו מעסקי הסמים (וראו גם הדוגמה של הוצאות שודד לרכישת כלי נשק שהזכרתי בהחלטתי ב</w:t>
      </w:r>
      <w:r w:rsidRPr="00C346F6">
        <w:rPr>
          <w:rFonts w:ascii="Century" w:hAnsi="Century"/>
          <w:rtl/>
        </w:rPr>
        <w:t>ב</w:t>
      </w:r>
      <w:r w:rsidRPr="00C346F6">
        <w:rPr>
          <w:rFonts w:ascii="Century" w:hAnsi="Century" w:hint="cs"/>
          <w:rtl/>
        </w:rPr>
        <w:t>"</w:t>
      </w:r>
      <w:r w:rsidRPr="00C346F6">
        <w:rPr>
          <w:rFonts w:ascii="Century" w:hAnsi="Century"/>
          <w:rtl/>
        </w:rPr>
        <w:t>ש (חי') 2797/03 </w:t>
      </w:r>
      <w:r w:rsidRPr="00C346F6">
        <w:rPr>
          <w:rFonts w:ascii="Century" w:hAnsi="Century" w:cs="Miriam"/>
          <w:b/>
          <w:spacing w:val="0"/>
          <w:szCs w:val="24"/>
          <w:rtl/>
        </w:rPr>
        <w:t>מדינת ישראל נ' תענך</w:t>
      </w:r>
      <w:r w:rsidRPr="00C346F6">
        <w:rPr>
          <w:rFonts w:ascii="Century" w:hAnsi="Century" w:hint="cs"/>
          <w:rtl/>
        </w:rPr>
        <w:t xml:space="preserve">, פסקה 24 (30.9.2003)). ודוק: אי-הכרה בהוצאות מעין אלו חותרת כביכול תחת העיקרון של קביעת שיעור ההכנסה לאמיתה וקביעת שומת אמת. אין זאת אלא שמנגד ניצב שיקול כבד משקל בדמות תקנת הציבור, שתוקפו וגבורתו עוצמתיים לא פחות, ובדרך כלל אף יותר. עמדו על הדברים בהקשר קרוב, כבר לפני למעלה מיובל שנים, א' ויתקון וי' נאמן בספרם </w:t>
      </w:r>
      <w:r w:rsidRPr="00C346F6">
        <w:rPr>
          <w:rFonts w:ascii="Century" w:hAnsi="Century" w:cs="Miriam" w:hint="cs"/>
          <w:b/>
          <w:spacing w:val="0"/>
          <w:szCs w:val="24"/>
          <w:rtl/>
        </w:rPr>
        <w:t>דיני מסים – מסי הכנסה, עזבון ושבח</w:t>
      </w:r>
      <w:r w:rsidRPr="00C346F6">
        <w:rPr>
          <w:rFonts w:ascii="Century" w:hAnsi="Century" w:hint="cs"/>
          <w:rtl/>
        </w:rPr>
        <w:t xml:space="preserve"> (מהדורה רביעית, </w:t>
      </w:r>
      <w:proofErr w:type="spellStart"/>
      <w:r w:rsidRPr="00C346F6">
        <w:rPr>
          <w:rFonts w:ascii="Century" w:hAnsi="Century" w:hint="cs"/>
          <w:rtl/>
        </w:rPr>
        <w:t>התשכ"ט</w:t>
      </w:r>
      <w:proofErr w:type="spellEnd"/>
      <w:r w:rsidRPr="00C346F6">
        <w:rPr>
          <w:rFonts w:ascii="Century" w:hAnsi="Century" w:hint="cs"/>
          <w:rtl/>
        </w:rPr>
        <w:t xml:space="preserve">) (להלן: </w:t>
      </w:r>
      <w:r w:rsidRPr="00C346F6">
        <w:rPr>
          <w:rFonts w:ascii="Century" w:hAnsi="Century" w:cs="Miriam" w:hint="cs"/>
          <w:b/>
          <w:spacing w:val="0"/>
          <w:szCs w:val="24"/>
          <w:rtl/>
        </w:rPr>
        <w:t>ויתקון ונאמן</w:t>
      </w:r>
      <w:r w:rsidRPr="00C346F6">
        <w:rPr>
          <w:rFonts w:ascii="Century" w:hAnsi="Century" w:hint="cs"/>
          <w:rtl/>
        </w:rPr>
        <w:t>):</w:t>
      </w:r>
    </w:p>
    <w:p w:rsidR="00CB004C" w:rsidRPr="00C346F6" w:rsidRDefault="00CB004C" w:rsidP="00CB004C">
      <w:pPr>
        <w:pStyle w:val="Ruller41"/>
        <w:rPr>
          <w:rFonts w:ascii="Century" w:hAnsi="Century"/>
          <w:rtl/>
        </w:rPr>
      </w:pPr>
    </w:p>
    <w:p w:rsidR="00CB004C" w:rsidRPr="00C346F6" w:rsidRDefault="00CB004C" w:rsidP="00CB004C">
      <w:pPr>
        <w:pStyle w:val="Ruller5"/>
        <w:rPr>
          <w:rFonts w:ascii="Century" w:hAnsi="Century"/>
          <w:rtl/>
        </w:rPr>
      </w:pPr>
      <w:r w:rsidRPr="00C346F6">
        <w:rPr>
          <w:rFonts w:hint="cs"/>
          <w:rtl/>
        </w:rPr>
        <w:t xml:space="preserve">"בדרך כלל ניתן לומר, כי </w:t>
      </w:r>
      <w:proofErr w:type="spellStart"/>
      <w:r w:rsidRPr="00C346F6">
        <w:rPr>
          <w:rFonts w:hint="cs"/>
          <w:rtl/>
        </w:rPr>
        <w:t>בעית</w:t>
      </w:r>
      <w:proofErr w:type="spellEnd"/>
      <w:r w:rsidRPr="00C346F6">
        <w:rPr>
          <w:rFonts w:hint="cs"/>
          <w:rtl/>
        </w:rPr>
        <w:t xml:space="preserve"> ההוצאות שמקורן במעשים בלתי חוקיים, אינה מן הקלות בתחום דיני המסים. מתנגשים כאן שני עקרונות הנוגדים זה את זה. אחד דורש קביעת הכנסה לאמיתה, ללא התחשבות בשיקולים של חוק או מוסר, ואחד יסודו בשיקולי 'תיקון העולם' (</w:t>
      </w:r>
      <w:r w:rsidRPr="00C346F6">
        <w:rPr>
          <w:rFonts w:asciiTheme="majorBidi" w:hAnsiTheme="majorBidi" w:cstheme="majorBidi"/>
        </w:rPr>
        <w:t>public policy</w:t>
      </w:r>
      <w:r w:rsidRPr="00C346F6">
        <w:rPr>
          <w:rFonts w:hint="cs"/>
          <w:rtl/>
        </w:rPr>
        <w:t xml:space="preserve">). עקרון זה </w:t>
      </w:r>
      <w:r w:rsidRPr="00C346F6">
        <w:rPr>
          <w:rtl/>
        </w:rPr>
        <w:t>–</w:t>
      </w:r>
      <w:r w:rsidRPr="00C346F6">
        <w:rPr>
          <w:rFonts w:hint="cs"/>
          <w:rtl/>
        </w:rPr>
        <w:t xml:space="preserve"> והוא בדרך כלל המכריע </w:t>
      </w:r>
      <w:r w:rsidRPr="00C346F6">
        <w:rPr>
          <w:rtl/>
        </w:rPr>
        <w:t>–</w:t>
      </w:r>
      <w:r w:rsidRPr="00C346F6">
        <w:rPr>
          <w:rFonts w:hint="cs"/>
          <w:rtl/>
        </w:rPr>
        <w:t xml:space="preserve"> סולד במתן הכרה וגושפנקה להוצאות בשל מעשים בלתי חוקיים, שלא יהא החוטא נשכר על ידי הקלת העול הכספי, שהוטל על העבריין או המזיק מפני החוק" (שם, עמ' 157).</w:t>
      </w:r>
    </w:p>
    <w:p w:rsidR="00CB004C" w:rsidRPr="002C4600"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(וראו גם ב</w:t>
      </w:r>
      <w:r w:rsidRPr="00C346F6">
        <w:rPr>
          <w:rFonts w:ascii="Century" w:hAnsi="Century"/>
          <w:rtl/>
        </w:rPr>
        <w:t>ע</w:t>
      </w:r>
      <w:r w:rsidRPr="00C346F6">
        <w:rPr>
          <w:rFonts w:ascii="Century" w:hAnsi="Century" w:hint="cs"/>
          <w:rtl/>
        </w:rPr>
        <w:t>"</w:t>
      </w:r>
      <w:r w:rsidRPr="00C346F6">
        <w:rPr>
          <w:rFonts w:ascii="Century" w:hAnsi="Century"/>
          <w:rtl/>
        </w:rPr>
        <w:t xml:space="preserve">א 6726/05 </w:t>
      </w:r>
      <w:proofErr w:type="spellStart"/>
      <w:r w:rsidRPr="00C346F6">
        <w:rPr>
          <w:rFonts w:ascii="Century" w:hAnsi="Century" w:cs="Miriam"/>
          <w:b/>
          <w:spacing w:val="0"/>
          <w:szCs w:val="24"/>
          <w:rtl/>
        </w:rPr>
        <w:t>הידרולה</w:t>
      </w:r>
      <w:proofErr w:type="spellEnd"/>
      <w:r w:rsidRPr="00C346F6">
        <w:rPr>
          <w:rFonts w:ascii="Century" w:hAnsi="Century" w:cs="Miriam"/>
          <w:b/>
          <w:spacing w:val="0"/>
          <w:szCs w:val="24"/>
          <w:rtl/>
        </w:rPr>
        <w:t xml:space="preserve"> בע"מ נ' פקיד שומה ת"א 1</w:t>
      </w:r>
      <w:r w:rsidRPr="00C346F6">
        <w:rPr>
          <w:rFonts w:ascii="Century" w:hAnsi="Century"/>
          <w:rtl/>
        </w:rPr>
        <w:t>‏</w:t>
      </w:r>
      <w:r w:rsidRPr="00C346F6">
        <w:rPr>
          <w:rFonts w:ascii="Century" w:hAnsi="Century" w:hint="cs"/>
          <w:rtl/>
        </w:rPr>
        <w:t xml:space="preserve">, </w:t>
      </w:r>
      <w:proofErr w:type="spellStart"/>
      <w:r w:rsidRPr="00C346F6">
        <w:rPr>
          <w:rFonts w:ascii="Century" w:hAnsi="Century" w:hint="cs"/>
          <w:rtl/>
        </w:rPr>
        <w:t>פסקאה</w:t>
      </w:r>
      <w:proofErr w:type="spellEnd"/>
      <w:r w:rsidRPr="00C346F6">
        <w:rPr>
          <w:rFonts w:ascii="Century" w:hAnsi="Century" w:hint="cs"/>
          <w:rtl/>
        </w:rPr>
        <w:t xml:space="preserve"> ח(1), לפסק דינו של השופט </w:t>
      </w:r>
      <w:r w:rsidRPr="00C346F6">
        <w:rPr>
          <w:rFonts w:ascii="Century" w:hAnsi="Century" w:cs="Miriam" w:hint="cs"/>
          <w:b/>
          <w:spacing w:val="0"/>
          <w:szCs w:val="24"/>
          <w:rtl/>
        </w:rPr>
        <w:t>רובינשטיין</w:t>
      </w:r>
      <w:r w:rsidRPr="00C346F6">
        <w:rPr>
          <w:rFonts w:ascii="Century" w:hAnsi="Century" w:hint="cs"/>
          <w:rtl/>
        </w:rPr>
        <w:t xml:space="preserve"> (5.6.2008) (להלן: עניין </w:t>
      </w:r>
      <w:proofErr w:type="spellStart"/>
      <w:r w:rsidRPr="00C346F6">
        <w:rPr>
          <w:rFonts w:ascii="Century" w:hAnsi="Century" w:cs="Miriam" w:hint="cs"/>
          <w:b/>
          <w:spacing w:val="0"/>
          <w:szCs w:val="24"/>
          <w:rtl/>
        </w:rPr>
        <w:t>הידרולה</w:t>
      </w:r>
      <w:proofErr w:type="spellEnd"/>
      <w:r w:rsidRPr="00C346F6">
        <w:rPr>
          <w:rFonts w:ascii="Century" w:hAnsi="Century" w:hint="cs"/>
          <w:rtl/>
        </w:rPr>
        <w:t xml:space="preserve">); על כך שתקנת הציבור מהווה סייג לעיקרון של גביית מס אמת, ראו גם </w:t>
      </w:r>
      <w:r w:rsidRPr="00C346F6">
        <w:rPr>
          <w:rFonts w:ascii="Century" w:hAnsi="Century"/>
          <w:rtl/>
        </w:rPr>
        <w:t>ע</w:t>
      </w:r>
      <w:r w:rsidRPr="00C346F6">
        <w:rPr>
          <w:rFonts w:ascii="Century" w:hAnsi="Century" w:hint="cs"/>
          <w:rtl/>
        </w:rPr>
        <w:t>"</w:t>
      </w:r>
      <w:r w:rsidRPr="00C346F6">
        <w:rPr>
          <w:rFonts w:ascii="Century" w:hAnsi="Century"/>
          <w:rtl/>
        </w:rPr>
        <w:t xml:space="preserve">א 235/17 </w:t>
      </w:r>
      <w:r w:rsidRPr="00C346F6">
        <w:rPr>
          <w:rFonts w:ascii="Century" w:hAnsi="Century" w:cs="Miriam"/>
          <w:b/>
          <w:spacing w:val="0"/>
          <w:szCs w:val="24"/>
          <w:rtl/>
        </w:rPr>
        <w:t xml:space="preserve">מרכז ארכיאולוגי </w:t>
      </w:r>
      <w:r w:rsidRPr="00C346F6">
        <w:rPr>
          <w:rFonts w:ascii="Century" w:hAnsi="Century" w:cs="Miriam"/>
          <w:b/>
          <w:spacing w:val="0"/>
          <w:szCs w:val="24"/>
          <w:rtl/>
        </w:rPr>
        <w:lastRenderedPageBreak/>
        <w:t>בע"מ נ' פקיד שומה תל אביב 4</w:t>
      </w:r>
      <w:r w:rsidRPr="00C346F6">
        <w:rPr>
          <w:rFonts w:ascii="Century" w:hAnsi="Century" w:hint="cs"/>
          <w:rtl/>
        </w:rPr>
        <w:t xml:space="preserve">, פסקה 23 והאסמכתאות שם (20.6.2018) (להלן: עניין </w:t>
      </w:r>
      <w:r w:rsidRPr="00C346F6">
        <w:rPr>
          <w:rFonts w:ascii="Century" w:hAnsi="Century" w:cs="Miriam" w:hint="cs"/>
          <w:b/>
          <w:spacing w:val="0"/>
          <w:szCs w:val="24"/>
          <w:rtl/>
        </w:rPr>
        <w:t>מרכז ארכיאולוגי</w:t>
      </w:r>
      <w:r w:rsidRPr="00C346F6">
        <w:rPr>
          <w:rFonts w:ascii="Century" w:hAnsi="Century" w:hint="cs"/>
          <w:rtl/>
        </w:rPr>
        <w:t xml:space="preserve">)).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strike/>
          <w:rtl/>
        </w:rPr>
      </w:pPr>
      <w:r w:rsidRPr="00C346F6">
        <w:rPr>
          <w:rFonts w:ascii="Century" w:hAnsi="Century"/>
          <w:rtl/>
        </w:rPr>
        <w:tab/>
      </w:r>
      <w:r w:rsidRPr="00C346F6">
        <w:rPr>
          <w:rFonts w:ascii="Century" w:hAnsi="Century" w:hint="cs"/>
          <w:rtl/>
        </w:rPr>
        <w:t xml:space="preserve">שיקולים נוספים ברוח זו, שדומה כי שואבים את כוחם מתקנת הציבור, הם שיקולים שנועדו לשמור על "ערכיות החוק" ועל ניקיון הרשות מפני "מראית עין של מתן יד או 'הכשר' עקיף לפעולות בלתי חוקיות" (עניין </w:t>
      </w:r>
      <w:proofErr w:type="spellStart"/>
      <w:r w:rsidRPr="00C346F6">
        <w:rPr>
          <w:rFonts w:ascii="Century" w:hAnsi="Century" w:cs="Miriam" w:hint="cs"/>
          <w:b/>
          <w:spacing w:val="0"/>
          <w:szCs w:val="24"/>
          <w:rtl/>
        </w:rPr>
        <w:t>הידרולה</w:t>
      </w:r>
      <w:proofErr w:type="spellEnd"/>
      <w:r w:rsidRPr="00C346F6">
        <w:rPr>
          <w:rFonts w:ascii="Century" w:hAnsi="Century" w:hint="cs"/>
          <w:rtl/>
        </w:rPr>
        <w:t xml:space="preserve">, פסקה י(5); ע"א </w:t>
      </w:r>
      <w:r w:rsidRPr="00C346F6">
        <w:rPr>
          <w:rFonts w:ascii="Century" w:hAnsi="Century" w:cs="Miriam" w:hint="cs"/>
          <w:b/>
          <w:spacing w:val="0"/>
          <w:szCs w:val="24"/>
          <w:rtl/>
        </w:rPr>
        <w:t>דמארי</w:t>
      </w:r>
      <w:r w:rsidRPr="00C346F6">
        <w:rPr>
          <w:rFonts w:ascii="Century" w:hAnsi="Century" w:hint="cs"/>
          <w:rtl/>
        </w:rPr>
        <w:t>, פסקה פ"ה). אי-התרת ניכוי הוצאות בלתי חוקיות מכוח שיקולים אלו מהווה אפוא דוגמה מובהקת למצב שבו העיקרון של גביית מס אמת נסוג מפני עקרון יסוד נוגד.</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תכליות נוספות שניצבות לעתים אל מול העיקרון של גביית מס אמת מבוססות על שיקולים של יעילות, ודאות ויציבות בדיני המס (דברי השופטת נאור בדנ"א </w:t>
      </w:r>
      <w:r w:rsidRPr="00C346F6">
        <w:rPr>
          <w:rFonts w:ascii="Century" w:hAnsi="Century" w:cs="Miriam" w:hint="cs"/>
          <w:b/>
          <w:spacing w:val="0"/>
          <w:szCs w:val="24"/>
          <w:rtl/>
        </w:rPr>
        <w:t>דמארי</w:t>
      </w:r>
      <w:r w:rsidRPr="00C346F6">
        <w:rPr>
          <w:rFonts w:ascii="Century" w:hAnsi="Century" w:hint="cs"/>
          <w:rtl/>
        </w:rPr>
        <w:t xml:space="preserve">, פסקה 47). דוגמה לבחירתו של המחוקק לבכר תכליות אלה על פני העיקרון של קביעת שומת אמת, באה לידי ביטוי בקביעת כללים "שרירותיים" שנועדו לייצר ודאות ובהירות, כגון פרקי זמן נוקשים. עמד על כך השופט </w:t>
      </w:r>
      <w:r w:rsidRPr="00C346F6">
        <w:rPr>
          <w:rFonts w:ascii="Century" w:hAnsi="Century" w:cs="Miriam" w:hint="cs"/>
          <w:b/>
          <w:spacing w:val="0"/>
          <w:szCs w:val="24"/>
          <w:rtl/>
        </w:rPr>
        <w:t>ג'ובראן</w:t>
      </w:r>
      <w:r w:rsidRPr="00C346F6">
        <w:rPr>
          <w:rFonts w:ascii="Century" w:hAnsi="Century" w:hint="cs"/>
          <w:rtl/>
        </w:rPr>
        <w:t xml:space="preserve">, בציינו כי מערכת המס מושתתת על שומה </w:t>
      </w:r>
      <w:r w:rsidRPr="00C346F6">
        <w:rPr>
          <w:rFonts w:ascii="Century" w:hAnsi="Century" w:cs="Miriam" w:hint="cs"/>
          <w:b/>
          <w:spacing w:val="0"/>
          <w:szCs w:val="24"/>
          <w:rtl/>
        </w:rPr>
        <w:t>שנתית</w:t>
      </w:r>
      <w:r w:rsidRPr="00C346F6">
        <w:rPr>
          <w:rFonts w:ascii="Century" w:hAnsi="Century" w:hint="cs"/>
          <w:rtl/>
        </w:rPr>
        <w:t xml:space="preserve"> שהיא בבחינת "אמת לשנתה"; כי "החיתוך השנתי הגס שעורכים דיני המס למהלך חייו הכלכליים של נישום מעורר מגוון עוותים והשלכות בלתי רצויות"; וכי הדבר נובע מההכרח המעשי וטעמים כלכליים ואדמיניסטרטיביים </w:t>
      </w:r>
      <w:r w:rsidRPr="00C346F6">
        <w:rPr>
          <w:rFonts w:hint="cs"/>
          <w:sz w:val="28"/>
          <w:rtl/>
        </w:rPr>
        <w:t>לגבות את המס על פני תקופות זמן סדירות וקצובות</w:t>
      </w:r>
      <w:r w:rsidRPr="00C346F6">
        <w:rPr>
          <w:rFonts w:ascii="Century" w:hAnsi="Century" w:hint="cs"/>
          <w:rtl/>
        </w:rPr>
        <w:t xml:space="preserve"> (דנ"א </w:t>
      </w:r>
      <w:r w:rsidRPr="00C346F6">
        <w:rPr>
          <w:rFonts w:ascii="Century" w:hAnsi="Century" w:cs="Miriam" w:hint="cs"/>
          <w:b/>
          <w:spacing w:val="0"/>
          <w:szCs w:val="24"/>
          <w:rtl/>
        </w:rPr>
        <w:t>דמארי</w:t>
      </w:r>
      <w:r w:rsidRPr="00C346F6">
        <w:rPr>
          <w:rFonts w:ascii="Century" w:hAnsi="Century" w:hint="cs"/>
          <w:rtl/>
        </w:rPr>
        <w:t>, פסקה 14 לפסק דינו והאסמכתאות שם). זוהי דוגמה נוספת למתן העדפה לשיקולים "לבר-</w:t>
      </w:r>
      <w:proofErr w:type="spellStart"/>
      <w:r w:rsidRPr="00C346F6">
        <w:rPr>
          <w:rFonts w:ascii="Century" w:hAnsi="Century" w:hint="cs"/>
          <w:rtl/>
        </w:rPr>
        <w:t>שומתיים</w:t>
      </w:r>
      <w:proofErr w:type="spellEnd"/>
      <w:r w:rsidRPr="00C346F6">
        <w:rPr>
          <w:rFonts w:ascii="Century" w:hAnsi="Century" w:hint="cs"/>
          <w:rtl/>
        </w:rPr>
        <w:t xml:space="preserve">" הגוברים על </w:t>
      </w:r>
      <w:proofErr w:type="spellStart"/>
      <w:r w:rsidRPr="00C346F6">
        <w:rPr>
          <w:rFonts w:ascii="Century" w:hAnsi="Century" w:hint="cs"/>
          <w:rtl/>
        </w:rPr>
        <w:t>העקרון</w:t>
      </w:r>
      <w:proofErr w:type="spellEnd"/>
      <w:r w:rsidRPr="00C346F6">
        <w:rPr>
          <w:rFonts w:ascii="Century" w:hAnsi="Century" w:hint="cs"/>
          <w:rtl/>
        </w:rPr>
        <w:t xml:space="preserve"> של גביית מס אמת.</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29.</w:t>
      </w:r>
      <w:r w:rsidRPr="00C346F6">
        <w:rPr>
          <w:rFonts w:ascii="Century" w:hAnsi="Century"/>
          <w:rtl/>
        </w:rPr>
        <w:tab/>
      </w:r>
      <w:r w:rsidRPr="00C346F6">
        <w:rPr>
          <w:rFonts w:ascii="Century" w:hAnsi="Century" w:hint="cs"/>
          <w:rtl/>
        </w:rPr>
        <w:t>לסיכום נקודה זו, אין חולק שהשאיפה לחייב את הנישום בתשלום מס אמת היא "עמוד האש" שלאורו יש לפרש את הוראות חקיקת המס, בבחינת "נשמת החוק ותכליתו" (</w:t>
      </w:r>
      <w:r w:rsidRPr="00C346F6">
        <w:rPr>
          <w:rFonts w:ascii="Century" w:hAnsi="Century"/>
          <w:rtl/>
        </w:rPr>
        <w:t>ע"א</w:t>
      </w:r>
      <w:r w:rsidRPr="00C346F6">
        <w:rPr>
          <w:rFonts w:ascii="Century" w:hAnsi="Century" w:hint="cs"/>
          <w:rtl/>
        </w:rPr>
        <w:t xml:space="preserve"> </w:t>
      </w:r>
      <w:r w:rsidRPr="00C346F6">
        <w:rPr>
          <w:rFonts w:ascii="Century" w:hAnsi="Century"/>
          <w:rtl/>
        </w:rPr>
        <w:t>1527/97</w:t>
      </w:r>
      <w:r w:rsidRPr="00C346F6">
        <w:rPr>
          <w:rFonts w:ascii="Century" w:hAnsi="Century" w:hint="cs"/>
          <w:rtl/>
        </w:rPr>
        <w:t xml:space="preserve"> </w:t>
      </w:r>
      <w:proofErr w:type="spellStart"/>
      <w:r w:rsidRPr="00C346F6">
        <w:rPr>
          <w:rFonts w:ascii="Century" w:hAnsi="Century" w:cs="Miriam"/>
          <w:b/>
          <w:spacing w:val="0"/>
          <w:szCs w:val="24"/>
          <w:rtl/>
        </w:rPr>
        <w:t>אינטרבילדינג</w:t>
      </w:r>
      <w:proofErr w:type="spellEnd"/>
      <w:r w:rsidRPr="00C346F6">
        <w:rPr>
          <w:rFonts w:ascii="Century" w:hAnsi="Century" w:cs="Miriam"/>
          <w:b/>
          <w:spacing w:val="0"/>
          <w:szCs w:val="24"/>
          <w:rtl/>
        </w:rPr>
        <w:t xml:space="preserve"> חברה </w:t>
      </w:r>
      <w:proofErr w:type="spellStart"/>
      <w:r w:rsidRPr="00C346F6">
        <w:rPr>
          <w:rFonts w:ascii="Century" w:hAnsi="Century" w:cs="Miriam"/>
          <w:b/>
          <w:spacing w:val="0"/>
          <w:szCs w:val="24"/>
          <w:rtl/>
        </w:rPr>
        <w:t>לבנין</w:t>
      </w:r>
      <w:proofErr w:type="spellEnd"/>
      <w:r w:rsidRPr="00C346F6">
        <w:rPr>
          <w:rFonts w:ascii="Century" w:hAnsi="Century" w:cs="Miriam"/>
          <w:b/>
          <w:spacing w:val="0"/>
          <w:szCs w:val="24"/>
          <w:rtl/>
        </w:rPr>
        <w:t xml:space="preserve"> בע"מ נ' פקיד שומה תל אביב 1</w:t>
      </w:r>
      <w:r w:rsidRPr="00C346F6">
        <w:rPr>
          <w:rFonts w:ascii="Century" w:hAnsi="Century" w:hint="cs"/>
          <w:rtl/>
        </w:rPr>
        <w:t xml:space="preserve">, </w:t>
      </w:r>
      <w:r w:rsidRPr="00C346F6">
        <w:rPr>
          <w:rFonts w:ascii="Century" w:hAnsi="Century"/>
          <w:rtl/>
        </w:rPr>
        <w:t xml:space="preserve">פ"ד </w:t>
      </w:r>
      <w:proofErr w:type="spellStart"/>
      <w:r w:rsidRPr="00C346F6">
        <w:rPr>
          <w:rFonts w:ascii="Century" w:hAnsi="Century"/>
          <w:rtl/>
        </w:rPr>
        <w:t>נג</w:t>
      </w:r>
      <w:proofErr w:type="spellEnd"/>
      <w:r w:rsidRPr="00C346F6">
        <w:rPr>
          <w:rFonts w:ascii="Century" w:hAnsi="Century"/>
          <w:rtl/>
        </w:rPr>
        <w:t>(1) 699, 719</w:t>
      </w:r>
      <w:r w:rsidRPr="00C346F6">
        <w:rPr>
          <w:rFonts w:ascii="Century" w:hAnsi="Century" w:hint="cs"/>
          <w:rtl/>
        </w:rPr>
        <w:t xml:space="preserve"> (1999)). ברם, תכלית זו לא לבדד תשכון, ולצדה ניצב "עמוד הענן" שמגן על עקרונות יסוד נוספים שנועדו גם הם להגשים את האינטרס הציבורי. אי לכך, ייתכנו מצבים לא שגרתיים שבהם העיקרון של גביית מס אמת </w:t>
      </w:r>
      <w:proofErr w:type="spellStart"/>
      <w:r w:rsidRPr="00C346F6">
        <w:rPr>
          <w:rFonts w:ascii="Century" w:hAnsi="Century" w:hint="cs"/>
          <w:rtl/>
        </w:rPr>
        <w:t>יסוג</w:t>
      </w:r>
      <w:proofErr w:type="spellEnd"/>
      <w:r w:rsidRPr="00C346F6">
        <w:rPr>
          <w:rFonts w:ascii="Century" w:hAnsi="Century" w:hint="cs"/>
          <w:rtl/>
        </w:rPr>
        <w:t xml:space="preserve"> מפני טעמים כבדי משקל אחרים, אם מכוח עקרונות יסוד כתקנת הציבור, ואם בשל טעמים שנעוצים בהוראותיהם וגבולותיהם של דיני המס כפי שהוצבו ועוצבו על ידי המחוקק, על לשונם ותכליתם (ראו ברוח זו דברי השופט </w:t>
      </w:r>
      <w:r w:rsidRPr="00C346F6">
        <w:rPr>
          <w:rFonts w:ascii="Century" w:hAnsi="Century" w:cs="Miriam" w:hint="cs"/>
          <w:b/>
          <w:spacing w:val="0"/>
          <w:szCs w:val="24"/>
          <w:rtl/>
        </w:rPr>
        <w:t>הנדל</w:t>
      </w:r>
      <w:r w:rsidRPr="00C346F6">
        <w:rPr>
          <w:rFonts w:ascii="Century" w:hAnsi="Century" w:hint="cs"/>
          <w:rtl/>
        </w:rPr>
        <w:t xml:space="preserve"> בע"א </w:t>
      </w:r>
      <w:r w:rsidRPr="00C346F6">
        <w:rPr>
          <w:rFonts w:ascii="Century" w:hAnsi="Century" w:cs="Miriam" w:hint="cs"/>
          <w:b/>
          <w:spacing w:val="0"/>
          <w:szCs w:val="24"/>
          <w:rtl/>
        </w:rPr>
        <w:t>דמארי</w:t>
      </w:r>
      <w:r w:rsidRPr="00C346F6">
        <w:rPr>
          <w:rFonts w:ascii="Century" w:hAnsi="Century" w:hint="cs"/>
          <w:rtl/>
        </w:rPr>
        <w:t>, פסקה 21). כפי שיוסבר להלן, המקרה שלפנינו נמנה על סוג מקרים אלו.</w:t>
      </w:r>
    </w:p>
    <w:p w:rsidR="00CB004C" w:rsidRPr="00C346F6" w:rsidRDefault="00CB004C" w:rsidP="00CB004C">
      <w:pPr>
        <w:pStyle w:val="Ruller41"/>
        <w:rPr>
          <w:rFonts w:ascii="Century" w:hAnsi="Century"/>
          <w:rtl/>
        </w:rPr>
      </w:pPr>
    </w:p>
    <w:p w:rsidR="005C14FC" w:rsidRDefault="005C14FC">
      <w:pPr>
        <w:overflowPunct/>
        <w:autoSpaceDE/>
        <w:autoSpaceDN/>
        <w:bidi w:val="0"/>
        <w:adjustRightInd/>
        <w:textAlignment w:val="auto"/>
        <w:rPr>
          <w:rFonts w:ascii="Century" w:hAnsi="Century" w:cs="Miriam"/>
          <w:b/>
          <w:sz w:val="22"/>
          <w:rtl/>
        </w:rPr>
      </w:pPr>
      <w:r>
        <w:rPr>
          <w:rFonts w:ascii="Century" w:hAnsi="Century" w:cs="Miriam"/>
          <w:b/>
          <w:rtl/>
        </w:rPr>
        <w:br w:type="page"/>
      </w:r>
    </w:p>
    <w:p w:rsidR="00CB004C" w:rsidRPr="00C346F6" w:rsidRDefault="00CB004C" w:rsidP="00CB004C">
      <w:pPr>
        <w:pStyle w:val="Ruller41"/>
        <w:rPr>
          <w:rFonts w:ascii="Century" w:hAnsi="Century" w:cs="Miriam"/>
          <w:b/>
          <w:spacing w:val="0"/>
          <w:szCs w:val="24"/>
          <w:rtl/>
        </w:rPr>
      </w:pPr>
      <w:r w:rsidRPr="00C346F6">
        <w:rPr>
          <w:rFonts w:ascii="Century" w:hAnsi="Century" w:cs="Miriam" w:hint="cs"/>
          <w:b/>
          <w:spacing w:val="0"/>
          <w:szCs w:val="24"/>
          <w:rtl/>
        </w:rPr>
        <w:lastRenderedPageBreak/>
        <w:t>ניכוי הוצאות</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30.</w:t>
      </w:r>
      <w:r w:rsidRPr="00C346F6">
        <w:rPr>
          <w:rFonts w:ascii="Century" w:hAnsi="Century" w:hint="cs"/>
          <w:rtl/>
        </w:rPr>
        <w:tab/>
        <w:t>הזכרנו לעיל את סעיף 1 לפקודת מס הכנסה, שבו מוגדרת "הכנסה חייבת" כ"</w:t>
      </w:r>
      <w:r w:rsidRPr="00C346F6">
        <w:rPr>
          <w:rFonts w:ascii="Century" w:hAnsi="Century"/>
          <w:rtl/>
        </w:rPr>
        <w:t>הכנסה לאחר הניכויים, הקיזוזים והפטורים שהותרו ממנה לפי כל דין</w:t>
      </w:r>
      <w:r w:rsidRPr="00C346F6">
        <w:rPr>
          <w:rFonts w:ascii="Century" w:hAnsi="Century" w:hint="cs"/>
          <w:rtl/>
        </w:rPr>
        <w:t xml:space="preserve">". ענייננו שלנו מתמקד ברכיב </w:t>
      </w:r>
      <w:r w:rsidRPr="00C346F6">
        <w:rPr>
          <w:rFonts w:ascii="Century" w:hAnsi="Century" w:cs="Miriam" w:hint="cs"/>
          <w:b/>
          <w:spacing w:val="0"/>
          <w:szCs w:val="24"/>
          <w:rtl/>
        </w:rPr>
        <w:t>הניכויים</w:t>
      </w:r>
      <w:r w:rsidRPr="00C346F6">
        <w:rPr>
          <w:rFonts w:ascii="Century" w:hAnsi="Century" w:hint="cs"/>
          <w:rtl/>
        </w:rPr>
        <w:t>, ובכך מוביל אותנו אל סעיף 17 לפקודה שכותרתו "</w:t>
      </w:r>
      <w:r w:rsidRPr="00C346F6">
        <w:rPr>
          <w:rFonts w:ascii="Century" w:hAnsi="Century" w:cs="Miriam" w:hint="cs"/>
          <w:b/>
          <w:spacing w:val="0"/>
          <w:szCs w:val="24"/>
          <w:rtl/>
        </w:rPr>
        <w:t>הניכויים המותרים</w:t>
      </w:r>
      <w:r w:rsidRPr="00C346F6">
        <w:rPr>
          <w:rFonts w:ascii="Century" w:hAnsi="Century" w:hint="cs"/>
          <w:rtl/>
        </w:rPr>
        <w:t xml:space="preserve">". סעיף זה קובע כי "לשם בירור הכנסתו החייבת של אדם ינוכו [...] יציאות והוצאות </w:t>
      </w:r>
      <w:r w:rsidRPr="00C346F6">
        <w:rPr>
          <w:rFonts w:ascii="Century" w:hAnsi="Century" w:cs="Miriam" w:hint="cs"/>
          <w:b/>
          <w:spacing w:val="0"/>
          <w:szCs w:val="24"/>
          <w:rtl/>
        </w:rPr>
        <w:t>שיצאו כולן בייצור הכנסתו בשנת המס ולשם כך בלבד</w:t>
      </w:r>
      <w:r w:rsidRPr="00C346F6">
        <w:rPr>
          <w:rFonts w:ascii="Century" w:hAnsi="Century" w:hint="cs"/>
          <w:rtl/>
        </w:rPr>
        <w:t xml:space="preserve">". בהמשך הסעיף מפורטת רשימה של סוגי הוצאות ספציפיות שתותרנה בניכוי, כגון דמי שכירות של קרקע </w:t>
      </w:r>
      <w:proofErr w:type="spellStart"/>
      <w:r w:rsidRPr="00C346F6">
        <w:rPr>
          <w:rFonts w:ascii="Century" w:hAnsi="Century" w:hint="cs"/>
          <w:rtl/>
        </w:rPr>
        <w:t>שהיתה</w:t>
      </w:r>
      <w:proofErr w:type="spellEnd"/>
      <w:r w:rsidRPr="00C346F6">
        <w:rPr>
          <w:rFonts w:ascii="Century" w:hAnsi="Century" w:hint="cs"/>
          <w:rtl/>
        </w:rPr>
        <w:t xml:space="preserve"> תפוסה לשם השגת הכנסה (</w:t>
      </w:r>
      <w:proofErr w:type="spellStart"/>
      <w:r w:rsidRPr="00C346F6">
        <w:rPr>
          <w:rFonts w:ascii="Century" w:hAnsi="Century" w:hint="cs"/>
          <w:rtl/>
        </w:rPr>
        <w:t>ס"ק</w:t>
      </w:r>
      <w:proofErr w:type="spellEnd"/>
      <w:r w:rsidRPr="00C346F6">
        <w:rPr>
          <w:rFonts w:ascii="Century" w:hAnsi="Century" w:hint="cs"/>
          <w:rtl/>
        </w:rPr>
        <w:t>(2)); הוצאות תיקונים של חצרים או מכונות ששימשו בהשגת הכנסה (</w:t>
      </w:r>
      <w:proofErr w:type="spellStart"/>
      <w:r w:rsidRPr="00C346F6">
        <w:rPr>
          <w:rFonts w:ascii="Century" w:hAnsi="Century" w:hint="cs"/>
          <w:rtl/>
        </w:rPr>
        <w:t>ס"ק</w:t>
      </w:r>
      <w:proofErr w:type="spellEnd"/>
      <w:r w:rsidRPr="00C346F6">
        <w:rPr>
          <w:rFonts w:ascii="Century" w:hAnsi="Century" w:hint="cs"/>
          <w:rtl/>
        </w:rPr>
        <w:t>(3)); ניכוי פחת (</w:t>
      </w:r>
      <w:proofErr w:type="spellStart"/>
      <w:r w:rsidRPr="00C346F6">
        <w:rPr>
          <w:rFonts w:ascii="Century" w:hAnsi="Century" w:hint="cs"/>
          <w:rtl/>
        </w:rPr>
        <w:t>ס"ק</w:t>
      </w:r>
      <w:proofErr w:type="spellEnd"/>
      <w:r w:rsidRPr="00C346F6">
        <w:rPr>
          <w:rFonts w:ascii="Century" w:hAnsi="Century" w:hint="cs"/>
          <w:rtl/>
        </w:rPr>
        <w:t>(8)); ועוד.</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תמונת ראי של סעיף זה מצויה בהוראת סעיף 32 לפקודה, שכותרתו "</w:t>
      </w:r>
      <w:r w:rsidRPr="00C346F6">
        <w:rPr>
          <w:rFonts w:ascii="Century" w:hAnsi="Century" w:cs="Miriam" w:hint="cs"/>
          <w:b/>
          <w:spacing w:val="0"/>
          <w:szCs w:val="24"/>
          <w:rtl/>
        </w:rPr>
        <w:t xml:space="preserve">ניכויים שאין </w:t>
      </w:r>
      <w:proofErr w:type="spellStart"/>
      <w:r w:rsidRPr="00C346F6">
        <w:rPr>
          <w:rFonts w:ascii="Century" w:hAnsi="Century" w:cs="Miriam" w:hint="cs"/>
          <w:b/>
          <w:spacing w:val="0"/>
          <w:szCs w:val="24"/>
          <w:rtl/>
        </w:rPr>
        <w:t>להתירם</w:t>
      </w:r>
      <w:proofErr w:type="spellEnd"/>
      <w:r w:rsidRPr="00C346F6">
        <w:rPr>
          <w:rFonts w:ascii="Century" w:hAnsi="Century" w:hint="cs"/>
          <w:rtl/>
        </w:rPr>
        <w:t xml:space="preserve">". סעיף זה כולל, על דרך השלילה, פירוט של שורה ארוכה של הוצאות </w:t>
      </w:r>
      <w:proofErr w:type="spellStart"/>
      <w:r w:rsidRPr="00C346F6">
        <w:rPr>
          <w:rFonts w:ascii="Century" w:hAnsi="Century" w:hint="cs"/>
          <w:rtl/>
        </w:rPr>
        <w:t>שניכויין</w:t>
      </w:r>
      <w:proofErr w:type="spellEnd"/>
      <w:r w:rsidRPr="00C346F6">
        <w:rPr>
          <w:rFonts w:ascii="Century" w:hAnsi="Century" w:hint="cs"/>
          <w:rtl/>
        </w:rPr>
        <w:t xml:space="preserve"> </w:t>
      </w:r>
      <w:r w:rsidRPr="00C346F6">
        <w:rPr>
          <w:rFonts w:ascii="Century" w:hAnsi="Century" w:cs="Miriam" w:hint="cs"/>
          <w:b/>
          <w:spacing w:val="0"/>
          <w:szCs w:val="24"/>
          <w:rtl/>
        </w:rPr>
        <w:t xml:space="preserve">לא </w:t>
      </w:r>
      <w:proofErr w:type="spellStart"/>
      <w:r w:rsidRPr="00C346F6">
        <w:rPr>
          <w:rFonts w:ascii="Century" w:hAnsi="Century" w:cs="Miriam" w:hint="cs"/>
          <w:b/>
          <w:spacing w:val="0"/>
          <w:szCs w:val="24"/>
          <w:rtl/>
        </w:rPr>
        <w:t>י</w:t>
      </w:r>
      <w:r w:rsidRPr="00C346F6">
        <w:rPr>
          <w:rFonts w:ascii="Miriam" w:hAnsi="Miriam" w:cs="Miriam"/>
          <w:b/>
          <w:spacing w:val="0"/>
          <w:szCs w:val="24"/>
          <w:rtl/>
        </w:rPr>
        <w:t>וּ</w:t>
      </w:r>
      <w:r w:rsidRPr="00C346F6">
        <w:rPr>
          <w:rFonts w:ascii="Century" w:hAnsi="Century" w:cs="Miriam" w:hint="cs"/>
          <w:b/>
          <w:spacing w:val="0"/>
          <w:szCs w:val="24"/>
          <w:rtl/>
        </w:rPr>
        <w:t>תר</w:t>
      </w:r>
      <w:proofErr w:type="spellEnd"/>
      <w:r w:rsidRPr="00C346F6">
        <w:rPr>
          <w:rFonts w:ascii="Century" w:hAnsi="Century" w:hint="cs"/>
          <w:rtl/>
        </w:rPr>
        <w:t>, ובראשן "</w:t>
      </w:r>
      <w:r w:rsidRPr="00C346F6">
        <w:rPr>
          <w:rFonts w:ascii="Century" w:hAnsi="Century" w:cs="Miriam" w:hint="cs"/>
          <w:b/>
          <w:spacing w:val="0"/>
          <w:szCs w:val="24"/>
          <w:rtl/>
        </w:rPr>
        <w:t>הוצאות שאינן הוצאות הכרוכות ושלובות בתהליך הפקת ההכנסה</w:t>
      </w:r>
      <w:r w:rsidRPr="00C346F6">
        <w:rPr>
          <w:rFonts w:ascii="Century" w:hAnsi="Century" w:hint="cs"/>
          <w:rtl/>
        </w:rPr>
        <w:t xml:space="preserve">" (סעיף 32(1)). המחוקק לא הסתפק בכך, ובגדרי הסעיף ביאר מהן </w:t>
      </w:r>
      <w:r w:rsidRPr="00C346F6">
        <w:rPr>
          <w:rStyle w:val="default"/>
          <w:rFonts w:ascii="Century" w:hAnsi="Century"/>
          <w:rtl/>
        </w:rPr>
        <w:t>"הוצאות כרוכות ושלובות בתהליך הפקת ההכנסה"</w:t>
      </w:r>
      <w:r w:rsidRPr="00C346F6">
        <w:rPr>
          <w:rStyle w:val="default"/>
          <w:rFonts w:ascii="Century" w:hAnsi="Century" w:hint="cs"/>
          <w:rtl/>
        </w:rPr>
        <w:t>, שהן "</w:t>
      </w:r>
      <w:r w:rsidRPr="00C346F6">
        <w:rPr>
          <w:rStyle w:val="default"/>
          <w:rFonts w:ascii="Century" w:hAnsi="Century" w:cs="Miriam"/>
          <w:b/>
          <w:spacing w:val="0"/>
          <w:szCs w:val="24"/>
          <w:rtl/>
        </w:rPr>
        <w:t>הוצאות המשתלבות בתהליך הטבעי של הפקת ההכנסה ובמבנהו הטבעי של מקור ההכנסה, והמהוות חלק בלתי נפרד מהם</w:t>
      </w:r>
      <w:r w:rsidRPr="00C346F6">
        <w:rPr>
          <w:rStyle w:val="default"/>
          <w:rFonts w:ascii="Century" w:hAnsi="Century" w:hint="cs"/>
          <w:rtl/>
        </w:rPr>
        <w:t>"</w:t>
      </w:r>
      <w:r w:rsidRPr="00C346F6">
        <w:rPr>
          <w:rFonts w:ascii="Century" w:hAnsi="Century" w:hint="cs"/>
          <w:rtl/>
        </w:rPr>
        <w:t>. עוד נזכיר את הוראת סעיף 30 לפקודה, האוסרת על ניכוי הוצאות "בסכום העולה על הדרוש לפי צרכי ייצור ההכנסה של הנישום".</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FrankRuehl" w:hAnsi="FrankRuehl"/>
          <w:sz w:val="28"/>
          <w:rtl/>
        </w:rPr>
      </w:pPr>
      <w:r w:rsidRPr="00C346F6">
        <w:rPr>
          <w:rFonts w:ascii="Century" w:hAnsi="Century" w:hint="cs"/>
          <w:rtl/>
        </w:rPr>
        <w:t>31.</w:t>
      </w:r>
      <w:r w:rsidRPr="00C346F6">
        <w:rPr>
          <w:rFonts w:ascii="Century" w:hAnsi="Century"/>
          <w:rtl/>
        </w:rPr>
        <w:tab/>
      </w:r>
      <w:r w:rsidRPr="00C346F6">
        <w:rPr>
          <w:rFonts w:ascii="Century" w:hAnsi="Century" w:hint="cs"/>
          <w:rtl/>
        </w:rPr>
        <w:t xml:space="preserve">אין חולק כי ההוצאות המותרות לניכוי שבהן מדבר סעיף 17 רישא לפקודה הן הוצאות </w:t>
      </w:r>
      <w:r w:rsidRPr="00C346F6">
        <w:rPr>
          <w:rFonts w:ascii="Century" w:hAnsi="Century" w:cs="Miriam" w:hint="cs"/>
          <w:b/>
          <w:spacing w:val="0"/>
          <w:szCs w:val="24"/>
          <w:rtl/>
        </w:rPr>
        <w:t>עסקיות</w:t>
      </w:r>
      <w:r w:rsidRPr="00C346F6">
        <w:rPr>
          <w:rFonts w:ascii="Century" w:hAnsi="Century" w:hint="cs"/>
          <w:rtl/>
        </w:rPr>
        <w:t xml:space="preserve"> </w:t>
      </w:r>
      <w:proofErr w:type="spellStart"/>
      <w:r w:rsidRPr="00C346F6">
        <w:rPr>
          <w:rFonts w:ascii="Century" w:hAnsi="Century" w:cs="Miriam" w:hint="cs"/>
          <w:b/>
          <w:spacing w:val="0"/>
          <w:szCs w:val="24"/>
          <w:rtl/>
        </w:rPr>
        <w:t>פירותיות</w:t>
      </w:r>
      <w:proofErr w:type="spellEnd"/>
      <w:r w:rsidRPr="00C346F6">
        <w:rPr>
          <w:rFonts w:ascii="Century" w:hAnsi="Century" w:hint="cs"/>
          <w:rtl/>
        </w:rPr>
        <w:t xml:space="preserve"> השלובות בייצור הכנסתו של הנישום (זאת להבדיל מהוצאות </w:t>
      </w:r>
      <w:r w:rsidRPr="00C346F6">
        <w:rPr>
          <w:rFonts w:ascii="Century" w:hAnsi="Century" w:cs="Miriam" w:hint="cs"/>
          <w:b/>
          <w:spacing w:val="0"/>
          <w:szCs w:val="24"/>
          <w:rtl/>
        </w:rPr>
        <w:t>פרטיות</w:t>
      </w:r>
      <w:r w:rsidRPr="00C346F6">
        <w:rPr>
          <w:rFonts w:ascii="Century" w:hAnsi="Century" w:hint="cs"/>
          <w:rtl/>
        </w:rPr>
        <w:t xml:space="preserve"> ומהוצאות </w:t>
      </w:r>
      <w:r w:rsidRPr="00C346F6">
        <w:rPr>
          <w:rFonts w:ascii="Century" w:hAnsi="Century" w:cs="Miriam" w:hint="cs"/>
          <w:b/>
          <w:spacing w:val="0"/>
          <w:szCs w:val="24"/>
          <w:rtl/>
        </w:rPr>
        <w:t>הוניות</w:t>
      </w:r>
      <w:r w:rsidRPr="00C346F6">
        <w:rPr>
          <w:rFonts w:ascii="Century" w:hAnsi="Century" w:hint="cs"/>
          <w:rtl/>
        </w:rPr>
        <w:t xml:space="preserve">). ההבחנה היסודית בין הון לפירות, אם בהקשר של הכנסות ואם בהקשר של הוצאות, היא הבחנה היורדת לשורשם של דיני המס שהעסיקה רבות את הפסיקה, וזו עמלה על עיצוב מבחנים שונים שנועדו לסייע להבחין בין השניים (ראו, בהקשר של סיווג הכנסות, </w:t>
      </w:r>
      <w:r w:rsidRPr="00C346F6">
        <w:rPr>
          <w:rFonts w:ascii="Century" w:hAnsi="Century"/>
          <w:rtl/>
        </w:rPr>
        <w:t>ע</w:t>
      </w:r>
      <w:r w:rsidRPr="00C346F6">
        <w:rPr>
          <w:rFonts w:ascii="Century" w:hAnsi="Century" w:hint="cs"/>
          <w:rtl/>
        </w:rPr>
        <w:t>"</w:t>
      </w:r>
      <w:r w:rsidRPr="00C346F6">
        <w:rPr>
          <w:rFonts w:ascii="Century" w:hAnsi="Century"/>
          <w:rtl/>
        </w:rPr>
        <w:t xml:space="preserve">א 5083/13 </w:t>
      </w:r>
      <w:r w:rsidRPr="00C346F6">
        <w:rPr>
          <w:rFonts w:ascii="Century" w:hAnsi="Century" w:cs="Miriam"/>
          <w:b/>
          <w:spacing w:val="0"/>
          <w:szCs w:val="24"/>
          <w:rtl/>
        </w:rPr>
        <w:t>פקיד שומה כפר סבא נ' ברנע</w:t>
      </w:r>
      <w:r w:rsidRPr="00C346F6">
        <w:rPr>
          <w:rFonts w:ascii="Century" w:hAnsi="Century" w:hint="cs"/>
          <w:rtl/>
        </w:rPr>
        <w:t xml:space="preserve">, פסקה 20 וההפניות שם (10.8.2016)). כפי שפורט בעניין </w:t>
      </w:r>
      <w:r w:rsidRPr="00C346F6">
        <w:rPr>
          <w:rFonts w:ascii="Century" w:hAnsi="Century" w:cs="Miriam"/>
          <w:b/>
          <w:spacing w:val="0"/>
          <w:szCs w:val="24"/>
          <w:rtl/>
        </w:rPr>
        <w:t>מרכז ארכיאולוגי</w:t>
      </w:r>
      <w:r w:rsidRPr="00C346F6">
        <w:rPr>
          <w:rFonts w:ascii="Century" w:hAnsi="Century" w:hint="cs"/>
          <w:rtl/>
        </w:rPr>
        <w:t xml:space="preserve">, </w:t>
      </w:r>
      <w:r w:rsidRPr="00C346F6">
        <w:rPr>
          <w:rFonts w:ascii="FrankRuehl" w:hAnsi="FrankRuehl"/>
          <w:sz w:val="28"/>
          <w:rtl/>
        </w:rPr>
        <w:t xml:space="preserve">נהוג לראות הוצאה </w:t>
      </w:r>
      <w:proofErr w:type="spellStart"/>
      <w:r w:rsidRPr="00C346F6">
        <w:rPr>
          <w:rFonts w:ascii="Century" w:hAnsi="Century" w:cs="Miriam"/>
          <w:b/>
          <w:spacing w:val="0"/>
          <w:szCs w:val="24"/>
          <w:rtl/>
        </w:rPr>
        <w:t>פירותית</w:t>
      </w:r>
      <w:proofErr w:type="spellEnd"/>
      <w:r w:rsidRPr="00C346F6">
        <w:rPr>
          <w:rFonts w:ascii="FrankRuehl" w:hAnsi="FrankRuehl"/>
          <w:sz w:val="28"/>
          <w:rtl/>
        </w:rPr>
        <w:t xml:space="preserve"> </w:t>
      </w:r>
      <w:proofErr w:type="spellStart"/>
      <w:r w:rsidRPr="00C346F6">
        <w:rPr>
          <w:rFonts w:ascii="FrankRuehl" w:hAnsi="FrankRuehl"/>
          <w:sz w:val="28"/>
          <w:rtl/>
        </w:rPr>
        <w:t>ככזו</w:t>
      </w:r>
      <w:proofErr w:type="spellEnd"/>
      <w:r w:rsidRPr="00C346F6">
        <w:rPr>
          <w:rFonts w:ascii="FrankRuehl" w:hAnsi="FrankRuehl"/>
          <w:sz w:val="28"/>
          <w:rtl/>
        </w:rPr>
        <w:t xml:space="preserve"> </w:t>
      </w:r>
      <w:proofErr w:type="spellStart"/>
      <w:r w:rsidRPr="00C346F6">
        <w:rPr>
          <w:rFonts w:ascii="FrankRuehl" w:hAnsi="FrankRuehl"/>
          <w:sz w:val="28"/>
          <w:rtl/>
        </w:rPr>
        <w:t>שהוּצאה</w:t>
      </w:r>
      <w:proofErr w:type="spellEnd"/>
      <w:r w:rsidRPr="00C346F6">
        <w:rPr>
          <w:rFonts w:ascii="FrankRuehl" w:hAnsi="FrankRuehl"/>
          <w:sz w:val="28"/>
          <w:rtl/>
        </w:rPr>
        <w:t xml:space="preserve"> עבור פעילות מסחר</w:t>
      </w:r>
      <w:r w:rsidRPr="00C346F6">
        <w:rPr>
          <w:rFonts w:ascii="FrankRuehl" w:hAnsi="FrankRuehl" w:hint="cs"/>
          <w:sz w:val="28"/>
          <w:rtl/>
        </w:rPr>
        <w:t>ית</w:t>
      </w:r>
      <w:r w:rsidRPr="00C346F6">
        <w:rPr>
          <w:rFonts w:ascii="FrankRuehl" w:hAnsi="FrankRuehl"/>
          <w:sz w:val="28"/>
          <w:rtl/>
        </w:rPr>
        <w:t xml:space="preserve"> הכרוכה במהלך השוטף והרגיל של העסק</w:t>
      </w:r>
      <w:r w:rsidRPr="00C346F6">
        <w:rPr>
          <w:rFonts w:ascii="FrankRuehl" w:hAnsi="FrankRuehl" w:hint="cs"/>
          <w:sz w:val="28"/>
          <w:rtl/>
        </w:rPr>
        <w:t>, קרי לצורך יצירת הכנסה ממקור קיים, בבחינת "הצמחת פירות";</w:t>
      </w:r>
      <w:r w:rsidRPr="00C346F6">
        <w:rPr>
          <w:rFonts w:ascii="FrankRuehl" w:hAnsi="FrankRuehl"/>
          <w:sz w:val="28"/>
          <w:rtl/>
        </w:rPr>
        <w:t xml:space="preserve"> </w:t>
      </w:r>
      <w:r w:rsidRPr="00C346F6">
        <w:rPr>
          <w:rFonts w:ascii="FrankRuehl" w:hAnsi="FrankRuehl" w:hint="cs"/>
          <w:sz w:val="28"/>
          <w:rtl/>
        </w:rPr>
        <w:t xml:space="preserve">בעוד שהוצאה </w:t>
      </w:r>
      <w:r w:rsidRPr="00C346F6">
        <w:rPr>
          <w:rFonts w:ascii="Century" w:hAnsi="Century" w:cs="Miriam" w:hint="cs"/>
          <w:b/>
          <w:spacing w:val="0"/>
          <w:szCs w:val="24"/>
          <w:rtl/>
        </w:rPr>
        <w:t>הונית</w:t>
      </w:r>
      <w:r w:rsidRPr="00C346F6">
        <w:rPr>
          <w:rFonts w:ascii="FrankRuehl" w:hAnsi="FrankRuehl" w:hint="cs"/>
          <w:sz w:val="28"/>
          <w:rtl/>
        </w:rPr>
        <w:t xml:space="preserve"> היא השקעה לטווח ארוך שנועדה ליצור את התשתית לפעילות העסקית, קרי ליצור מקור הכנסה נוסף, בבחינת "נטיעת עץ חדש" בעסק. מבחן נוסף שנועד להבחין בין שני סוגי ההוצאות מתייחס </w:t>
      </w:r>
      <w:r w:rsidRPr="00C346F6">
        <w:rPr>
          <w:rFonts w:ascii="Century" w:hAnsi="Century" w:hint="cs"/>
          <w:rtl/>
        </w:rPr>
        <w:t>למועד הוצאתן,</w:t>
      </w:r>
      <w:r w:rsidRPr="00C346F6">
        <w:rPr>
          <w:rFonts w:ascii="FrankRuehl" w:hAnsi="FrankRuehl" w:hint="cs"/>
          <w:sz w:val="28"/>
          <w:rtl/>
        </w:rPr>
        <w:t xml:space="preserve"> ולפיו רק הוצאות שהוצאו </w:t>
      </w:r>
      <w:r w:rsidRPr="00C346F6">
        <w:rPr>
          <w:rFonts w:ascii="Century" w:hAnsi="Century" w:cs="Miriam" w:hint="cs"/>
          <w:b/>
          <w:spacing w:val="0"/>
          <w:szCs w:val="24"/>
          <w:rtl/>
        </w:rPr>
        <w:t>במהלך</w:t>
      </w:r>
      <w:r w:rsidRPr="00C346F6">
        <w:rPr>
          <w:rFonts w:ascii="FrankRuehl" w:hAnsi="FrankRuehl" w:hint="cs"/>
          <w:sz w:val="28"/>
          <w:rtl/>
        </w:rPr>
        <w:t xml:space="preserve"> פעילות של העסק (או בהיותו </w:t>
      </w:r>
      <w:proofErr w:type="spellStart"/>
      <w:r w:rsidRPr="00C346F6">
        <w:rPr>
          <w:rFonts w:ascii="FrankRuehl" w:hAnsi="FrankRuehl"/>
          <w:sz w:val="28"/>
          <w:rtl/>
        </w:rPr>
        <w:t>בָּ</w:t>
      </w:r>
      <w:r w:rsidRPr="00C346F6">
        <w:rPr>
          <w:rFonts w:ascii="FrankRuehl" w:hAnsi="FrankRuehl" w:hint="cs"/>
          <w:sz w:val="28"/>
          <w:rtl/>
        </w:rPr>
        <w:t>ש</w:t>
      </w:r>
      <w:r w:rsidRPr="00C346F6">
        <w:rPr>
          <w:rFonts w:ascii="FrankRuehl" w:hAnsi="FrankRuehl"/>
          <w:sz w:val="28"/>
          <w:rtl/>
        </w:rPr>
        <w:t>ֵ</w:t>
      </w:r>
      <w:r w:rsidRPr="00C346F6">
        <w:rPr>
          <w:rFonts w:ascii="FrankRuehl" w:hAnsi="FrankRuehl" w:hint="cs"/>
          <w:sz w:val="28"/>
          <w:rtl/>
        </w:rPr>
        <w:t>ל</w:t>
      </w:r>
      <w:proofErr w:type="spellEnd"/>
      <w:r w:rsidRPr="00C346F6">
        <w:rPr>
          <w:rFonts w:ascii="FrankRuehl" w:hAnsi="FrankRuehl" w:hint="cs"/>
          <w:sz w:val="28"/>
          <w:rtl/>
        </w:rPr>
        <w:t xml:space="preserve"> באופן פוטנציאלי להניב פירות) תהיינה מותרות בניכוי, בעוד שהוצאות שהוצאו </w:t>
      </w:r>
      <w:r w:rsidRPr="00C346F6">
        <w:rPr>
          <w:rFonts w:ascii="Century" w:hAnsi="Century" w:cs="Miriam" w:hint="cs"/>
          <w:b/>
          <w:spacing w:val="0"/>
          <w:szCs w:val="24"/>
          <w:rtl/>
        </w:rPr>
        <w:t>בטרם</w:t>
      </w:r>
      <w:r w:rsidRPr="00C346F6">
        <w:rPr>
          <w:rFonts w:ascii="FrankRuehl" w:hAnsi="FrankRuehl" w:hint="cs"/>
          <w:sz w:val="28"/>
          <w:rtl/>
        </w:rPr>
        <w:t xml:space="preserve"> הקמת העסק לא תותרנה בניכוי. כמו כן, הפסיקה הכירה בכך שהוצאות </w:t>
      </w:r>
      <w:r w:rsidRPr="00C346F6">
        <w:rPr>
          <w:rFonts w:ascii="FrankRuehl" w:hAnsi="FrankRuehl" w:hint="cs"/>
          <w:sz w:val="28"/>
          <w:rtl/>
        </w:rPr>
        <w:lastRenderedPageBreak/>
        <w:t xml:space="preserve">שנועדו לשמור על ההון הקיים ועל זרם ההכנסות הצפוי, קרי </w:t>
      </w:r>
      <w:r w:rsidRPr="00C346F6">
        <w:rPr>
          <w:rFonts w:ascii="Century" w:hAnsi="Century" w:hint="cs"/>
          <w:rtl/>
        </w:rPr>
        <w:t>לשמר את מנגנון הייצור במצב תקין המניב הכנסות</w:t>
      </w:r>
      <w:r w:rsidRPr="00C346F6">
        <w:rPr>
          <w:rFonts w:ascii="FrankRuehl" w:hAnsi="FrankRuehl" w:hint="cs"/>
          <w:sz w:val="28"/>
          <w:rtl/>
        </w:rPr>
        <w:t xml:space="preserve">, אף הן תותרנה בניכוי (ראו בעניין </w:t>
      </w:r>
      <w:r w:rsidRPr="00C346F6">
        <w:rPr>
          <w:rFonts w:ascii="Century" w:hAnsi="Century" w:cs="Miriam" w:hint="cs"/>
          <w:b/>
          <w:spacing w:val="0"/>
          <w:szCs w:val="24"/>
          <w:rtl/>
        </w:rPr>
        <w:t>מרכז ארכיאולוגי</w:t>
      </w:r>
      <w:r w:rsidRPr="00C346F6">
        <w:rPr>
          <w:rFonts w:ascii="FrankRuehl" w:hAnsi="FrankRuehl" w:hint="cs"/>
          <w:sz w:val="28"/>
          <w:rtl/>
        </w:rPr>
        <w:t xml:space="preserve">, פסקה 21 והאסמכתאות שם; כן ראו </w:t>
      </w:r>
      <w:proofErr w:type="spellStart"/>
      <w:r w:rsidRPr="00C346F6">
        <w:rPr>
          <w:rFonts w:ascii="Century" w:hAnsi="Century" w:cs="Miriam" w:hint="cs"/>
          <w:b/>
          <w:spacing w:val="0"/>
          <w:szCs w:val="24"/>
          <w:rtl/>
        </w:rPr>
        <w:t>נמדר</w:t>
      </w:r>
      <w:proofErr w:type="spellEnd"/>
      <w:r w:rsidRPr="00C346F6">
        <w:rPr>
          <w:rFonts w:ascii="FrankRuehl" w:hAnsi="FrankRuehl" w:hint="cs"/>
          <w:sz w:val="28"/>
          <w:rtl/>
        </w:rPr>
        <w:t xml:space="preserve">, עמ' 269-268; </w:t>
      </w:r>
      <w:r w:rsidRPr="00C346F6">
        <w:rPr>
          <w:rFonts w:ascii="Century" w:hAnsi="Century" w:cs="Miriam" w:hint="cs"/>
          <w:b/>
          <w:spacing w:val="0"/>
          <w:szCs w:val="24"/>
          <w:rtl/>
        </w:rPr>
        <w:t>רפאל</w:t>
      </w:r>
      <w:r w:rsidRPr="00C346F6">
        <w:rPr>
          <w:rFonts w:ascii="FrankRuehl" w:hAnsi="FrankRuehl" w:hint="cs"/>
          <w:sz w:val="28"/>
          <w:rtl/>
        </w:rPr>
        <w:t>, עמ' 433, 446, 637-635).</w:t>
      </w:r>
    </w:p>
    <w:p w:rsidR="00CB004C" w:rsidRPr="00C346F6" w:rsidRDefault="00CB004C" w:rsidP="00CB004C">
      <w:pPr>
        <w:pStyle w:val="Ruller41"/>
        <w:rPr>
          <w:rFonts w:ascii="FrankRuehl" w:hAnsi="FrankRuehl"/>
          <w:sz w:val="28"/>
          <w:rtl/>
        </w:rPr>
      </w:pPr>
    </w:p>
    <w:p w:rsidR="00CB004C" w:rsidRPr="00C346F6" w:rsidRDefault="00CB004C" w:rsidP="00CB004C">
      <w:pPr>
        <w:pStyle w:val="Ruller41"/>
        <w:rPr>
          <w:rFonts w:ascii="Century" w:hAnsi="Century"/>
        </w:rPr>
      </w:pPr>
      <w:r w:rsidRPr="00C346F6">
        <w:rPr>
          <w:rFonts w:ascii="FrankRuehl" w:hAnsi="FrankRuehl"/>
          <w:sz w:val="28"/>
          <w:rtl/>
        </w:rPr>
        <w:tab/>
      </w:r>
      <w:r w:rsidRPr="00C346F6">
        <w:rPr>
          <w:rFonts w:ascii="FrankRuehl" w:hAnsi="FrankRuehl" w:hint="cs"/>
          <w:sz w:val="28"/>
          <w:rtl/>
        </w:rPr>
        <w:t xml:space="preserve">ודוק: לא די לו לנישום שהוצאה מסוימת נועדה לשמור על ההון הקיים. </w:t>
      </w:r>
      <w:r w:rsidRPr="00C346F6">
        <w:rPr>
          <w:rFonts w:ascii="Century" w:hAnsi="Century" w:hint="cs"/>
          <w:rtl/>
        </w:rPr>
        <w:t xml:space="preserve">לצורך התרת ניכוי ההוצאה, עליה להיות הוצאה </w:t>
      </w:r>
      <w:r w:rsidRPr="00C346F6">
        <w:rPr>
          <w:rFonts w:ascii="Century" w:hAnsi="Century" w:cs="Miriam" w:hint="cs"/>
          <w:b/>
          <w:spacing w:val="0"/>
          <w:szCs w:val="24"/>
          <w:rtl/>
        </w:rPr>
        <w:t>שהוצאה בייצור הכנסה</w:t>
      </w:r>
      <w:r w:rsidRPr="00C346F6">
        <w:rPr>
          <w:rFonts w:ascii="Century" w:hAnsi="Century" w:hint="cs"/>
          <w:rtl/>
        </w:rPr>
        <w:t xml:space="preserve">. אבן בוחן שנקבעה לשם כך היא מבחן האינצידנטליות, לפיו יש לבחון אם מדובר בהוצאה השייכת לתהליך האורגני של העסק ומשולבת במבנהו הטבעי של מקור ההכנסה (ע"א </w:t>
      </w:r>
      <w:r w:rsidRPr="00C346F6">
        <w:rPr>
          <w:rFonts w:ascii="FrankRuehl" w:hAnsi="FrankRuehl"/>
          <w:spacing w:val="0"/>
          <w:sz w:val="28"/>
          <w:rtl/>
        </w:rPr>
        <w:t>284/66‏</w:t>
      </w:r>
      <w:r w:rsidRPr="00C346F6">
        <w:rPr>
          <w:rFonts w:ascii="Century" w:hAnsi="Century"/>
          <w:rtl/>
        </w:rPr>
        <w:t xml:space="preserve"> </w:t>
      </w:r>
      <w:proofErr w:type="spellStart"/>
      <w:r w:rsidRPr="00C346F6">
        <w:rPr>
          <w:rFonts w:ascii="Century" w:hAnsi="Century" w:cs="Miriam"/>
          <w:b/>
          <w:spacing w:val="0"/>
          <w:szCs w:val="24"/>
          <w:rtl/>
        </w:rPr>
        <w:t>קופילוביץ</w:t>
      </w:r>
      <w:proofErr w:type="spellEnd"/>
      <w:r w:rsidRPr="00C346F6">
        <w:rPr>
          <w:rFonts w:ascii="Century" w:hAnsi="Century" w:cs="Miriam"/>
          <w:b/>
          <w:spacing w:val="0"/>
          <w:szCs w:val="24"/>
          <w:rtl/>
        </w:rPr>
        <w:t xml:space="preserve"> נ' פקיד השומה למפעלים גדולים, תל-אביב</w:t>
      </w:r>
      <w:r w:rsidRPr="00C346F6">
        <w:rPr>
          <w:rFonts w:ascii="Century" w:hAnsi="Century"/>
          <w:rtl/>
        </w:rPr>
        <w:t>, פ</w:t>
      </w:r>
      <w:r w:rsidRPr="00C346F6">
        <w:rPr>
          <w:rFonts w:ascii="Century" w:hAnsi="Century" w:hint="cs"/>
          <w:rtl/>
        </w:rPr>
        <w:t>"</w:t>
      </w:r>
      <w:r w:rsidRPr="00C346F6">
        <w:rPr>
          <w:rFonts w:ascii="Century" w:hAnsi="Century"/>
          <w:rtl/>
        </w:rPr>
        <w:t>ד כ(4) 716</w:t>
      </w:r>
      <w:r w:rsidRPr="00C346F6">
        <w:rPr>
          <w:rFonts w:ascii="Century" w:hAnsi="Century" w:hint="cs"/>
          <w:rtl/>
        </w:rPr>
        <w:t xml:space="preserve">, 718 (1966); עוד לגבי מבחן זה ועיגונו בסעיף 32(1) לפקודה, ראו בעניין </w:t>
      </w:r>
      <w:r w:rsidRPr="00C346F6">
        <w:rPr>
          <w:rFonts w:ascii="Century" w:hAnsi="Century" w:cs="Miriam" w:hint="cs"/>
          <w:b/>
          <w:spacing w:val="0"/>
          <w:szCs w:val="24"/>
          <w:rtl/>
        </w:rPr>
        <w:t>מרכז ארכיאולוגי</w:t>
      </w:r>
      <w:r w:rsidRPr="00C346F6">
        <w:rPr>
          <w:rFonts w:ascii="Century" w:hAnsi="Century" w:hint="cs"/>
          <w:rtl/>
        </w:rPr>
        <w:t xml:space="preserve"> בפסקה 20; וכן ראו אצל </w:t>
      </w:r>
      <w:proofErr w:type="spellStart"/>
      <w:r w:rsidRPr="00C346F6">
        <w:rPr>
          <w:rFonts w:ascii="Century" w:hAnsi="Century" w:cs="Miriam" w:hint="cs"/>
          <w:b/>
          <w:spacing w:val="0"/>
          <w:szCs w:val="24"/>
          <w:rtl/>
        </w:rPr>
        <w:t>נמדר</w:t>
      </w:r>
      <w:proofErr w:type="spellEnd"/>
      <w:r w:rsidRPr="00C346F6">
        <w:rPr>
          <w:rFonts w:ascii="Century" w:hAnsi="Century" w:hint="cs"/>
          <w:rtl/>
        </w:rPr>
        <w:t xml:space="preserve">, עמ' 272-270; </w:t>
      </w:r>
      <w:r w:rsidRPr="00C346F6">
        <w:rPr>
          <w:rFonts w:ascii="Century" w:hAnsi="Century" w:cs="Miriam" w:hint="cs"/>
          <w:b/>
          <w:spacing w:val="0"/>
          <w:szCs w:val="24"/>
          <w:rtl/>
        </w:rPr>
        <w:t>רפאל</w:t>
      </w:r>
      <w:r w:rsidRPr="00C346F6">
        <w:rPr>
          <w:rFonts w:ascii="Century" w:hAnsi="Century" w:hint="cs"/>
          <w:rtl/>
        </w:rPr>
        <w:t>, עמ' 440-439).</w:t>
      </w:r>
    </w:p>
    <w:p w:rsidR="00CB004C" w:rsidRPr="00C346F6" w:rsidRDefault="00CB004C" w:rsidP="00CB004C">
      <w:pPr>
        <w:pStyle w:val="Ruller41"/>
        <w:rPr>
          <w:rFonts w:cs="Arial TUR"/>
          <w:szCs w:val="22"/>
        </w:rPr>
      </w:pPr>
    </w:p>
    <w:p w:rsidR="00CB004C" w:rsidRPr="00C346F6" w:rsidRDefault="00CB004C" w:rsidP="00CB004C">
      <w:pPr>
        <w:pStyle w:val="Ruller41"/>
        <w:rPr>
          <w:rFonts w:ascii="Century" w:hAnsi="Century"/>
          <w:rtl/>
        </w:rPr>
      </w:pPr>
      <w:r w:rsidRPr="00C346F6">
        <w:rPr>
          <w:rFonts w:ascii="Century" w:hAnsi="Century" w:hint="cs"/>
          <w:rtl/>
        </w:rPr>
        <w:t>32.</w:t>
      </w:r>
      <w:r w:rsidRPr="00C346F6">
        <w:rPr>
          <w:rFonts w:ascii="Century" w:hAnsi="Century" w:hint="cs"/>
          <w:rtl/>
        </w:rPr>
        <w:tab/>
        <w:t xml:space="preserve">כבר במבט ראשון, נקל להיווכח כי יישום מבחנים אלה על הסוגיה שלפנינו מוביל למסקנה כי </w:t>
      </w:r>
      <w:r w:rsidRPr="00C346F6">
        <w:rPr>
          <w:rFonts w:ascii="Century" w:hAnsi="Century" w:cs="Miriam" w:hint="cs"/>
          <w:b/>
          <w:spacing w:val="0"/>
          <w:szCs w:val="24"/>
          <w:rtl/>
        </w:rPr>
        <w:t>לא ניתן</w:t>
      </w:r>
      <w:r w:rsidRPr="00C346F6">
        <w:rPr>
          <w:rFonts w:ascii="Century" w:hAnsi="Century" w:hint="cs"/>
          <w:rtl/>
        </w:rPr>
        <w:t xml:space="preserve"> להכיר בסכומים שחולטו כהוצאה המותרת בניכוי. כך, חילוט הכספים אינו מהווה הוצאה הכרוכה במהלך השוטף והרגיל של עסקי ההימורים (הבלתי חוקיים) של המבקש; אין מדובר בהוצאה שנועדה לשמר את מנגנון הייצור של עסקי ההימורים; אין מדובר בהוצאה שהוצאה במהלך פעילותו של העסק, אלא זמן מה לאחר "חיסולו"; ואין מדובר בהוצאה השייכת לתהליך האורגני של העסק ומשולבת בתהליך הטבעי של הפקת ההכנסה. לאמיתו של דבר, ההיפך הגמור הוא הנכון. מדובר בהוצאה שלא נועדה לצורכי העסק וקיומו, שלא שלובה בפעילותו, שלא תרמה מאומה לייצור הכנסותיו של המבקש מהעסק ושאף לא יכלה לתרום להן. אף דומה כי הוצאות החילוט אסורות בניכוי על דרך של קל וחומר: שהרי אם הוצאות </w:t>
      </w:r>
      <w:r w:rsidRPr="00C346F6">
        <w:rPr>
          <w:rFonts w:ascii="Century" w:hAnsi="Century" w:cs="Miriam" w:hint="cs"/>
          <w:b/>
          <w:spacing w:val="0"/>
          <w:szCs w:val="24"/>
          <w:rtl/>
        </w:rPr>
        <w:t>טרום עסקיות</w:t>
      </w:r>
      <w:r w:rsidRPr="00C346F6">
        <w:rPr>
          <w:rFonts w:ascii="Century" w:hAnsi="Century" w:hint="cs"/>
          <w:rtl/>
        </w:rPr>
        <w:t xml:space="preserve"> שעשויות בעתיד לתרום לתנובת פירות אסורות בניכוי, אזי הוצאות </w:t>
      </w:r>
      <w:r w:rsidRPr="00C346F6">
        <w:rPr>
          <w:rFonts w:ascii="Century" w:hAnsi="Century" w:cs="Miriam" w:hint="cs"/>
          <w:b/>
          <w:spacing w:val="0"/>
          <w:szCs w:val="24"/>
          <w:rtl/>
        </w:rPr>
        <w:t>פוסט-עסקיות</w:t>
      </w:r>
      <w:r w:rsidRPr="00C346F6">
        <w:rPr>
          <w:rFonts w:ascii="Century" w:hAnsi="Century" w:hint="cs"/>
          <w:rtl/>
        </w:rPr>
        <w:t xml:space="preserve"> שלא נושאות בחובן פוטנציאל כלשהו להצמיח פירות עתידיים, כדוגמת חילוט כספים זמן מה לאחר חיסול העסק </w:t>
      </w:r>
      <w:r w:rsidRPr="00C346F6">
        <w:rPr>
          <w:rFonts w:ascii="Century" w:hAnsi="Century"/>
          <w:rtl/>
        </w:rPr>
        <w:t>–</w:t>
      </w:r>
      <w:r w:rsidRPr="00C346F6">
        <w:rPr>
          <w:rFonts w:ascii="Century" w:hAnsi="Century" w:hint="cs"/>
          <w:rtl/>
        </w:rPr>
        <w:t xml:space="preserve"> על אחת כמה וכמה שתיאסרנה בניכוי.</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ודוק: העובדה שחילוט הסכומים נעשה בזיקה לעסקי המבקש, לא די בה כדי להתיר את ניכויים כהוצאה, שהרי אין מדובר בהוצאה ששולמה מבחירה "לשם עשיית רווחים או בכוונה ליצור הכנסה", אלא </w:t>
      </w:r>
      <w:proofErr w:type="spellStart"/>
      <w:r w:rsidRPr="00C346F6">
        <w:rPr>
          <w:rFonts w:ascii="Century" w:hAnsi="Century" w:hint="cs"/>
          <w:rtl/>
        </w:rPr>
        <w:t>בכזו</w:t>
      </w:r>
      <w:proofErr w:type="spellEnd"/>
      <w:r w:rsidRPr="00C346F6">
        <w:rPr>
          <w:rFonts w:ascii="Century" w:hAnsi="Century" w:hint="cs"/>
          <w:rtl/>
        </w:rPr>
        <w:t xml:space="preserve"> ששולמה מאונס "אך ורק לשם קיום החוק [...]" (דברי השופט </w:t>
      </w:r>
      <w:r w:rsidRPr="00C346F6">
        <w:rPr>
          <w:rFonts w:ascii="Century" w:hAnsi="Century" w:cs="Miriam" w:hint="cs"/>
          <w:b/>
          <w:spacing w:val="0"/>
          <w:szCs w:val="24"/>
          <w:rtl/>
        </w:rPr>
        <w:t>ח' כהן</w:t>
      </w:r>
      <w:r w:rsidRPr="00C346F6">
        <w:rPr>
          <w:rFonts w:ascii="Century" w:hAnsi="Century" w:hint="cs"/>
          <w:rtl/>
        </w:rPr>
        <w:t xml:space="preserve"> בע"א 508/59 </w:t>
      </w:r>
      <w:r w:rsidRPr="00C346F6">
        <w:rPr>
          <w:rFonts w:ascii="Century" w:hAnsi="Century" w:cs="Miriam" w:hint="cs"/>
          <w:b/>
          <w:spacing w:val="0"/>
          <w:szCs w:val="24"/>
          <w:rtl/>
        </w:rPr>
        <w:t>אוצר לאשראי של הפועל המזרחי, אגודה הדדית בע"מ נ' פקיד השומה למפעלים גדולים, תל אביב</w:t>
      </w:r>
      <w:r w:rsidRPr="00C346F6">
        <w:rPr>
          <w:rFonts w:ascii="Century" w:hAnsi="Century" w:hint="cs"/>
          <w:rtl/>
        </w:rPr>
        <w:t xml:space="preserve">, פ"ד טו 2213, 2222 (1961) (להלן: </w:t>
      </w:r>
      <w:r w:rsidRPr="00C346F6">
        <w:rPr>
          <w:rFonts w:ascii="Century" w:hAnsi="Century" w:cs="Miriam" w:hint="cs"/>
          <w:b/>
          <w:spacing w:val="0"/>
          <w:szCs w:val="24"/>
          <w:rtl/>
        </w:rPr>
        <w:t>ע"א</w:t>
      </w:r>
      <w:r w:rsidRPr="00C346F6">
        <w:rPr>
          <w:rFonts w:ascii="Century" w:hAnsi="Century" w:hint="cs"/>
          <w:rtl/>
        </w:rPr>
        <w:t xml:space="preserve"> </w:t>
      </w:r>
      <w:r w:rsidRPr="00C346F6">
        <w:rPr>
          <w:rFonts w:ascii="Century" w:hAnsi="Century" w:cs="Miriam" w:hint="cs"/>
          <w:b/>
          <w:spacing w:val="0"/>
          <w:szCs w:val="24"/>
          <w:rtl/>
        </w:rPr>
        <w:t>אוצר לאשראי</w:t>
      </w:r>
      <w:r w:rsidRPr="00C346F6">
        <w:rPr>
          <w:rFonts w:ascii="Century" w:hAnsi="Century" w:hint="cs"/>
          <w:rtl/>
        </w:rPr>
        <w:t xml:space="preserve">; וראו סקירת פסק הדין והדיון הנוסף שנערך בעקבותיו (ד"נ 22/61 </w:t>
      </w:r>
      <w:r w:rsidRPr="00C346F6">
        <w:rPr>
          <w:rFonts w:ascii="Century" w:hAnsi="Century" w:cs="Miriam"/>
          <w:b/>
          <w:spacing w:val="0"/>
          <w:szCs w:val="24"/>
          <w:rtl/>
        </w:rPr>
        <w:t xml:space="preserve">קופת </w:t>
      </w:r>
      <w:proofErr w:type="spellStart"/>
      <w:r w:rsidRPr="00C346F6">
        <w:rPr>
          <w:rFonts w:ascii="Century" w:hAnsi="Century" w:cs="Miriam"/>
          <w:b/>
          <w:spacing w:val="0"/>
          <w:szCs w:val="24"/>
          <w:rtl/>
        </w:rPr>
        <w:t>מילווה</w:t>
      </w:r>
      <w:proofErr w:type="spellEnd"/>
      <w:r w:rsidRPr="00C346F6">
        <w:rPr>
          <w:rFonts w:ascii="Century" w:hAnsi="Century" w:cs="Miriam"/>
          <w:b/>
          <w:spacing w:val="0"/>
          <w:szCs w:val="24"/>
          <w:rtl/>
        </w:rPr>
        <w:t xml:space="preserve"> "העולה", אגודה הדדית בע"מ</w:t>
      </w:r>
      <w:r w:rsidRPr="00C346F6">
        <w:rPr>
          <w:rFonts w:ascii="Century" w:hAnsi="Century" w:cs="Miriam" w:hint="cs"/>
          <w:b/>
          <w:spacing w:val="0"/>
          <w:szCs w:val="24"/>
          <w:rtl/>
        </w:rPr>
        <w:t xml:space="preserve"> ו-אוצר לאשראי של הפועל המזרחי, אגודה הדדית בע"מ נ' </w:t>
      </w:r>
      <w:r w:rsidRPr="00C346F6">
        <w:rPr>
          <w:rFonts w:ascii="Century" w:hAnsi="Century" w:cs="Miriam"/>
          <w:b/>
          <w:spacing w:val="0"/>
          <w:szCs w:val="24"/>
          <w:rtl/>
        </w:rPr>
        <w:t>פקיד השומה למפעלים גדולים, תל-אביב</w:t>
      </w:r>
      <w:r w:rsidRPr="00C346F6">
        <w:rPr>
          <w:rFonts w:hint="cs"/>
          <w:rtl/>
        </w:rPr>
        <w:t xml:space="preserve">, פ"ד </w:t>
      </w:r>
      <w:proofErr w:type="spellStart"/>
      <w:r w:rsidRPr="00C346F6">
        <w:rPr>
          <w:rtl/>
        </w:rPr>
        <w:t>יז</w:t>
      </w:r>
      <w:proofErr w:type="spellEnd"/>
      <w:r w:rsidRPr="00C346F6">
        <w:rPr>
          <w:rtl/>
        </w:rPr>
        <w:t xml:space="preserve"> 533</w:t>
      </w:r>
      <w:r w:rsidRPr="00C346F6">
        <w:rPr>
          <w:rFonts w:hint="cs"/>
          <w:rtl/>
        </w:rPr>
        <w:t xml:space="preserve"> (1963) (להלן: </w:t>
      </w:r>
      <w:r w:rsidRPr="00C346F6">
        <w:rPr>
          <w:rFonts w:ascii="Century" w:hAnsi="Century" w:cs="Miriam" w:hint="cs"/>
          <w:b/>
          <w:spacing w:val="0"/>
          <w:szCs w:val="24"/>
          <w:rtl/>
        </w:rPr>
        <w:t xml:space="preserve">ד"נ אוצר </w:t>
      </w:r>
      <w:r w:rsidRPr="00C346F6">
        <w:rPr>
          <w:rFonts w:ascii="Century" w:hAnsi="Century" w:cs="Miriam" w:hint="cs"/>
          <w:b/>
          <w:spacing w:val="0"/>
          <w:szCs w:val="24"/>
          <w:rtl/>
        </w:rPr>
        <w:lastRenderedPageBreak/>
        <w:t>לאשראי</w:t>
      </w:r>
      <w:r w:rsidRPr="00C346F6">
        <w:rPr>
          <w:rFonts w:hint="cs"/>
          <w:rtl/>
        </w:rPr>
        <w:t xml:space="preserve">) בפסקאות 37-36 לפסק דינו של השופט </w:t>
      </w:r>
      <w:r w:rsidRPr="00C346F6">
        <w:rPr>
          <w:rFonts w:ascii="Century" w:hAnsi="Century" w:cs="Miriam" w:hint="cs"/>
          <w:b/>
          <w:spacing w:val="0"/>
          <w:szCs w:val="24"/>
          <w:rtl/>
        </w:rPr>
        <w:t>קרא</w:t>
      </w:r>
      <w:r w:rsidRPr="00C346F6">
        <w:rPr>
          <w:rFonts w:hint="cs"/>
          <w:rtl/>
        </w:rPr>
        <w:t xml:space="preserve">)). </w:t>
      </w:r>
      <w:r w:rsidRPr="00C346F6">
        <w:rPr>
          <w:rFonts w:ascii="Century" w:hAnsi="Century" w:hint="cs"/>
          <w:rtl/>
        </w:rPr>
        <w:t xml:space="preserve">מובן אפוא כי הניסיון לסווג את חילוט הסכומים כהוצאה </w:t>
      </w:r>
      <w:proofErr w:type="spellStart"/>
      <w:r w:rsidRPr="00C346F6">
        <w:rPr>
          <w:rFonts w:ascii="Century" w:hAnsi="Century" w:hint="cs"/>
          <w:rtl/>
        </w:rPr>
        <w:t>פירותית</w:t>
      </w:r>
      <w:proofErr w:type="spellEnd"/>
      <w:r w:rsidRPr="00C346F6">
        <w:rPr>
          <w:rFonts w:ascii="Century" w:hAnsi="Century" w:hint="cs"/>
          <w:rtl/>
        </w:rPr>
        <w:t xml:space="preserve"> המותרת בניכוי בהיותה הוצאה בייצור הכנסה </w:t>
      </w:r>
      <w:r w:rsidRPr="00C346F6">
        <w:rPr>
          <w:rFonts w:ascii="Century" w:hAnsi="Century"/>
          <w:rtl/>
        </w:rPr>
        <w:t>–</w:t>
      </w:r>
      <w:r w:rsidRPr="00C346F6">
        <w:rPr>
          <w:rFonts w:ascii="Century" w:hAnsi="Century" w:hint="cs"/>
          <w:rtl/>
        </w:rPr>
        <w:t xml:space="preserve"> הוא מוקשה מיסודו. על פני הדברים, די בכך כדי להוביל למסקנה כי לא ניתן להתיר את ניכוי הסכומים שחולטו כהוצאה, ואידך </w:t>
      </w:r>
      <w:proofErr w:type="spellStart"/>
      <w:r w:rsidRPr="00C346F6">
        <w:rPr>
          <w:rFonts w:ascii="Century" w:hAnsi="Century" w:hint="cs"/>
          <w:rtl/>
        </w:rPr>
        <w:t>זיל</w:t>
      </w:r>
      <w:proofErr w:type="spellEnd"/>
      <w:r w:rsidRPr="00C346F6">
        <w:rPr>
          <w:rFonts w:ascii="Century" w:hAnsi="Century" w:hint="cs"/>
          <w:rtl/>
        </w:rPr>
        <w:t xml:space="preserve"> גמור.</w:t>
      </w:r>
    </w:p>
    <w:p w:rsidR="00CB004C" w:rsidRPr="00C346F6" w:rsidRDefault="00CB004C" w:rsidP="00CB004C">
      <w:pPr>
        <w:pStyle w:val="Ruller41"/>
        <w:rPr>
          <w:rFonts w:ascii="Century" w:hAnsi="Century"/>
          <w:rtl/>
        </w:rPr>
      </w:pPr>
    </w:p>
    <w:p w:rsidR="00CB004C" w:rsidRPr="00C346F6" w:rsidRDefault="00CB004C" w:rsidP="00CB004C">
      <w:pPr>
        <w:pStyle w:val="Ruller41"/>
        <w:rPr>
          <w:rtl/>
        </w:rPr>
      </w:pPr>
      <w:r w:rsidRPr="00C346F6">
        <w:rPr>
          <w:rFonts w:ascii="Century" w:hAnsi="Century" w:hint="cs"/>
          <w:rtl/>
        </w:rPr>
        <w:t>33.</w:t>
      </w:r>
      <w:r w:rsidRPr="00C346F6">
        <w:rPr>
          <w:rFonts w:ascii="Century" w:hAnsi="Century"/>
          <w:rtl/>
        </w:rPr>
        <w:tab/>
      </w:r>
      <w:r w:rsidRPr="00C346F6">
        <w:rPr>
          <w:rFonts w:ascii="Century" w:hAnsi="Century" w:hint="cs"/>
          <w:rtl/>
        </w:rPr>
        <w:t xml:space="preserve">קושי זה לא נעלם מעיני בית המשפט בפרשת </w:t>
      </w:r>
      <w:r w:rsidRPr="00C346F6">
        <w:rPr>
          <w:rFonts w:ascii="Century" w:hAnsi="Century" w:cs="Miriam" w:hint="cs"/>
          <w:b/>
          <w:spacing w:val="0"/>
          <w:szCs w:val="24"/>
          <w:rtl/>
        </w:rPr>
        <w:t>דמארי</w:t>
      </w:r>
      <w:r w:rsidRPr="00C346F6">
        <w:rPr>
          <w:rFonts w:ascii="Century" w:hAnsi="Century" w:hint="cs"/>
          <w:rtl/>
        </w:rPr>
        <w:t xml:space="preserve">, שכזכור נסבה על השבת כספי מעילה וגניבה. השופט </w:t>
      </w:r>
      <w:r w:rsidRPr="00C346F6">
        <w:rPr>
          <w:rFonts w:ascii="Century" w:hAnsi="Century" w:cs="Miriam" w:hint="cs"/>
          <w:b/>
          <w:spacing w:val="0"/>
          <w:szCs w:val="24"/>
          <w:rtl/>
        </w:rPr>
        <w:t>רובינשטיין</w:t>
      </w:r>
      <w:r w:rsidRPr="00C346F6">
        <w:rPr>
          <w:rFonts w:ascii="Century" w:hAnsi="Century" w:hint="cs"/>
          <w:rtl/>
        </w:rPr>
        <w:t xml:space="preserve"> היה ער לכך שהשבת כספי המעילה לא נעשתה כדי לייצר הכנסה, אלא בשלב שבו "כבר נסתיימה המעילה מהוה את ה'עסק' שהוא מקור ההכנסה". השופט </w:t>
      </w:r>
      <w:r w:rsidRPr="00C346F6">
        <w:rPr>
          <w:rFonts w:ascii="Century" w:hAnsi="Century" w:cs="Miriam" w:hint="cs"/>
          <w:b/>
          <w:spacing w:val="0"/>
          <w:szCs w:val="24"/>
          <w:rtl/>
        </w:rPr>
        <w:t>רובינשטיין</w:t>
      </w:r>
      <w:r w:rsidRPr="00C346F6">
        <w:rPr>
          <w:rFonts w:ascii="Century" w:hAnsi="Century" w:hint="cs"/>
          <w:rtl/>
        </w:rPr>
        <w:t xml:space="preserve"> אף הכיר בכך ש"</w:t>
      </w:r>
      <w:r w:rsidRPr="00C346F6">
        <w:rPr>
          <w:rFonts w:ascii="Century" w:hAnsi="Century" w:cs="Miriam" w:hint="cs"/>
          <w:b/>
          <w:spacing w:val="0"/>
          <w:szCs w:val="24"/>
          <w:rtl/>
        </w:rPr>
        <w:t>אין זה פשוט</w:t>
      </w:r>
      <w:r w:rsidRPr="00C346F6">
        <w:rPr>
          <w:rFonts w:ascii="Century" w:hAnsi="Century" w:hint="cs"/>
          <w:rtl/>
        </w:rPr>
        <w:t xml:space="preserve"> לסווג את תשלומי ההשבה של המערערים כהוצאה בייצור הכנסה" (שם בפסקה ק"ב, ההדגשה הוספה </w:t>
      </w:r>
      <w:r w:rsidRPr="00C346F6">
        <w:rPr>
          <w:rFonts w:ascii="Century" w:hAnsi="Century"/>
          <w:rtl/>
        </w:rPr>
        <w:t>–</w:t>
      </w:r>
      <w:r w:rsidRPr="00C346F6">
        <w:rPr>
          <w:rFonts w:ascii="Century" w:hAnsi="Century" w:hint="cs"/>
          <w:rtl/>
        </w:rPr>
        <w:t xml:space="preserve"> </w:t>
      </w:r>
      <w:proofErr w:type="spellStart"/>
      <w:r w:rsidRPr="00C346F6">
        <w:rPr>
          <w:rFonts w:ascii="Century" w:hAnsi="Century" w:hint="cs"/>
          <w:rtl/>
        </w:rPr>
        <w:t>י"ע</w:t>
      </w:r>
      <w:proofErr w:type="spellEnd"/>
      <w:r w:rsidRPr="00C346F6">
        <w:rPr>
          <w:rFonts w:ascii="Century" w:hAnsi="Century" w:hint="cs"/>
          <w:rtl/>
        </w:rPr>
        <w:t xml:space="preserve">). אלא שחרף קשיים אלו, השופט </w:t>
      </w:r>
      <w:r w:rsidRPr="00C346F6">
        <w:rPr>
          <w:rFonts w:ascii="Century" w:hAnsi="Century" w:cs="Miriam" w:hint="cs"/>
          <w:b/>
          <w:spacing w:val="0"/>
          <w:szCs w:val="24"/>
          <w:rtl/>
        </w:rPr>
        <w:t>רובינשטיין</w:t>
      </w:r>
      <w:r w:rsidRPr="00C346F6">
        <w:rPr>
          <w:rFonts w:ascii="Century" w:hAnsi="Century" w:hint="cs"/>
          <w:rtl/>
        </w:rPr>
        <w:t xml:space="preserve"> סבר כי "ניתן להעניק פרשנות אחרת" למבחן ההוצאה בייצור הכנסה, וליישם בגדרו את 'מבחן הסיכון', הבוחן אם מדובר בהוצאות שהן "</w:t>
      </w:r>
      <w:r w:rsidRPr="00C346F6">
        <w:rPr>
          <w:rFonts w:ascii="Century" w:hAnsi="Century" w:cs="Miriam" w:hint="cs"/>
          <w:b/>
          <w:spacing w:val="0"/>
          <w:szCs w:val="24"/>
          <w:rtl/>
        </w:rPr>
        <w:t>חלק מהסיכונים השוטפים הקשורים לייצור ההכנסה, אף אם אינן כרוכות בייצור הכנסה במובן האקטיבי</w:t>
      </w:r>
      <w:r w:rsidRPr="00C346F6">
        <w:rPr>
          <w:rFonts w:ascii="Century" w:hAnsi="Century" w:hint="cs"/>
          <w:rtl/>
        </w:rPr>
        <w:t xml:space="preserve">" (ההדגשה הוספה </w:t>
      </w:r>
      <w:r w:rsidRPr="00C346F6">
        <w:rPr>
          <w:rFonts w:ascii="Century" w:hAnsi="Century"/>
          <w:rtl/>
        </w:rPr>
        <w:t>–</w:t>
      </w:r>
      <w:r w:rsidRPr="00C346F6">
        <w:rPr>
          <w:rFonts w:ascii="Century" w:hAnsi="Century" w:hint="cs"/>
          <w:rtl/>
        </w:rPr>
        <w:t xml:space="preserve"> </w:t>
      </w:r>
      <w:proofErr w:type="spellStart"/>
      <w:r w:rsidRPr="00C346F6">
        <w:rPr>
          <w:rFonts w:ascii="Century" w:hAnsi="Century" w:hint="cs"/>
          <w:rtl/>
        </w:rPr>
        <w:t>י"ע</w:t>
      </w:r>
      <w:proofErr w:type="spellEnd"/>
      <w:r w:rsidRPr="00C346F6">
        <w:rPr>
          <w:rFonts w:ascii="Century" w:hAnsi="Century" w:hint="cs"/>
          <w:rtl/>
        </w:rPr>
        <w:t xml:space="preserve">). ביישמו את מבחן הסיכון, השופט </w:t>
      </w:r>
      <w:r w:rsidRPr="00C346F6">
        <w:rPr>
          <w:rFonts w:ascii="Century" w:hAnsi="Century" w:cs="Miriam" w:hint="cs"/>
          <w:b/>
          <w:spacing w:val="0"/>
          <w:szCs w:val="24"/>
          <w:rtl/>
        </w:rPr>
        <w:t xml:space="preserve">רובינשטיין </w:t>
      </w:r>
      <w:r w:rsidRPr="00C346F6">
        <w:rPr>
          <w:rFonts w:ascii="Century" w:hAnsi="Century" w:hint="cs"/>
          <w:rtl/>
        </w:rPr>
        <w:t xml:space="preserve">סבר כי </w:t>
      </w:r>
      <w:r w:rsidRPr="00C346F6">
        <w:rPr>
          <w:rFonts w:hint="cs"/>
          <w:rtl/>
        </w:rPr>
        <w:t xml:space="preserve">"אחד ה'סיכונים המקצועיים' המובהקים ב'עסקי' המעילה, היא שאם ייתפס המועל, יידרש להשיב את השלל לבעליו החוקיים. כלומר, בשלב בו בוצעו תשלומי ההשבה לא נעשה הדבר כחלק מייצור ההכנסה, אלא בראייתם של תשלומים אלה בייצור ההכנסה במובן זה שהם </w:t>
      </w:r>
      <w:proofErr w:type="spellStart"/>
      <w:r w:rsidRPr="00C346F6">
        <w:rPr>
          <w:rFonts w:hint="cs"/>
          <w:rtl/>
        </w:rPr>
        <w:t>מהוים</w:t>
      </w:r>
      <w:proofErr w:type="spellEnd"/>
      <w:r w:rsidRPr="00C346F6">
        <w:rPr>
          <w:rFonts w:hint="cs"/>
          <w:rtl/>
        </w:rPr>
        <w:t xml:space="preserve"> סכנה צפויה, </w:t>
      </w:r>
      <w:proofErr w:type="spellStart"/>
      <w:r w:rsidRPr="00C346F6">
        <w:rPr>
          <w:rFonts w:hint="cs"/>
          <w:rtl/>
        </w:rPr>
        <w:t>הנלוית</w:t>
      </w:r>
      <w:proofErr w:type="spellEnd"/>
      <w:r w:rsidRPr="00C346F6">
        <w:rPr>
          <w:rFonts w:hint="cs"/>
          <w:rtl/>
        </w:rPr>
        <w:t xml:space="preserve"> לפעילות יוצרת ההכנסה" (שם, פסקה ק"ג). </w:t>
      </w:r>
    </w:p>
    <w:p w:rsidR="00CB004C" w:rsidRPr="00C346F6" w:rsidRDefault="00CB004C" w:rsidP="00CB004C">
      <w:pPr>
        <w:pStyle w:val="Ruller41"/>
        <w:rPr>
          <w:rtl/>
        </w:rPr>
      </w:pPr>
    </w:p>
    <w:p w:rsidR="00CB004C" w:rsidRPr="00C346F6" w:rsidRDefault="00CB004C" w:rsidP="00CB004C">
      <w:pPr>
        <w:pStyle w:val="Ruller41"/>
        <w:rPr>
          <w:rFonts w:ascii="Century" w:hAnsi="Century"/>
          <w:rtl/>
        </w:rPr>
      </w:pPr>
      <w:r w:rsidRPr="00C346F6">
        <w:rPr>
          <w:rtl/>
        </w:rPr>
        <w:tab/>
      </w:r>
      <w:r w:rsidRPr="00C346F6">
        <w:rPr>
          <w:rFonts w:hint="cs"/>
          <w:rtl/>
        </w:rPr>
        <w:t xml:space="preserve">כפי שצוין, השופט </w:t>
      </w:r>
      <w:r w:rsidRPr="00C346F6">
        <w:rPr>
          <w:rFonts w:ascii="Century" w:hAnsi="Century" w:cs="Miriam" w:hint="cs"/>
          <w:b/>
          <w:spacing w:val="0"/>
          <w:szCs w:val="24"/>
          <w:rtl/>
        </w:rPr>
        <w:t>הנדל</w:t>
      </w:r>
      <w:r w:rsidRPr="00C346F6">
        <w:rPr>
          <w:rFonts w:hint="cs"/>
          <w:rtl/>
        </w:rPr>
        <w:t xml:space="preserve">, שאף הוא היה ער לקושי לסווג את תשלומי ההשבה כהוצאה הכרוכה ושלובה בייצור הכנסה, היה גם הוא נכון לראות בתשלומי ההשבה "כהתממשות 'סיכון מסיכוני העסק' בסוג עסק כזה של גניבה או מעילה". השופט </w:t>
      </w:r>
      <w:r w:rsidRPr="00C346F6">
        <w:rPr>
          <w:rFonts w:ascii="Century" w:hAnsi="Century" w:cs="Miriam" w:hint="cs"/>
          <w:b/>
          <w:spacing w:val="0"/>
          <w:szCs w:val="24"/>
          <w:rtl/>
        </w:rPr>
        <w:t>הנדל</w:t>
      </w:r>
      <w:r w:rsidRPr="00C346F6">
        <w:rPr>
          <w:rFonts w:hint="cs"/>
          <w:rtl/>
        </w:rPr>
        <w:t xml:space="preserve"> אף הוסיף כי ניתן לראות בתשלומי ההשבה כ"תחליפיים להקצאה כספית קבועה במהלך חייו של 'עסק' הגניבה, מעין תשלומי ביטוח מפני התממשות הסיכון" הצפוי של השבת הכספים (שם, פסקה 15).</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34.</w:t>
      </w:r>
      <w:r w:rsidRPr="00C346F6">
        <w:rPr>
          <w:rFonts w:ascii="Century" w:hAnsi="Century" w:hint="cs"/>
          <w:rtl/>
        </w:rPr>
        <w:tab/>
        <w:t xml:space="preserve">ברוח עמדתו של השופט </w:t>
      </w:r>
      <w:r w:rsidRPr="00C346F6">
        <w:rPr>
          <w:rFonts w:ascii="Century" w:hAnsi="Century" w:cs="Miriam" w:hint="cs"/>
          <w:b/>
          <w:spacing w:val="0"/>
          <w:szCs w:val="24"/>
          <w:rtl/>
        </w:rPr>
        <w:t>קרא</w:t>
      </w:r>
      <w:r w:rsidRPr="00C346F6">
        <w:rPr>
          <w:rFonts w:ascii="Century" w:hAnsi="Century" w:hint="cs"/>
          <w:rtl/>
        </w:rPr>
        <w:t xml:space="preserve"> בפסק הדין מושא הדיון הנוסף, אף לטעמי יש קושי רב להחיל את 'מבחן הסיכון' במצב שבו מדובר בהוצאה שנובעת מפעילות פלילית; ואף לטעמי, גם אם היה מקום להחילו וליישמו בהקשר שלפנינו, לא היה בכך כדי להוביל למסקנה כי ניתן לנכות את הוצאות החילוט (וראו גם הערת השופט </w:t>
      </w:r>
      <w:r w:rsidRPr="00C346F6">
        <w:rPr>
          <w:rFonts w:ascii="Century" w:hAnsi="Century" w:cs="Miriam" w:hint="cs"/>
          <w:b/>
          <w:spacing w:val="0"/>
          <w:szCs w:val="24"/>
          <w:rtl/>
        </w:rPr>
        <w:t>מינץ</w:t>
      </w:r>
      <w:r w:rsidRPr="00C346F6">
        <w:rPr>
          <w:rFonts w:ascii="Century" w:hAnsi="Century" w:hint="cs"/>
          <w:rtl/>
        </w:rPr>
        <w:t xml:space="preserve"> בפסק הדין מושא הדיון הנוסף, שאמנם לא נדרש למבחן הסיכון לגופו, אך ראה לנכון להעיר כי החלתו בנסיבות דנן "מעורר קשיים בלתי מבוטלים" (שם, פסקה 1 לפסק דינו)). אסביר.</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lastRenderedPageBreak/>
        <w:t>35.</w:t>
      </w:r>
      <w:r w:rsidRPr="00C346F6">
        <w:rPr>
          <w:rFonts w:ascii="Century" w:hAnsi="Century"/>
          <w:rtl/>
        </w:rPr>
        <w:tab/>
      </w:r>
      <w:r w:rsidRPr="00C346F6">
        <w:rPr>
          <w:rFonts w:ascii="Century" w:hAnsi="Century" w:hint="cs"/>
          <w:rtl/>
        </w:rPr>
        <w:t xml:space="preserve">מבחן הסיכון, כפי ששמו מעיד עליו, נועד לבחון אם ההוצאה </w:t>
      </w:r>
      <w:proofErr w:type="spellStart"/>
      <w:r w:rsidRPr="00C346F6">
        <w:rPr>
          <w:rFonts w:ascii="Century" w:hAnsi="Century" w:hint="cs"/>
          <w:rtl/>
        </w:rPr>
        <w:t>שה</w:t>
      </w:r>
      <w:r w:rsidRPr="00C346F6">
        <w:rPr>
          <w:rFonts w:ascii="FrankRuehl" w:hAnsi="FrankRuehl"/>
          <w:rtl/>
        </w:rPr>
        <w:t>וּ</w:t>
      </w:r>
      <w:r w:rsidRPr="00C346F6">
        <w:rPr>
          <w:rFonts w:ascii="Century" w:hAnsi="Century" w:hint="cs"/>
          <w:rtl/>
        </w:rPr>
        <w:t>צאה</w:t>
      </w:r>
      <w:proofErr w:type="spellEnd"/>
      <w:r w:rsidRPr="00C346F6">
        <w:rPr>
          <w:rFonts w:ascii="Century" w:hAnsi="Century" w:hint="cs"/>
          <w:rtl/>
        </w:rPr>
        <w:t xml:space="preserve"> מהווה </w:t>
      </w:r>
      <w:r w:rsidRPr="00C346F6">
        <w:rPr>
          <w:rFonts w:ascii="Century" w:hAnsi="Century" w:cs="Miriam" w:hint="cs"/>
          <w:b/>
          <w:spacing w:val="0"/>
          <w:szCs w:val="24"/>
          <w:rtl/>
        </w:rPr>
        <w:t>חלק מהסיכונים השוטפים הקשורים לייצור ההכנסה</w:t>
      </w:r>
      <w:r w:rsidRPr="00C346F6">
        <w:rPr>
          <w:rFonts w:ascii="Century" w:hAnsi="Century" w:hint="cs"/>
          <w:rtl/>
        </w:rPr>
        <w:t xml:space="preserve"> (</w:t>
      </w:r>
      <w:proofErr w:type="spellStart"/>
      <w:r w:rsidRPr="00C346F6">
        <w:rPr>
          <w:rFonts w:ascii="Century" w:hAnsi="Century" w:cs="Miriam" w:hint="cs"/>
          <w:b/>
          <w:spacing w:val="0"/>
          <w:szCs w:val="24"/>
          <w:rtl/>
        </w:rPr>
        <w:t>נמדר</w:t>
      </w:r>
      <w:proofErr w:type="spellEnd"/>
      <w:r w:rsidRPr="00C346F6">
        <w:rPr>
          <w:rFonts w:ascii="Century" w:hAnsi="Century" w:hint="cs"/>
          <w:rtl/>
        </w:rPr>
        <w:t xml:space="preserve">, עמ' 271). פסק דין שבו נעשה שימוש במבחן זה הוא </w:t>
      </w:r>
      <w:r w:rsidRPr="00C346F6">
        <w:rPr>
          <w:rFonts w:ascii="Century" w:hAnsi="Century"/>
          <w:rtl/>
        </w:rPr>
        <w:t>ע</w:t>
      </w:r>
      <w:r w:rsidRPr="00C346F6">
        <w:rPr>
          <w:rFonts w:ascii="Century" w:hAnsi="Century" w:hint="cs"/>
          <w:rtl/>
        </w:rPr>
        <w:t>"</w:t>
      </w:r>
      <w:r w:rsidRPr="00C346F6">
        <w:rPr>
          <w:rFonts w:ascii="Century" w:hAnsi="Century"/>
          <w:rtl/>
        </w:rPr>
        <w:t>א 735/86 </w:t>
      </w:r>
      <w:r w:rsidRPr="00C346F6">
        <w:rPr>
          <w:rFonts w:ascii="Century" w:hAnsi="Century" w:cs="Miriam"/>
          <w:b/>
          <w:spacing w:val="0"/>
          <w:szCs w:val="24"/>
          <w:rtl/>
        </w:rPr>
        <w:t>צבי בן שחר זרעים בע"מ נ' פקיד השומה תל-אביב 3</w:t>
      </w:r>
      <w:r w:rsidRPr="00C346F6">
        <w:rPr>
          <w:rFonts w:ascii="Century" w:hAnsi="Century" w:hint="cs"/>
          <w:rtl/>
        </w:rPr>
        <w:t xml:space="preserve">, פ"ד מג(4) 45 (1989) (להלן: עניין </w:t>
      </w:r>
      <w:r w:rsidRPr="00C346F6">
        <w:rPr>
          <w:rFonts w:ascii="Century" w:hAnsi="Century" w:cs="Miriam" w:hint="cs"/>
          <w:b/>
          <w:spacing w:val="0"/>
          <w:szCs w:val="24"/>
          <w:rtl/>
        </w:rPr>
        <w:t>בן שחר זרעים</w:t>
      </w:r>
      <w:r w:rsidRPr="00C346F6">
        <w:rPr>
          <w:rFonts w:ascii="Century" w:hAnsi="Century" w:hint="cs"/>
          <w:rtl/>
        </w:rPr>
        <w:t xml:space="preserve">)). פרשה זו נסבה על הוצאות שנגרמו לבית עסק עקב דליקה שפרצה במחסן מלאי עסקי ופגעה במחסנים סמוכים. באותו מקרה נשללה האפשרות כי הצתה היתה סיבת הדליקה, ונקבע כי מקור הדליקה היה התלקחות עצמית שנגרמה בשל עצם האחסון וההחזקה של מלאי הזרעים. בפסק הדין קבע השופט </w:t>
      </w:r>
      <w:r w:rsidRPr="00C346F6">
        <w:rPr>
          <w:rFonts w:ascii="Century" w:hAnsi="Century" w:cs="Miriam" w:hint="cs"/>
          <w:b/>
          <w:spacing w:val="0"/>
          <w:szCs w:val="24"/>
          <w:rtl/>
        </w:rPr>
        <w:t>מלץ</w:t>
      </w:r>
      <w:r w:rsidRPr="00C346F6">
        <w:rPr>
          <w:rFonts w:ascii="Century" w:hAnsi="Century" w:hint="cs"/>
          <w:rtl/>
        </w:rPr>
        <w:t xml:space="preserve"> כי מפעל המחזיק מלאי עסקי נושא בהוצאות מגוונות עבור אחסונו והחזקתו, ובכללן הוצאות בשל </w:t>
      </w:r>
      <w:r w:rsidRPr="00C346F6">
        <w:rPr>
          <w:rFonts w:ascii="Century" w:hAnsi="Century" w:cs="Miriam" w:hint="cs"/>
          <w:b/>
          <w:spacing w:val="0"/>
          <w:szCs w:val="24"/>
          <w:rtl/>
        </w:rPr>
        <w:t>נזקים</w:t>
      </w:r>
      <w:r w:rsidRPr="00C346F6">
        <w:rPr>
          <w:rFonts w:ascii="Century" w:hAnsi="Century" w:hint="cs"/>
          <w:rtl/>
        </w:rPr>
        <w:t xml:space="preserve"> שנגרמים בשל כך; כי דליקה נמנית על הסיכונים הרגילים בגין עצם החזקת מחסן חומרים; כי מדובר היה במלאי דליק שהסיכון להתלקחותו לא היה כה חריג ונכנס בגדר הסיכונים הרגילים של אותו עסק; וכי פעולת החזקת המלאי נושאת אופי </w:t>
      </w:r>
      <w:proofErr w:type="spellStart"/>
      <w:r w:rsidRPr="00C346F6">
        <w:rPr>
          <w:rFonts w:ascii="Century" w:hAnsi="Century" w:hint="cs"/>
          <w:rtl/>
        </w:rPr>
        <w:t>פירותי</w:t>
      </w:r>
      <w:proofErr w:type="spellEnd"/>
      <w:r w:rsidRPr="00C346F6">
        <w:rPr>
          <w:rFonts w:ascii="Century" w:hAnsi="Century" w:hint="cs"/>
          <w:rtl/>
        </w:rPr>
        <w:t xml:space="preserve">, ולכן כל הוצאה שנעשית במסגרתה גם היא הוצאה שבפירות. על רקע זה, נקבע בפסק הדין כי נזקי הדליקה הם הוצאה שיצאה במהלך העסקים הרגיל המותרת בניכוי (שם, עמ' 48-47). [במאמר מוסגר: בכך הבחין השופט </w:t>
      </w:r>
      <w:r w:rsidRPr="00C346F6">
        <w:rPr>
          <w:rFonts w:ascii="Century" w:hAnsi="Century" w:cs="Miriam" w:hint="cs"/>
          <w:b/>
          <w:spacing w:val="0"/>
          <w:szCs w:val="24"/>
          <w:rtl/>
        </w:rPr>
        <w:t>מלץ</w:t>
      </w:r>
      <w:r w:rsidRPr="00C346F6">
        <w:rPr>
          <w:rFonts w:ascii="Century" w:hAnsi="Century" w:hint="cs"/>
          <w:rtl/>
        </w:rPr>
        <w:t xml:space="preserve"> בין הנסיבות באותו מקרה לאלו שנדונו </w:t>
      </w:r>
      <w:proofErr w:type="spellStart"/>
      <w:r w:rsidRPr="00C346F6">
        <w:rPr>
          <w:rFonts w:ascii="Century" w:hAnsi="Century" w:hint="cs"/>
          <w:rtl/>
        </w:rPr>
        <w:t>בעמ"ה</w:t>
      </w:r>
      <w:proofErr w:type="spellEnd"/>
      <w:r w:rsidRPr="00C346F6">
        <w:rPr>
          <w:rFonts w:ascii="Century" w:hAnsi="Century" w:hint="cs"/>
          <w:rtl/>
        </w:rPr>
        <w:t xml:space="preserve"> (ת"א) 157/80 </w:t>
      </w:r>
      <w:proofErr w:type="spellStart"/>
      <w:r w:rsidRPr="00C346F6">
        <w:rPr>
          <w:rFonts w:ascii="Century" w:hAnsi="Century" w:cs="Miriam" w:hint="cs"/>
          <w:b/>
          <w:spacing w:val="0"/>
          <w:szCs w:val="24"/>
          <w:rtl/>
        </w:rPr>
        <w:t>אלמולי</w:t>
      </w:r>
      <w:proofErr w:type="spellEnd"/>
      <w:r w:rsidRPr="00C346F6">
        <w:rPr>
          <w:rFonts w:ascii="Century" w:hAnsi="Century" w:cs="Miriam" w:hint="cs"/>
          <w:b/>
          <w:spacing w:val="0"/>
          <w:szCs w:val="24"/>
          <w:rtl/>
        </w:rPr>
        <w:t xml:space="preserve"> השקעות בע"מ </w:t>
      </w:r>
      <w:proofErr w:type="spellStart"/>
      <w:r w:rsidRPr="00C346F6">
        <w:rPr>
          <w:rFonts w:ascii="Century" w:hAnsi="Century" w:cs="Miriam" w:hint="cs"/>
          <w:b/>
          <w:spacing w:val="0"/>
          <w:szCs w:val="24"/>
          <w:rtl/>
        </w:rPr>
        <w:t>ואלקל</w:t>
      </w:r>
      <w:proofErr w:type="spellEnd"/>
      <w:r w:rsidRPr="00C346F6">
        <w:rPr>
          <w:rFonts w:ascii="Century" w:hAnsi="Century" w:cs="Miriam" w:hint="cs"/>
          <w:b/>
          <w:spacing w:val="0"/>
          <w:szCs w:val="24"/>
          <w:rtl/>
        </w:rPr>
        <w:t xml:space="preserve"> בע"מ נ' פקיד שומה ת"א 2</w:t>
      </w:r>
      <w:r w:rsidRPr="00C346F6">
        <w:rPr>
          <w:rFonts w:ascii="Century" w:hAnsi="Century" w:hint="cs"/>
          <w:rtl/>
        </w:rPr>
        <w:t xml:space="preserve">, </w:t>
      </w:r>
      <w:proofErr w:type="spellStart"/>
      <w:r w:rsidRPr="00C346F6">
        <w:rPr>
          <w:rFonts w:ascii="Century" w:hAnsi="Century" w:hint="cs"/>
          <w:rtl/>
        </w:rPr>
        <w:t>פד"א</w:t>
      </w:r>
      <w:proofErr w:type="spellEnd"/>
      <w:r w:rsidRPr="00C346F6">
        <w:rPr>
          <w:rFonts w:ascii="Century" w:hAnsi="Century" w:hint="cs"/>
          <w:rtl/>
        </w:rPr>
        <w:t xml:space="preserve"> יא 217, 221-220 (1981), שם מדובר היה בנזקי שריפה שפרצה בעקבות עבודות ריתוך שנועדו ככל הנראה ליצור </w:t>
      </w:r>
      <w:r w:rsidRPr="00C346F6">
        <w:rPr>
          <w:rFonts w:ascii="Century" w:hAnsi="Century" w:cs="Miriam" w:hint="cs"/>
          <w:b/>
          <w:spacing w:val="0"/>
          <w:szCs w:val="24"/>
          <w:rtl/>
        </w:rPr>
        <w:t>נכס הון</w:t>
      </w:r>
      <w:r w:rsidRPr="00C346F6">
        <w:rPr>
          <w:rFonts w:ascii="Century" w:hAnsi="Century" w:hint="cs"/>
          <w:rtl/>
        </w:rPr>
        <w:t xml:space="preserve"> </w:t>
      </w:r>
      <w:r w:rsidRPr="00C346F6">
        <w:rPr>
          <w:rFonts w:ascii="Century" w:hAnsi="Century" w:cs="Miriam" w:hint="cs"/>
          <w:b/>
          <w:spacing w:val="0"/>
          <w:szCs w:val="24"/>
          <w:rtl/>
        </w:rPr>
        <w:t>חדש</w:t>
      </w:r>
      <w:r w:rsidRPr="00C346F6">
        <w:rPr>
          <w:rFonts w:ascii="Century" w:hAnsi="Century" w:hint="cs"/>
          <w:rtl/>
        </w:rPr>
        <w:t xml:space="preserve">, מה שהוביל לכך שההוצאה לא הותרה בניכוי. זאת, משום שמבחן הסיכון יכול להתקיים בתנאי שהדבר אירע תוך מהלך רגיל של עסקים, ואין הוא חל על הוצאות הוניות אלא על הוצאות </w:t>
      </w:r>
      <w:proofErr w:type="spellStart"/>
      <w:r w:rsidRPr="00C346F6">
        <w:rPr>
          <w:rFonts w:ascii="Century" w:hAnsi="Century" w:hint="cs"/>
          <w:rtl/>
        </w:rPr>
        <w:t>פירותיות</w:t>
      </w:r>
      <w:proofErr w:type="spellEnd"/>
      <w:r w:rsidRPr="00C346F6">
        <w:rPr>
          <w:rFonts w:ascii="Century" w:hAnsi="Century" w:hint="cs"/>
          <w:rtl/>
        </w:rPr>
        <w:t xml:space="preserve"> בלבד]. </w:t>
      </w:r>
    </w:p>
    <w:p w:rsidR="00CB004C" w:rsidRPr="00C346F6" w:rsidRDefault="00CB004C" w:rsidP="00CB004C">
      <w:pPr>
        <w:pStyle w:val="Ruller41"/>
        <w:rPr>
          <w:rFonts w:ascii="Century" w:hAnsi="Century"/>
          <w:rtl/>
        </w:rPr>
      </w:pPr>
    </w:p>
    <w:p w:rsidR="00CB004C"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סוג נוסף של מקרים שבהם יושם מבחן הסיכון מתייחס למצבים שבהם עובד של העסק מעל בכספי העסק. וכך ציין השופט </w:t>
      </w:r>
      <w:r w:rsidRPr="00C346F6">
        <w:rPr>
          <w:rFonts w:ascii="Century" w:hAnsi="Century" w:cs="Miriam" w:hint="cs"/>
          <w:b/>
          <w:spacing w:val="0"/>
          <w:szCs w:val="24"/>
          <w:rtl/>
        </w:rPr>
        <w:t>ויתקון</w:t>
      </w:r>
      <w:r w:rsidRPr="00C346F6">
        <w:rPr>
          <w:rFonts w:ascii="Century" w:hAnsi="Century" w:hint="cs"/>
          <w:rtl/>
        </w:rPr>
        <w:t xml:space="preserve"> בע"א 475/68 </w:t>
      </w:r>
      <w:r w:rsidRPr="00C346F6">
        <w:rPr>
          <w:rFonts w:ascii="Century" w:hAnsi="Century" w:cs="Miriam" w:hint="cs"/>
          <w:b/>
          <w:spacing w:val="0"/>
          <w:szCs w:val="24"/>
          <w:rtl/>
        </w:rPr>
        <w:t xml:space="preserve">רחוב </w:t>
      </w:r>
      <w:proofErr w:type="spellStart"/>
      <w:r w:rsidRPr="00C346F6">
        <w:rPr>
          <w:rFonts w:ascii="Century" w:hAnsi="Century" w:cs="Miriam" w:hint="cs"/>
          <w:b/>
          <w:spacing w:val="0"/>
          <w:szCs w:val="24"/>
          <w:rtl/>
        </w:rPr>
        <w:t>פינסקר</w:t>
      </w:r>
      <w:proofErr w:type="spellEnd"/>
      <w:r w:rsidRPr="00C346F6">
        <w:rPr>
          <w:rFonts w:ascii="Century" w:hAnsi="Century" w:cs="Miriam" w:hint="cs"/>
          <w:b/>
          <w:spacing w:val="0"/>
          <w:szCs w:val="24"/>
          <w:rtl/>
        </w:rPr>
        <w:t xml:space="preserve"> 42 בע"מ נ' פקיד השומה, תל אביב 4</w:t>
      </w:r>
      <w:r w:rsidRPr="00C346F6">
        <w:rPr>
          <w:rFonts w:ascii="Century" w:hAnsi="Century" w:hint="cs"/>
          <w:rtl/>
        </w:rPr>
        <w:t xml:space="preserve">, פ"ד </w:t>
      </w:r>
      <w:proofErr w:type="spellStart"/>
      <w:r w:rsidRPr="00C346F6">
        <w:rPr>
          <w:rFonts w:ascii="Century" w:hAnsi="Century" w:hint="cs"/>
          <w:rtl/>
        </w:rPr>
        <w:t>כג</w:t>
      </w:r>
      <w:proofErr w:type="spellEnd"/>
      <w:r w:rsidRPr="00C346F6">
        <w:rPr>
          <w:rFonts w:ascii="Century" w:hAnsi="Century" w:hint="cs"/>
          <w:rtl/>
        </w:rPr>
        <w:t xml:space="preserve">(1) 89 (1969) (להלן: עניין </w:t>
      </w:r>
      <w:proofErr w:type="spellStart"/>
      <w:r w:rsidRPr="00C346F6">
        <w:rPr>
          <w:rFonts w:ascii="Century" w:hAnsi="Century" w:cs="Miriam" w:hint="cs"/>
          <w:b/>
          <w:spacing w:val="0"/>
          <w:szCs w:val="24"/>
          <w:rtl/>
        </w:rPr>
        <w:t>פינסקר</w:t>
      </w:r>
      <w:proofErr w:type="spellEnd"/>
      <w:r w:rsidRPr="00C346F6">
        <w:rPr>
          <w:rFonts w:ascii="Century" w:hAnsi="Century" w:cs="Miriam" w:hint="cs"/>
          <w:b/>
          <w:spacing w:val="0"/>
          <w:szCs w:val="24"/>
          <w:rtl/>
        </w:rPr>
        <w:t xml:space="preserve"> 42</w:t>
      </w:r>
      <w:r w:rsidRPr="00C346F6">
        <w:rPr>
          <w:rFonts w:ascii="Century" w:hAnsi="Century" w:hint="cs"/>
          <w:rtl/>
        </w:rPr>
        <w:t>):</w:t>
      </w:r>
    </w:p>
    <w:p w:rsidR="00CB004C" w:rsidRPr="00C346F6" w:rsidRDefault="00CB004C" w:rsidP="00CB004C">
      <w:pPr>
        <w:pStyle w:val="Ruller41"/>
        <w:rPr>
          <w:rFonts w:ascii="Century" w:hAnsi="Century"/>
          <w:rtl/>
        </w:rPr>
      </w:pPr>
    </w:p>
    <w:p w:rsidR="00CB004C" w:rsidRPr="00C346F6" w:rsidRDefault="00CB004C" w:rsidP="00CB004C">
      <w:pPr>
        <w:pStyle w:val="Ruller5"/>
        <w:rPr>
          <w:rtl/>
        </w:rPr>
      </w:pPr>
      <w:r w:rsidRPr="00C346F6">
        <w:rPr>
          <w:rFonts w:hint="cs"/>
          <w:rtl/>
        </w:rPr>
        <w:t xml:space="preserve">"העולה מהמקובץ הוא שהפסדים כאלה </w:t>
      </w:r>
      <w:r w:rsidRPr="00C346F6">
        <w:rPr>
          <w:rFonts w:ascii="Century" w:hAnsi="Century" w:cs="Miriam" w:hint="cs"/>
          <w:b/>
          <w:spacing w:val="0"/>
          <w:szCs w:val="24"/>
          <w:rtl/>
        </w:rPr>
        <w:t>עשויים</w:t>
      </w:r>
      <w:r w:rsidRPr="00C346F6">
        <w:rPr>
          <w:rFonts w:hint="cs"/>
          <w:rtl/>
        </w:rPr>
        <w:t xml:space="preserve"> להיות מותרים, כאשר שליחים ומשמשים זוטרים שלחו ידם בכספים </w:t>
      </w:r>
      <w:proofErr w:type="spellStart"/>
      <w:r w:rsidRPr="00C346F6">
        <w:rPr>
          <w:rFonts w:hint="cs"/>
          <w:rtl/>
        </w:rPr>
        <w:t>שנצטוו</w:t>
      </w:r>
      <w:proofErr w:type="spellEnd"/>
      <w:r w:rsidRPr="00C346F6">
        <w:rPr>
          <w:rFonts w:hint="cs"/>
          <w:rtl/>
        </w:rPr>
        <w:t xml:space="preserve"> לגבות מלקוחות. אך הטעם להתרת ההוצאה הוא, בכל המקרים, שצורה זו של גביית כספים מלקוחות והסכנה הכרוכה בכך שפה ושם ישלח שליח כזה את ידו בכספי שולחו, הן תופעות רגילות </w:t>
      </w:r>
      <w:proofErr w:type="spellStart"/>
      <w:r w:rsidRPr="00C346F6">
        <w:rPr>
          <w:rFonts w:hint="cs"/>
          <w:rtl/>
        </w:rPr>
        <w:t>ואפייניות</w:t>
      </w:r>
      <w:proofErr w:type="spellEnd"/>
      <w:r w:rsidRPr="00C346F6">
        <w:rPr>
          <w:rFonts w:hint="cs"/>
          <w:rtl/>
        </w:rPr>
        <w:t xml:space="preserve"> של המסחר. בנוהג שבעולם הוא שברוב עסקי מסחר המנוהלים בצורה כזאת קורים הפסדים מסוג זה, ולכן זוקפים אותם לחשבון הריווח וההפסד" (שם בעמ' 95, ההדגשה במקור).</w:t>
      </w:r>
    </w:p>
    <w:p w:rsidR="00CB004C" w:rsidRPr="005D6209" w:rsidRDefault="00CB004C" w:rsidP="00CB004C">
      <w:pPr>
        <w:pStyle w:val="Ruller41"/>
        <w:rPr>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לעומת זאת, כאשר אין מדובר בגניבה או מעילה </w:t>
      </w:r>
      <w:r w:rsidRPr="00C346F6">
        <w:rPr>
          <w:rFonts w:ascii="Century" w:hAnsi="Century" w:cs="Miriam" w:hint="cs"/>
          <w:b/>
          <w:spacing w:val="0"/>
          <w:szCs w:val="24"/>
          <w:rtl/>
        </w:rPr>
        <w:t>מקרית</w:t>
      </w:r>
      <w:r w:rsidRPr="00C346F6">
        <w:rPr>
          <w:rFonts w:ascii="Century" w:hAnsi="Century" w:hint="cs"/>
          <w:rtl/>
        </w:rPr>
        <w:t xml:space="preserve"> המבוצעות על ידי </w:t>
      </w:r>
      <w:r w:rsidRPr="00C346F6">
        <w:rPr>
          <w:rFonts w:ascii="Century" w:hAnsi="Century" w:cs="Miriam" w:hint="cs"/>
          <w:b/>
          <w:spacing w:val="0"/>
          <w:szCs w:val="24"/>
          <w:rtl/>
        </w:rPr>
        <w:t>פקיד זוטר</w:t>
      </w:r>
      <w:r w:rsidRPr="00C346F6">
        <w:rPr>
          <w:rFonts w:ascii="Century" w:hAnsi="Century" w:hint="cs"/>
          <w:rtl/>
        </w:rPr>
        <w:t xml:space="preserve"> של העסק, אלא על ידי שותף או עובד בכיר בעל סמכות ובעל שליטה על כספי </w:t>
      </w:r>
      <w:r w:rsidRPr="00C346F6">
        <w:rPr>
          <w:rFonts w:ascii="Century" w:hAnsi="Century" w:hint="cs"/>
          <w:rtl/>
        </w:rPr>
        <w:lastRenderedPageBreak/>
        <w:t xml:space="preserve">החברה, אזי אין בגניבה משום הוצאה שהוצאה בייצור הכנסה, באשר זיקתה לייצור ההכנסה רחוקה מדי ואין היא בבחינת סיכון מסחרי צפוי בניהול עסק רגיל, וממילא אין מקום להתיר את ניכויה (שם; ראו גם אצל </w:t>
      </w:r>
      <w:proofErr w:type="spellStart"/>
      <w:r w:rsidRPr="00C346F6">
        <w:rPr>
          <w:rFonts w:ascii="Century" w:hAnsi="Century" w:cs="Miriam" w:hint="cs"/>
          <w:b/>
          <w:spacing w:val="0"/>
          <w:szCs w:val="24"/>
          <w:rtl/>
        </w:rPr>
        <w:t>נמדר</w:t>
      </w:r>
      <w:proofErr w:type="spellEnd"/>
      <w:r w:rsidRPr="00C346F6">
        <w:rPr>
          <w:rFonts w:ascii="Century" w:hAnsi="Century" w:hint="cs"/>
          <w:rtl/>
        </w:rPr>
        <w:t xml:space="preserve">, עמ' 366; </w:t>
      </w:r>
      <w:r w:rsidRPr="00C346F6">
        <w:rPr>
          <w:rFonts w:ascii="Century" w:hAnsi="Century" w:cs="Miriam" w:hint="cs"/>
          <w:b/>
          <w:spacing w:val="0"/>
          <w:szCs w:val="24"/>
          <w:rtl/>
        </w:rPr>
        <w:t>רפאל</w:t>
      </w:r>
      <w:r w:rsidRPr="00C346F6">
        <w:rPr>
          <w:rFonts w:ascii="Century" w:hAnsi="Century" w:hint="cs"/>
          <w:rtl/>
        </w:rPr>
        <w:t>, עמ' 634-633).</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36.</w:t>
      </w:r>
      <w:r w:rsidRPr="00C346F6">
        <w:rPr>
          <w:rFonts w:ascii="Century" w:hAnsi="Century" w:hint="cs"/>
          <w:rtl/>
        </w:rPr>
        <w:tab/>
        <w:t>עיון בפסקי דין אלו מעלה כי רב השונה על הדומה בין סוגי המקרים שבהם הוחל ויושם 'מבחן הסיכון', לבין הפרשה שלפנינו והניסיון להכיר בסכום החילוט כהוצאה המותרת בניכוי.</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בראש ובראשונה, כפי שהוסבר לגבי מצבים של גניבה ומעילה בידי עובד, ההכרה בסכומים שנגנבו כהוצאה המותרת בניכוי בשל היות הגניבה סיכון מסיכוניו השוטפים של העסק, עומדת בתוקפה כאשר מדובר בגניבה שהיא מקרית, אינצידנטלית לניהול העסק, וכאשר קיימת זיקה בינה לבין ייצור ההכנסה (מכאן ההבחנה המקובלת בין מעילה המבוצעת על ידי פקיד זוטר </w:t>
      </w:r>
      <w:proofErr w:type="spellStart"/>
      <w:r w:rsidRPr="00C346F6">
        <w:rPr>
          <w:rFonts w:ascii="Century" w:hAnsi="Century" w:hint="cs"/>
          <w:rtl/>
        </w:rPr>
        <w:t>לכזו</w:t>
      </w:r>
      <w:proofErr w:type="spellEnd"/>
      <w:r w:rsidRPr="00C346F6">
        <w:rPr>
          <w:rFonts w:ascii="Century" w:hAnsi="Century" w:hint="cs"/>
          <w:rtl/>
        </w:rPr>
        <w:t xml:space="preserve"> המבוצעת על ידי מנהל או שותף). לעומת זאת, החילוט במקרה שלפנינו אינו משקף בשום צורה ואופן התממשות סיכון שהוא משני, אינצידנטלי, מקרי, שעלול להתממש "פה ושם" בהיותו "תופעה רגילה ואופיינית של המסחר" המתרחשת לעתים על ידי "שליחים ומשמשים זוטרים" במהלך ניהול העסק וכחלק מהליך הפקת ההכנסה (כלשון השופט </w:t>
      </w:r>
      <w:r w:rsidRPr="00C346F6">
        <w:rPr>
          <w:rFonts w:ascii="Century" w:hAnsi="Century" w:cs="Miriam" w:hint="cs"/>
          <w:b/>
          <w:spacing w:val="0"/>
          <w:szCs w:val="24"/>
          <w:rtl/>
        </w:rPr>
        <w:t>ויתקון</w:t>
      </w:r>
      <w:r w:rsidRPr="00C346F6">
        <w:rPr>
          <w:rFonts w:ascii="Century" w:hAnsi="Century" w:hint="cs"/>
          <w:rtl/>
        </w:rPr>
        <w:t xml:space="preserve"> בעניין </w:t>
      </w:r>
      <w:proofErr w:type="spellStart"/>
      <w:r w:rsidRPr="00C346F6">
        <w:rPr>
          <w:rFonts w:ascii="Century" w:hAnsi="Century" w:cs="Miriam" w:hint="cs"/>
          <w:b/>
          <w:spacing w:val="0"/>
          <w:szCs w:val="24"/>
          <w:rtl/>
        </w:rPr>
        <w:t>פינסקר</w:t>
      </w:r>
      <w:proofErr w:type="spellEnd"/>
      <w:r w:rsidRPr="00C346F6">
        <w:rPr>
          <w:rFonts w:ascii="Century" w:hAnsi="Century" w:cs="Miriam" w:hint="cs"/>
          <w:b/>
          <w:spacing w:val="0"/>
          <w:szCs w:val="24"/>
          <w:rtl/>
        </w:rPr>
        <w:t xml:space="preserve"> 42</w:t>
      </w:r>
      <w:r w:rsidRPr="00C346F6">
        <w:rPr>
          <w:rFonts w:ascii="Century" w:hAnsi="Century" w:hint="cs"/>
          <w:rtl/>
        </w:rPr>
        <w:t xml:space="preserve"> לעיל). מצב הדברים במקרה שלפנינו הוא הפוך מיסודו. מדובר בעסקי הימורים בלתי חוקיים שהמבקש-הנישום ארגן וניהל; ה"סיכון" לחילוט מלוא פירות העבירה (וכל האמצעים ששימשו לביצוע העבירה) הוא אינהרנטי לעצם קיום העסק, בהיותו עסק עברייני; ולא זו בלבד שאין מדובר בסיכון שעלול להתממש "פה ושם" במסגרת הליך הפקת ההכנסה ובזיקה לייצור ההכנסה, אלא מדובר בסיכון שהתממשותו מותנית ב"תפיסת" העבריין ובחיסול העסק (הבלתי חוקי) ובקטיעת שרשרשת ייצור ההכנסה (הבלתי חוקית). ובקיצור, לא ניתן להקיש בין מצב שבו קופאי בסופרמרקט גונב באקראי סכום מסוים מהקופה הרושמת (שאז הגניבה מותרת בניכוי כהוצאה על ידי בעל העסק), לבין מצב שבו נישום מקים מלכתחילה עסק עברייני ואז מבקש לנכות כהוצאה את מלוא הכנסותיו שחולטו לאחר "חיסול" העסק. אין המצב האחד דומה למשנהו.</w:t>
      </w:r>
    </w:p>
    <w:p w:rsidR="00CB004C" w:rsidRPr="00C346F6" w:rsidRDefault="00CB004C" w:rsidP="00CB004C">
      <w:pPr>
        <w:pStyle w:val="Ruller41"/>
        <w:rPr>
          <w:rFonts w:ascii="Century" w:hAnsi="Century"/>
          <w:rtl/>
        </w:rPr>
      </w:pPr>
    </w:p>
    <w:p w:rsidR="00CB004C" w:rsidRPr="00C346F6" w:rsidRDefault="00CB004C" w:rsidP="003B392E">
      <w:pPr>
        <w:pStyle w:val="Ruller41"/>
        <w:rPr>
          <w:rFonts w:ascii="Century" w:hAnsi="Century"/>
          <w:rtl/>
        </w:rPr>
      </w:pPr>
      <w:r w:rsidRPr="00C346F6">
        <w:rPr>
          <w:rFonts w:ascii="Century" w:hAnsi="Century" w:hint="cs"/>
          <w:rtl/>
        </w:rPr>
        <w:t>37.</w:t>
      </w:r>
      <w:r w:rsidRPr="00C346F6">
        <w:rPr>
          <w:rFonts w:ascii="Century" w:hAnsi="Century" w:hint="cs"/>
          <w:rtl/>
        </w:rPr>
        <w:tab/>
        <w:t xml:space="preserve">הניסיון להיבנות מהמצב שנדון בעניין </w:t>
      </w:r>
      <w:r w:rsidRPr="00C346F6">
        <w:rPr>
          <w:rFonts w:ascii="Century" w:hAnsi="Century" w:cs="Miriam" w:hint="cs"/>
          <w:b/>
          <w:spacing w:val="0"/>
          <w:szCs w:val="24"/>
          <w:rtl/>
        </w:rPr>
        <w:t xml:space="preserve">בן שחר זרעים </w:t>
      </w:r>
      <w:r w:rsidRPr="00C346F6">
        <w:rPr>
          <w:rFonts w:ascii="Century" w:hAnsi="Century" w:hint="cs"/>
          <w:rtl/>
        </w:rPr>
        <w:t xml:space="preserve">אף הוא דינו להיכשל. כפי שתואר לעיל, החלת מבחן הסיכון באותה פרשה ביחס לנזקים שנגרמו בעקבות הדליקה שפרצה במחסן המלאי העסקי, נעשתה לאחר שנשללה האפשרות כי מקור הדליקה היה הצתה, ובהתבסס על קביעה כי הדליקה פרצה מאליה עקב התלקחות עצמית. אך מובן, שאילו מדובר היה במקרה שבו בעל העסק הצית בעצמו את המלאי, לא ניתן היה להכיר בהוצאות שנגרמו בשל הדליקה כהתממשות של סיכון מסיכוני העסק. דוגמה ברוח זו </w:t>
      </w:r>
      <w:r w:rsidRPr="00C346F6">
        <w:rPr>
          <w:rFonts w:ascii="Century" w:hAnsi="Century" w:hint="cs"/>
          <w:rtl/>
        </w:rPr>
        <w:lastRenderedPageBreak/>
        <w:t xml:space="preserve">הובאה על ידי כב' השופט </w:t>
      </w:r>
      <w:r w:rsidR="003B392E">
        <w:rPr>
          <w:rFonts w:ascii="Century" w:hAnsi="Century" w:cs="Miriam" w:hint="cs"/>
          <w:b/>
          <w:spacing w:val="0"/>
          <w:szCs w:val="24"/>
          <w:rtl/>
        </w:rPr>
        <w:t>ש' אשר</w:t>
      </w:r>
      <w:r w:rsidRPr="00C346F6">
        <w:rPr>
          <w:rFonts w:ascii="Century" w:hAnsi="Century" w:hint="cs"/>
          <w:rtl/>
        </w:rPr>
        <w:t xml:space="preserve"> </w:t>
      </w:r>
      <w:proofErr w:type="spellStart"/>
      <w:r w:rsidRPr="00C346F6">
        <w:rPr>
          <w:rFonts w:ascii="Century" w:hAnsi="Century" w:hint="cs"/>
          <w:rtl/>
        </w:rPr>
        <w:t>בעמ"ה</w:t>
      </w:r>
      <w:proofErr w:type="spellEnd"/>
      <w:r w:rsidRPr="00C346F6">
        <w:rPr>
          <w:rFonts w:ascii="Century" w:hAnsi="Century" w:hint="cs"/>
          <w:rtl/>
        </w:rPr>
        <w:t xml:space="preserve"> (ת"א) 664/73 </w:t>
      </w:r>
      <w:r w:rsidRPr="00C346F6">
        <w:rPr>
          <w:rFonts w:ascii="Century" w:hAnsi="Century" w:cs="Miriam" w:hint="cs"/>
          <w:b/>
          <w:spacing w:val="0"/>
          <w:szCs w:val="24"/>
          <w:rtl/>
        </w:rPr>
        <w:t>"פרדס" בע"מ נ' פקיד השומה למפעלים גדולים</w:t>
      </w:r>
      <w:r w:rsidRPr="00C346F6">
        <w:rPr>
          <w:rFonts w:ascii="Century" w:hAnsi="Century" w:hint="cs"/>
          <w:rtl/>
        </w:rPr>
        <w:t xml:space="preserve">, </w:t>
      </w:r>
      <w:proofErr w:type="spellStart"/>
      <w:r w:rsidRPr="00C346F6">
        <w:rPr>
          <w:rFonts w:ascii="Century" w:hAnsi="Century" w:hint="cs"/>
          <w:rtl/>
        </w:rPr>
        <w:t>פד"א</w:t>
      </w:r>
      <w:proofErr w:type="spellEnd"/>
      <w:r w:rsidRPr="00C346F6">
        <w:rPr>
          <w:rFonts w:ascii="Century" w:hAnsi="Century" w:hint="cs"/>
          <w:rtl/>
        </w:rPr>
        <w:t xml:space="preserve"> ז 217 (1975) (להלן: עניין </w:t>
      </w:r>
      <w:r w:rsidRPr="00C346F6">
        <w:rPr>
          <w:rFonts w:ascii="Century" w:hAnsi="Century" w:cs="Miriam" w:hint="cs"/>
          <w:b/>
          <w:spacing w:val="0"/>
          <w:szCs w:val="24"/>
          <w:rtl/>
        </w:rPr>
        <w:t>פרדס</w:t>
      </w:r>
      <w:r w:rsidRPr="00C346F6">
        <w:rPr>
          <w:rFonts w:ascii="Century" w:hAnsi="Century" w:hint="cs"/>
          <w:rtl/>
        </w:rPr>
        <w:t>), ונביאה כלשונה:</w:t>
      </w:r>
      <w:r w:rsidRPr="00C346F6">
        <w:rPr>
          <w:rFonts w:ascii="Century" w:hAnsi="Century"/>
          <w:rtl/>
        </w:rPr>
        <w:t xml:space="preserve"> </w:t>
      </w:r>
    </w:p>
    <w:p w:rsidR="00CB004C" w:rsidRPr="00C346F6" w:rsidRDefault="00CB004C" w:rsidP="00CB004C">
      <w:pPr>
        <w:pStyle w:val="Ruller41"/>
        <w:rPr>
          <w:rFonts w:ascii="Century" w:hAnsi="Century"/>
          <w:rtl/>
        </w:rPr>
      </w:pPr>
    </w:p>
    <w:p w:rsidR="00CB004C" w:rsidRPr="00C346F6" w:rsidRDefault="00CB004C" w:rsidP="00CB004C">
      <w:pPr>
        <w:pStyle w:val="Ruller5"/>
        <w:rPr>
          <w:rtl/>
        </w:rPr>
      </w:pPr>
      <w:r w:rsidRPr="00C346F6">
        <w:rPr>
          <w:rFonts w:hint="cs"/>
          <w:rtl/>
        </w:rPr>
        <w:t>"אין טעם להרחיב את עקרון 'השמירה על הקיים' מעבר לגבולותיה הטבעיים של פעולה עסקית. האם עלינו לגרוס שאדם אשר הצית מרצון את עסקו אח"כ חזר בו והזעיק את מכבי האש, זכאי לראות בהוצאות כיבו</w:t>
      </w:r>
      <w:r w:rsidR="00452F46">
        <w:rPr>
          <w:rFonts w:hint="cs"/>
          <w:rtl/>
        </w:rPr>
        <w:t>י</w:t>
      </w:r>
      <w:r w:rsidRPr="00C346F6">
        <w:rPr>
          <w:rFonts w:hint="cs"/>
          <w:rtl/>
        </w:rPr>
        <w:t xml:space="preserve"> השריפה 'הוצאות שהוצאו כולן בייצור הכנסתו'? האם גם אז נאמר שהוא רק שמר על הרכוש המשמש לו לניהול עסקיו?" (שם, עמ' 222). </w:t>
      </w:r>
    </w:p>
    <w:p w:rsidR="00CB004C" w:rsidRPr="00C346F6" w:rsidRDefault="00CB004C" w:rsidP="005C14FC">
      <w:pPr>
        <w:pStyle w:val="Ruller41"/>
        <w:rPr>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אכן, לכך כיוון השופט </w:t>
      </w:r>
      <w:r w:rsidRPr="00C346F6">
        <w:rPr>
          <w:rFonts w:ascii="Century" w:hAnsi="Century" w:cs="Miriam" w:hint="cs"/>
          <w:b/>
          <w:spacing w:val="0"/>
          <w:szCs w:val="24"/>
          <w:rtl/>
        </w:rPr>
        <w:t>קרא</w:t>
      </w:r>
      <w:r w:rsidRPr="00C346F6">
        <w:rPr>
          <w:rFonts w:ascii="Century" w:hAnsi="Century" w:hint="cs"/>
          <w:rtl/>
        </w:rPr>
        <w:t xml:space="preserve"> בקבעו כי הכרה בהוצאה כמותרת בניכוי מכוח 'מבחן הסיכון', מותנית בכך שהתממשות הסיכון לא היתה פרי פעולה אקטיבית של הנישום (פסקאות 33-32 לפסק דינו, בצטטו בין היתר מפסק הדין הנ"ל בעניין </w:t>
      </w:r>
      <w:r w:rsidRPr="00C346F6">
        <w:rPr>
          <w:rFonts w:ascii="Century" w:hAnsi="Century" w:cs="Miriam" w:hint="cs"/>
          <w:b/>
          <w:spacing w:val="0"/>
          <w:szCs w:val="24"/>
          <w:rtl/>
        </w:rPr>
        <w:t>פרדס</w:t>
      </w:r>
      <w:r w:rsidRPr="00C346F6">
        <w:rPr>
          <w:rFonts w:ascii="Century" w:hAnsi="Century" w:hint="cs"/>
          <w:rtl/>
        </w:rPr>
        <w:t xml:space="preserve">). בהשלכה לסוגיה שלפנינו, משעה שמדובר בנישום שמלכתחילה ניהל וארגן עסק עברייני שככלל דין פירותיו להיות מחולטים, אזי לא ניתן לראות בחילוט הפירות משום הוצאה </w:t>
      </w:r>
      <w:proofErr w:type="spellStart"/>
      <w:r w:rsidRPr="00C346F6">
        <w:rPr>
          <w:rFonts w:ascii="Century" w:hAnsi="Century" w:hint="cs"/>
          <w:rtl/>
        </w:rPr>
        <w:t>שה</w:t>
      </w:r>
      <w:r w:rsidRPr="00C346F6">
        <w:rPr>
          <w:rFonts w:ascii="FrankRuehl" w:hAnsi="FrankRuehl"/>
          <w:rtl/>
        </w:rPr>
        <w:t>וּ</w:t>
      </w:r>
      <w:r w:rsidRPr="00C346F6">
        <w:rPr>
          <w:rFonts w:ascii="Century" w:hAnsi="Century" w:hint="cs"/>
          <w:rtl/>
        </w:rPr>
        <w:t>צאה</w:t>
      </w:r>
      <w:proofErr w:type="spellEnd"/>
      <w:r w:rsidRPr="00C346F6">
        <w:rPr>
          <w:rFonts w:ascii="Century" w:hAnsi="Century" w:hint="cs"/>
          <w:rtl/>
        </w:rPr>
        <w:t xml:space="preserve"> בייצור הכנסה, משל מדובר בהתממשות סיכון "שוטף" הנלווה לפעילות יוצרת הכנסה (כמו החזקת מלאי עסקי) שהתממש במהלך ניהול העסקים הרגיל של העסק.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Pr>
      </w:pPr>
      <w:r w:rsidRPr="00C346F6">
        <w:rPr>
          <w:rFonts w:ascii="Century" w:hAnsi="Century" w:hint="cs"/>
          <w:rtl/>
        </w:rPr>
        <w:t>38.</w:t>
      </w:r>
      <w:r w:rsidRPr="00C346F6">
        <w:rPr>
          <w:rFonts w:ascii="Century" w:hAnsi="Century"/>
          <w:rtl/>
        </w:rPr>
        <w:tab/>
      </w:r>
      <w:r w:rsidRPr="00C346F6">
        <w:rPr>
          <w:rFonts w:ascii="Century" w:hAnsi="Century" w:hint="cs"/>
          <w:rtl/>
        </w:rPr>
        <w:t xml:space="preserve">זאת ועוד. יישום מבחן הסיכון כאשר מדובר בעסק בלתי חוקי עשוי להוביל לתוצאות אבסורדיות. טול דוגמה בעלת קווי דמיון לזו שנדונה בעניין </w:t>
      </w:r>
      <w:r w:rsidRPr="00C346F6">
        <w:rPr>
          <w:rFonts w:ascii="Century" w:hAnsi="Century" w:cs="Miriam" w:hint="cs"/>
          <w:b/>
          <w:spacing w:val="0"/>
          <w:szCs w:val="24"/>
          <w:rtl/>
        </w:rPr>
        <w:t>בן שחר זרעים</w:t>
      </w:r>
      <w:r w:rsidRPr="00C346F6">
        <w:rPr>
          <w:rFonts w:ascii="Century" w:hAnsi="Century" w:hint="cs"/>
          <w:rtl/>
        </w:rPr>
        <w:t>: ראובן עוסק בסחר בלתי חוקי של אמצעי לחימה והחזקתם עבור ארגוני פשיעה, והתלקחות שאירעה במחסן חומרי הנפץ גרמה לדליקה שהסבה נזק למחסנים סמוכים. קשה להלום כי ההוצאות שבהן נשא ראובן בגין נזקי הדליקה תוכרנה כהוצאות בייצור הכנסה המותרות בניכוי, הגם שכביכול מדובר ב"מלאי עסקי" דליק שהתלקח במסגרת הסיכונים "הרגילים" של העסק. ואם זה דינן של הוצאות הקשורות להחזקת "מלאי עסקי" שהוצאו במהלך ניהול העסקים הרגיל של העסק, על אחת כמה וכמה שזה דינן של הוצאות חילוט שהושת בגזר דין פלילי לאחר חיסול העסק הבלתי חוקי.</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ומזווית נוספת: בעניין </w:t>
      </w:r>
      <w:r w:rsidRPr="00C346F6">
        <w:rPr>
          <w:rFonts w:ascii="Century" w:hAnsi="Century" w:cs="Miriam" w:hint="cs"/>
          <w:b/>
          <w:spacing w:val="0"/>
          <w:szCs w:val="24"/>
          <w:rtl/>
        </w:rPr>
        <w:t>בן שחר זרעים</w:t>
      </w:r>
      <w:r w:rsidRPr="00C346F6">
        <w:rPr>
          <w:rFonts w:ascii="Century" w:hAnsi="Century" w:hint="cs"/>
          <w:rtl/>
        </w:rPr>
        <w:t xml:space="preserve"> מדובר היה בנזק (התפשטות השריפה למחסנים סמוכים) שנגרם בעקבות התממשות סיכון פיזי-מעשי (התלקחות מלאי עסקי) שנלווה לפעילות עסקית הנושאת אופי </w:t>
      </w:r>
      <w:proofErr w:type="spellStart"/>
      <w:r w:rsidRPr="00C346F6">
        <w:rPr>
          <w:rFonts w:ascii="Century" w:hAnsi="Century" w:hint="cs"/>
          <w:rtl/>
        </w:rPr>
        <w:t>פירותי</w:t>
      </w:r>
      <w:proofErr w:type="spellEnd"/>
      <w:r w:rsidRPr="00C346F6">
        <w:rPr>
          <w:rFonts w:ascii="Century" w:hAnsi="Century" w:hint="cs"/>
          <w:rtl/>
        </w:rPr>
        <w:t xml:space="preserve"> (החזקת מלאי עסקי). לעומת זאת, במקרה שלפנינו "הנזק" (החילוט) נגרם בעקבות התממשות סיכון משפטי-פלילי (הרשעה בדין) שנלווה לפעילות עבריינית </w:t>
      </w:r>
      <w:proofErr w:type="spellStart"/>
      <w:r w:rsidRPr="00C346F6">
        <w:rPr>
          <w:rFonts w:ascii="Century" w:hAnsi="Century" w:hint="cs"/>
          <w:rtl/>
        </w:rPr>
        <w:t>שהיתה</w:t>
      </w:r>
      <w:proofErr w:type="spellEnd"/>
      <w:r w:rsidRPr="00C346F6">
        <w:rPr>
          <w:rFonts w:ascii="Century" w:hAnsi="Century" w:hint="cs"/>
          <w:rtl/>
        </w:rPr>
        <w:t xml:space="preserve"> אסורה מלכתחילה ושפירותיה אסורים (ניהול וארגון עסקי הימורים). כשלעצמי התקשיתי לקבל את הניסיון לערוך גזירה שווה בין השניים.</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lastRenderedPageBreak/>
        <w:t>39.</w:t>
      </w:r>
      <w:r w:rsidRPr="00C346F6">
        <w:rPr>
          <w:rFonts w:ascii="Century" w:hAnsi="Century" w:hint="cs"/>
          <w:rtl/>
        </w:rPr>
        <w:tab/>
        <w:t xml:space="preserve">קיצורו של דבר, שכל פעילות עבריינית טומנת בחובה סיכון "להיתפס", לעמוד לדין פלילי ולשאת במחיר הכרוך בכך. ואולם, קשה להלום כי סיכון זה ייכלל בגדרם של סוגי הסיכונים העסקיים-השוטפים ש"נזקיהם" מותרים בניכוי בהיותם הוצאה עסקית </w:t>
      </w:r>
      <w:proofErr w:type="spellStart"/>
      <w:r w:rsidRPr="00C346F6">
        <w:rPr>
          <w:rFonts w:ascii="Century" w:hAnsi="Century" w:hint="cs"/>
          <w:rtl/>
        </w:rPr>
        <w:t>פירותית</w:t>
      </w:r>
      <w:proofErr w:type="spellEnd"/>
      <w:r w:rsidRPr="00C346F6">
        <w:rPr>
          <w:rFonts w:ascii="Century" w:hAnsi="Century" w:hint="cs"/>
          <w:rtl/>
        </w:rPr>
        <w:t xml:space="preserve"> שהוצאה כביכול בייצור הכנסה. לא דומה סוחר סמים שהמלאי העסקי שלו חולט, לסוחר זרעים שהמלאי העסקי שלו ניזוק בדליקה תמימה; ולא דומה הוצאה שהוצאה במהלך העסקים הרגיל בעקבות התממשות סיכון עסקי הנלווה לפעילות העסקית השוטפת, לחילוט תקבולים בלתי חוקיים שהורתם בחטא ואסור היה להם לבוא לעולם מלכתחילה</w:t>
      </w:r>
      <w:r w:rsidRPr="00235506">
        <w:rPr>
          <w:rFonts w:ascii="Century" w:hAnsi="Century"/>
          <w:rtl/>
        </w:rPr>
        <w:t xml:space="preserve">, </w:t>
      </w:r>
      <w:r w:rsidRPr="00C346F6">
        <w:rPr>
          <w:rFonts w:ascii="Century" w:hAnsi="Century" w:hint="cs"/>
          <w:rtl/>
        </w:rPr>
        <w:t>שחולטו מכוח גזר דין פלילי לאחר הרשעת הנישום וחיסול עסקו. לטעמי הדברים פשוטים וברורים, שלא לומר מתחייבים.</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40.</w:t>
      </w:r>
      <w:r w:rsidRPr="00C346F6">
        <w:rPr>
          <w:rFonts w:ascii="Century" w:hAnsi="Century" w:hint="cs"/>
          <w:rtl/>
        </w:rPr>
        <w:tab/>
        <w:t xml:space="preserve">זאת ועוד. כפי שהוסבר לעיל, הוצאה תותר בניכוי אך ורק אם מדובר בהוצאה </w:t>
      </w:r>
      <w:r w:rsidRPr="00C346F6">
        <w:rPr>
          <w:rFonts w:ascii="Century" w:hAnsi="Century" w:cs="Miriam" w:hint="cs"/>
          <w:b/>
          <w:spacing w:val="0"/>
          <w:szCs w:val="24"/>
          <w:rtl/>
        </w:rPr>
        <w:t>עסקית</w:t>
      </w:r>
      <w:r w:rsidRPr="00C346F6">
        <w:rPr>
          <w:rFonts w:ascii="Century" w:hAnsi="Century" w:hint="cs"/>
          <w:rtl/>
        </w:rPr>
        <w:t xml:space="preserve"> </w:t>
      </w:r>
      <w:proofErr w:type="spellStart"/>
      <w:r w:rsidRPr="00C346F6">
        <w:rPr>
          <w:rFonts w:ascii="Century" w:hAnsi="Century" w:cs="Miriam" w:hint="cs"/>
          <w:b/>
          <w:spacing w:val="0"/>
          <w:szCs w:val="24"/>
          <w:rtl/>
        </w:rPr>
        <w:t>פירותית</w:t>
      </w:r>
      <w:proofErr w:type="spellEnd"/>
      <w:r w:rsidRPr="00C346F6">
        <w:rPr>
          <w:rFonts w:ascii="Century" w:hAnsi="Century" w:hint="cs"/>
          <w:rtl/>
        </w:rPr>
        <w:t xml:space="preserve"> (להבדיל מהוצאה </w:t>
      </w:r>
      <w:r w:rsidRPr="00C346F6">
        <w:rPr>
          <w:rFonts w:ascii="Century" w:hAnsi="Century" w:cs="Miriam" w:hint="cs"/>
          <w:b/>
          <w:spacing w:val="0"/>
          <w:szCs w:val="24"/>
          <w:rtl/>
        </w:rPr>
        <w:t>פרטית</w:t>
      </w:r>
      <w:r w:rsidRPr="00C346F6">
        <w:rPr>
          <w:rFonts w:ascii="Century" w:hAnsi="Century" w:hint="cs"/>
          <w:rtl/>
        </w:rPr>
        <w:t xml:space="preserve"> שניכוייה נאסר במפורש בסעיף 32(1) לפקודה ומהוצאה </w:t>
      </w:r>
      <w:r w:rsidRPr="00C346F6">
        <w:rPr>
          <w:rFonts w:ascii="Century" w:hAnsi="Century" w:cs="Miriam" w:hint="cs"/>
          <w:b/>
          <w:spacing w:val="0"/>
          <w:szCs w:val="24"/>
          <w:rtl/>
        </w:rPr>
        <w:t>הונית</w:t>
      </w:r>
      <w:r w:rsidRPr="00C346F6">
        <w:rPr>
          <w:rFonts w:ascii="Century" w:hAnsi="Century" w:hint="cs"/>
          <w:rtl/>
        </w:rPr>
        <w:t xml:space="preserve">). בע"א </w:t>
      </w:r>
      <w:r w:rsidRPr="00C346F6">
        <w:rPr>
          <w:rFonts w:ascii="Century" w:hAnsi="Century" w:cs="Miriam" w:hint="cs"/>
          <w:b/>
          <w:spacing w:val="0"/>
          <w:szCs w:val="24"/>
          <w:rtl/>
        </w:rPr>
        <w:t>דמארי</w:t>
      </w:r>
      <w:r w:rsidRPr="00C346F6">
        <w:rPr>
          <w:rFonts w:ascii="Century" w:hAnsi="Century" w:hint="cs"/>
          <w:rtl/>
        </w:rPr>
        <w:t xml:space="preserve">, השופט </w:t>
      </w:r>
      <w:r w:rsidRPr="00C346F6">
        <w:rPr>
          <w:rFonts w:ascii="Century" w:hAnsi="Century" w:cs="Miriam" w:hint="cs"/>
          <w:b/>
          <w:spacing w:val="0"/>
          <w:szCs w:val="24"/>
          <w:rtl/>
        </w:rPr>
        <w:t>רובינשטיין</w:t>
      </w:r>
      <w:r w:rsidRPr="00C346F6">
        <w:rPr>
          <w:rFonts w:ascii="Century" w:hAnsi="Century" w:hint="cs"/>
          <w:rtl/>
        </w:rPr>
        <w:t xml:space="preserve"> ציין כי "מקום שנקבע כי פעילות מסוימת תסווג כעסק או משלח יד ועל כן מהוה מקור </w:t>
      </w:r>
      <w:r w:rsidRPr="00C346F6">
        <w:rPr>
          <w:rFonts w:ascii="Century" w:hAnsi="Century" w:cs="Miriam" w:hint="cs"/>
          <w:b/>
          <w:spacing w:val="0"/>
          <w:szCs w:val="24"/>
          <w:rtl/>
        </w:rPr>
        <w:t>להכנסה</w:t>
      </w:r>
      <w:r w:rsidRPr="00C346F6">
        <w:rPr>
          <w:rFonts w:ascii="Century" w:hAnsi="Century" w:hint="cs"/>
          <w:rtl/>
        </w:rPr>
        <w:t xml:space="preserve"> החייבת במס, לא ניתן לשלול מראש </w:t>
      </w:r>
      <w:r w:rsidRPr="00C346F6">
        <w:rPr>
          <w:rFonts w:ascii="Century" w:hAnsi="Century" w:cs="Miriam" w:hint="cs"/>
          <w:b/>
          <w:spacing w:val="0"/>
          <w:szCs w:val="24"/>
          <w:rtl/>
        </w:rPr>
        <w:t>הוצאות</w:t>
      </w:r>
      <w:r w:rsidRPr="00C346F6">
        <w:rPr>
          <w:rFonts w:ascii="Century" w:hAnsi="Century" w:hint="cs"/>
          <w:rtl/>
        </w:rPr>
        <w:t xml:space="preserve"> שהוצאו במסגרת אותה פעילות בנימוק שאין מדובר בעסק" (שם בפסקה ק', ההדגשות הוספו </w:t>
      </w:r>
      <w:r w:rsidRPr="00C346F6">
        <w:rPr>
          <w:rFonts w:ascii="Century" w:hAnsi="Century"/>
          <w:rtl/>
        </w:rPr>
        <w:t>–</w:t>
      </w:r>
      <w:r w:rsidRPr="00C346F6">
        <w:rPr>
          <w:rFonts w:ascii="Century" w:hAnsi="Century" w:hint="cs"/>
          <w:rtl/>
        </w:rPr>
        <w:t xml:space="preserve"> </w:t>
      </w:r>
      <w:proofErr w:type="spellStart"/>
      <w:r w:rsidRPr="00C346F6">
        <w:rPr>
          <w:rFonts w:ascii="Century" w:hAnsi="Century" w:hint="cs"/>
          <w:rtl/>
        </w:rPr>
        <w:t>י"ע</w:t>
      </w:r>
      <w:proofErr w:type="spellEnd"/>
      <w:r w:rsidRPr="00C346F6">
        <w:rPr>
          <w:rFonts w:ascii="Century" w:hAnsi="Century" w:hint="cs"/>
          <w:rtl/>
        </w:rPr>
        <w:t xml:space="preserve">).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ייתכן כי על רקע אמירה זו, הצדדים שלפנינו נמנעו מלהידרש לשאלה אם הוצאות החילוט הן הוצאות עסקיות אם לאו. כשלעצמי, איני משוכנע כלל כי הסיווג האוטומטי-כביכול של הוצאות החילוט כהוצאות עסקיות הוא אמנם כה טריוויאלי. בעיניי, ייתכן שיש טעם לסבור כי הוצאות החילוט הן בגדר הוצאה </w:t>
      </w:r>
      <w:r w:rsidRPr="00C346F6">
        <w:rPr>
          <w:rFonts w:ascii="Century" w:hAnsi="Century" w:cs="Miriam" w:hint="cs"/>
          <w:b/>
          <w:spacing w:val="0"/>
          <w:szCs w:val="24"/>
          <w:rtl/>
        </w:rPr>
        <w:t>פרטית</w:t>
      </w:r>
      <w:r w:rsidRPr="00C346F6">
        <w:rPr>
          <w:rFonts w:ascii="Century" w:hAnsi="Century" w:hint="cs"/>
          <w:rtl/>
        </w:rPr>
        <w:t xml:space="preserve"> </w:t>
      </w:r>
      <w:proofErr w:type="spellStart"/>
      <w:r w:rsidRPr="00C346F6">
        <w:rPr>
          <w:rFonts w:ascii="Century" w:hAnsi="Century" w:hint="cs"/>
          <w:rtl/>
        </w:rPr>
        <w:t>שה</w:t>
      </w:r>
      <w:r w:rsidRPr="00C346F6">
        <w:rPr>
          <w:rFonts w:ascii="FrankRuehl" w:hAnsi="FrankRuehl"/>
          <w:rtl/>
        </w:rPr>
        <w:t>וּ</w:t>
      </w:r>
      <w:r w:rsidRPr="00C346F6">
        <w:rPr>
          <w:rFonts w:ascii="Century" w:hAnsi="Century" w:hint="cs"/>
          <w:rtl/>
        </w:rPr>
        <w:t>צאה</w:t>
      </w:r>
      <w:proofErr w:type="spellEnd"/>
      <w:r w:rsidRPr="00C346F6">
        <w:rPr>
          <w:rFonts w:ascii="Century" w:hAnsi="Century" w:hint="cs"/>
          <w:rtl/>
        </w:rPr>
        <w:t xml:space="preserve"> בעקבות הרשעתו של המבקש בפלילים בכובעו כאדם פרטי (ראו והשוו לדברי הנשיא </w:t>
      </w:r>
      <w:proofErr w:type="spellStart"/>
      <w:r w:rsidRPr="00C346F6">
        <w:rPr>
          <w:rFonts w:ascii="Century" w:hAnsi="Century" w:cs="Miriam" w:hint="cs"/>
          <w:b/>
          <w:spacing w:val="0"/>
          <w:szCs w:val="24"/>
          <w:rtl/>
        </w:rPr>
        <w:t>אולשן</w:t>
      </w:r>
      <w:proofErr w:type="spellEnd"/>
      <w:r w:rsidRPr="00C346F6">
        <w:rPr>
          <w:rFonts w:ascii="Century" w:hAnsi="Century" w:hint="cs"/>
          <w:rtl/>
        </w:rPr>
        <w:t xml:space="preserve"> בד"נ </w:t>
      </w:r>
      <w:r w:rsidRPr="00C346F6">
        <w:rPr>
          <w:rFonts w:ascii="Century" w:hAnsi="Century" w:cs="Miriam" w:hint="cs"/>
          <w:b/>
          <w:spacing w:val="0"/>
          <w:szCs w:val="24"/>
          <w:rtl/>
        </w:rPr>
        <w:t>אוצר לאשראי</w:t>
      </w:r>
      <w:r w:rsidRPr="00C346F6">
        <w:rPr>
          <w:rFonts w:ascii="Century" w:hAnsi="Century" w:hint="cs"/>
          <w:rtl/>
        </w:rPr>
        <w:t xml:space="preserve">, שעמד על כך שבאותו מקרה הקנס שולם "לא בתור בנקאים המנהלים עסקי בנקאות אלא בתור בנקאים שהפרו את החוק ובשל הפרת החוק", ולכן אין להתיר את ניכויו (שם בעמ' 543); ראו בדומה אצל </w:t>
      </w:r>
      <w:r w:rsidRPr="00C346F6">
        <w:rPr>
          <w:rFonts w:ascii="Century" w:hAnsi="Century" w:cs="Miriam" w:hint="cs"/>
          <w:b/>
          <w:spacing w:val="0"/>
          <w:szCs w:val="24"/>
          <w:rtl/>
        </w:rPr>
        <w:t>ויתקון ונאמן</w:t>
      </w:r>
      <w:r w:rsidRPr="00C346F6">
        <w:rPr>
          <w:rFonts w:ascii="Century" w:hAnsi="Century" w:hint="cs"/>
          <w:rtl/>
        </w:rPr>
        <w:t xml:space="preserve">, המציינים כי "יש להבדיל בין הנישום כמתפרנס וכיוצר הכנסה לבין הנישום כאזרח וכבן אדם סתם", ו"היא הנותנת שאין להביא בחשבון קנסות שהוטלו על הסוחר, שהרי אין זה חלק מניהול עסקו לבצע עבירות" (שם בעמ' 156); כן ראו אצל </w:t>
      </w:r>
      <w:proofErr w:type="spellStart"/>
      <w:r w:rsidRPr="00C346F6">
        <w:rPr>
          <w:rFonts w:ascii="Century" w:hAnsi="Century" w:cs="Miriam" w:hint="cs"/>
          <w:b/>
          <w:spacing w:val="0"/>
          <w:szCs w:val="24"/>
          <w:rtl/>
        </w:rPr>
        <w:t>אורצקי</w:t>
      </w:r>
      <w:proofErr w:type="spellEnd"/>
      <w:r w:rsidRPr="00C346F6">
        <w:rPr>
          <w:rFonts w:ascii="Century" w:hAnsi="Century" w:hint="cs"/>
          <w:rtl/>
        </w:rPr>
        <w:t xml:space="preserve"> בעמ' 105 לגבי תשלום קנסות).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יתרה מכך. גם לפי דברי השופט </w:t>
      </w:r>
      <w:r w:rsidRPr="00C346F6">
        <w:rPr>
          <w:rFonts w:ascii="Century" w:hAnsi="Century" w:cs="Miriam" w:hint="cs"/>
          <w:b/>
          <w:spacing w:val="0"/>
          <w:szCs w:val="24"/>
          <w:rtl/>
        </w:rPr>
        <w:t>רובינשטיין</w:t>
      </w:r>
      <w:r w:rsidRPr="00C346F6">
        <w:rPr>
          <w:rFonts w:ascii="Century" w:hAnsi="Century" w:hint="cs"/>
          <w:rtl/>
        </w:rPr>
        <w:t xml:space="preserve"> שהובאו לעיל, ההוצאות שיש להכיר בהן כעסקיות הן הוצאות "</w:t>
      </w:r>
      <w:r w:rsidRPr="00C346F6">
        <w:rPr>
          <w:rFonts w:ascii="Century" w:hAnsi="Century" w:cs="Miriam" w:hint="cs"/>
          <w:b/>
          <w:spacing w:val="0"/>
          <w:szCs w:val="24"/>
          <w:rtl/>
        </w:rPr>
        <w:t>שהוצאו במסגרת אותה פעילות</w:t>
      </w:r>
      <w:r w:rsidRPr="00C346F6">
        <w:rPr>
          <w:rFonts w:ascii="Century" w:hAnsi="Century" w:hint="cs"/>
          <w:rtl/>
        </w:rPr>
        <w:t xml:space="preserve">" </w:t>
      </w:r>
      <w:proofErr w:type="spellStart"/>
      <w:r w:rsidRPr="00C346F6">
        <w:rPr>
          <w:rFonts w:ascii="Century" w:hAnsi="Century" w:hint="cs"/>
          <w:rtl/>
        </w:rPr>
        <w:t>שס</w:t>
      </w:r>
      <w:r w:rsidRPr="00C346F6">
        <w:rPr>
          <w:rFonts w:ascii="FrankRuehl" w:hAnsi="FrankRuehl"/>
          <w:rtl/>
        </w:rPr>
        <w:t>וּ</w:t>
      </w:r>
      <w:r w:rsidRPr="00C346F6">
        <w:rPr>
          <w:rFonts w:ascii="Century" w:hAnsi="Century" w:hint="cs"/>
          <w:rtl/>
        </w:rPr>
        <w:t>וגה</w:t>
      </w:r>
      <w:proofErr w:type="spellEnd"/>
      <w:r w:rsidRPr="00C346F6">
        <w:rPr>
          <w:rFonts w:ascii="Century" w:hAnsi="Century" w:hint="cs"/>
          <w:rtl/>
        </w:rPr>
        <w:t xml:space="preserve"> כעסק. בהינתן שחילוט הוא "הוצאה" שהושתה בתום הליך פלילי במסגרת גזר דין זמן מה לאחר חיסולו של העסק, מסופקני אם יש להשקיף על הסכומים שחולטו כהוצאה שהוצאה "במסגרת הפעילות העסקית" של עסקי ההימורים שניהל המבקש, ועמדנו על הדברים לעיל. דברים </w:t>
      </w:r>
      <w:r w:rsidRPr="00C346F6">
        <w:rPr>
          <w:rFonts w:ascii="Century" w:hAnsi="Century" w:hint="cs"/>
          <w:rtl/>
        </w:rPr>
        <w:lastRenderedPageBreak/>
        <w:t xml:space="preserve">אלו מתקשרים להבחנה בין הון לפירות, ובפרט להבחנה בין הוצאות שהוצאו במהלך פעילותו של העסק (המותרות בניכוי), להוצאות טרום-עסקיות או כאלה שהוצאו בעת חיסולו </w:t>
      </w:r>
      <w:r w:rsidRPr="00C346F6">
        <w:rPr>
          <w:rFonts w:ascii="Century" w:hAnsi="Century"/>
          <w:rtl/>
        </w:rPr>
        <w:t>–</w:t>
      </w:r>
      <w:r w:rsidRPr="00C346F6">
        <w:rPr>
          <w:rFonts w:ascii="Century" w:hAnsi="Century" w:hint="cs"/>
          <w:rtl/>
        </w:rPr>
        <w:t xml:space="preserve"> שככלל תיחשבנה להוצאות </w:t>
      </w:r>
      <w:r w:rsidRPr="00C346F6">
        <w:rPr>
          <w:rFonts w:ascii="Century" w:hAnsi="Century" w:cs="Miriam" w:hint="cs"/>
          <w:b/>
          <w:spacing w:val="0"/>
          <w:szCs w:val="24"/>
          <w:rtl/>
        </w:rPr>
        <w:t>הוניות</w:t>
      </w:r>
      <w:r w:rsidRPr="00C346F6">
        <w:rPr>
          <w:rFonts w:ascii="Century" w:hAnsi="Century" w:hint="cs"/>
          <w:rtl/>
        </w:rPr>
        <w:t xml:space="preserve"> האסורות בניכוי (</w:t>
      </w:r>
      <w:proofErr w:type="spellStart"/>
      <w:r w:rsidRPr="00C346F6">
        <w:rPr>
          <w:rFonts w:ascii="Century" w:hAnsi="Century" w:cs="Miriam" w:hint="cs"/>
          <w:b/>
          <w:spacing w:val="0"/>
          <w:szCs w:val="24"/>
          <w:rtl/>
        </w:rPr>
        <w:t>נמדר</w:t>
      </w:r>
      <w:proofErr w:type="spellEnd"/>
      <w:r w:rsidRPr="00C346F6">
        <w:rPr>
          <w:rFonts w:ascii="Century" w:hAnsi="Century" w:hint="cs"/>
          <w:rtl/>
        </w:rPr>
        <w:t xml:space="preserve"> בעמ' 303; כן ראו הערת השופט </w:t>
      </w:r>
      <w:r w:rsidRPr="00C346F6">
        <w:rPr>
          <w:rFonts w:ascii="Century" w:hAnsi="Century" w:cs="Miriam" w:hint="cs"/>
          <w:b/>
          <w:spacing w:val="0"/>
          <w:szCs w:val="24"/>
          <w:rtl/>
        </w:rPr>
        <w:t>הנדל</w:t>
      </w:r>
      <w:r w:rsidRPr="00C346F6">
        <w:rPr>
          <w:rFonts w:ascii="Century" w:hAnsi="Century" w:hint="cs"/>
          <w:rtl/>
        </w:rPr>
        <w:t xml:space="preserve"> בע"א </w:t>
      </w:r>
      <w:r w:rsidRPr="00C346F6">
        <w:rPr>
          <w:rFonts w:ascii="Century" w:hAnsi="Century" w:cs="Miriam" w:hint="cs"/>
          <w:b/>
          <w:spacing w:val="0"/>
          <w:szCs w:val="24"/>
          <w:rtl/>
        </w:rPr>
        <w:t>דמארי</w:t>
      </w:r>
      <w:r w:rsidRPr="00C346F6">
        <w:rPr>
          <w:rFonts w:ascii="Century" w:hAnsi="Century" w:hint="cs"/>
          <w:rtl/>
        </w:rPr>
        <w:t>, פסקה 15).</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דומה אפוא כי משוכה זו המבחינה בין הוצאות עסקיות להוצאות פרטיות, עשויה אף היא לעמוד למבקש לרועץ, שהרי אילו </w:t>
      </w:r>
      <w:proofErr w:type="spellStart"/>
      <w:r w:rsidRPr="00C346F6">
        <w:rPr>
          <w:rFonts w:ascii="Century" w:hAnsi="Century" w:hint="cs"/>
          <w:rtl/>
        </w:rPr>
        <w:t>ס</w:t>
      </w:r>
      <w:r w:rsidRPr="00C346F6">
        <w:rPr>
          <w:rFonts w:ascii="FrankRuehl" w:hAnsi="FrankRuehl"/>
          <w:rtl/>
        </w:rPr>
        <w:t>וּ</w:t>
      </w:r>
      <w:r w:rsidRPr="00C346F6">
        <w:rPr>
          <w:rFonts w:ascii="Century" w:hAnsi="Century" w:hint="cs"/>
          <w:rtl/>
        </w:rPr>
        <w:t>וגו</w:t>
      </w:r>
      <w:proofErr w:type="spellEnd"/>
      <w:r w:rsidRPr="00C346F6">
        <w:rPr>
          <w:rFonts w:ascii="Century" w:hAnsi="Century" w:hint="cs"/>
          <w:rtl/>
        </w:rPr>
        <w:t xml:space="preserve"> סכומי החילוט כהוצאה פרטית, די בכך כדי לחרוץ את גורלם לשבט ולאסור על ניכויים כהוצאה. עם זאת, משעה שהבחנה זו בין הוצאות עסקיות לפרטיות (כמו גם ההבחנה בין הון לפירות ביחס להוצאות החילוט) לא לובנה בפסק הדין מושא הדיון הנוסף ולא נטענה על ידי הצדדים בדיון שלפנינו, לא אקבע לגביה מסמרות ואותירה </w:t>
      </w:r>
      <w:proofErr w:type="spellStart"/>
      <w:r w:rsidRPr="00C346F6">
        <w:rPr>
          <w:rFonts w:ascii="Century" w:hAnsi="Century" w:hint="cs"/>
          <w:rtl/>
        </w:rPr>
        <w:t>בצריך</w:t>
      </w:r>
      <w:proofErr w:type="spellEnd"/>
      <w:r w:rsidRPr="00C346F6">
        <w:rPr>
          <w:rFonts w:ascii="Century" w:hAnsi="Century" w:hint="cs"/>
          <w:rtl/>
        </w:rPr>
        <w:t xml:space="preserve"> עיון.</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cs="Miriam" w:hint="cs"/>
          <w:b/>
          <w:spacing w:val="0"/>
          <w:szCs w:val="24"/>
          <w:rtl/>
        </w:rPr>
        <w:t>ניכוי תשלומים בעלי אופי עונשי</w:t>
      </w:r>
    </w:p>
    <w:p w:rsidR="00CB004C" w:rsidRPr="00C346F6" w:rsidRDefault="00CB004C" w:rsidP="00CB004C">
      <w:pPr>
        <w:pStyle w:val="Ruller41"/>
        <w:rPr>
          <w:rFonts w:ascii="Century" w:hAnsi="Century"/>
          <w:rtl/>
        </w:rPr>
      </w:pPr>
      <w:r w:rsidRPr="00C346F6">
        <w:rPr>
          <w:rFonts w:ascii="Century" w:hAnsi="Century"/>
          <w:rtl/>
        </w:rPr>
        <w:tab/>
      </w:r>
    </w:p>
    <w:p w:rsidR="00CB004C" w:rsidRPr="00C346F6" w:rsidRDefault="00CB004C" w:rsidP="00CB004C">
      <w:pPr>
        <w:pStyle w:val="Ruller41"/>
        <w:rPr>
          <w:rFonts w:ascii="Century" w:hAnsi="Century"/>
          <w:rtl/>
        </w:rPr>
      </w:pPr>
      <w:r w:rsidRPr="00C346F6">
        <w:rPr>
          <w:rFonts w:ascii="Century" w:hAnsi="Century" w:hint="cs"/>
          <w:rtl/>
        </w:rPr>
        <w:t>41.</w:t>
      </w:r>
      <w:r w:rsidRPr="00C346F6">
        <w:rPr>
          <w:rFonts w:ascii="Century" w:hAnsi="Century" w:hint="cs"/>
          <w:rtl/>
        </w:rPr>
        <w:tab/>
        <w:t xml:space="preserve">הזכרנו לעיל את פסק הדין שניתן בד"נ </w:t>
      </w:r>
      <w:r w:rsidRPr="00C346F6">
        <w:rPr>
          <w:rFonts w:ascii="Century" w:hAnsi="Century" w:cs="Miriam" w:hint="cs"/>
          <w:b/>
          <w:spacing w:val="0"/>
          <w:szCs w:val="24"/>
          <w:rtl/>
        </w:rPr>
        <w:t>אוצר לאשראי</w:t>
      </w:r>
      <w:r w:rsidRPr="00C346F6">
        <w:rPr>
          <w:rFonts w:ascii="Century" w:hAnsi="Century" w:hint="cs"/>
          <w:rtl/>
        </w:rPr>
        <w:t xml:space="preserve"> שדן באפשרות להתיר ניכוי </w:t>
      </w:r>
      <w:r w:rsidRPr="00C346F6">
        <w:rPr>
          <w:rFonts w:ascii="Century" w:hAnsi="Century" w:cs="Miriam" w:hint="cs"/>
          <w:b/>
          <w:spacing w:val="0"/>
          <w:szCs w:val="24"/>
          <w:rtl/>
        </w:rPr>
        <w:t>קנסות</w:t>
      </w:r>
      <w:r w:rsidRPr="00C346F6">
        <w:rPr>
          <w:rFonts w:ascii="Century" w:hAnsi="Century" w:hint="cs"/>
          <w:rtl/>
        </w:rPr>
        <w:t xml:space="preserve"> כהוצאה, אל מול פסק הדין בעניין </w:t>
      </w:r>
      <w:r w:rsidRPr="00C346F6">
        <w:rPr>
          <w:rFonts w:ascii="Century" w:hAnsi="Century" w:cs="Miriam" w:hint="cs"/>
          <w:b/>
          <w:spacing w:val="0"/>
          <w:szCs w:val="24"/>
          <w:rtl/>
        </w:rPr>
        <w:t>דמארי</w:t>
      </w:r>
      <w:r w:rsidRPr="00C346F6">
        <w:rPr>
          <w:rFonts w:ascii="Century" w:hAnsi="Century" w:hint="cs"/>
          <w:rtl/>
        </w:rPr>
        <w:t xml:space="preserve"> שדן באפשרות להתיר ניכוי תשלומי </w:t>
      </w:r>
      <w:r w:rsidRPr="00C346F6">
        <w:rPr>
          <w:rFonts w:ascii="Century" w:hAnsi="Century" w:cs="Miriam" w:hint="cs"/>
          <w:b/>
          <w:spacing w:val="0"/>
          <w:szCs w:val="24"/>
          <w:rtl/>
        </w:rPr>
        <w:t>השבה</w:t>
      </w:r>
      <w:r w:rsidRPr="00C346F6">
        <w:rPr>
          <w:rFonts w:ascii="Century" w:hAnsi="Century" w:hint="cs"/>
          <w:rtl/>
        </w:rPr>
        <w:t xml:space="preserve">. נקדיש אפוא מספר מילים לסוגיה בראי שאלת ניכוי סכומי </w:t>
      </w:r>
      <w:r w:rsidRPr="00C346F6">
        <w:rPr>
          <w:rFonts w:ascii="Century" w:hAnsi="Century" w:cs="Miriam" w:hint="cs"/>
          <w:b/>
          <w:spacing w:val="0"/>
          <w:szCs w:val="24"/>
          <w:rtl/>
        </w:rPr>
        <w:t>החילוט</w:t>
      </w:r>
      <w:r w:rsidRPr="00C346F6">
        <w:rPr>
          <w:rFonts w:ascii="Century" w:hAnsi="Century" w:hint="cs"/>
          <w:rtl/>
        </w:rPr>
        <w:t xml:space="preserve"> שעליה נסב דיוננו. כפי שניווכח, גם באספקלריה זו, המסקנה כי אין להכיר בסכומי החילוט כהוצאה המותרת בניכוי </w:t>
      </w:r>
      <w:r w:rsidRPr="00C346F6">
        <w:rPr>
          <w:rFonts w:ascii="Century" w:hAnsi="Century"/>
          <w:rtl/>
        </w:rPr>
        <w:t>–</w:t>
      </w:r>
      <w:r w:rsidRPr="00C346F6">
        <w:rPr>
          <w:rFonts w:ascii="Century" w:hAnsi="Century" w:hint="cs"/>
          <w:rtl/>
        </w:rPr>
        <w:t xml:space="preserve"> עומדת בעינה ואך מתחזקת.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42.</w:t>
      </w:r>
      <w:r w:rsidRPr="00C346F6">
        <w:rPr>
          <w:rFonts w:ascii="Century" w:hAnsi="Century" w:hint="cs"/>
          <w:rtl/>
        </w:rPr>
        <w:tab/>
        <w:t xml:space="preserve">בכל הנוגע לסיווג הוצאות הקשורות לפעילות בלתי חוקית, מקובלת בפסיקה חלוקה לשלוש קבוצות: האחת </w:t>
      </w:r>
      <w:r w:rsidRPr="00C346F6">
        <w:rPr>
          <w:rFonts w:ascii="Century" w:hAnsi="Century"/>
          <w:rtl/>
        </w:rPr>
        <w:t>–</w:t>
      </w:r>
      <w:r w:rsidRPr="00C346F6">
        <w:rPr>
          <w:rFonts w:ascii="Century" w:hAnsi="Century" w:hint="cs"/>
          <w:rtl/>
        </w:rPr>
        <w:t xml:space="preserve"> הוצאות שעצם הוצאתן מהווה עבירה, כגון תשלומי שוחד, שאין חולק כי הן אסורות בניכוי (ראו סעיף 32(16) לפקודה שנחקק בשנת 2009, האוסר על ניכוי תשלומים "שיש יסוד סביר להניח שנתינתם מהווה עבירה לפי כל דין</w:t>
      </w:r>
      <w:r w:rsidR="00452F46">
        <w:rPr>
          <w:rFonts w:ascii="Century" w:hAnsi="Century" w:hint="cs"/>
          <w:rtl/>
        </w:rPr>
        <w:t>"</w:t>
      </w:r>
      <w:r w:rsidRPr="00C346F6">
        <w:rPr>
          <w:rFonts w:ascii="Century" w:hAnsi="Century" w:hint="cs"/>
          <w:rtl/>
        </w:rPr>
        <w:t xml:space="preserve">); השניה </w:t>
      </w:r>
      <w:r w:rsidRPr="00C346F6">
        <w:rPr>
          <w:rFonts w:ascii="Century" w:hAnsi="Century"/>
          <w:rtl/>
        </w:rPr>
        <w:t>–</w:t>
      </w:r>
      <w:r w:rsidRPr="00C346F6">
        <w:rPr>
          <w:rFonts w:ascii="Century" w:hAnsi="Century" w:hint="cs"/>
          <w:rtl/>
        </w:rPr>
        <w:t xml:space="preserve"> הוצאות שהן עצמן חוקיות אך לידתן בפעילות בלתי חוקית, כגון סנקציות כספיות שהושתו בגין ביצוע עבירה; והשלישית </w:t>
      </w:r>
      <w:r w:rsidRPr="00C346F6">
        <w:rPr>
          <w:rFonts w:ascii="Century" w:hAnsi="Century"/>
          <w:rtl/>
        </w:rPr>
        <w:t>–</w:t>
      </w:r>
      <w:r w:rsidRPr="00C346F6">
        <w:rPr>
          <w:rFonts w:ascii="Century" w:hAnsi="Century" w:hint="cs"/>
          <w:rtl/>
        </w:rPr>
        <w:t xml:space="preserve"> הוצאות שאינן מהוות או נובעות מעבירה, אך הן אסורות בניכוי בהיותן פסולות מחמת היותן מנוגדות לתקנת הציבור, כגון הוצאות לצורך ביצוע חוזה פסול או הוצאות חוקיות של עסק בלתי חוקי (ראו ביתר הרחבה בעניין </w:t>
      </w:r>
      <w:proofErr w:type="spellStart"/>
      <w:r w:rsidRPr="00C346F6">
        <w:rPr>
          <w:rFonts w:ascii="Century" w:hAnsi="Century" w:cs="Miriam" w:hint="cs"/>
          <w:b/>
          <w:spacing w:val="0"/>
          <w:szCs w:val="24"/>
          <w:rtl/>
        </w:rPr>
        <w:t>הידרולה</w:t>
      </w:r>
      <w:proofErr w:type="spellEnd"/>
      <w:r w:rsidRPr="00C346F6">
        <w:rPr>
          <w:rFonts w:ascii="Century" w:hAnsi="Century" w:hint="cs"/>
          <w:rtl/>
        </w:rPr>
        <w:t xml:space="preserve">, פסקה </w:t>
      </w:r>
      <w:proofErr w:type="spellStart"/>
      <w:r w:rsidRPr="00C346F6">
        <w:rPr>
          <w:rFonts w:ascii="Century" w:hAnsi="Century" w:hint="cs"/>
          <w:rtl/>
        </w:rPr>
        <w:t>יב</w:t>
      </w:r>
      <w:proofErr w:type="spellEnd"/>
      <w:r w:rsidRPr="00C346F6">
        <w:rPr>
          <w:rFonts w:ascii="Century" w:hAnsi="Century" w:hint="cs"/>
          <w:rtl/>
        </w:rPr>
        <w:t xml:space="preserve"> וההפניות שם; ע"א </w:t>
      </w:r>
      <w:r w:rsidRPr="00C346F6">
        <w:rPr>
          <w:rFonts w:ascii="Century" w:hAnsi="Century" w:cs="Miriam" w:hint="cs"/>
          <w:b/>
          <w:spacing w:val="0"/>
          <w:szCs w:val="24"/>
          <w:rtl/>
        </w:rPr>
        <w:t>דמארי</w:t>
      </w:r>
      <w:r w:rsidRPr="00C346F6">
        <w:rPr>
          <w:rFonts w:ascii="Century" w:hAnsi="Century" w:hint="cs"/>
          <w:rtl/>
        </w:rPr>
        <w:t xml:space="preserve">, פסקה פ"ב לפסק דינו של השופט </w:t>
      </w:r>
      <w:r w:rsidRPr="00C346F6">
        <w:rPr>
          <w:rFonts w:ascii="Century" w:hAnsi="Century" w:cs="Miriam" w:hint="cs"/>
          <w:b/>
          <w:spacing w:val="0"/>
          <w:szCs w:val="24"/>
          <w:rtl/>
        </w:rPr>
        <w:t>רובינשטיין</w:t>
      </w:r>
      <w:r w:rsidRPr="00C346F6">
        <w:rPr>
          <w:rFonts w:ascii="Century" w:hAnsi="Century" w:hint="cs"/>
          <w:rtl/>
        </w:rPr>
        <w:t xml:space="preserve">, פסקה 10 לפסק דינו של השופט </w:t>
      </w:r>
      <w:r w:rsidRPr="00C346F6">
        <w:rPr>
          <w:rFonts w:ascii="Century" w:hAnsi="Century" w:cs="Miriam" w:hint="cs"/>
          <w:b/>
          <w:spacing w:val="0"/>
          <w:szCs w:val="24"/>
          <w:rtl/>
        </w:rPr>
        <w:t>הנדל</w:t>
      </w:r>
      <w:r w:rsidRPr="00C346F6">
        <w:rPr>
          <w:rFonts w:ascii="Century" w:hAnsi="Century" w:hint="cs"/>
          <w:rtl/>
        </w:rPr>
        <w:t xml:space="preserve">).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בעניין </w:t>
      </w:r>
      <w:proofErr w:type="spellStart"/>
      <w:r w:rsidRPr="00C346F6">
        <w:rPr>
          <w:rFonts w:ascii="Century" w:hAnsi="Century" w:cs="Miriam" w:hint="cs"/>
          <w:b/>
          <w:spacing w:val="0"/>
          <w:szCs w:val="24"/>
          <w:rtl/>
        </w:rPr>
        <w:t>הידרולה</w:t>
      </w:r>
      <w:proofErr w:type="spellEnd"/>
      <w:r w:rsidRPr="00C346F6">
        <w:rPr>
          <w:rFonts w:ascii="Century" w:hAnsi="Century" w:hint="cs"/>
          <w:rtl/>
        </w:rPr>
        <w:t xml:space="preserve"> הביע השופט </w:t>
      </w:r>
      <w:r w:rsidRPr="00C346F6">
        <w:rPr>
          <w:rFonts w:ascii="Century" w:hAnsi="Century" w:cs="Miriam" w:hint="cs"/>
          <w:b/>
          <w:spacing w:val="0"/>
          <w:szCs w:val="24"/>
          <w:rtl/>
        </w:rPr>
        <w:t>רובינשטיין</w:t>
      </w:r>
      <w:r w:rsidRPr="00C346F6">
        <w:rPr>
          <w:rFonts w:ascii="Century" w:hAnsi="Century" w:hint="cs"/>
          <w:rtl/>
        </w:rPr>
        <w:t xml:space="preserve"> את עמדתו כי הוצאות המשתייכות לקבוצות השניה והשלישית אסורות אף הן בניכוי, וכי במצבים שכאלה נטל השכנוע הרובץ על נישום המבקש להכיר בהוצאותיו יהא "כבד מאד" [במאמר מוסגר: מ</w:t>
      </w:r>
      <w:r>
        <w:rPr>
          <w:rFonts w:ascii="Century" w:hAnsi="Century" w:hint="cs"/>
          <w:rtl/>
        </w:rPr>
        <w:t>אלף</w:t>
      </w:r>
      <w:r w:rsidRPr="00C346F6">
        <w:rPr>
          <w:rFonts w:ascii="Century" w:hAnsi="Century" w:hint="cs"/>
          <w:rtl/>
        </w:rPr>
        <w:t xml:space="preserve"> </w:t>
      </w:r>
      <w:r w:rsidRPr="00C346F6">
        <w:rPr>
          <w:rFonts w:ascii="Century" w:hAnsi="Century" w:hint="cs"/>
          <w:rtl/>
        </w:rPr>
        <w:lastRenderedPageBreak/>
        <w:t>להפנות לדוגמה של "בית הימורים" המובאת שם כדוגמה להוצאות המשתייכות לקבוצה השניה, ונזכיר כי המקרה שלפנינו נסב גם הוא על עסקי הימורים בלתי חוקיים].</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בע"א </w:t>
      </w:r>
      <w:r w:rsidRPr="00C346F6">
        <w:rPr>
          <w:rFonts w:ascii="Century" w:hAnsi="Century" w:cs="Miriam" w:hint="cs"/>
          <w:b/>
          <w:spacing w:val="0"/>
          <w:szCs w:val="24"/>
          <w:rtl/>
        </w:rPr>
        <w:t>דמארי</w:t>
      </w:r>
      <w:r w:rsidRPr="00C346F6">
        <w:rPr>
          <w:rFonts w:ascii="Century" w:hAnsi="Century" w:hint="cs"/>
          <w:rtl/>
        </w:rPr>
        <w:t xml:space="preserve"> התייחס השופט </w:t>
      </w:r>
      <w:r w:rsidRPr="00C346F6">
        <w:rPr>
          <w:rFonts w:ascii="Century" w:hAnsi="Century" w:cs="Miriam" w:hint="cs"/>
          <w:b/>
          <w:spacing w:val="0"/>
          <w:szCs w:val="24"/>
          <w:rtl/>
        </w:rPr>
        <w:t>רובינשטיין</w:t>
      </w:r>
      <w:r w:rsidRPr="00C346F6">
        <w:rPr>
          <w:rFonts w:ascii="Century" w:hAnsi="Century" w:hint="cs"/>
          <w:rtl/>
        </w:rPr>
        <w:t xml:space="preserve"> ביתר הרחבה לסוגיה של ניכוי תשלומים בעלי אופי עונשי. מסקנתו היתה כי לפי ההלכה הנוהגת, קנסות בעלי אופי עונשי אינם מותרים בניכוי, שכן ניכוי</w:t>
      </w:r>
      <w:r w:rsidRPr="00C346F6">
        <w:rPr>
          <w:rFonts w:ascii="FrankRuehl" w:hAnsi="FrankRuehl"/>
          <w:rtl/>
        </w:rPr>
        <w:t>ָ</w:t>
      </w:r>
      <w:r w:rsidRPr="00C346F6">
        <w:rPr>
          <w:rFonts w:ascii="Century" w:hAnsi="Century" w:hint="cs"/>
          <w:rtl/>
        </w:rPr>
        <w:t xml:space="preserve">ים יהיה משום ריכוך של הקנס וסיכול פועלו. לעומת זאת, כאשר יש ספק לגבי טיב התשלום שהושת בעקבות מעשה בלתי חוקי, יש לבחון אם מדובר בתשלום שהוא במהותו </w:t>
      </w:r>
      <w:r w:rsidRPr="00C346F6">
        <w:rPr>
          <w:rFonts w:ascii="Century" w:hAnsi="Century" w:cs="Miriam" w:hint="cs"/>
          <w:b/>
          <w:spacing w:val="0"/>
          <w:szCs w:val="24"/>
          <w:rtl/>
        </w:rPr>
        <w:t>עונשי</w:t>
      </w:r>
      <w:r w:rsidRPr="00C346F6">
        <w:rPr>
          <w:rFonts w:ascii="Century" w:hAnsi="Century" w:hint="cs"/>
          <w:rtl/>
        </w:rPr>
        <w:t xml:space="preserve"> או </w:t>
      </w:r>
      <w:r w:rsidRPr="00C346F6">
        <w:rPr>
          <w:rFonts w:ascii="Century" w:hAnsi="Century" w:cs="Miriam" w:hint="cs"/>
          <w:b/>
          <w:spacing w:val="0"/>
          <w:szCs w:val="24"/>
          <w:rtl/>
        </w:rPr>
        <w:t>תרופתי</w:t>
      </w:r>
      <w:r w:rsidRPr="00C346F6">
        <w:rPr>
          <w:rFonts w:ascii="Century" w:hAnsi="Century" w:hint="cs"/>
          <w:rtl/>
        </w:rPr>
        <w:t xml:space="preserve">, ואם מתן היתר לנכותו יסכל את המדיניות הציבורית שביסוד הטלתו (ראו שם בפסקאות פ"ו-צ', תוך התייחסות לפסקי הדין בע"א וד"נ </w:t>
      </w:r>
      <w:r w:rsidRPr="00C346F6">
        <w:rPr>
          <w:rFonts w:ascii="Century" w:hAnsi="Century" w:cs="Miriam" w:hint="cs"/>
          <w:b/>
          <w:spacing w:val="0"/>
          <w:szCs w:val="24"/>
          <w:rtl/>
        </w:rPr>
        <w:t>אוצר לאשראי</w:t>
      </w:r>
      <w:r w:rsidRPr="00C346F6">
        <w:rPr>
          <w:rFonts w:ascii="Century" w:hAnsi="Century" w:hint="cs"/>
          <w:rtl/>
        </w:rPr>
        <w:t xml:space="preserve">, וכן לע"א 438/90 </w:t>
      </w:r>
      <w:r w:rsidRPr="00C346F6">
        <w:rPr>
          <w:rFonts w:ascii="Century" w:hAnsi="Century" w:cs="Miriam" w:hint="cs"/>
          <w:b/>
          <w:spacing w:val="0"/>
          <w:szCs w:val="24"/>
          <w:rtl/>
        </w:rPr>
        <w:t>פקיד שומה, חיפה נ' הד הקריות בע"מ</w:t>
      </w:r>
      <w:r w:rsidRPr="00C346F6">
        <w:rPr>
          <w:rFonts w:ascii="Century" w:hAnsi="Century" w:hint="cs"/>
          <w:rtl/>
        </w:rPr>
        <w:t xml:space="preserve">, פ"ד נא(5) 668 (1997); </w:t>
      </w:r>
      <w:proofErr w:type="spellStart"/>
      <w:r w:rsidRPr="00C346F6">
        <w:rPr>
          <w:rFonts w:ascii="Century" w:hAnsi="Century" w:hint="cs"/>
          <w:rtl/>
        </w:rPr>
        <w:t>עמ"ה</w:t>
      </w:r>
      <w:proofErr w:type="spellEnd"/>
      <w:r w:rsidRPr="00C346F6">
        <w:rPr>
          <w:rFonts w:ascii="Century" w:hAnsi="Century" w:hint="cs"/>
          <w:rtl/>
        </w:rPr>
        <w:t xml:space="preserve"> (ת"א) 208/67 </w:t>
      </w:r>
      <w:proofErr w:type="spellStart"/>
      <w:r w:rsidRPr="00C346F6">
        <w:rPr>
          <w:rFonts w:ascii="Century" w:hAnsi="Century" w:cs="Miriam" w:hint="cs"/>
          <w:b/>
          <w:spacing w:val="0"/>
          <w:szCs w:val="24"/>
          <w:rtl/>
        </w:rPr>
        <w:t>אליגולשווילי</w:t>
      </w:r>
      <w:proofErr w:type="spellEnd"/>
      <w:r w:rsidRPr="00C346F6">
        <w:rPr>
          <w:rFonts w:ascii="Century" w:hAnsi="Century" w:cs="Miriam" w:hint="cs"/>
          <w:b/>
          <w:spacing w:val="0"/>
          <w:szCs w:val="24"/>
          <w:rtl/>
        </w:rPr>
        <w:t xml:space="preserve"> נ' פקיד שומה למפעלים גדולים</w:t>
      </w:r>
      <w:r w:rsidRPr="00C346F6">
        <w:rPr>
          <w:rFonts w:ascii="Century" w:hAnsi="Century" w:hint="cs"/>
          <w:rtl/>
        </w:rPr>
        <w:t xml:space="preserve">, </w:t>
      </w:r>
      <w:proofErr w:type="spellStart"/>
      <w:r w:rsidRPr="00C346F6">
        <w:rPr>
          <w:rFonts w:ascii="Century" w:hAnsi="Century" w:hint="cs"/>
          <w:rtl/>
        </w:rPr>
        <w:t>פ"מ</w:t>
      </w:r>
      <w:proofErr w:type="spellEnd"/>
      <w:r w:rsidRPr="00C346F6">
        <w:rPr>
          <w:rFonts w:ascii="Century" w:hAnsi="Century" w:hint="cs"/>
          <w:rtl/>
        </w:rPr>
        <w:t xml:space="preserve"> סה 98 (1968); ראו עוד אצל </w:t>
      </w:r>
      <w:r w:rsidRPr="00C346F6">
        <w:rPr>
          <w:rFonts w:ascii="Century" w:hAnsi="Century" w:cs="Miriam" w:hint="cs"/>
          <w:b/>
          <w:spacing w:val="0"/>
          <w:szCs w:val="24"/>
          <w:rtl/>
        </w:rPr>
        <w:t>רפאל</w:t>
      </w:r>
      <w:r w:rsidRPr="00C346F6">
        <w:rPr>
          <w:rFonts w:ascii="Century" w:hAnsi="Century" w:hint="cs"/>
          <w:rtl/>
        </w:rPr>
        <w:t xml:space="preserve">, עמ' 626-622 וההפניות שם).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43.</w:t>
      </w:r>
      <w:r w:rsidRPr="00C346F6">
        <w:rPr>
          <w:rFonts w:ascii="Century" w:hAnsi="Century" w:hint="cs"/>
          <w:rtl/>
        </w:rPr>
        <w:tab/>
        <w:t xml:space="preserve">כפי שתואר לעיל, פסק הדין בעניין </w:t>
      </w:r>
      <w:r w:rsidRPr="00C346F6">
        <w:rPr>
          <w:rFonts w:ascii="Century" w:hAnsi="Century" w:cs="Miriam" w:hint="cs"/>
          <w:b/>
          <w:spacing w:val="0"/>
          <w:szCs w:val="24"/>
          <w:rtl/>
        </w:rPr>
        <w:t>דמארי</w:t>
      </w:r>
      <w:r w:rsidRPr="00C346F6">
        <w:rPr>
          <w:rFonts w:ascii="Century" w:hAnsi="Century" w:hint="cs"/>
          <w:rtl/>
        </w:rPr>
        <w:t xml:space="preserve"> נסב על סוגיית ניכוי (או קיזוז) של תשלומי השבה ששילמו הנישומים, להבדיל מקנסות פליליים. במישור העקרוני (כפי </w:t>
      </w:r>
      <w:proofErr w:type="spellStart"/>
      <w:r w:rsidRPr="00C346F6">
        <w:rPr>
          <w:rFonts w:ascii="Century" w:hAnsi="Century" w:hint="cs"/>
          <w:rtl/>
        </w:rPr>
        <w:t>שהגדיר</w:t>
      </w:r>
      <w:r w:rsidRPr="00C346F6">
        <w:rPr>
          <w:rFonts w:ascii="FrankRuehl" w:hAnsi="FrankRuehl"/>
          <w:rtl/>
        </w:rPr>
        <w:t>וֹ</w:t>
      </w:r>
      <w:proofErr w:type="spellEnd"/>
      <w:r w:rsidRPr="00C346F6">
        <w:rPr>
          <w:rFonts w:ascii="Century" w:hAnsi="Century" w:hint="cs"/>
          <w:rtl/>
        </w:rPr>
        <w:t xml:space="preserve"> השופט </w:t>
      </w:r>
      <w:r w:rsidRPr="00C346F6">
        <w:rPr>
          <w:rFonts w:ascii="Century" w:hAnsi="Century" w:cs="Miriam" w:hint="cs"/>
          <w:b/>
          <w:spacing w:val="0"/>
          <w:szCs w:val="24"/>
          <w:rtl/>
        </w:rPr>
        <w:t>רובינשטיין</w:t>
      </w:r>
      <w:r w:rsidRPr="00C346F6">
        <w:rPr>
          <w:rFonts w:ascii="Century" w:hAnsi="Century" w:hint="cs"/>
          <w:rtl/>
        </w:rPr>
        <w:t xml:space="preserve">) ובהסתמך על הפסיקה בארצות הברית, פורטו שלושה מבחני עזר שנועדו לסייע להתחקות אחר טיבם של תשלומי השבה לצורך בחינת האפשרות להתיר את ניכויים, והם: מהו </w:t>
      </w:r>
      <w:r w:rsidRPr="00C346F6">
        <w:rPr>
          <w:rFonts w:ascii="Century" w:hAnsi="Century" w:cs="Miriam" w:hint="cs"/>
          <w:b/>
          <w:spacing w:val="0"/>
          <w:szCs w:val="24"/>
          <w:rtl/>
        </w:rPr>
        <w:t>סוג ההליך</w:t>
      </w:r>
      <w:r w:rsidRPr="00C346F6">
        <w:rPr>
          <w:rFonts w:ascii="Century" w:hAnsi="Century" w:hint="cs"/>
          <w:rtl/>
        </w:rPr>
        <w:t xml:space="preserve"> שבמסגרתו בוצעה ההשבה; מיהם </w:t>
      </w:r>
      <w:r w:rsidRPr="00C346F6">
        <w:rPr>
          <w:rFonts w:ascii="Century" w:hAnsi="Century" w:cs="Miriam" w:hint="cs"/>
          <w:b/>
          <w:spacing w:val="0"/>
          <w:szCs w:val="24"/>
          <w:rtl/>
        </w:rPr>
        <w:t>נמעני ההשבה</w:t>
      </w:r>
      <w:r w:rsidRPr="00C346F6">
        <w:rPr>
          <w:rFonts w:ascii="Century" w:hAnsi="Century" w:hint="cs"/>
          <w:rtl/>
        </w:rPr>
        <w:t>; והאם ההשבה היא "</w:t>
      </w:r>
      <w:r w:rsidRPr="00C346F6">
        <w:rPr>
          <w:rFonts w:ascii="Century" w:hAnsi="Century" w:cs="Miriam" w:hint="cs"/>
          <w:b/>
          <w:spacing w:val="0"/>
          <w:szCs w:val="24"/>
          <w:rtl/>
        </w:rPr>
        <w:t>חלף קנס</w:t>
      </w:r>
      <w:r w:rsidRPr="00C346F6">
        <w:rPr>
          <w:rFonts w:ascii="Century" w:hAnsi="Century" w:hint="cs"/>
          <w:rtl/>
        </w:rPr>
        <w:t xml:space="preserve">". בנסיבות העובדתיות של פרשת </w:t>
      </w:r>
      <w:r w:rsidRPr="00C346F6">
        <w:rPr>
          <w:rFonts w:ascii="Century" w:hAnsi="Century" w:cs="Miriam" w:hint="cs"/>
          <w:b/>
          <w:spacing w:val="0"/>
          <w:szCs w:val="24"/>
          <w:rtl/>
        </w:rPr>
        <w:t>דמארי</w:t>
      </w:r>
      <w:r w:rsidRPr="00C346F6">
        <w:rPr>
          <w:rFonts w:ascii="Century" w:hAnsi="Century" w:hint="cs"/>
          <w:rtl/>
        </w:rPr>
        <w:t xml:space="preserve">, תשלומי ההשבה לא נבעו מחיוב בדין הפלילי אלא בוצעו על ידי הנישומים מטעמיהם שלהם (דמארי במסגרת הליך פשרה אזרחי, והירשזון ביוזמתו בעת ניהול ההליך הפלילי); נמנעי ההשבה היו קרבנות העבירה ולא אוצר המדינה; ותשלומי ההשבה לא היו בגדר תחליף קנס (הגם שניתן להניח שהשבת הכספים גררה הקלה מסוימת בעונש). לנוכח האמור, השופט </w:t>
      </w:r>
      <w:r w:rsidRPr="00C346F6">
        <w:rPr>
          <w:rFonts w:ascii="Century" w:hAnsi="Century" w:cs="Miriam" w:hint="cs"/>
          <w:b/>
          <w:spacing w:val="0"/>
          <w:szCs w:val="24"/>
          <w:rtl/>
        </w:rPr>
        <w:t>רובינשטיין</w:t>
      </w:r>
      <w:r w:rsidRPr="00C346F6">
        <w:rPr>
          <w:rFonts w:ascii="Century" w:hAnsi="Century" w:hint="cs"/>
          <w:rtl/>
        </w:rPr>
        <w:t xml:space="preserve"> קבע כי במישור העקרוני ניתן להתיר את ניכוי תשלומי ההשבה ואין בכך משום סיכול תקנת הציבור.</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44.</w:t>
      </w:r>
      <w:r w:rsidRPr="00C346F6">
        <w:rPr>
          <w:rFonts w:ascii="Century" w:hAnsi="Century" w:hint="cs"/>
          <w:rtl/>
        </w:rPr>
        <w:tab/>
        <w:t xml:space="preserve">גם אם אהיה נכון, לצורך הדיון, לצעוד בנתיב שהתווה השופט </w:t>
      </w:r>
      <w:r w:rsidRPr="00C346F6">
        <w:rPr>
          <w:rFonts w:ascii="Century" w:hAnsi="Century" w:cs="Miriam" w:hint="cs"/>
          <w:b/>
          <w:spacing w:val="0"/>
          <w:szCs w:val="24"/>
          <w:rtl/>
        </w:rPr>
        <w:t>רובינשטיין</w:t>
      </w:r>
      <w:r w:rsidRPr="00C346F6">
        <w:rPr>
          <w:rFonts w:ascii="Century" w:hAnsi="Century" w:hint="cs"/>
          <w:rtl/>
        </w:rPr>
        <w:t xml:space="preserve"> בעניין </w:t>
      </w:r>
      <w:r w:rsidRPr="00C346F6">
        <w:rPr>
          <w:rFonts w:ascii="Century" w:hAnsi="Century" w:cs="Miriam" w:hint="cs"/>
          <w:b/>
          <w:spacing w:val="0"/>
          <w:szCs w:val="24"/>
          <w:rtl/>
        </w:rPr>
        <w:t>דמארי</w:t>
      </w:r>
      <w:r w:rsidRPr="00C346F6">
        <w:rPr>
          <w:rFonts w:ascii="Century" w:hAnsi="Century" w:hint="cs"/>
          <w:rtl/>
        </w:rPr>
        <w:t xml:space="preserve">, וגם אם אתבסס על ההבחנה בין תשלום בעל אופי עונשי לתשלום בעל אופי תרופתי, יישום הדברים על הסוגיה המונחת לפתחנו מוביל למסקנה כי לא ניתן להקיש מתשלומי ההשבה שניצבו במוקד הדיון בעניין </w:t>
      </w:r>
      <w:r w:rsidRPr="00C346F6">
        <w:rPr>
          <w:rFonts w:ascii="Century" w:hAnsi="Century" w:cs="Miriam" w:hint="cs"/>
          <w:b/>
          <w:spacing w:val="0"/>
          <w:szCs w:val="24"/>
          <w:rtl/>
        </w:rPr>
        <w:t>דמארי</w:t>
      </w:r>
      <w:r w:rsidRPr="00C346F6">
        <w:rPr>
          <w:rFonts w:ascii="Century" w:hAnsi="Century" w:hint="cs"/>
          <w:rtl/>
        </w:rPr>
        <w:t xml:space="preserve"> לסכומי החילוט שעומדים לדיון במקרה שלפנינו, וכי אין מקום להכיר בסכומי החילוט כהוצאה המותרת בניכוי.</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cs="Miriam" w:hint="cs"/>
          <w:b/>
          <w:spacing w:val="0"/>
          <w:szCs w:val="24"/>
          <w:rtl/>
        </w:rPr>
        <w:t>ראשית</w:t>
      </w:r>
      <w:r w:rsidRPr="00C346F6">
        <w:rPr>
          <w:rFonts w:ascii="Century" w:hAnsi="Century" w:hint="cs"/>
          <w:rtl/>
        </w:rPr>
        <w:t xml:space="preserve">, בניגוד לתשלומי ההשבה ולנסיבות בעניין </w:t>
      </w:r>
      <w:r w:rsidRPr="00C346F6">
        <w:rPr>
          <w:rFonts w:ascii="Century" w:hAnsi="Century" w:cs="Miriam" w:hint="cs"/>
          <w:b/>
          <w:spacing w:val="0"/>
          <w:szCs w:val="24"/>
          <w:rtl/>
        </w:rPr>
        <w:t>דמארי</w:t>
      </w:r>
      <w:r w:rsidRPr="00C346F6">
        <w:rPr>
          <w:rFonts w:ascii="Century" w:hAnsi="Century" w:hint="cs"/>
          <w:rtl/>
        </w:rPr>
        <w:t xml:space="preserve">, חילוט הסכומים בענייננו לא נעשה מרצונו הטוב של הנישום או במסגרת הליך פשרה אזרחי, אלא מאונס, </w:t>
      </w:r>
      <w:r w:rsidRPr="00C346F6">
        <w:rPr>
          <w:rFonts w:ascii="Century" w:hAnsi="Century" w:hint="cs"/>
          <w:rtl/>
        </w:rPr>
        <w:lastRenderedPageBreak/>
        <w:t xml:space="preserve">על פי גזר דין שניתן נגד המבקש לאחר הרשעתו בדין פלילי (ראו סעיף 21(א)(2) לחוק איסור הלבנת הון, התש"ס-2000; וראו גם אצל </w:t>
      </w:r>
      <w:proofErr w:type="spellStart"/>
      <w:r w:rsidRPr="00C346F6">
        <w:rPr>
          <w:rFonts w:ascii="Century" w:hAnsi="Century" w:cs="Miriam" w:hint="cs"/>
          <w:b/>
          <w:spacing w:val="0"/>
          <w:szCs w:val="24"/>
          <w:rtl/>
        </w:rPr>
        <w:t>אורצקי</w:t>
      </w:r>
      <w:proofErr w:type="spellEnd"/>
      <w:r w:rsidRPr="00C346F6">
        <w:rPr>
          <w:rFonts w:ascii="Century" w:hAnsi="Century" w:hint="cs"/>
          <w:rtl/>
        </w:rPr>
        <w:t xml:space="preserve"> בעמ' 112, העומדת על כך </w:t>
      </w:r>
      <w:r w:rsidRPr="00C346F6">
        <w:rPr>
          <w:rFonts w:ascii="Century" w:hAnsi="Century" w:cs="Miriam" w:hint="cs"/>
          <w:b/>
          <w:spacing w:val="0"/>
          <w:szCs w:val="24"/>
          <w:rtl/>
        </w:rPr>
        <w:t>שזהות הגוף</w:t>
      </w:r>
      <w:r w:rsidRPr="00C346F6">
        <w:rPr>
          <w:rFonts w:ascii="Century" w:hAnsi="Century" w:hint="cs"/>
          <w:rtl/>
        </w:rPr>
        <w:t xml:space="preserve"> שהשית את התשלום </w:t>
      </w:r>
      <w:r w:rsidRPr="00C346F6">
        <w:rPr>
          <w:rFonts w:ascii="Century" w:hAnsi="Century" w:cs="Miriam" w:hint="cs"/>
          <w:b/>
          <w:spacing w:val="0"/>
          <w:szCs w:val="24"/>
          <w:rtl/>
        </w:rPr>
        <w:t>וסעיף החוק</w:t>
      </w:r>
      <w:r w:rsidRPr="00C346F6">
        <w:rPr>
          <w:rFonts w:ascii="Century" w:hAnsi="Century" w:hint="cs"/>
          <w:rtl/>
        </w:rPr>
        <w:t xml:space="preserve"> שמכוחו הוטל התשלום הם פרמטרים רלוונטיים לצורך סיווג טיב התשלום כעונשי או תרופתי; והשוו להליך של חילוט רכוש </w:t>
      </w:r>
      <w:r w:rsidRPr="00C346F6">
        <w:rPr>
          <w:rFonts w:ascii="Century" w:hAnsi="Century" w:cs="Miriam" w:hint="cs"/>
          <w:b/>
          <w:spacing w:val="0"/>
          <w:szCs w:val="24"/>
          <w:rtl/>
        </w:rPr>
        <w:t>בהליך אזרחי</w:t>
      </w:r>
      <w:r w:rsidRPr="00C346F6">
        <w:rPr>
          <w:rFonts w:ascii="Century" w:hAnsi="Century" w:hint="cs"/>
          <w:rtl/>
        </w:rPr>
        <w:t xml:space="preserve"> מכוח סעיף 22 לחוק איסור הלבנת הון). </w:t>
      </w:r>
      <w:r w:rsidRPr="00C346F6">
        <w:rPr>
          <w:rFonts w:ascii="Century" w:hAnsi="Century" w:cs="Miriam" w:hint="cs"/>
          <w:b/>
          <w:spacing w:val="0"/>
          <w:szCs w:val="24"/>
          <w:rtl/>
        </w:rPr>
        <w:t>שנית</w:t>
      </w:r>
      <w:r w:rsidRPr="00C346F6">
        <w:rPr>
          <w:rFonts w:ascii="Century" w:hAnsi="Century" w:hint="cs"/>
          <w:rtl/>
        </w:rPr>
        <w:t>, נמען כספי החילוט במקרה שלפנינו אינו נפגע עבירה פרטי אלא אוצר המדינה, ולא למותר לציין כי במקרה שלפנינו כלל אין קרבן עבירה ספציפי</w:t>
      </w:r>
      <w:r>
        <w:rPr>
          <w:rFonts w:ascii="Century" w:hAnsi="Century" w:hint="cs"/>
          <w:rtl/>
        </w:rPr>
        <w:t xml:space="preserve"> (השוו להסדרי חילוט מיוחדים שבהם נקבע כי סכומים שחולטו יכולים לשמש לצורך פיצוי נפגעי עבירה, כגון לפי </w:t>
      </w:r>
      <w:r w:rsidRPr="00F15DC5">
        <w:rPr>
          <w:rFonts w:ascii="Century" w:hAnsi="Century"/>
          <w:rtl/>
        </w:rPr>
        <w:t xml:space="preserve">חוק חילוט רווחים מפרסומים </w:t>
      </w:r>
      <w:proofErr w:type="spellStart"/>
      <w:r w:rsidRPr="00F15DC5">
        <w:rPr>
          <w:rFonts w:ascii="Century" w:hAnsi="Century"/>
          <w:rtl/>
        </w:rPr>
        <w:t>שענינם</w:t>
      </w:r>
      <w:proofErr w:type="spellEnd"/>
      <w:r w:rsidRPr="00F15DC5">
        <w:rPr>
          <w:rFonts w:ascii="Century" w:hAnsi="Century"/>
          <w:rtl/>
        </w:rPr>
        <w:t xml:space="preserve"> עבירות, תשס"ה-2005</w:t>
      </w:r>
      <w:r>
        <w:rPr>
          <w:rFonts w:ascii="Century" w:hAnsi="Century" w:hint="cs"/>
          <w:rtl/>
        </w:rPr>
        <w:t>; וכן במקרים של קרבנות סחר בבני אדם, לפי סעיף 377ה לחוק העונשין, התשל"ז-1977)</w:t>
      </w:r>
      <w:r w:rsidRPr="00C346F6">
        <w:rPr>
          <w:rFonts w:ascii="Century" w:hAnsi="Century" w:hint="cs"/>
          <w:rtl/>
        </w:rPr>
        <w:t xml:space="preserve">. באשר למבחן העזר השלישי, אמנם איננו עוסקים בחילוט חלף קנס, כי אם בחילוט </w:t>
      </w:r>
      <w:r w:rsidRPr="00C346F6">
        <w:rPr>
          <w:rFonts w:ascii="Century" w:hAnsi="Century" w:cs="Miriam" w:hint="cs"/>
          <w:b/>
          <w:spacing w:val="0"/>
          <w:szCs w:val="24"/>
          <w:rtl/>
        </w:rPr>
        <w:t>לצד</w:t>
      </w:r>
      <w:r w:rsidRPr="00C346F6">
        <w:rPr>
          <w:rFonts w:ascii="Century" w:hAnsi="Century" w:hint="cs"/>
          <w:rtl/>
        </w:rPr>
        <w:t xml:space="preserve"> קנס בסך 2 מיליון </w:t>
      </w:r>
      <w:r w:rsidRPr="00C346F6">
        <w:rPr>
          <w:rFonts w:ascii="Century" w:hAnsi="Century" w:hint="eastAsia"/>
          <w:rtl/>
        </w:rPr>
        <w:t>₪</w:t>
      </w:r>
      <w:r w:rsidRPr="00C346F6">
        <w:rPr>
          <w:rFonts w:ascii="Century" w:hAnsi="Century" w:hint="cs"/>
          <w:rtl/>
        </w:rPr>
        <w:t xml:space="preserve"> שהוטל על המבקש בגזר דינו. עם זאת, אין בכוחו של מבחן שלישי זה, כשהוא עומד בבדידותו, כדי להכריע את הכף, ומשעה ששני מבחני העזר הראשונים עומדים יחדיו מנגד, יש בצירופם כדי להוביל למסקנה כי חילוט הכספים </w:t>
      </w:r>
      <w:r w:rsidRPr="00C346F6">
        <w:rPr>
          <w:rFonts w:ascii="Century" w:hAnsi="Century"/>
          <w:rtl/>
        </w:rPr>
        <w:t>–</w:t>
      </w:r>
      <w:r w:rsidRPr="00C346F6">
        <w:rPr>
          <w:rFonts w:ascii="Century" w:hAnsi="Century" w:hint="cs"/>
          <w:rtl/>
        </w:rPr>
        <w:t xml:space="preserve"> ככל שהוא דומה לתשלומי השבה </w:t>
      </w:r>
      <w:r w:rsidRPr="00C346F6">
        <w:rPr>
          <w:rFonts w:ascii="Century" w:hAnsi="Century"/>
          <w:rtl/>
        </w:rPr>
        <w:t>–</w:t>
      </w:r>
      <w:r w:rsidRPr="00C346F6">
        <w:rPr>
          <w:rFonts w:ascii="Century" w:hAnsi="Century" w:hint="cs"/>
          <w:rtl/>
        </w:rPr>
        <w:t xml:space="preserve"> נושא בעיקרו אופי </w:t>
      </w:r>
      <w:r w:rsidRPr="00C346F6">
        <w:rPr>
          <w:rFonts w:ascii="Century" w:hAnsi="Century" w:cs="Miriam" w:hint="cs"/>
          <w:b/>
          <w:spacing w:val="0"/>
          <w:szCs w:val="24"/>
          <w:rtl/>
        </w:rPr>
        <w:t>עונשי</w:t>
      </w:r>
      <w:r w:rsidRPr="00C346F6">
        <w:rPr>
          <w:rFonts w:ascii="Century" w:hAnsi="Century" w:hint="cs"/>
          <w:rtl/>
        </w:rPr>
        <w:t xml:space="preserve"> ולא תרופתי, ומשכך אין מקום להתיר ניכוי של סכומי החילוט כהוצאה.</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45.</w:t>
      </w:r>
      <w:r w:rsidRPr="00C346F6">
        <w:rPr>
          <w:rFonts w:ascii="Century" w:hAnsi="Century" w:hint="cs"/>
          <w:rtl/>
        </w:rPr>
        <w:tab/>
        <w:t xml:space="preserve">מסקנה זו אינה ניצבת בחלל ריק, והיא עולה בקנה אחד עם התכלית </w:t>
      </w:r>
      <w:proofErr w:type="spellStart"/>
      <w:r w:rsidRPr="00C346F6">
        <w:rPr>
          <w:rFonts w:ascii="Century" w:hAnsi="Century" w:hint="cs"/>
          <w:rtl/>
        </w:rPr>
        <w:t>העונשית</w:t>
      </w:r>
      <w:proofErr w:type="spellEnd"/>
      <w:r w:rsidRPr="00C346F6">
        <w:rPr>
          <w:rFonts w:ascii="Century" w:hAnsi="Century" w:hint="cs"/>
          <w:rtl/>
        </w:rPr>
        <w:t xml:space="preserve"> שהוכרה, לצד תכליות אחרות, כעומדת בבסיס מוסד החילוט. כפי שנזדמן לי לציין ב</w:t>
      </w:r>
      <w:r w:rsidRPr="00C346F6">
        <w:rPr>
          <w:rFonts w:ascii="Century" w:hAnsi="Century"/>
          <w:rtl/>
        </w:rPr>
        <w:t>ע</w:t>
      </w:r>
      <w:r w:rsidRPr="00C346F6">
        <w:rPr>
          <w:rFonts w:ascii="Century" w:hAnsi="Century" w:hint="cs"/>
          <w:rtl/>
        </w:rPr>
        <w:t>"</w:t>
      </w:r>
      <w:r w:rsidRPr="00C346F6">
        <w:rPr>
          <w:rFonts w:ascii="Century" w:hAnsi="Century"/>
          <w:rtl/>
        </w:rPr>
        <w:t>פ 8312/17</w:t>
      </w:r>
      <w:r w:rsidRPr="00C346F6">
        <w:rPr>
          <w:rFonts w:ascii="Century" w:hAnsi="Century" w:hint="cs"/>
          <w:rtl/>
        </w:rPr>
        <w:t xml:space="preserve"> </w:t>
      </w:r>
      <w:proofErr w:type="spellStart"/>
      <w:r w:rsidRPr="00C346F6">
        <w:rPr>
          <w:rFonts w:ascii="Century" w:hAnsi="Century" w:cs="Miriam"/>
          <w:b/>
          <w:spacing w:val="0"/>
          <w:szCs w:val="24"/>
          <w:rtl/>
        </w:rPr>
        <w:t>ברהמי</w:t>
      </w:r>
      <w:proofErr w:type="spellEnd"/>
      <w:r w:rsidRPr="00C346F6">
        <w:rPr>
          <w:rFonts w:ascii="Century" w:hAnsi="Century" w:cs="Miriam"/>
          <w:b/>
          <w:spacing w:val="0"/>
          <w:szCs w:val="24"/>
          <w:rtl/>
        </w:rPr>
        <w:t xml:space="preserve"> נ' מדינת ישראל</w:t>
      </w:r>
      <w:r w:rsidRPr="00C346F6">
        <w:rPr>
          <w:rFonts w:ascii="Century" w:hAnsi="Century" w:hint="cs"/>
          <w:rtl/>
        </w:rPr>
        <w:t xml:space="preserve">, פסקה 47 (17.4.2018) (להלן: עניין </w:t>
      </w:r>
      <w:proofErr w:type="spellStart"/>
      <w:r w:rsidRPr="00C346F6">
        <w:rPr>
          <w:rFonts w:ascii="Century" w:hAnsi="Century" w:cs="Miriam" w:hint="cs"/>
          <w:b/>
          <w:spacing w:val="0"/>
          <w:szCs w:val="24"/>
          <w:rtl/>
        </w:rPr>
        <w:t>ברהמי</w:t>
      </w:r>
      <w:proofErr w:type="spellEnd"/>
      <w:r w:rsidRPr="00C346F6">
        <w:rPr>
          <w:rFonts w:ascii="Century" w:hAnsi="Century" w:hint="cs"/>
          <w:rtl/>
        </w:rPr>
        <w:t>):</w:t>
      </w:r>
    </w:p>
    <w:p w:rsidR="00CB004C" w:rsidRPr="00C346F6" w:rsidRDefault="00CB004C" w:rsidP="00CB004C">
      <w:pPr>
        <w:pStyle w:val="Ruller41"/>
        <w:rPr>
          <w:rFonts w:ascii="Century" w:hAnsi="Century"/>
          <w:rtl/>
        </w:rPr>
      </w:pPr>
    </w:p>
    <w:p w:rsidR="00CB004C" w:rsidRPr="00C346F6" w:rsidRDefault="00CB004C" w:rsidP="00CB004C">
      <w:pPr>
        <w:pStyle w:val="Ruller5"/>
        <w:rPr>
          <w:rFonts w:ascii="Century" w:hAnsi="Century"/>
          <w:rtl/>
        </w:rPr>
      </w:pPr>
      <w:r w:rsidRPr="00C346F6">
        <w:rPr>
          <w:rFonts w:hint="cs"/>
          <w:rtl/>
        </w:rPr>
        <w:t>"ב</w:t>
      </w:r>
      <w:r w:rsidRPr="00C346F6">
        <w:rPr>
          <w:rtl/>
        </w:rPr>
        <w:t xml:space="preserve">קרבו של מוסד החילוט מתרוצצות תכליות שונות: תכלית הרתעתית; תכלית קניינית (הוצאת בלעו של העבריין מפיו); תכלית מניעתית (צמצום אפשרות ביצוע עבירות בעתיד); פגיעה במקורות מימון של תשתיות עברייניות; וכן תכלית </w:t>
      </w:r>
      <w:proofErr w:type="spellStart"/>
      <w:r w:rsidRPr="00C346F6">
        <w:rPr>
          <w:rtl/>
        </w:rPr>
        <w:t>עונשית</w:t>
      </w:r>
      <w:proofErr w:type="spellEnd"/>
      <w:r w:rsidRPr="00C346F6">
        <w:rPr>
          <w:rtl/>
        </w:rPr>
        <w:t xml:space="preserve"> (שלגביה ישנן גישות שונות בפסיקה)</w:t>
      </w:r>
      <w:r w:rsidRPr="00C346F6">
        <w:rPr>
          <w:rFonts w:hint="cs"/>
          <w:rtl/>
        </w:rPr>
        <w:t xml:space="preserve">". </w:t>
      </w:r>
    </w:p>
    <w:p w:rsidR="00CB004C" w:rsidRPr="005D6209" w:rsidRDefault="00CB004C" w:rsidP="00CB004C">
      <w:pPr>
        <w:pStyle w:val="Ruller41"/>
        <w:rPr>
          <w:rFonts w:ascii="Century" w:hAnsi="Century"/>
          <w:rtl/>
        </w:rPr>
      </w:pPr>
    </w:p>
    <w:p w:rsidR="00CB004C"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אמנם, כפי שנרמז בסיפא של הציטוט לעיל, לאורך השנים הושם דגש על תכליות שונות, ואף ניתן למצוא אמירות בעבר שלפיהן החילוט עצמו "אינו עונש", הגם שהוא "אמצעי בעל היבטים </w:t>
      </w:r>
      <w:proofErr w:type="spellStart"/>
      <w:r w:rsidRPr="00C346F6">
        <w:rPr>
          <w:rFonts w:ascii="Century" w:hAnsi="Century" w:hint="cs"/>
          <w:rtl/>
        </w:rPr>
        <w:t>עונשיים</w:t>
      </w:r>
      <w:proofErr w:type="spellEnd"/>
      <w:r w:rsidRPr="00C346F6">
        <w:rPr>
          <w:rFonts w:ascii="Century" w:hAnsi="Century" w:hint="cs"/>
          <w:rtl/>
        </w:rPr>
        <w:t xml:space="preserve">" ו"אמצעי ענישה בהליך הפלילי המשרת תכליות שונות" (דברי השופטת </w:t>
      </w:r>
      <w:r w:rsidRPr="00C346F6">
        <w:rPr>
          <w:rFonts w:ascii="Century" w:hAnsi="Century" w:cs="Miriam" w:hint="cs"/>
          <w:b/>
          <w:spacing w:val="0"/>
          <w:szCs w:val="24"/>
          <w:rtl/>
        </w:rPr>
        <w:t xml:space="preserve">ארבל </w:t>
      </w:r>
      <w:r w:rsidRPr="00C346F6">
        <w:rPr>
          <w:rFonts w:ascii="Century" w:hAnsi="Century" w:hint="cs"/>
          <w:rtl/>
        </w:rPr>
        <w:t>ב</w:t>
      </w:r>
      <w:r w:rsidRPr="00C346F6">
        <w:rPr>
          <w:rFonts w:ascii="Century" w:hAnsi="Century"/>
          <w:rtl/>
        </w:rPr>
        <w:t>בש</w:t>
      </w:r>
      <w:r w:rsidRPr="00C346F6">
        <w:rPr>
          <w:rFonts w:ascii="Century" w:hAnsi="Century" w:hint="cs"/>
          <w:rtl/>
        </w:rPr>
        <w:t>"</w:t>
      </w:r>
      <w:r w:rsidRPr="00C346F6">
        <w:rPr>
          <w:rFonts w:ascii="Century" w:hAnsi="Century"/>
          <w:rtl/>
        </w:rPr>
        <w:t xml:space="preserve">פ 6817/07‏‏ </w:t>
      </w:r>
      <w:r w:rsidRPr="00C346F6">
        <w:rPr>
          <w:rFonts w:ascii="Century" w:hAnsi="Century" w:cs="Miriam"/>
          <w:b/>
          <w:spacing w:val="0"/>
          <w:szCs w:val="24"/>
          <w:rtl/>
        </w:rPr>
        <w:t>מדינת ישראל נ' סיטבון</w:t>
      </w:r>
      <w:r w:rsidRPr="00C346F6">
        <w:rPr>
          <w:rFonts w:ascii="Century" w:hAnsi="Century" w:hint="cs"/>
          <w:rtl/>
        </w:rPr>
        <w:t>, פסקה 34 (31.10.2017)</w:t>
      </w:r>
      <w:r>
        <w:rPr>
          <w:rFonts w:ascii="Century" w:hAnsi="Century" w:hint="cs"/>
          <w:rtl/>
        </w:rPr>
        <w:t xml:space="preserve">; וראו והשוו הצעת חוק סדר הדין הפלילי (חילוט תקבולי עבירה), התשע"ח-2018, </w:t>
      </w:r>
      <w:proofErr w:type="spellStart"/>
      <w:r>
        <w:rPr>
          <w:rFonts w:ascii="Century" w:hAnsi="Century" w:hint="cs"/>
          <w:rtl/>
        </w:rPr>
        <w:t>ה"ח</w:t>
      </w:r>
      <w:proofErr w:type="spellEnd"/>
      <w:r>
        <w:rPr>
          <w:rFonts w:ascii="Century" w:hAnsi="Century" w:hint="cs"/>
          <w:rtl/>
        </w:rPr>
        <w:t xml:space="preserve"> הממשלה 1245, עמ' 1129, שם נאמר כי החילוט אינו עונש, היות שמדובר בהשבת רווחים שהושגו בעבירה שמלכתחילה הנאשם לא יכול לרכוש זכות בהם</w:t>
      </w:r>
      <w:r w:rsidRPr="00C346F6">
        <w:rPr>
          <w:rFonts w:ascii="Century" w:hAnsi="Century" w:hint="cs"/>
          <w:rtl/>
        </w:rPr>
        <w:t xml:space="preserve">). </w:t>
      </w:r>
    </w:p>
    <w:p w:rsidR="00CB004C"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Pr>
          <w:rFonts w:ascii="Century" w:hAnsi="Century"/>
          <w:rtl/>
        </w:rPr>
        <w:lastRenderedPageBreak/>
        <w:tab/>
      </w:r>
      <w:r w:rsidRPr="00C346F6">
        <w:rPr>
          <w:rFonts w:ascii="Century" w:hAnsi="Century" w:hint="cs"/>
          <w:rtl/>
        </w:rPr>
        <w:t xml:space="preserve">מכל מקום, </w:t>
      </w:r>
      <w:r>
        <w:rPr>
          <w:rFonts w:ascii="Century" w:hAnsi="Century" w:hint="cs"/>
          <w:rtl/>
        </w:rPr>
        <w:t xml:space="preserve">דומה כי </w:t>
      </w:r>
      <w:r w:rsidRPr="00C346F6">
        <w:rPr>
          <w:rFonts w:ascii="Century" w:hAnsi="Century" w:hint="cs"/>
          <w:rtl/>
        </w:rPr>
        <w:t xml:space="preserve">הגישה המקובלת שהכתה שורשים בפסיקה תופשת את החילוט כמכשיר שנועד להגשים מגוון תכליות, </w:t>
      </w:r>
      <w:r w:rsidRPr="00C346F6">
        <w:rPr>
          <w:rFonts w:ascii="Century" w:hAnsi="Century" w:cs="Miriam" w:hint="cs"/>
          <w:b/>
          <w:spacing w:val="0"/>
          <w:szCs w:val="24"/>
          <w:rtl/>
        </w:rPr>
        <w:t xml:space="preserve">לרבות תכלית </w:t>
      </w:r>
      <w:proofErr w:type="spellStart"/>
      <w:r w:rsidRPr="00C346F6">
        <w:rPr>
          <w:rFonts w:ascii="Century" w:hAnsi="Century" w:cs="Miriam" w:hint="cs"/>
          <w:b/>
          <w:spacing w:val="0"/>
          <w:szCs w:val="24"/>
          <w:rtl/>
        </w:rPr>
        <w:t>עונשית</w:t>
      </w:r>
      <w:proofErr w:type="spellEnd"/>
      <w:r w:rsidRPr="00C346F6">
        <w:rPr>
          <w:rFonts w:ascii="Century" w:hAnsi="Century" w:hint="cs"/>
          <w:rtl/>
        </w:rPr>
        <w:t>, ואך לאחרונה נזדמן לי לשוב ולעמוד על כך שלצד התכלית ההרתעתית והקניינית, "</w:t>
      </w:r>
      <w:r w:rsidRPr="00C346F6">
        <w:rPr>
          <w:rFonts w:ascii="Century" w:hAnsi="Century" w:cs="Miriam" w:hint="cs"/>
          <w:b/>
          <w:spacing w:val="0"/>
          <w:szCs w:val="24"/>
          <w:rtl/>
        </w:rPr>
        <w:t xml:space="preserve">לחילוט גם מטרה </w:t>
      </w:r>
      <w:proofErr w:type="spellStart"/>
      <w:r w:rsidRPr="00C346F6">
        <w:rPr>
          <w:rFonts w:ascii="Century" w:hAnsi="Century" w:cs="Miriam" w:hint="cs"/>
          <w:b/>
          <w:spacing w:val="0"/>
          <w:szCs w:val="24"/>
          <w:rtl/>
        </w:rPr>
        <w:t>עונשית</w:t>
      </w:r>
      <w:proofErr w:type="spellEnd"/>
      <w:r w:rsidRPr="00C346F6">
        <w:rPr>
          <w:rFonts w:ascii="Century" w:hAnsi="Century" w:hint="cs"/>
          <w:rtl/>
        </w:rPr>
        <w:t>" (</w:t>
      </w:r>
      <w:r w:rsidRPr="00C346F6">
        <w:rPr>
          <w:rFonts w:ascii="Century" w:hAnsi="Century"/>
          <w:rtl/>
        </w:rPr>
        <w:t>ע</w:t>
      </w:r>
      <w:r w:rsidRPr="00C346F6">
        <w:rPr>
          <w:rFonts w:ascii="Century" w:hAnsi="Century" w:hint="cs"/>
          <w:rtl/>
        </w:rPr>
        <w:t>"</w:t>
      </w:r>
      <w:r w:rsidRPr="00C346F6">
        <w:rPr>
          <w:rFonts w:ascii="Century" w:hAnsi="Century"/>
          <w:rtl/>
        </w:rPr>
        <w:t xml:space="preserve">פ 5405/21 </w:t>
      </w:r>
      <w:r w:rsidRPr="00C346F6">
        <w:rPr>
          <w:rFonts w:ascii="Century" w:hAnsi="Century" w:cs="Miriam"/>
          <w:b/>
          <w:spacing w:val="0"/>
          <w:szCs w:val="24"/>
          <w:rtl/>
        </w:rPr>
        <w:t>כהן נ' מדינת ישראל</w:t>
      </w:r>
      <w:r w:rsidRPr="00C346F6">
        <w:rPr>
          <w:rFonts w:ascii="Century" w:hAnsi="Century" w:hint="cs"/>
          <w:rtl/>
        </w:rPr>
        <w:t xml:space="preserve">, פסקה 50 (24.8.2022), ההדגשה הוספה). אף השופט </w:t>
      </w:r>
      <w:r w:rsidRPr="00C346F6">
        <w:rPr>
          <w:rFonts w:ascii="Century" w:hAnsi="Century" w:cs="Miriam" w:hint="cs"/>
          <w:b/>
          <w:spacing w:val="0"/>
          <w:szCs w:val="24"/>
          <w:rtl/>
        </w:rPr>
        <w:t>רובינשטיין</w:t>
      </w:r>
      <w:r w:rsidRPr="00C346F6">
        <w:rPr>
          <w:rFonts w:ascii="Century" w:hAnsi="Century" w:hint="cs"/>
          <w:rtl/>
        </w:rPr>
        <w:t xml:space="preserve"> בע"א </w:t>
      </w:r>
      <w:r w:rsidRPr="00C346F6">
        <w:rPr>
          <w:rFonts w:ascii="Century" w:hAnsi="Century" w:cs="Miriam" w:hint="cs"/>
          <w:b/>
          <w:spacing w:val="0"/>
          <w:szCs w:val="24"/>
          <w:rtl/>
        </w:rPr>
        <w:t>דמארי</w:t>
      </w:r>
      <w:r w:rsidRPr="00C346F6">
        <w:rPr>
          <w:rFonts w:ascii="Century" w:hAnsi="Century" w:hint="cs"/>
          <w:rtl/>
        </w:rPr>
        <w:t xml:space="preserve"> ראה לנכון לציין כי חילוט הוא "</w:t>
      </w:r>
      <w:r w:rsidRPr="00C346F6">
        <w:rPr>
          <w:rFonts w:ascii="Century" w:hAnsi="Century" w:cs="Miriam" w:hint="cs"/>
          <w:b/>
          <w:spacing w:val="0"/>
          <w:szCs w:val="24"/>
          <w:rtl/>
        </w:rPr>
        <w:t>בעצמו כלי עונשי</w:t>
      </w:r>
      <w:r w:rsidRPr="00C346F6">
        <w:rPr>
          <w:rFonts w:ascii="Century" w:hAnsi="Century" w:hint="cs"/>
          <w:rtl/>
        </w:rPr>
        <w:t xml:space="preserve">", להבדיל מתשלומי ההשבה שנדונו באותו מקרה (שם בפסקה צ"ח, ההדגשה הוספה </w:t>
      </w:r>
      <w:r w:rsidRPr="00C346F6">
        <w:rPr>
          <w:rFonts w:ascii="Century" w:hAnsi="Century"/>
          <w:rtl/>
        </w:rPr>
        <w:t>–</w:t>
      </w:r>
      <w:r w:rsidRPr="00C346F6">
        <w:rPr>
          <w:rFonts w:ascii="Century" w:hAnsi="Century" w:hint="cs"/>
          <w:rtl/>
        </w:rPr>
        <w:t xml:space="preserve"> </w:t>
      </w:r>
      <w:proofErr w:type="spellStart"/>
      <w:r w:rsidRPr="00C346F6">
        <w:rPr>
          <w:rFonts w:ascii="Century" w:hAnsi="Century" w:hint="cs"/>
          <w:rtl/>
        </w:rPr>
        <w:t>י"ע</w:t>
      </w:r>
      <w:proofErr w:type="spellEnd"/>
      <w:r>
        <w:rPr>
          <w:rFonts w:ascii="Century" w:hAnsi="Century" w:hint="cs"/>
          <w:rtl/>
        </w:rPr>
        <w:t xml:space="preserve">; </w:t>
      </w:r>
      <w:r w:rsidRPr="00C346F6">
        <w:rPr>
          <w:rFonts w:ascii="Century" w:hAnsi="Century" w:hint="cs"/>
          <w:rtl/>
        </w:rPr>
        <w:t xml:space="preserve">עוד על תכליותיו השונות של החילוט, לרבות זו </w:t>
      </w:r>
      <w:proofErr w:type="spellStart"/>
      <w:r w:rsidRPr="00C346F6">
        <w:rPr>
          <w:rFonts w:ascii="Century" w:hAnsi="Century" w:hint="cs"/>
          <w:rtl/>
        </w:rPr>
        <w:t>העונשית</w:t>
      </w:r>
      <w:proofErr w:type="spellEnd"/>
      <w:r w:rsidRPr="00C346F6">
        <w:rPr>
          <w:rFonts w:ascii="Century" w:hAnsi="Century" w:hint="cs"/>
          <w:rtl/>
        </w:rPr>
        <w:t xml:space="preserve"> או ה"מעין-</w:t>
      </w:r>
      <w:proofErr w:type="spellStart"/>
      <w:r w:rsidRPr="00C346F6">
        <w:rPr>
          <w:rFonts w:ascii="Century" w:hAnsi="Century" w:hint="cs"/>
          <w:rtl/>
        </w:rPr>
        <w:t>עונשית</w:t>
      </w:r>
      <w:proofErr w:type="spellEnd"/>
      <w:r w:rsidRPr="00C346F6">
        <w:rPr>
          <w:rFonts w:ascii="Century" w:hAnsi="Century" w:hint="cs"/>
          <w:rtl/>
        </w:rPr>
        <w:t>", ראו</w:t>
      </w:r>
      <w:r>
        <w:rPr>
          <w:rFonts w:ascii="Century" w:hAnsi="Century" w:hint="cs"/>
          <w:rtl/>
        </w:rPr>
        <w:t>, בין היתר:</w:t>
      </w:r>
      <w:r w:rsidRPr="00C346F6">
        <w:rPr>
          <w:rFonts w:ascii="Century" w:hAnsi="Century" w:hint="cs"/>
          <w:rtl/>
        </w:rPr>
        <w:t xml:space="preserve"> עניין </w:t>
      </w:r>
      <w:proofErr w:type="spellStart"/>
      <w:r w:rsidRPr="00C346F6">
        <w:rPr>
          <w:rFonts w:ascii="Century" w:hAnsi="Century" w:cs="Miriam" w:hint="cs"/>
          <w:b/>
          <w:spacing w:val="0"/>
          <w:szCs w:val="24"/>
          <w:rtl/>
        </w:rPr>
        <w:t>ברהמי</w:t>
      </w:r>
      <w:proofErr w:type="spellEnd"/>
      <w:r w:rsidRPr="00C346F6">
        <w:rPr>
          <w:rFonts w:ascii="Century" w:hAnsi="Century" w:hint="cs"/>
          <w:rtl/>
        </w:rPr>
        <w:t xml:space="preserve">, פסקה 36 וההפניות שם; </w:t>
      </w:r>
      <w:r>
        <w:rPr>
          <w:rFonts w:ascii="Century" w:hAnsi="Century" w:hint="cs"/>
          <w:rtl/>
        </w:rPr>
        <w:t xml:space="preserve">דברי חברי השופט </w:t>
      </w:r>
      <w:proofErr w:type="spellStart"/>
      <w:r w:rsidRPr="00BC166D">
        <w:rPr>
          <w:rFonts w:ascii="Century" w:hAnsi="Century" w:cs="Miriam" w:hint="cs"/>
          <w:b/>
          <w:spacing w:val="0"/>
          <w:szCs w:val="24"/>
          <w:rtl/>
        </w:rPr>
        <w:t>פוגלמן</w:t>
      </w:r>
      <w:proofErr w:type="spellEnd"/>
      <w:r>
        <w:rPr>
          <w:rFonts w:ascii="Century" w:hAnsi="Century" w:hint="cs"/>
          <w:rtl/>
        </w:rPr>
        <w:t xml:space="preserve"> ב</w:t>
      </w:r>
      <w:r w:rsidRPr="00C346F6">
        <w:rPr>
          <w:rFonts w:ascii="Century" w:hAnsi="Century"/>
          <w:rtl/>
        </w:rPr>
        <w:t>ע</w:t>
      </w:r>
      <w:r w:rsidRPr="00C346F6">
        <w:rPr>
          <w:rFonts w:ascii="Century" w:hAnsi="Century" w:hint="cs"/>
          <w:rtl/>
        </w:rPr>
        <w:t>"</w:t>
      </w:r>
      <w:r w:rsidRPr="00C346F6">
        <w:rPr>
          <w:rFonts w:ascii="Century" w:hAnsi="Century"/>
          <w:rtl/>
        </w:rPr>
        <w:t xml:space="preserve">פ 6339/18 </w:t>
      </w:r>
      <w:proofErr w:type="spellStart"/>
      <w:r w:rsidRPr="00C346F6">
        <w:rPr>
          <w:rFonts w:ascii="Century" w:hAnsi="Century" w:cs="Miriam"/>
          <w:b/>
          <w:spacing w:val="0"/>
          <w:szCs w:val="24"/>
          <w:rtl/>
        </w:rPr>
        <w:t>בלווא</w:t>
      </w:r>
      <w:proofErr w:type="spellEnd"/>
      <w:r w:rsidRPr="00C346F6">
        <w:rPr>
          <w:rFonts w:ascii="Century" w:hAnsi="Century" w:cs="Miriam"/>
          <w:b/>
          <w:spacing w:val="0"/>
          <w:szCs w:val="24"/>
          <w:rtl/>
        </w:rPr>
        <w:t xml:space="preserve"> נ' מדינת ישראל</w:t>
      </w:r>
      <w:r w:rsidRPr="00C346F6">
        <w:rPr>
          <w:rFonts w:ascii="Century" w:hAnsi="Century" w:hint="cs"/>
          <w:rtl/>
        </w:rPr>
        <w:t xml:space="preserve">, פסקה 32 לחלק הדן בערעורים על גזר הדין </w:t>
      </w:r>
      <w:r>
        <w:rPr>
          <w:rFonts w:ascii="Century" w:hAnsi="Century" w:hint="cs"/>
          <w:rtl/>
        </w:rPr>
        <w:t xml:space="preserve">והאסמכתאות שם </w:t>
      </w:r>
      <w:r w:rsidRPr="00C346F6">
        <w:rPr>
          <w:rFonts w:ascii="Century" w:hAnsi="Century" w:hint="cs"/>
          <w:rtl/>
        </w:rPr>
        <w:t xml:space="preserve">(15.1.2020); דברי חברתי הנשיאה </w:t>
      </w:r>
      <w:r w:rsidRPr="00C346F6">
        <w:rPr>
          <w:rFonts w:ascii="Century" w:hAnsi="Century" w:cs="Miriam" w:hint="cs"/>
          <w:b/>
          <w:spacing w:val="0"/>
          <w:szCs w:val="24"/>
          <w:rtl/>
        </w:rPr>
        <w:t>חיות</w:t>
      </w:r>
      <w:r w:rsidRPr="00C346F6">
        <w:rPr>
          <w:rFonts w:ascii="Century" w:hAnsi="Century" w:hint="cs"/>
          <w:rtl/>
        </w:rPr>
        <w:t xml:space="preserve"> בהחלטתה לדחות בקשה לקיים דיון נוסף באותה פרשה (</w:t>
      </w:r>
      <w:proofErr w:type="spellStart"/>
      <w:r w:rsidRPr="00C346F6">
        <w:rPr>
          <w:rFonts w:ascii="Century" w:hAnsi="Century" w:hint="cs"/>
          <w:rtl/>
        </w:rPr>
        <w:t>דנ"פ</w:t>
      </w:r>
      <w:proofErr w:type="spellEnd"/>
      <w:r w:rsidRPr="00C346F6">
        <w:rPr>
          <w:rFonts w:ascii="Century" w:hAnsi="Century" w:hint="cs"/>
          <w:rtl/>
        </w:rPr>
        <w:t xml:space="preserve"> </w:t>
      </w:r>
      <w:r w:rsidRPr="00C346F6">
        <w:rPr>
          <w:rFonts w:ascii="Century" w:hAnsi="Century"/>
          <w:rtl/>
        </w:rPr>
        <w:t xml:space="preserve">2168/20 </w:t>
      </w:r>
      <w:proofErr w:type="spellStart"/>
      <w:r w:rsidRPr="00C346F6">
        <w:rPr>
          <w:rFonts w:ascii="Century" w:hAnsi="Century" w:cs="Miriam"/>
          <w:b/>
          <w:spacing w:val="0"/>
          <w:szCs w:val="24"/>
          <w:rtl/>
        </w:rPr>
        <w:t>בלווא</w:t>
      </w:r>
      <w:proofErr w:type="spellEnd"/>
      <w:r w:rsidRPr="00C346F6">
        <w:rPr>
          <w:rFonts w:ascii="Century" w:hAnsi="Century" w:cs="Miriam"/>
          <w:b/>
          <w:spacing w:val="0"/>
          <w:szCs w:val="24"/>
          <w:rtl/>
        </w:rPr>
        <w:t xml:space="preserve"> נ' מדינת ישראל</w:t>
      </w:r>
      <w:r w:rsidRPr="00C346F6">
        <w:rPr>
          <w:rFonts w:ascii="Century" w:hAnsi="Century" w:hint="cs"/>
          <w:rtl/>
        </w:rPr>
        <w:t>, פסקה 9 סיפא (17.6.2020)).</w:t>
      </w:r>
      <w:r>
        <w:rPr>
          <w:rFonts w:ascii="Century" w:hAnsi="Century" w:hint="cs"/>
          <w:rtl/>
        </w:rPr>
        <w:t xml:space="preserve"> </w:t>
      </w:r>
      <w:r w:rsidRPr="00C346F6">
        <w:rPr>
          <w:rFonts w:ascii="Century" w:hAnsi="Century" w:hint="cs"/>
          <w:rtl/>
        </w:rPr>
        <w:t xml:space="preserve">לא למותר לציין כי גם בספרות המשפטית אנו מוצאים התייחסות לחילוט כאל "חלק בלתי נפרד מהאכיפה הפלילית", כאל "אחת הסנקציות המאיימות ביותר כלפי עבריינים", כאל מכשיר "המשרת את מטרות הענישה השונות של הרתעה וגמול", וכאל "עונש לכל דבר" לנוכח הפגיעה הטמונה בנאשם ותכליות הענישה שהחילוט נועד להגשים (מאור אבן-חן </w:t>
      </w:r>
      <w:r w:rsidRPr="00C346F6">
        <w:rPr>
          <w:rFonts w:ascii="Century" w:hAnsi="Century" w:cs="Miriam" w:hint="cs"/>
          <w:b/>
          <w:spacing w:val="0"/>
          <w:szCs w:val="24"/>
          <w:rtl/>
        </w:rPr>
        <w:t>עבירות השוחד</w:t>
      </w:r>
      <w:r w:rsidRPr="00C346F6">
        <w:rPr>
          <w:rFonts w:ascii="Century" w:hAnsi="Century" w:hint="cs"/>
          <w:rtl/>
        </w:rPr>
        <w:t xml:space="preserve"> 224-223 (2017); גיורא עמיר, טלי ירון אלדר ורועי </w:t>
      </w:r>
      <w:proofErr w:type="spellStart"/>
      <w:r w:rsidRPr="00C346F6">
        <w:rPr>
          <w:rFonts w:ascii="Century" w:hAnsi="Century" w:hint="cs"/>
          <w:rtl/>
        </w:rPr>
        <w:t>פלר</w:t>
      </w:r>
      <w:proofErr w:type="spellEnd"/>
      <w:r w:rsidRPr="00C346F6">
        <w:rPr>
          <w:rFonts w:ascii="Century" w:hAnsi="Century" w:hint="cs"/>
          <w:rtl/>
        </w:rPr>
        <w:t xml:space="preserve"> </w:t>
      </w:r>
      <w:r w:rsidRPr="00C346F6">
        <w:rPr>
          <w:rFonts w:ascii="Century" w:hAnsi="Century" w:cs="Miriam" w:hint="cs"/>
          <w:b/>
          <w:spacing w:val="0"/>
          <w:szCs w:val="24"/>
          <w:rtl/>
        </w:rPr>
        <w:t>עבירות מס ועבירות הלבנת הון</w:t>
      </w:r>
      <w:r w:rsidRPr="00C346F6">
        <w:rPr>
          <w:rFonts w:ascii="Century" w:hAnsi="Century" w:hint="cs"/>
          <w:rtl/>
        </w:rPr>
        <w:t xml:space="preserve"> 980 (מהדורה שביעית, 2019) (להלן: </w:t>
      </w:r>
      <w:r w:rsidRPr="00C346F6">
        <w:rPr>
          <w:rFonts w:ascii="Century" w:hAnsi="Century" w:cs="Miriam" w:hint="cs"/>
          <w:b/>
          <w:spacing w:val="0"/>
          <w:szCs w:val="24"/>
          <w:rtl/>
        </w:rPr>
        <w:t xml:space="preserve">עמיר, ירון אלדר </w:t>
      </w:r>
      <w:proofErr w:type="spellStart"/>
      <w:r w:rsidRPr="00C346F6">
        <w:rPr>
          <w:rFonts w:ascii="Century" w:hAnsi="Century" w:cs="Miriam" w:hint="cs"/>
          <w:b/>
          <w:spacing w:val="0"/>
          <w:szCs w:val="24"/>
          <w:rtl/>
        </w:rPr>
        <w:t>ופלר</w:t>
      </w:r>
      <w:proofErr w:type="spellEnd"/>
      <w:r w:rsidRPr="00C346F6">
        <w:rPr>
          <w:rFonts w:ascii="Century" w:hAnsi="Century" w:hint="cs"/>
          <w:rtl/>
        </w:rPr>
        <w:t xml:space="preserve">); יעל גרוסמן, רוני </w:t>
      </w:r>
      <w:proofErr w:type="spellStart"/>
      <w:r w:rsidRPr="00C346F6">
        <w:rPr>
          <w:rFonts w:ascii="Century" w:hAnsi="Century" w:hint="cs"/>
          <w:rtl/>
        </w:rPr>
        <w:t>בלקין</w:t>
      </w:r>
      <w:proofErr w:type="spellEnd"/>
      <w:r w:rsidRPr="00C346F6">
        <w:rPr>
          <w:rFonts w:ascii="Century" w:hAnsi="Century" w:hint="cs"/>
          <w:rtl/>
        </w:rPr>
        <w:t xml:space="preserve"> וסאלי </w:t>
      </w:r>
      <w:proofErr w:type="spellStart"/>
      <w:r w:rsidRPr="00C346F6">
        <w:rPr>
          <w:rFonts w:ascii="Century" w:hAnsi="Century" w:hint="cs"/>
          <w:rtl/>
        </w:rPr>
        <w:t>ליכט</w:t>
      </w:r>
      <w:proofErr w:type="spellEnd"/>
      <w:r w:rsidRPr="00C346F6">
        <w:rPr>
          <w:rFonts w:ascii="Century" w:hAnsi="Century" w:hint="cs"/>
          <w:rtl/>
        </w:rPr>
        <w:t xml:space="preserve"> </w:t>
      </w:r>
      <w:r w:rsidRPr="00C346F6">
        <w:rPr>
          <w:rFonts w:ascii="Century" w:hAnsi="Century" w:cs="Miriam" w:hint="cs"/>
          <w:b/>
          <w:spacing w:val="0"/>
          <w:szCs w:val="24"/>
          <w:rtl/>
        </w:rPr>
        <w:t>איסור הלבנת הון להלכה ולמעשה</w:t>
      </w:r>
      <w:r w:rsidRPr="00C346F6">
        <w:rPr>
          <w:rFonts w:ascii="Century" w:hAnsi="Century" w:hint="cs"/>
          <w:rtl/>
        </w:rPr>
        <w:t xml:space="preserve"> 131 (מהדורה שניה מורחבת, 2013)</w:t>
      </w:r>
      <w:r>
        <w:rPr>
          <w:rFonts w:ascii="Century" w:hAnsi="Century" w:hint="cs"/>
          <w:rtl/>
        </w:rPr>
        <w:t>).</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46.</w:t>
      </w:r>
      <w:r w:rsidRPr="00C346F6">
        <w:rPr>
          <w:rFonts w:ascii="Century" w:hAnsi="Century" w:hint="cs"/>
          <w:rtl/>
        </w:rPr>
        <w:tab/>
        <w:t xml:space="preserve">בהמשך לאמור, ובדומה לעמדתו של השופט </w:t>
      </w:r>
      <w:r w:rsidRPr="00C346F6">
        <w:rPr>
          <w:rFonts w:ascii="Century" w:hAnsi="Century" w:cs="Miriam" w:hint="cs"/>
          <w:b/>
          <w:spacing w:val="0"/>
          <w:szCs w:val="24"/>
          <w:rtl/>
        </w:rPr>
        <w:t>קרא</w:t>
      </w:r>
      <w:r w:rsidRPr="00C346F6">
        <w:rPr>
          <w:rFonts w:ascii="Century" w:hAnsi="Century" w:hint="cs"/>
          <w:rtl/>
        </w:rPr>
        <w:t>, איני סבור כי לשונו של סעיף 21(א) לחוק איסור הלבנת הון, המסמיכה את בית המשפט לצוות על חילוט רכוש "</w:t>
      </w:r>
      <w:r w:rsidRPr="00C346F6">
        <w:rPr>
          <w:rFonts w:ascii="Century" w:hAnsi="Century" w:cs="Miriam" w:hint="cs"/>
          <w:b/>
          <w:spacing w:val="0"/>
          <w:szCs w:val="24"/>
          <w:rtl/>
        </w:rPr>
        <w:t>נוסף על כל עונש</w:t>
      </w:r>
      <w:r w:rsidRPr="00C346F6">
        <w:rPr>
          <w:rFonts w:ascii="Century" w:hAnsi="Century" w:hint="cs"/>
          <w:rtl/>
        </w:rPr>
        <w:t xml:space="preserve">", מלמדת כשלעצמה על שלילת אופיו </w:t>
      </w:r>
      <w:proofErr w:type="spellStart"/>
      <w:r w:rsidRPr="00C346F6">
        <w:rPr>
          <w:rFonts w:ascii="Century" w:hAnsi="Century" w:hint="cs"/>
          <w:rtl/>
        </w:rPr>
        <w:t>העונשי</w:t>
      </w:r>
      <w:proofErr w:type="spellEnd"/>
      <w:r w:rsidRPr="00C346F6">
        <w:rPr>
          <w:rFonts w:ascii="Century" w:hAnsi="Century" w:hint="cs"/>
          <w:rtl/>
        </w:rPr>
        <w:t xml:space="preserve"> של החילוט. הגם שפרשנות שכזו אפשרית מבחינה לשונית ולעתים עשויה להיות הגיונית מבחינה תוכנית </w:t>
      </w:r>
      <w:r w:rsidRPr="00C346F6">
        <w:rPr>
          <w:rFonts w:ascii="Century" w:hAnsi="Century"/>
          <w:rtl/>
        </w:rPr>
        <w:t>–</w:t>
      </w:r>
      <w:r w:rsidRPr="00C346F6">
        <w:rPr>
          <w:rFonts w:ascii="Century" w:hAnsi="Century" w:hint="cs"/>
          <w:rtl/>
        </w:rPr>
        <w:t xml:space="preserve"> לא זה המצב בהקשר שלפנינו. אפרט קמעה.</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צירוף המילים "נוסף על כל עונש" מופיע בשורה ארוכה של דברי חקיקה בהקשרים מגוונים. יש שהסנקציה שעליה מדבר הסעיף ('הנוספת לכל עונש') מגשימה תכלית </w:t>
      </w:r>
      <w:proofErr w:type="spellStart"/>
      <w:r w:rsidRPr="00C346F6">
        <w:rPr>
          <w:rFonts w:ascii="Century" w:hAnsi="Century" w:hint="cs"/>
          <w:rtl/>
        </w:rPr>
        <w:t>עונשית</w:t>
      </w:r>
      <w:proofErr w:type="spellEnd"/>
      <w:r w:rsidRPr="00C346F6">
        <w:rPr>
          <w:rFonts w:ascii="Century" w:hAnsi="Century" w:hint="cs"/>
          <w:rtl/>
        </w:rPr>
        <w:t xml:space="preserve"> מובהקת, ויש שהיא נועדה להגשים תכליות אחרות כגון תכלית מניעתית או תכלית מעין-תרופתית של השבת המצב לקדמותו. נדגים את הדברים באמצעות אי-אלו הוראות חוק, </w:t>
      </w:r>
      <w:proofErr w:type="spellStart"/>
      <w:r w:rsidRPr="00C346F6">
        <w:rPr>
          <w:rFonts w:ascii="Century" w:hAnsi="Century" w:hint="cs"/>
          <w:rtl/>
        </w:rPr>
        <w:t>מו</w:t>
      </w:r>
      <w:r w:rsidRPr="00C346F6">
        <w:rPr>
          <w:rFonts w:ascii="FrankRuehl" w:hAnsi="FrankRuehl"/>
          <w:rtl/>
        </w:rPr>
        <w:t>כּ</w:t>
      </w:r>
      <w:r w:rsidRPr="00C346F6">
        <w:rPr>
          <w:rFonts w:ascii="Century" w:hAnsi="Century" w:hint="cs"/>
          <w:rtl/>
        </w:rPr>
        <w:t>רות</w:t>
      </w:r>
      <w:proofErr w:type="spellEnd"/>
      <w:r w:rsidRPr="00C346F6">
        <w:rPr>
          <w:rFonts w:ascii="Century" w:hAnsi="Century" w:hint="cs"/>
          <w:rtl/>
        </w:rPr>
        <w:t xml:space="preserve"> יותר </w:t>
      </w:r>
      <w:proofErr w:type="spellStart"/>
      <w:r w:rsidRPr="00C346F6">
        <w:rPr>
          <w:rFonts w:ascii="Century" w:hAnsi="Century" w:hint="cs"/>
          <w:rtl/>
        </w:rPr>
        <w:t>ומו</w:t>
      </w:r>
      <w:r w:rsidRPr="00C346F6">
        <w:rPr>
          <w:rFonts w:ascii="FrankRuehl" w:hAnsi="FrankRuehl"/>
          <w:rtl/>
        </w:rPr>
        <w:t>כּ</w:t>
      </w:r>
      <w:r w:rsidRPr="00C346F6">
        <w:rPr>
          <w:rFonts w:ascii="Century" w:hAnsi="Century" w:hint="cs"/>
          <w:rtl/>
        </w:rPr>
        <w:t>רות</w:t>
      </w:r>
      <w:proofErr w:type="spellEnd"/>
      <w:r w:rsidRPr="00C346F6">
        <w:rPr>
          <w:rFonts w:ascii="Century" w:hAnsi="Century" w:hint="cs"/>
          <w:rtl/>
        </w:rPr>
        <w:t xml:space="preserve"> פחות, המשקפות זאת:</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לפי סעיף 130(ג) לחוק הבחירות לכנסת [נוסח משולב], התשכ"ט-1969, מקום שבו בית המשפט הרשיע עובד מדינה או חייל בלקיחת חלק בתעמולת בחירות, עליו </w:t>
      </w:r>
      <w:r w:rsidRPr="00C346F6">
        <w:rPr>
          <w:rFonts w:ascii="Century" w:hAnsi="Century" w:hint="cs"/>
          <w:rtl/>
        </w:rPr>
        <w:lastRenderedPageBreak/>
        <w:t xml:space="preserve">להורות "בנוסף על כל עונש" על השעייתו מעבודתו או ממילוי תפקידו, ללא תשלום, עד ליום הבחירות; לפי סעיף 13(ג)(1א)(ב)(1) לחוק שמירת </w:t>
      </w:r>
      <w:proofErr w:type="spellStart"/>
      <w:r w:rsidRPr="00C346F6">
        <w:rPr>
          <w:rFonts w:ascii="Century" w:hAnsi="Century" w:hint="cs"/>
          <w:rtl/>
        </w:rPr>
        <w:t>הנקיון</w:t>
      </w:r>
      <w:proofErr w:type="spellEnd"/>
      <w:r w:rsidRPr="00C346F6">
        <w:rPr>
          <w:rFonts w:ascii="Century" w:hAnsi="Century" w:hint="cs"/>
          <w:rtl/>
        </w:rPr>
        <w:t xml:space="preserve">, התשמ"ד-1984, בית המשפט רשאי, "נוסף על כל עונש ועל אף האמור בכל דין", לפסול למשך שנה רישיון נהיגה של אדם שהשליך פסולת בניגוד לחוק; לפי סעיף 35(ב) לפקודת הטבק [נוסח חדש], ניתן לחייב יצרן טבק בתשלום </w:t>
      </w:r>
      <w:r w:rsidRPr="00C346F6">
        <w:rPr>
          <w:rFonts w:ascii="Century" w:hAnsi="Century" w:cs="Miriam" w:hint="cs"/>
          <w:b/>
          <w:spacing w:val="0"/>
          <w:szCs w:val="24"/>
          <w:rtl/>
        </w:rPr>
        <w:t>כפל</w:t>
      </w:r>
      <w:r w:rsidRPr="00C346F6">
        <w:rPr>
          <w:rFonts w:ascii="Century" w:hAnsi="Century" w:hint="cs"/>
          <w:rtl/>
        </w:rPr>
        <w:t xml:space="preserve"> הבלו בגין כמות טבק חסרה, וזאת "נוסף על כל עונש שניתן להטילו". אלו הן דוגמאות לסנקציות </w:t>
      </w:r>
      <w:proofErr w:type="spellStart"/>
      <w:r w:rsidRPr="00C346F6">
        <w:rPr>
          <w:rFonts w:ascii="Century" w:hAnsi="Century" w:cs="Miriam" w:hint="cs"/>
          <w:b/>
          <w:spacing w:val="0"/>
          <w:szCs w:val="24"/>
          <w:rtl/>
        </w:rPr>
        <w:t>עונשיות</w:t>
      </w:r>
      <w:proofErr w:type="spellEnd"/>
      <w:r w:rsidRPr="00C346F6">
        <w:rPr>
          <w:rFonts w:ascii="Century" w:hAnsi="Century" w:hint="cs"/>
          <w:rtl/>
        </w:rPr>
        <w:t xml:space="preserve"> שבית המשפט רשאי להשית "נוסף על כל עונש".</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בדברי חקיקה אחרים הביטוי "נוסף על כל עונש" מתייחס לסנקציות שנועדו להגשים תכליות אחרות. לדוגמה, סעיף 17(ו) לח</w:t>
      </w:r>
      <w:r w:rsidRPr="00C346F6">
        <w:rPr>
          <w:rFonts w:ascii="Century" w:hAnsi="Century"/>
          <w:rtl/>
        </w:rPr>
        <w:t xml:space="preserve">וק צער בעלי חיים (הגנה על בעלי חיים), </w:t>
      </w:r>
      <w:r w:rsidRPr="00C346F6">
        <w:rPr>
          <w:rFonts w:ascii="Century" w:hAnsi="Century" w:hint="cs"/>
          <w:rtl/>
        </w:rPr>
        <w:t>ה</w:t>
      </w:r>
      <w:r w:rsidRPr="00C346F6">
        <w:rPr>
          <w:rFonts w:ascii="Century" w:hAnsi="Century"/>
          <w:rtl/>
        </w:rPr>
        <w:t>תשנ"ד-1994</w:t>
      </w:r>
      <w:r w:rsidRPr="00C346F6">
        <w:rPr>
          <w:rFonts w:ascii="Century" w:hAnsi="Century" w:hint="cs"/>
          <w:rtl/>
        </w:rPr>
        <w:t xml:space="preserve"> קובע כי בית המשפט רשאי לצוות, "נוסף על כל עונש שיטיל", כי אדם שהורשע יוגבל מלהחזיק בעלי חיים לתקופה שיקבע, אם "מצא בית המשפט כי נוכח אופי העבירה ונסיבותיה הדבר נחוץ להגנה על בעלי חיים". זוהי דוגמה לתכלית </w:t>
      </w:r>
      <w:r w:rsidRPr="00C346F6">
        <w:rPr>
          <w:rFonts w:ascii="Century" w:hAnsi="Century" w:cs="Miriam" w:hint="cs"/>
          <w:b/>
          <w:spacing w:val="0"/>
          <w:szCs w:val="24"/>
          <w:rtl/>
        </w:rPr>
        <w:t>מניעתית</w:t>
      </w:r>
      <w:r w:rsidRPr="00C346F6">
        <w:rPr>
          <w:rFonts w:ascii="Century" w:hAnsi="Century" w:hint="cs"/>
          <w:rtl/>
        </w:rPr>
        <w:t xml:space="preserve"> (הגם שמדובר במקרה ייחודי שבו התכלית מופיעה במפורש בהוראת הסעיף). </w:t>
      </w:r>
    </w:p>
    <w:p w:rsidR="00CB004C" w:rsidRPr="00C346F6" w:rsidRDefault="00CB004C" w:rsidP="00CB004C">
      <w:pPr>
        <w:pStyle w:val="Ruller41"/>
        <w:rPr>
          <w:rFonts w:ascii="Century" w:hAnsi="Century"/>
          <w:rtl/>
        </w:rPr>
      </w:pPr>
      <w:r w:rsidRPr="00C346F6">
        <w:rPr>
          <w:rFonts w:ascii="Century" w:hAnsi="Century"/>
          <w:rtl/>
        </w:rPr>
        <w:tab/>
      </w: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בהוראות חוק אחרות הצירוף "נוסף על כל עונש" מתייחס לסנקציות </w:t>
      </w:r>
      <w:r w:rsidRPr="00C346F6">
        <w:rPr>
          <w:rFonts w:ascii="Century" w:hAnsi="Century" w:cs="Miriam" w:hint="cs"/>
          <w:b/>
          <w:spacing w:val="0"/>
          <w:szCs w:val="24"/>
          <w:rtl/>
        </w:rPr>
        <w:t>מעין- תרופתיות</w:t>
      </w:r>
      <w:r w:rsidRPr="00C346F6">
        <w:rPr>
          <w:rFonts w:ascii="Century" w:hAnsi="Century" w:hint="cs"/>
          <w:rtl/>
        </w:rPr>
        <w:t xml:space="preserve"> שנועדו על פניהן להשיב את המצב לקדמותו. לדוגמה, סעיף 17א(ג) לחוק הקרינה הבלתי מייננת, התשס"ו-2006 מסמיך את בית המשפט לחייב בגזר הדין את האדם שהורשע, "נוסף על כל עונש שיטיל", בתשלום הוצאות שהוצאו לצורך סילוק מקור הקרינה.</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47.</w:t>
      </w:r>
      <w:r w:rsidRPr="00C346F6">
        <w:rPr>
          <w:rFonts w:ascii="Century" w:hAnsi="Century"/>
          <w:rtl/>
        </w:rPr>
        <w:tab/>
      </w:r>
      <w:r w:rsidRPr="00C346F6">
        <w:rPr>
          <w:rFonts w:ascii="Century" w:hAnsi="Century" w:hint="cs"/>
          <w:rtl/>
        </w:rPr>
        <w:t xml:space="preserve">יתרה מכך. לא אחת, באותו דבר חקיקה, בגדרה של אותה משבצת קונקרטית של "נוסף על כל עונש" ובאותו סעיף חוק ממש, משמשות בערבוביה סנקציות שונות שנועדו להגשים תכליות שונות. לדוגמה, תחת סעיף 259(א) לחוק הגנה על בריאות הציבור (מזון), התשע"ו-2015 מפורטות מספר סנקציות שבית המשפט רשאי להשית בגזר דינו על אדם שהורשע "נוסף על כל עונש שיטיל": </w:t>
      </w:r>
      <w:proofErr w:type="spellStart"/>
      <w:r w:rsidRPr="00C346F6">
        <w:rPr>
          <w:rFonts w:ascii="Century" w:hAnsi="Century" w:hint="cs"/>
          <w:rtl/>
        </w:rPr>
        <w:t>ס"ק</w:t>
      </w:r>
      <w:proofErr w:type="spellEnd"/>
      <w:r w:rsidRPr="00C346F6">
        <w:rPr>
          <w:rFonts w:ascii="Century" w:hAnsi="Century" w:hint="cs"/>
          <w:rtl/>
        </w:rPr>
        <w:t xml:space="preserve"> (1)-(2) מסמיכים את בית המשפט לצוות על החזרה יזומה של המזון מדרכי השיווק או חיוב בתשלום ההוצאות הדרושות שהוצאו לשם כך (קרי </w:t>
      </w:r>
      <w:r w:rsidRPr="00C346F6">
        <w:rPr>
          <w:rFonts w:ascii="Century" w:hAnsi="Century"/>
          <w:rtl/>
        </w:rPr>
        <w:t>–</w:t>
      </w:r>
      <w:r w:rsidRPr="00C346F6">
        <w:rPr>
          <w:rFonts w:ascii="Century" w:hAnsi="Century" w:hint="cs"/>
          <w:rtl/>
        </w:rPr>
        <w:t xml:space="preserve"> </w:t>
      </w:r>
      <w:r w:rsidRPr="00C346F6">
        <w:rPr>
          <w:rFonts w:ascii="Century" w:hAnsi="Century" w:cs="Miriam" w:hint="cs"/>
          <w:b/>
          <w:spacing w:val="0"/>
          <w:szCs w:val="24"/>
          <w:rtl/>
        </w:rPr>
        <w:t>מניעה והשבת המצב לקדמותו</w:t>
      </w:r>
      <w:r w:rsidRPr="00C346F6">
        <w:rPr>
          <w:rFonts w:ascii="Century" w:hAnsi="Century" w:hint="cs"/>
          <w:rtl/>
        </w:rPr>
        <w:t xml:space="preserve">); בעוד </w:t>
      </w:r>
      <w:proofErr w:type="spellStart"/>
      <w:r w:rsidRPr="00C346F6">
        <w:rPr>
          <w:rFonts w:ascii="Century" w:hAnsi="Century" w:hint="cs"/>
          <w:rtl/>
        </w:rPr>
        <w:t>שס"ק</w:t>
      </w:r>
      <w:proofErr w:type="spellEnd"/>
      <w:r w:rsidRPr="00C346F6">
        <w:rPr>
          <w:rFonts w:ascii="Century" w:hAnsi="Century" w:hint="cs"/>
          <w:rtl/>
        </w:rPr>
        <w:t xml:space="preserve"> (3) </w:t>
      </w:r>
      <w:r w:rsidRPr="00C346F6">
        <w:rPr>
          <w:rStyle w:val="default"/>
          <w:rFonts w:ascii="Century" w:hAnsi="Century" w:hint="cs"/>
          <w:rtl/>
        </w:rPr>
        <w:t>מסמיך את בית המשפט להורות על שלילת רישיון או תעודה לצמיתות או לתקופה שיקבע</w:t>
      </w:r>
      <w:r w:rsidRPr="00C346F6">
        <w:rPr>
          <w:rFonts w:ascii="Century" w:hAnsi="Century" w:hint="cs"/>
          <w:rtl/>
        </w:rPr>
        <w:t xml:space="preserve"> (קרי </w:t>
      </w:r>
      <w:r w:rsidRPr="00C346F6">
        <w:rPr>
          <w:rFonts w:ascii="Century" w:hAnsi="Century"/>
          <w:rtl/>
        </w:rPr>
        <w:t>–</w:t>
      </w:r>
      <w:r w:rsidRPr="00C346F6">
        <w:rPr>
          <w:rFonts w:ascii="Century" w:hAnsi="Century" w:hint="cs"/>
          <w:rtl/>
        </w:rPr>
        <w:t xml:space="preserve"> </w:t>
      </w:r>
      <w:r w:rsidRPr="00C346F6">
        <w:rPr>
          <w:rFonts w:ascii="Century" w:hAnsi="Century" w:cs="Miriam" w:hint="cs"/>
          <w:b/>
          <w:spacing w:val="0"/>
          <w:szCs w:val="24"/>
          <w:rtl/>
        </w:rPr>
        <w:t xml:space="preserve">תכלית </w:t>
      </w:r>
      <w:proofErr w:type="spellStart"/>
      <w:r w:rsidRPr="00C346F6">
        <w:rPr>
          <w:rFonts w:ascii="Century" w:hAnsi="Century" w:cs="Miriam" w:hint="cs"/>
          <w:b/>
          <w:spacing w:val="0"/>
          <w:szCs w:val="24"/>
          <w:rtl/>
        </w:rPr>
        <w:t>עונשית</w:t>
      </w:r>
      <w:proofErr w:type="spellEnd"/>
      <w:r w:rsidRPr="00C346F6">
        <w:rPr>
          <w:rFonts w:ascii="Century" w:hAnsi="Century" w:hint="cs"/>
          <w:rtl/>
        </w:rPr>
        <w:t xml:space="preserve">). הוראות דומות אנו מוצאים בסעיף 57(ז) לחוק </w:t>
      </w:r>
      <w:r w:rsidRPr="00C346F6">
        <w:rPr>
          <w:rFonts w:ascii="Century" w:hAnsi="Century"/>
          <w:rtl/>
        </w:rPr>
        <w:t xml:space="preserve">למניעת מפגעי אסבסט ואבק מזיק, </w:t>
      </w:r>
      <w:r w:rsidRPr="00C346F6">
        <w:rPr>
          <w:rFonts w:ascii="Century" w:hAnsi="Century" w:hint="cs"/>
          <w:rtl/>
        </w:rPr>
        <w:t>ה</w:t>
      </w:r>
      <w:r w:rsidRPr="00C346F6">
        <w:rPr>
          <w:rFonts w:ascii="Century" w:hAnsi="Century"/>
          <w:rtl/>
        </w:rPr>
        <w:t>תשע"א-2011</w:t>
      </w:r>
      <w:r w:rsidRPr="00C346F6">
        <w:rPr>
          <w:rFonts w:ascii="Century" w:hAnsi="Century" w:hint="cs"/>
          <w:rtl/>
        </w:rPr>
        <w:t xml:space="preserve"> (שם </w:t>
      </w:r>
      <w:proofErr w:type="spellStart"/>
      <w:r w:rsidRPr="00C346F6">
        <w:rPr>
          <w:rFonts w:ascii="Century" w:hAnsi="Century" w:hint="cs"/>
          <w:rtl/>
        </w:rPr>
        <w:t>בס"ק</w:t>
      </w:r>
      <w:proofErr w:type="spellEnd"/>
      <w:r w:rsidRPr="00C346F6">
        <w:rPr>
          <w:rFonts w:ascii="Century" w:hAnsi="Century" w:hint="cs"/>
          <w:rtl/>
        </w:rPr>
        <w:t xml:space="preserve"> (1)-(3)).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דוגמה נוספת מצויה </w:t>
      </w:r>
      <w:r>
        <w:rPr>
          <w:rFonts w:ascii="Century" w:hAnsi="Century" w:hint="cs"/>
          <w:rtl/>
        </w:rPr>
        <w:t>ב</w:t>
      </w:r>
      <w:r w:rsidRPr="00C346F6">
        <w:rPr>
          <w:rFonts w:ascii="Century" w:hAnsi="Century" w:hint="cs"/>
          <w:rtl/>
        </w:rPr>
        <w:t xml:space="preserve">חוק </w:t>
      </w:r>
      <w:r w:rsidRPr="00C346F6">
        <w:rPr>
          <w:rFonts w:ascii="Century" w:hAnsi="Century"/>
          <w:rtl/>
        </w:rPr>
        <w:t xml:space="preserve">שמירת הסביבה החופית, </w:t>
      </w:r>
      <w:r w:rsidRPr="00C346F6">
        <w:rPr>
          <w:rFonts w:ascii="Century" w:hAnsi="Century" w:hint="cs"/>
          <w:rtl/>
        </w:rPr>
        <w:t>ה</w:t>
      </w:r>
      <w:r w:rsidRPr="00C346F6">
        <w:rPr>
          <w:rFonts w:ascii="Century" w:hAnsi="Century"/>
          <w:rtl/>
        </w:rPr>
        <w:t>תשס"ד-2004</w:t>
      </w:r>
      <w:r w:rsidRPr="00C346F6">
        <w:rPr>
          <w:rFonts w:ascii="Century" w:hAnsi="Century" w:hint="cs"/>
          <w:rtl/>
        </w:rPr>
        <w:t xml:space="preserve">. סעיפים 11(ג)(1)-(2) מסמיכים את בית המשפט לצוות על תיקון פגיעה או נשיאה בהוצאות תיקון </w:t>
      </w:r>
      <w:r w:rsidRPr="00C346F6">
        <w:rPr>
          <w:rFonts w:ascii="Century" w:hAnsi="Century" w:hint="cs"/>
          <w:rtl/>
        </w:rPr>
        <w:lastRenderedPageBreak/>
        <w:t xml:space="preserve">הפגיעה (קרי </w:t>
      </w:r>
      <w:r w:rsidRPr="00C346F6">
        <w:rPr>
          <w:rFonts w:ascii="Century" w:hAnsi="Century"/>
          <w:rtl/>
        </w:rPr>
        <w:t>–</w:t>
      </w:r>
      <w:r w:rsidRPr="00C346F6">
        <w:rPr>
          <w:rFonts w:ascii="Century" w:hAnsi="Century" w:hint="cs"/>
          <w:rtl/>
        </w:rPr>
        <w:t xml:space="preserve"> </w:t>
      </w:r>
      <w:r w:rsidRPr="00C346F6">
        <w:rPr>
          <w:rFonts w:ascii="Century" w:hAnsi="Century" w:cs="Miriam" w:hint="cs"/>
          <w:b/>
          <w:spacing w:val="0"/>
          <w:szCs w:val="24"/>
          <w:rtl/>
        </w:rPr>
        <w:t>השבת המצב לקדמותו</w:t>
      </w:r>
      <w:r w:rsidRPr="00C346F6">
        <w:rPr>
          <w:rFonts w:ascii="Century" w:hAnsi="Century" w:hint="cs"/>
          <w:rtl/>
        </w:rPr>
        <w:t xml:space="preserve">); בעוד </w:t>
      </w:r>
      <w:proofErr w:type="spellStart"/>
      <w:r w:rsidRPr="00C346F6">
        <w:rPr>
          <w:rFonts w:ascii="Century" w:hAnsi="Century" w:hint="cs"/>
          <w:rtl/>
        </w:rPr>
        <w:t>שס"ק</w:t>
      </w:r>
      <w:proofErr w:type="spellEnd"/>
      <w:r w:rsidRPr="00C346F6">
        <w:rPr>
          <w:rFonts w:ascii="Century" w:hAnsi="Century" w:hint="cs"/>
          <w:rtl/>
        </w:rPr>
        <w:t xml:space="preserve"> (3) מאפשר לבית המשפט להורות על פסילת אדם מלהחזיק ברישיון נהיגה לתקופה של עד 120 יום אם העבירה בוצעה באמצעות רכב (קרי </w:t>
      </w:r>
      <w:r w:rsidRPr="00C346F6">
        <w:rPr>
          <w:rFonts w:ascii="Century" w:hAnsi="Century"/>
          <w:rtl/>
        </w:rPr>
        <w:t>–</w:t>
      </w:r>
      <w:r w:rsidRPr="00C346F6">
        <w:rPr>
          <w:rFonts w:ascii="Century" w:hAnsi="Century" w:hint="cs"/>
          <w:rtl/>
        </w:rPr>
        <w:t xml:space="preserve"> </w:t>
      </w:r>
      <w:r w:rsidRPr="00C346F6">
        <w:rPr>
          <w:rFonts w:ascii="Century" w:hAnsi="Century" w:cs="Miriam" w:hint="cs"/>
          <w:b/>
          <w:spacing w:val="0"/>
          <w:szCs w:val="24"/>
          <w:rtl/>
        </w:rPr>
        <w:t xml:space="preserve">תכלית </w:t>
      </w:r>
      <w:proofErr w:type="spellStart"/>
      <w:r w:rsidRPr="00C346F6">
        <w:rPr>
          <w:rFonts w:ascii="Century" w:hAnsi="Century" w:cs="Miriam" w:hint="cs"/>
          <w:b/>
          <w:spacing w:val="0"/>
          <w:szCs w:val="24"/>
          <w:rtl/>
        </w:rPr>
        <w:t>עונשית</w:t>
      </w:r>
      <w:proofErr w:type="spellEnd"/>
      <w:r w:rsidRPr="00C346F6">
        <w:rPr>
          <w:rFonts w:ascii="Century" w:hAnsi="Century" w:hint="cs"/>
          <w:rtl/>
        </w:rPr>
        <w:t>), והכל תחת אותה "הוראת מסגרת" בסעיף 11(ג) המאפשרת לבית המשפט להשית סנקציות "נוסף על כל עונש".</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[במאמר מוסגר: ישנן הוראות בדברי חקיקה אחרים הקובעות כי בית המשפט רשאי, "נוסף על כל עונש </w:t>
      </w:r>
      <w:r w:rsidRPr="00C346F6">
        <w:rPr>
          <w:rFonts w:ascii="Century" w:hAnsi="Century" w:cs="Miriam" w:hint="cs"/>
          <w:b/>
          <w:spacing w:val="0"/>
          <w:szCs w:val="24"/>
          <w:rtl/>
        </w:rPr>
        <w:t>אחר</w:t>
      </w:r>
      <w:r w:rsidRPr="00C346F6">
        <w:rPr>
          <w:rFonts w:ascii="Century" w:hAnsi="Century" w:hint="cs"/>
          <w:rtl/>
        </w:rPr>
        <w:t xml:space="preserve">", להשית סנקציות שונות, מה שמלמד לכאורה שהסנקציה "הנוספת" היא סנקציה </w:t>
      </w:r>
      <w:proofErr w:type="spellStart"/>
      <w:r w:rsidRPr="00C346F6">
        <w:rPr>
          <w:rFonts w:ascii="Century" w:hAnsi="Century" w:hint="cs"/>
          <w:rtl/>
        </w:rPr>
        <w:t>עונשית</w:t>
      </w:r>
      <w:proofErr w:type="spellEnd"/>
      <w:r w:rsidRPr="00C346F6">
        <w:rPr>
          <w:rFonts w:ascii="Century" w:hAnsi="Century" w:hint="cs"/>
          <w:rtl/>
        </w:rPr>
        <w:t>. ראו לדוגמה: סעיף 19מח ל</w:t>
      </w:r>
      <w:r w:rsidRPr="00C346F6">
        <w:rPr>
          <w:rFonts w:ascii="Century" w:hAnsi="Century"/>
          <w:rtl/>
        </w:rPr>
        <w:t xml:space="preserve">חוק שוויון זכויות לאנשים עם מוגבלות, </w:t>
      </w:r>
      <w:r w:rsidRPr="00C346F6">
        <w:rPr>
          <w:rFonts w:ascii="Century" w:hAnsi="Century" w:hint="cs"/>
          <w:rtl/>
        </w:rPr>
        <w:t>ה</w:t>
      </w:r>
      <w:r w:rsidRPr="00C346F6">
        <w:rPr>
          <w:rFonts w:ascii="Century" w:hAnsi="Century"/>
          <w:rtl/>
        </w:rPr>
        <w:t>תשנ"ח-1998</w:t>
      </w:r>
      <w:r w:rsidRPr="00C346F6">
        <w:rPr>
          <w:rFonts w:ascii="Century" w:hAnsi="Century" w:hint="cs"/>
          <w:rtl/>
        </w:rPr>
        <w:t>; סעיף 9(ב) לחוק איסור</w:t>
      </w:r>
      <w:r w:rsidRPr="00C346F6">
        <w:rPr>
          <w:rFonts w:ascii="Century" w:hAnsi="Century"/>
          <w:rtl/>
        </w:rPr>
        <w:t xml:space="preserve"> הפליה במוצרים, בשירותים ובכניסה למקומות בידור ולמקומות ציבוריים, </w:t>
      </w:r>
      <w:r w:rsidRPr="00C346F6">
        <w:rPr>
          <w:rFonts w:ascii="Century" w:hAnsi="Century" w:hint="cs"/>
          <w:rtl/>
        </w:rPr>
        <w:t>ה</w:t>
      </w:r>
      <w:r w:rsidRPr="00C346F6">
        <w:rPr>
          <w:rFonts w:ascii="Century" w:hAnsi="Century"/>
          <w:rtl/>
        </w:rPr>
        <w:t>תשס"א-2000</w:t>
      </w:r>
      <w:r w:rsidRPr="00C346F6">
        <w:rPr>
          <w:rFonts w:ascii="Century" w:hAnsi="Century" w:hint="cs"/>
          <w:rtl/>
        </w:rPr>
        <w:t>; סעיף 4א(ג) לחוק חניה לנכים, התשנ"ד-1993; סעיפים 7ב ו-7ג לחוק איסור נהיגה בחוף הים, התשנ"ז-1997].</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48.</w:t>
      </w:r>
      <w:r w:rsidRPr="00C346F6">
        <w:rPr>
          <w:rFonts w:ascii="Century" w:hAnsi="Century"/>
          <w:rtl/>
        </w:rPr>
        <w:tab/>
      </w:r>
      <w:r w:rsidRPr="00C346F6">
        <w:rPr>
          <w:rFonts w:ascii="Century" w:hAnsi="Century" w:hint="cs"/>
          <w:rtl/>
        </w:rPr>
        <w:t xml:space="preserve">שלל הדוגמאות שהובאו לעיל מלמדות כי אין בנקיטת לשון "נוסף על כל עונש" כדי ללמד על העדר תכלית </w:t>
      </w:r>
      <w:proofErr w:type="spellStart"/>
      <w:r w:rsidRPr="00C346F6">
        <w:rPr>
          <w:rFonts w:ascii="Century" w:hAnsi="Century" w:hint="cs"/>
          <w:rtl/>
        </w:rPr>
        <w:t>עונשית</w:t>
      </w:r>
      <w:proofErr w:type="spellEnd"/>
      <w:r w:rsidRPr="00C346F6">
        <w:rPr>
          <w:rFonts w:ascii="Century" w:hAnsi="Century" w:hint="cs"/>
          <w:rtl/>
        </w:rPr>
        <w:t xml:space="preserve"> לסנקציה הרלוונטית. ואכן, כפי שהוסבר ופורט לעיל, לא ניתן לחלוק כיום על כך שסנקציית החילוט היא בעלת היבטים </w:t>
      </w:r>
      <w:proofErr w:type="spellStart"/>
      <w:r w:rsidRPr="00C346F6">
        <w:rPr>
          <w:rFonts w:ascii="Century" w:hAnsi="Century" w:hint="cs"/>
          <w:rtl/>
        </w:rPr>
        <w:t>עונשיים</w:t>
      </w:r>
      <w:proofErr w:type="spellEnd"/>
      <w:r w:rsidRPr="00C346F6">
        <w:rPr>
          <w:rFonts w:ascii="Century" w:hAnsi="Century" w:hint="cs"/>
          <w:rtl/>
        </w:rPr>
        <w:t xml:space="preserve">. כך או כך, ברוח דבריו של השופט </w:t>
      </w:r>
      <w:r w:rsidRPr="00C346F6">
        <w:rPr>
          <w:rFonts w:ascii="Century" w:hAnsi="Century" w:cs="Miriam" w:hint="cs"/>
          <w:b/>
          <w:spacing w:val="0"/>
          <w:szCs w:val="24"/>
          <w:rtl/>
        </w:rPr>
        <w:t>קרא</w:t>
      </w:r>
      <w:r w:rsidRPr="00C346F6">
        <w:rPr>
          <w:rFonts w:ascii="Century" w:hAnsi="Century" w:hint="cs"/>
          <w:rtl/>
        </w:rPr>
        <w:t>, תהא "הכותרת" של התכלית אשר תהא (בין אם "</w:t>
      </w:r>
      <w:proofErr w:type="spellStart"/>
      <w:r w:rsidRPr="00C346F6">
        <w:rPr>
          <w:rFonts w:ascii="Century" w:hAnsi="Century" w:hint="cs"/>
          <w:rtl/>
        </w:rPr>
        <w:t>עונשית</w:t>
      </w:r>
      <w:proofErr w:type="spellEnd"/>
      <w:r w:rsidRPr="00C346F6">
        <w:rPr>
          <w:rFonts w:ascii="Century" w:hAnsi="Century" w:hint="cs"/>
          <w:rtl/>
        </w:rPr>
        <w:t xml:space="preserve">", "מעין </w:t>
      </w:r>
      <w:proofErr w:type="spellStart"/>
      <w:r w:rsidRPr="00C346F6">
        <w:rPr>
          <w:rFonts w:ascii="Century" w:hAnsi="Century" w:hint="cs"/>
          <w:rtl/>
        </w:rPr>
        <w:t>עונשית</w:t>
      </w:r>
      <w:proofErr w:type="spellEnd"/>
      <w:r w:rsidRPr="00C346F6">
        <w:rPr>
          <w:rFonts w:ascii="Century" w:hAnsi="Century" w:hint="cs"/>
          <w:rtl/>
        </w:rPr>
        <w:t xml:space="preserve">", "הרתעתית" וכיוצא באלה), ברי כי סנקציית החילוט בחוק איסור הלבנת הון בהקשר שלפנינו אינה "תרופתית" באופייה, וככל שיש לה היבטים "תרופתיים" כלשהם, אלה לבטח אינם דומיננטיים, כפי שמלמדות תכליות נוספות שהוכרו במפורש בפסיקה בהקשר זה, ובכללן: פגיעה בתמריץ הכלכלי של העבריין לבצע את העבירה; הרתעתו; והעמדתו בסיכון לפגיעה כלכלית אף </w:t>
      </w:r>
      <w:r w:rsidRPr="00C346F6">
        <w:rPr>
          <w:rFonts w:ascii="Century" w:hAnsi="Century" w:cs="Miriam" w:hint="cs"/>
          <w:b/>
          <w:spacing w:val="0"/>
          <w:szCs w:val="24"/>
          <w:rtl/>
        </w:rPr>
        <w:t>מעבר</w:t>
      </w:r>
      <w:r w:rsidRPr="00C346F6">
        <w:rPr>
          <w:rFonts w:ascii="Century" w:hAnsi="Century" w:hint="cs"/>
          <w:rtl/>
        </w:rPr>
        <w:t xml:space="preserve"> לשלילת הפירות שהפיק מביצוע העבירה (ראו דברי חברי, השופט </w:t>
      </w:r>
      <w:r w:rsidRPr="00C346F6">
        <w:rPr>
          <w:rFonts w:ascii="Century" w:hAnsi="Century" w:cs="Miriam" w:hint="cs"/>
          <w:b/>
          <w:spacing w:val="0"/>
          <w:szCs w:val="24"/>
          <w:rtl/>
        </w:rPr>
        <w:t>סולברג</w:t>
      </w:r>
      <w:r w:rsidRPr="00C346F6">
        <w:rPr>
          <w:rFonts w:ascii="Century" w:hAnsi="Century" w:hint="cs"/>
          <w:rtl/>
        </w:rPr>
        <w:t>, ב</w:t>
      </w:r>
      <w:r w:rsidRPr="00C346F6">
        <w:rPr>
          <w:rFonts w:ascii="Century" w:hAnsi="Century"/>
          <w:rtl/>
        </w:rPr>
        <w:t>ע</w:t>
      </w:r>
      <w:r w:rsidRPr="00C346F6">
        <w:rPr>
          <w:rFonts w:ascii="Century" w:hAnsi="Century" w:hint="cs"/>
          <w:rtl/>
        </w:rPr>
        <w:t>"</w:t>
      </w:r>
      <w:r w:rsidRPr="00C346F6">
        <w:rPr>
          <w:rFonts w:ascii="Century" w:hAnsi="Century"/>
          <w:rtl/>
        </w:rPr>
        <w:t xml:space="preserve">א 6212/14 </w:t>
      </w:r>
      <w:r w:rsidRPr="00C346F6">
        <w:rPr>
          <w:rFonts w:ascii="Century" w:hAnsi="Century" w:cs="Miriam"/>
          <w:b/>
          <w:spacing w:val="0"/>
          <w:szCs w:val="24"/>
          <w:rtl/>
        </w:rPr>
        <w:t xml:space="preserve">מדינת ישראל נ' </w:t>
      </w:r>
      <w:proofErr w:type="spellStart"/>
      <w:r w:rsidRPr="00C346F6">
        <w:rPr>
          <w:rFonts w:ascii="Century" w:hAnsi="Century" w:cs="Miriam"/>
          <w:b/>
          <w:spacing w:val="0"/>
          <w:szCs w:val="24"/>
          <w:rtl/>
        </w:rPr>
        <w:t>ג'סארי</w:t>
      </w:r>
      <w:proofErr w:type="spellEnd"/>
      <w:r w:rsidRPr="00C346F6">
        <w:rPr>
          <w:rFonts w:ascii="Century" w:hAnsi="Century" w:hint="cs"/>
          <w:rtl/>
        </w:rPr>
        <w:t xml:space="preserve">, פסקאות 6-5 (8.1.2016); וכן בפסק הדין מושא הדיון הנוסף בפסקאות 47-46 לפסק דינו של השופט </w:t>
      </w:r>
      <w:r w:rsidRPr="00C346F6">
        <w:rPr>
          <w:rFonts w:ascii="Century" w:hAnsi="Century" w:cs="Miriam" w:hint="cs"/>
          <w:b/>
          <w:spacing w:val="0"/>
          <w:szCs w:val="24"/>
          <w:rtl/>
        </w:rPr>
        <w:t>קרא</w:t>
      </w:r>
      <w:r w:rsidRPr="00C346F6">
        <w:rPr>
          <w:rFonts w:ascii="Century" w:hAnsi="Century" w:hint="cs"/>
          <w:rtl/>
        </w:rPr>
        <w:t xml:space="preserve"> והאסמכתאות שם; עוד ראו אצל </w:t>
      </w:r>
      <w:r w:rsidRPr="00C346F6">
        <w:rPr>
          <w:rFonts w:ascii="Century" w:hAnsi="Century" w:cs="Miriam" w:hint="cs"/>
          <w:b/>
          <w:spacing w:val="0"/>
          <w:szCs w:val="24"/>
          <w:rtl/>
        </w:rPr>
        <w:t xml:space="preserve">עמיר, ירון אלדר </w:t>
      </w:r>
      <w:proofErr w:type="spellStart"/>
      <w:r w:rsidRPr="00C346F6">
        <w:rPr>
          <w:rFonts w:ascii="Century" w:hAnsi="Century" w:cs="Miriam" w:hint="cs"/>
          <w:b/>
          <w:spacing w:val="0"/>
          <w:szCs w:val="24"/>
          <w:rtl/>
        </w:rPr>
        <w:t>ופלר</w:t>
      </w:r>
      <w:proofErr w:type="spellEnd"/>
      <w:r w:rsidRPr="00C346F6">
        <w:rPr>
          <w:rFonts w:ascii="Century" w:hAnsi="Century" w:hint="cs"/>
          <w:rtl/>
        </w:rPr>
        <w:t>, המציינים כי הפגיעה הנגרמת כתוצאה מהחילוט עולה לעתים על זו שנגרמת כתוצאה מאמצעי הענישה הרגילים (שם בעמ' 980)).</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49.</w:t>
      </w:r>
      <w:r w:rsidRPr="00C346F6">
        <w:rPr>
          <w:rFonts w:ascii="Century" w:hAnsi="Century" w:hint="cs"/>
          <w:rtl/>
        </w:rPr>
        <w:tab/>
        <w:t>על רקע האמור, אין להתפלא כי גם בהקשר הצר של דיני המס וניכוי הוצאות, ההתייחסות בפסיקה לחילוט כספים דומה לזו הנוהגת כלפי תשלום קנסות, כפי שעולה מעמדתו של בית משפט זה בעבר בסוגיה הספציפית שלפנינו. כך, ב</w:t>
      </w:r>
      <w:r w:rsidRPr="00C346F6">
        <w:rPr>
          <w:rFonts w:ascii="Century" w:hAnsi="Century"/>
          <w:rtl/>
        </w:rPr>
        <w:t>ע</w:t>
      </w:r>
      <w:r w:rsidRPr="00C346F6">
        <w:rPr>
          <w:rFonts w:ascii="Century" w:hAnsi="Century" w:hint="cs"/>
          <w:rtl/>
        </w:rPr>
        <w:t>"</w:t>
      </w:r>
      <w:r w:rsidRPr="00C346F6">
        <w:rPr>
          <w:rFonts w:ascii="Century" w:hAnsi="Century"/>
          <w:rtl/>
        </w:rPr>
        <w:t xml:space="preserve">א 9283/04 </w:t>
      </w:r>
      <w:r w:rsidRPr="00C346F6">
        <w:rPr>
          <w:rFonts w:ascii="Century" w:hAnsi="Century" w:cs="Miriam"/>
          <w:b/>
          <w:spacing w:val="0"/>
          <w:szCs w:val="24"/>
          <w:rtl/>
        </w:rPr>
        <w:t>צברי נ' פקיד שומה ת"א - היחידה הארצית לשומה‏</w:t>
      </w:r>
      <w:r w:rsidRPr="00C346F6">
        <w:rPr>
          <w:rFonts w:ascii="Century" w:hAnsi="Century" w:hint="cs"/>
          <w:rtl/>
        </w:rPr>
        <w:t xml:space="preserve"> (9.11.2006) (להלן: עניין </w:t>
      </w:r>
      <w:r w:rsidRPr="00C346F6">
        <w:rPr>
          <w:rFonts w:ascii="Century" w:hAnsi="Century" w:cs="Miriam" w:hint="cs"/>
          <w:b/>
          <w:spacing w:val="0"/>
          <w:szCs w:val="24"/>
          <w:rtl/>
        </w:rPr>
        <w:t>צברי</w:t>
      </w:r>
      <w:r w:rsidRPr="00C346F6">
        <w:rPr>
          <w:rFonts w:ascii="Century" w:hAnsi="Century" w:hint="cs"/>
          <w:rtl/>
        </w:rPr>
        <w:t xml:space="preserve">), הוטל קנס על המערער בגדרו של הליך פלילי, ובשלב הערעור הוחלט להמיר את הקנס בחילוט. בהמשך לכך נתגלעה מחלוקת בין המערער לפקיד השומה, ובפסק הדין בערעור האזרחי שעסק במחלוקת זו נקבע כי </w:t>
      </w:r>
      <w:r w:rsidRPr="00C346F6">
        <w:rPr>
          <w:rFonts w:ascii="Century" w:hAnsi="Century" w:cs="Miriam" w:hint="cs"/>
          <w:b/>
          <w:spacing w:val="0"/>
          <w:szCs w:val="24"/>
          <w:rtl/>
        </w:rPr>
        <w:t>לא ניתן לנכות</w:t>
      </w:r>
      <w:r w:rsidRPr="00C346F6">
        <w:rPr>
          <w:rFonts w:ascii="Century" w:hAnsi="Century" w:hint="cs"/>
          <w:rtl/>
        </w:rPr>
        <w:t xml:space="preserve"> את כספי החילוט כהוצאה, וזאת בהתאם </w:t>
      </w:r>
      <w:r w:rsidRPr="00C346F6">
        <w:rPr>
          <w:rFonts w:ascii="Century" w:hAnsi="Century" w:hint="cs"/>
          <w:rtl/>
        </w:rPr>
        <w:lastRenderedPageBreak/>
        <w:t xml:space="preserve">להלכת </w:t>
      </w:r>
      <w:r w:rsidRPr="00C346F6">
        <w:rPr>
          <w:rFonts w:ascii="Century" w:hAnsi="Century" w:cs="Miriam" w:hint="cs"/>
          <w:b/>
          <w:spacing w:val="0"/>
          <w:szCs w:val="24"/>
          <w:rtl/>
        </w:rPr>
        <w:t>אוצר לאשראי</w:t>
      </w:r>
      <w:r w:rsidRPr="00C346F6">
        <w:rPr>
          <w:rFonts w:ascii="Century" w:hAnsi="Century" w:hint="cs"/>
          <w:rtl/>
        </w:rPr>
        <w:t xml:space="preserve"> שקבעה כי אין להתיר ניכוי הוצאה </w:t>
      </w:r>
      <w:proofErr w:type="spellStart"/>
      <w:r w:rsidRPr="00C346F6">
        <w:rPr>
          <w:rFonts w:ascii="Century" w:hAnsi="Century" w:hint="cs"/>
          <w:rtl/>
        </w:rPr>
        <w:t>שה</w:t>
      </w:r>
      <w:r w:rsidRPr="00C346F6">
        <w:rPr>
          <w:rFonts w:ascii="FrankRuehl" w:hAnsi="FrankRuehl"/>
          <w:rtl/>
        </w:rPr>
        <w:t>וּ</w:t>
      </w:r>
      <w:r w:rsidRPr="00C346F6">
        <w:rPr>
          <w:rFonts w:ascii="Century" w:hAnsi="Century" w:hint="cs"/>
          <w:rtl/>
        </w:rPr>
        <w:t>צאה</w:t>
      </w:r>
      <w:proofErr w:type="spellEnd"/>
      <w:r w:rsidRPr="00C346F6">
        <w:rPr>
          <w:rFonts w:ascii="Century" w:hAnsi="Century" w:hint="cs"/>
          <w:rtl/>
        </w:rPr>
        <w:t xml:space="preserve"> כעונש על מעשה עבירה.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אמנם, בשונה מהמקרה שלפנינו, בעניין </w:t>
      </w:r>
      <w:r w:rsidRPr="00C346F6">
        <w:rPr>
          <w:rFonts w:ascii="Century" w:hAnsi="Century" w:cs="Miriam" w:hint="cs"/>
          <w:b/>
          <w:spacing w:val="0"/>
          <w:szCs w:val="24"/>
          <w:rtl/>
        </w:rPr>
        <w:t>צברי</w:t>
      </w:r>
      <w:r w:rsidRPr="00C346F6">
        <w:rPr>
          <w:rFonts w:ascii="Century" w:hAnsi="Century" w:hint="cs"/>
          <w:rtl/>
        </w:rPr>
        <w:t xml:space="preserve"> מדובר היה בחילוט שהוטל </w:t>
      </w:r>
      <w:r w:rsidRPr="00C346F6">
        <w:rPr>
          <w:rFonts w:ascii="Century" w:hAnsi="Century" w:cs="Miriam" w:hint="cs"/>
          <w:b/>
          <w:spacing w:val="0"/>
          <w:szCs w:val="24"/>
          <w:rtl/>
        </w:rPr>
        <w:t>חלף קנס</w:t>
      </w:r>
      <w:r w:rsidRPr="00C346F6">
        <w:rPr>
          <w:rFonts w:ascii="Century" w:hAnsi="Century" w:hint="cs"/>
          <w:rtl/>
        </w:rPr>
        <w:t xml:space="preserve">. מכאן יכולה היתה להישמע הטענה כי מקום שבו מדובר בחילוט </w:t>
      </w:r>
      <w:r w:rsidRPr="00C346F6">
        <w:rPr>
          <w:rFonts w:ascii="Century" w:hAnsi="Century" w:cs="Miriam" w:hint="cs"/>
          <w:b/>
          <w:spacing w:val="0"/>
          <w:szCs w:val="24"/>
          <w:rtl/>
        </w:rPr>
        <w:t>לצד</w:t>
      </w:r>
      <w:r w:rsidRPr="00C346F6">
        <w:rPr>
          <w:rFonts w:ascii="Century" w:hAnsi="Century" w:hint="cs"/>
          <w:rtl/>
        </w:rPr>
        <w:t xml:space="preserve"> קנס (כבמקרה שלפנינו), יש להתיר את ניכויים של כספי החילוט כהוצאה. בא בית משפט זה בעניין  </w:t>
      </w:r>
      <w:r w:rsidRPr="00C346F6">
        <w:rPr>
          <w:rFonts w:ascii="Century" w:hAnsi="Century" w:cs="Miriam" w:hint="cs"/>
          <w:b/>
          <w:spacing w:val="0"/>
          <w:szCs w:val="24"/>
          <w:rtl/>
        </w:rPr>
        <w:t>צברי</w:t>
      </w:r>
      <w:r w:rsidRPr="00C346F6">
        <w:rPr>
          <w:rFonts w:ascii="Century" w:hAnsi="Century" w:hint="cs"/>
          <w:rtl/>
        </w:rPr>
        <w:t xml:space="preserve"> והתיר את הספקות, בהוסיפו את הדברים הבאים:</w:t>
      </w:r>
    </w:p>
    <w:p w:rsidR="00CB004C" w:rsidRPr="00C346F6" w:rsidRDefault="00CB004C" w:rsidP="00CB004C">
      <w:pPr>
        <w:pStyle w:val="Ruller41"/>
        <w:rPr>
          <w:rFonts w:ascii="Century" w:hAnsi="Century"/>
          <w:rtl/>
        </w:rPr>
      </w:pPr>
    </w:p>
    <w:p w:rsidR="00CB004C" w:rsidRPr="00C346F6" w:rsidRDefault="00CB004C" w:rsidP="00CB004C">
      <w:pPr>
        <w:pStyle w:val="Ruller5"/>
        <w:rPr>
          <w:rtl/>
        </w:rPr>
      </w:pPr>
      <w:r w:rsidRPr="00C346F6">
        <w:rPr>
          <w:rFonts w:hint="cs"/>
          <w:rtl/>
        </w:rPr>
        <w:t xml:space="preserve">"מעבר לנדרש בסוגיה זו, אני רואה לציין כי </w:t>
      </w:r>
      <w:r w:rsidRPr="00C346F6">
        <w:rPr>
          <w:rFonts w:ascii="Century" w:hAnsi="Century" w:cs="Miriam" w:hint="cs"/>
          <w:b/>
          <w:spacing w:val="0"/>
          <w:szCs w:val="24"/>
          <w:rtl/>
        </w:rPr>
        <w:t>אפילו מדובר היה בחילוט ולא בקנס</w:t>
      </w:r>
      <w:r w:rsidRPr="00C346F6">
        <w:rPr>
          <w:rFonts w:hint="cs"/>
          <w:rtl/>
        </w:rPr>
        <w:t xml:space="preserve"> (על-פי ייעודו האחרון של סכום הכסף שמדובר בו), </w:t>
      </w:r>
      <w:r w:rsidRPr="00C346F6">
        <w:rPr>
          <w:rFonts w:ascii="Century" w:hAnsi="Century" w:cs="Miriam" w:hint="cs"/>
          <w:b/>
          <w:spacing w:val="0"/>
          <w:szCs w:val="24"/>
          <w:rtl/>
        </w:rPr>
        <w:t>לא היה בכך כדי לשנות את התמונה</w:t>
      </w:r>
      <w:r w:rsidRPr="00C346F6">
        <w:rPr>
          <w:rFonts w:hint="cs"/>
          <w:rtl/>
        </w:rPr>
        <w:t xml:space="preserve">. מטרתו 'הקלאסית' של חילוט, הינה להוציא את בילעו של העבריין מפיו. במילים אחרות מדובר בסכום כסף שהגיע לעבריין, עקב ובאמצעות העבירה שביצע. משמע, הסכום היה בידיו ומשכך - הוא חייב במס, והגלגל הוא אותו גלגל. האמור לעיל, מהווה תשובה גם לטענתו החילופית של המערער כי החילוט מאפס את הכנסותיו. החילוט איננו מאפס את ההכנסות. </w:t>
      </w:r>
      <w:r w:rsidRPr="00C346F6">
        <w:rPr>
          <w:rFonts w:ascii="Century" w:hAnsi="Century" w:cs="Miriam" w:hint="cs"/>
          <w:b/>
          <w:spacing w:val="0"/>
          <w:szCs w:val="24"/>
          <w:rtl/>
        </w:rPr>
        <w:t>החילוט הוא אמצעי עונשי שבא לפגוע במערער בשל אותה הכנסה בלתי חוקית שהורתה ולידתה במעשה העבירה שביצע</w:t>
      </w:r>
      <w:r w:rsidR="000E5E48">
        <w:rPr>
          <w:rFonts w:hint="cs"/>
          <w:rtl/>
        </w:rPr>
        <w:t>"</w:t>
      </w:r>
      <w:r w:rsidRPr="00C346F6">
        <w:rPr>
          <w:rFonts w:hint="cs"/>
          <w:rtl/>
        </w:rPr>
        <w:t xml:space="preserve"> (שם בפסקה 7, ההדגשות הוספו </w:t>
      </w:r>
      <w:r w:rsidRPr="00C346F6">
        <w:rPr>
          <w:rtl/>
        </w:rPr>
        <w:t>–</w:t>
      </w:r>
      <w:r w:rsidRPr="00C346F6">
        <w:rPr>
          <w:rFonts w:hint="cs"/>
          <w:rtl/>
        </w:rPr>
        <w:t xml:space="preserve"> </w:t>
      </w:r>
      <w:proofErr w:type="spellStart"/>
      <w:r w:rsidRPr="00C346F6">
        <w:rPr>
          <w:rFonts w:hint="cs"/>
          <w:rtl/>
        </w:rPr>
        <w:t>י"ע</w:t>
      </w:r>
      <w:proofErr w:type="spellEnd"/>
      <w:r w:rsidRPr="00C346F6">
        <w:rPr>
          <w:rFonts w:hint="cs"/>
          <w:rtl/>
        </w:rPr>
        <w:t>).</w:t>
      </w:r>
    </w:p>
    <w:p w:rsidR="00CB004C" w:rsidRPr="00C346F6" w:rsidRDefault="00CB004C" w:rsidP="00CB004C">
      <w:pPr>
        <w:pStyle w:val="Ruller41"/>
        <w:rPr>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דברים אלה בעניין </w:t>
      </w:r>
      <w:r w:rsidRPr="00C346F6">
        <w:rPr>
          <w:rFonts w:ascii="Century" w:hAnsi="Century" w:cs="Miriam" w:hint="cs"/>
          <w:b/>
          <w:spacing w:val="0"/>
          <w:szCs w:val="24"/>
          <w:rtl/>
        </w:rPr>
        <w:t>צברי</w:t>
      </w:r>
      <w:r w:rsidRPr="00C346F6">
        <w:rPr>
          <w:rFonts w:ascii="Century" w:hAnsi="Century" w:hint="cs"/>
          <w:rtl/>
        </w:rPr>
        <w:t xml:space="preserve"> אמנם נאמרו למעלה מן הצורך, אך הם משקפים היטב את התפישה הבסיסית המייחסת למוסד החילוט היבט </w:t>
      </w:r>
      <w:r w:rsidRPr="00C346F6">
        <w:rPr>
          <w:rFonts w:ascii="Century" w:hAnsi="Century" w:cs="Miriam" w:hint="cs"/>
          <w:b/>
          <w:spacing w:val="0"/>
          <w:szCs w:val="24"/>
          <w:rtl/>
        </w:rPr>
        <w:t>עונשי</w:t>
      </w:r>
      <w:r w:rsidRPr="00C346F6">
        <w:rPr>
          <w:rFonts w:ascii="Century" w:hAnsi="Century" w:hint="cs"/>
          <w:rtl/>
        </w:rPr>
        <w:t xml:space="preserve"> השולל הכרה בסכומי החילוט כהוצאה המותרת בניכוי. אין להתפלא אפוא כי גם בספרות המקצועית, ניתן למצוא התייחסות לדברים אלו כאל הלכה שאין להרהר אחריה (ראו, לדוגמה, אצל רמי אריה </w:t>
      </w:r>
      <w:r w:rsidRPr="00C346F6">
        <w:rPr>
          <w:rFonts w:ascii="Century" w:hAnsi="Century" w:cs="Miriam" w:hint="cs"/>
          <w:b/>
          <w:spacing w:val="0"/>
          <w:szCs w:val="24"/>
          <w:rtl/>
        </w:rPr>
        <w:t>הוצאות מוכרות</w:t>
      </w:r>
      <w:r w:rsidRPr="00C346F6">
        <w:rPr>
          <w:rFonts w:ascii="Century" w:hAnsi="Century" w:hint="cs"/>
          <w:rtl/>
        </w:rPr>
        <w:t xml:space="preserve"> 237 (מהדורה שלישית, 2016)).</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50.</w:t>
      </w:r>
      <w:r w:rsidRPr="00C346F6">
        <w:rPr>
          <w:rFonts w:ascii="Century" w:hAnsi="Century"/>
          <w:rtl/>
        </w:rPr>
        <w:tab/>
      </w:r>
      <w:r w:rsidRPr="00C346F6">
        <w:rPr>
          <w:rFonts w:ascii="Century" w:hAnsi="Century" w:hint="cs"/>
          <w:rtl/>
        </w:rPr>
        <w:t xml:space="preserve">ניתן לסכם ולומר כי אף באספקלריה זו של טיב החילוט ומאפייניו, אין מקום להתיר את ניכוי סכומי החילוט כהוצאה, באשר יהיה בתוצאה זו כדי לחתור תחת תכליתו </w:t>
      </w:r>
      <w:proofErr w:type="spellStart"/>
      <w:r w:rsidRPr="00C346F6">
        <w:rPr>
          <w:rFonts w:ascii="Century" w:hAnsi="Century" w:hint="cs"/>
          <w:rtl/>
        </w:rPr>
        <w:t>העונשית</w:t>
      </w:r>
      <w:proofErr w:type="spellEnd"/>
      <w:r w:rsidRPr="00C346F6">
        <w:rPr>
          <w:rFonts w:ascii="Century" w:hAnsi="Century" w:hint="cs"/>
          <w:rtl/>
        </w:rPr>
        <w:t xml:space="preserve"> של החילוט, ובהשאלה מדבריו של השופט </w:t>
      </w:r>
      <w:r w:rsidRPr="00C346F6">
        <w:rPr>
          <w:rFonts w:ascii="Century" w:hAnsi="Century" w:cs="Miriam" w:hint="cs"/>
          <w:b/>
          <w:spacing w:val="0"/>
          <w:szCs w:val="24"/>
          <w:rtl/>
        </w:rPr>
        <w:t>רובינשטיין</w:t>
      </w:r>
      <w:r w:rsidRPr="00C346F6">
        <w:rPr>
          <w:rFonts w:ascii="Century" w:hAnsi="Century" w:hint="cs"/>
          <w:rtl/>
        </w:rPr>
        <w:t xml:space="preserve"> </w:t>
      </w:r>
      <w:r w:rsidRPr="00C346F6">
        <w:rPr>
          <w:rFonts w:ascii="Century" w:hAnsi="Century"/>
          <w:rtl/>
        </w:rPr>
        <w:t>–</w:t>
      </w:r>
      <w:r w:rsidRPr="00C346F6">
        <w:rPr>
          <w:rFonts w:ascii="Century" w:hAnsi="Century" w:hint="cs"/>
          <w:rtl/>
        </w:rPr>
        <w:t xml:space="preserve"> לסכל את פועלו. מסקנה זו מתיישבת עם הגיונם של דברים, והיא כאמור כבר מצאה את ביטויה בפסיקתו של בית משפט זה בעבר. דברים אלו, שבמידה רבה יכלו לשמש נקודת </w:t>
      </w:r>
      <w:r w:rsidRPr="00C346F6">
        <w:rPr>
          <w:rFonts w:ascii="Century" w:hAnsi="Century" w:cs="Miriam" w:hint="cs"/>
          <w:b/>
          <w:spacing w:val="0"/>
          <w:szCs w:val="24"/>
          <w:rtl/>
        </w:rPr>
        <w:t>פתיחה</w:t>
      </w:r>
      <w:r w:rsidRPr="00C346F6">
        <w:rPr>
          <w:rFonts w:ascii="Century" w:hAnsi="Century" w:hint="cs"/>
          <w:rtl/>
        </w:rPr>
        <w:t xml:space="preserve"> הולמת לדיון שערכנו לעיל, מתאימים לשמש גם כנקודת סיום המשלימה את הדיון, ומכל מקום, הם מחדדים את המסקנה כי ההלכה שנקבעה בפסק הדין מושא הדיון הנוסף </w:t>
      </w:r>
      <w:r w:rsidRPr="00C346F6">
        <w:rPr>
          <w:rFonts w:ascii="Century" w:hAnsi="Century"/>
          <w:rtl/>
        </w:rPr>
        <w:t>–</w:t>
      </w:r>
      <w:r w:rsidRPr="00C346F6">
        <w:rPr>
          <w:rFonts w:ascii="Century" w:hAnsi="Century" w:hint="cs"/>
          <w:rtl/>
        </w:rPr>
        <w:t xml:space="preserve"> בדין נקבעה, ואין מקום להתערב בה.</w:t>
      </w:r>
    </w:p>
    <w:p w:rsidR="00CB004C" w:rsidRPr="00C346F6" w:rsidRDefault="00CB004C" w:rsidP="00CB004C">
      <w:pPr>
        <w:pStyle w:val="Ruller41"/>
        <w:rPr>
          <w:rFonts w:ascii="Century" w:hAnsi="Century"/>
          <w:rtl/>
        </w:rPr>
      </w:pPr>
    </w:p>
    <w:p w:rsidR="005C14FC" w:rsidRDefault="005C14FC">
      <w:pPr>
        <w:overflowPunct/>
        <w:autoSpaceDE/>
        <w:autoSpaceDN/>
        <w:bidi w:val="0"/>
        <w:adjustRightInd/>
        <w:textAlignment w:val="auto"/>
        <w:rPr>
          <w:rFonts w:ascii="Century" w:hAnsi="Century" w:cs="Miriam"/>
          <w:b/>
          <w:sz w:val="22"/>
        </w:rPr>
      </w:pPr>
      <w:r>
        <w:rPr>
          <w:rFonts w:ascii="Century" w:hAnsi="Century" w:cs="Miriam"/>
          <w:b/>
          <w:rtl/>
        </w:rPr>
        <w:br w:type="page"/>
      </w:r>
    </w:p>
    <w:p w:rsidR="00CB004C" w:rsidRPr="00C346F6" w:rsidRDefault="00CB004C" w:rsidP="00CB004C">
      <w:pPr>
        <w:pStyle w:val="Ruller41"/>
        <w:rPr>
          <w:rFonts w:ascii="Century" w:hAnsi="Century" w:cs="Miriam"/>
          <w:b/>
          <w:spacing w:val="0"/>
          <w:szCs w:val="24"/>
          <w:rtl/>
        </w:rPr>
      </w:pPr>
      <w:r w:rsidRPr="00C346F6">
        <w:rPr>
          <w:rFonts w:ascii="Century" w:hAnsi="Century" w:cs="Miriam" w:hint="cs"/>
          <w:b/>
          <w:spacing w:val="0"/>
          <w:szCs w:val="24"/>
          <w:rtl/>
        </w:rPr>
        <w:lastRenderedPageBreak/>
        <w:t>סיכום וסוף דבר</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51.</w:t>
      </w:r>
      <w:r w:rsidRPr="00C346F6">
        <w:rPr>
          <w:rFonts w:ascii="Century" w:hAnsi="Century"/>
          <w:rtl/>
        </w:rPr>
        <w:tab/>
      </w:r>
      <w:r w:rsidRPr="00C346F6">
        <w:rPr>
          <w:rFonts w:ascii="Century" w:hAnsi="Century" w:hint="cs"/>
          <w:rtl/>
        </w:rPr>
        <w:t xml:space="preserve">נזכיר בקצרה את התחנות העיקריות שעל פניהן חלפנו לאורך פסק הדין: </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הכנסות שהופקו מעסק בלתי חוקי הן הכנסות החייבות במס, ומצב שבו הכנסות אלו מחולטות מהנישום, אך בד בבד הוא נדרש לשאת במלוא המס בגינן </w:t>
      </w:r>
      <w:r w:rsidRPr="00C346F6">
        <w:rPr>
          <w:rFonts w:ascii="Century" w:hAnsi="Century"/>
          <w:rtl/>
        </w:rPr>
        <w:t>–</w:t>
      </w:r>
      <w:r w:rsidRPr="00C346F6">
        <w:rPr>
          <w:rFonts w:ascii="Century" w:hAnsi="Century" w:hint="cs"/>
          <w:rtl/>
        </w:rPr>
        <w:t xml:space="preserve"> אכן משקף תוצאה שעומדת במתח אל מול העיקרון של גביית מס אמת. עם זאת, אין במתח זה כשלעצמו כדי לגבור על הוראותיה של פקודת מס הכנסה ולהוביל להכרה בסכומי החילוט כהוצאה המותרת בניכוי, וזאת בשל שורה של טעמים.</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כפי שהוסבר לעיל, הטענה כי יש להתיר את הניכוי נכשלת לאורך החזית כולה: חילוט כספים לא נמנה על סוגי ההוצאות המפורטות בפקודת מס הכנסה כהוצאות המותרות בניכוי; סכומי החילוט לא הוצאו בייצור הכנסה </w:t>
      </w:r>
      <w:r w:rsidRPr="00C346F6">
        <w:rPr>
          <w:rFonts w:ascii="Century" w:hAnsi="Century"/>
          <w:rtl/>
        </w:rPr>
        <w:t>–</w:t>
      </w:r>
      <w:r w:rsidRPr="00C346F6">
        <w:rPr>
          <w:rFonts w:ascii="Century" w:hAnsi="Century" w:hint="cs"/>
          <w:rtl/>
        </w:rPr>
        <w:t xml:space="preserve"> הם לא שולמו במהלך השוטף והרגיל של העסק, לא נועדו לשמר את מנגנון ייצור ההכנסה, לא שולמו במהלך פעילותו של העסק אלא זמן מה לאחר חיסולו, ולא השתלבו בתהליך הפקת ההכנסה, לא בכוח ולא בפועל; הסיכון "להיתפס" ולעמוד לדין פלילי בגין ניהול עסק עברייני, אינו מסוג הסיכונים שהופכים את הסכומים שחולטו בתום הליך פלילי להוצאות </w:t>
      </w:r>
      <w:proofErr w:type="spellStart"/>
      <w:r w:rsidRPr="00C346F6">
        <w:rPr>
          <w:rFonts w:ascii="Century" w:hAnsi="Century" w:hint="cs"/>
          <w:rtl/>
        </w:rPr>
        <w:t>פירותיות</w:t>
      </w:r>
      <w:proofErr w:type="spellEnd"/>
      <w:r w:rsidRPr="00C346F6">
        <w:rPr>
          <w:rFonts w:ascii="Century" w:hAnsi="Century" w:hint="cs"/>
          <w:rtl/>
        </w:rPr>
        <w:t xml:space="preserve"> שהוצאו כחלק מניהולו הרגיל והשוטף של העסק; וספק אם יש לראות את הסכומים שחולטו כהוצאה עסקית </w:t>
      </w:r>
      <w:proofErr w:type="spellStart"/>
      <w:r w:rsidRPr="00C346F6">
        <w:rPr>
          <w:rFonts w:ascii="Century" w:hAnsi="Century" w:hint="cs"/>
          <w:rtl/>
        </w:rPr>
        <w:t>פירותית</w:t>
      </w:r>
      <w:proofErr w:type="spellEnd"/>
      <w:r w:rsidRPr="00C346F6">
        <w:rPr>
          <w:rFonts w:ascii="Century" w:hAnsi="Century" w:hint="cs"/>
          <w:rtl/>
        </w:rPr>
        <w:t xml:space="preserve"> ולא כהוצאה פרטית או הונית האסורה בניכוי לפי הוראות הפקודה.</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 xml:space="preserve">לבסוף, גם בראי ההבחנה בין תשלום השבה "תרופתי" (שעשוי להיות מותר בניכוי) לתשלום "עונשי" (שאסור בניכוי), החילוט מהווה אמצעי עונשי שנועד להגשים תכלית </w:t>
      </w:r>
      <w:proofErr w:type="spellStart"/>
      <w:r w:rsidRPr="00C346F6">
        <w:rPr>
          <w:rFonts w:ascii="Century" w:hAnsi="Century" w:hint="cs"/>
          <w:rtl/>
        </w:rPr>
        <w:t>עונשית</w:t>
      </w:r>
      <w:proofErr w:type="spellEnd"/>
      <w:r w:rsidRPr="00C346F6">
        <w:rPr>
          <w:rFonts w:ascii="Century" w:hAnsi="Century" w:hint="cs"/>
          <w:rtl/>
        </w:rPr>
        <w:t xml:space="preserve"> לצד תכליות אחרות, ולבטח לא נועד להגשים תכלית תרופתית דומיננטית, אם בכלל. היבט עונשי זה אף הוא תומך במסקנה כי אין להתיר ניכוי של סכומי החילוט.</w:t>
      </w:r>
    </w:p>
    <w:p w:rsidR="00CB004C" w:rsidRPr="00C346F6" w:rsidRDefault="00CB004C" w:rsidP="00CB004C">
      <w:pPr>
        <w:pStyle w:val="Ruller41"/>
        <w:rPr>
          <w:rFonts w:ascii="Century" w:hAnsi="Century"/>
          <w:rtl/>
        </w:rPr>
      </w:pPr>
    </w:p>
    <w:p w:rsidR="00CB004C" w:rsidRPr="00C346F6" w:rsidRDefault="00CB004C" w:rsidP="00CB004C">
      <w:pPr>
        <w:pStyle w:val="Ruller41"/>
        <w:rPr>
          <w:rFonts w:ascii="Century" w:hAnsi="Century"/>
          <w:rtl/>
        </w:rPr>
      </w:pPr>
      <w:r w:rsidRPr="00C346F6">
        <w:rPr>
          <w:rFonts w:ascii="Century" w:hAnsi="Century" w:hint="cs"/>
          <w:rtl/>
        </w:rPr>
        <w:t>52.</w:t>
      </w:r>
      <w:r w:rsidRPr="00C346F6">
        <w:rPr>
          <w:rFonts w:ascii="Century" w:hAnsi="Century"/>
          <w:rtl/>
        </w:rPr>
        <w:tab/>
      </w:r>
      <w:r w:rsidRPr="00C346F6">
        <w:rPr>
          <w:rFonts w:ascii="Century" w:hAnsi="Century" w:hint="cs"/>
          <w:rtl/>
        </w:rPr>
        <w:t xml:space="preserve">סוף דבר, שההלכה שנקבעה בפסק הדין מושא הדיון הנוסף </w:t>
      </w:r>
      <w:r w:rsidRPr="00C346F6">
        <w:rPr>
          <w:rFonts w:ascii="Century" w:hAnsi="Century"/>
          <w:rtl/>
        </w:rPr>
        <w:t>–</w:t>
      </w:r>
      <w:r w:rsidRPr="00C346F6">
        <w:rPr>
          <w:rFonts w:ascii="Century" w:hAnsi="Century" w:hint="cs"/>
          <w:rtl/>
        </w:rPr>
        <w:t xml:space="preserve"> ולפיה כספים שהושגו בעבירה וחולטו בתום הליך פלילי אינם הוצאה המותרת בניכוי מהכנסתו החייבת של הנישום שהורשע </w:t>
      </w:r>
      <w:r w:rsidRPr="00C346F6">
        <w:rPr>
          <w:rFonts w:ascii="Century" w:hAnsi="Century"/>
          <w:rtl/>
        </w:rPr>
        <w:t>–</w:t>
      </w:r>
      <w:r w:rsidRPr="00C346F6">
        <w:rPr>
          <w:rFonts w:ascii="Century" w:hAnsi="Century" w:hint="cs"/>
          <w:rtl/>
        </w:rPr>
        <w:t xml:space="preserve"> בדין נקבעה, ויש להותירה על כנה.</w:t>
      </w:r>
    </w:p>
    <w:p w:rsidR="00CB004C" w:rsidRPr="00C346F6" w:rsidRDefault="00CB004C" w:rsidP="00CB004C">
      <w:pPr>
        <w:pStyle w:val="Ruller41"/>
        <w:rPr>
          <w:rFonts w:ascii="Century" w:hAnsi="Century"/>
          <w:rtl/>
        </w:rPr>
      </w:pPr>
    </w:p>
    <w:p w:rsidR="00CB004C" w:rsidRDefault="00CB004C" w:rsidP="00CB004C">
      <w:pPr>
        <w:pStyle w:val="Ruller41"/>
        <w:rPr>
          <w:rFonts w:ascii="Century" w:hAnsi="Century"/>
          <w:rtl/>
        </w:rPr>
      </w:pPr>
      <w:r w:rsidRPr="00C346F6">
        <w:rPr>
          <w:rFonts w:ascii="Century" w:hAnsi="Century"/>
          <w:rtl/>
        </w:rPr>
        <w:tab/>
      </w:r>
      <w:r w:rsidRPr="00C346F6">
        <w:rPr>
          <w:rFonts w:ascii="Century" w:hAnsi="Century" w:hint="cs"/>
          <w:rtl/>
        </w:rPr>
        <w:t>בהתחשב במכלול הנסיבות, אציע לחבריי שלא ייעשה צו להוצאות.</w:t>
      </w:r>
    </w:p>
    <w:p w:rsidR="00CB004C" w:rsidRDefault="00CB004C" w:rsidP="00CB004C">
      <w:pPr>
        <w:pStyle w:val="Ruller41"/>
        <w:rPr>
          <w:rtl/>
        </w:rPr>
      </w:pPr>
    </w:p>
    <w:tbl>
      <w:tblPr>
        <w:bidiVisual/>
        <w:tblW w:w="0" w:type="auto"/>
        <w:tblLook w:val="01E0" w:firstRow="1" w:lastRow="1" w:firstColumn="1" w:lastColumn="1" w:noHBand="0" w:noVBand="0"/>
      </w:tblPr>
      <w:tblGrid>
        <w:gridCol w:w="2769"/>
        <w:gridCol w:w="2769"/>
        <w:gridCol w:w="2774"/>
      </w:tblGrid>
      <w:tr w:rsidR="00CB004C" w:rsidRPr="004776CB" w:rsidTr="005C14FC">
        <w:tc>
          <w:tcPr>
            <w:tcW w:w="2769" w:type="dxa"/>
            <w:shd w:val="clear" w:color="auto" w:fill="auto"/>
          </w:tcPr>
          <w:p w:rsidR="00CB004C" w:rsidRPr="004776CB" w:rsidRDefault="00CB004C" w:rsidP="00811881">
            <w:pPr>
              <w:pStyle w:val="Ruller41"/>
              <w:rPr>
                <w:rtl/>
              </w:rPr>
            </w:pPr>
          </w:p>
        </w:tc>
        <w:tc>
          <w:tcPr>
            <w:tcW w:w="2769" w:type="dxa"/>
            <w:shd w:val="clear" w:color="auto" w:fill="auto"/>
          </w:tcPr>
          <w:p w:rsidR="00CB004C" w:rsidRPr="004776CB" w:rsidRDefault="00CB004C" w:rsidP="00811881">
            <w:pPr>
              <w:pStyle w:val="Ruller41"/>
              <w:rPr>
                <w:rtl/>
              </w:rPr>
            </w:pPr>
          </w:p>
        </w:tc>
        <w:tc>
          <w:tcPr>
            <w:tcW w:w="2774" w:type="dxa"/>
            <w:shd w:val="clear" w:color="auto" w:fill="auto"/>
          </w:tcPr>
          <w:p w:rsidR="00CB004C" w:rsidRPr="004776CB" w:rsidRDefault="00CB004C" w:rsidP="00811881">
            <w:pPr>
              <w:pStyle w:val="Ruller41"/>
              <w:rPr>
                <w:rtl/>
              </w:rPr>
            </w:pPr>
            <w:r w:rsidRPr="004776CB">
              <w:rPr>
                <w:rtl/>
              </w:rPr>
              <w:t>ש ו פ ט</w:t>
            </w:r>
          </w:p>
        </w:tc>
      </w:tr>
    </w:tbl>
    <w:p w:rsidR="00CB004C" w:rsidRPr="004776CB" w:rsidRDefault="00CB004C" w:rsidP="00CB004C">
      <w:pPr>
        <w:tabs>
          <w:tab w:val="left" w:pos="800"/>
        </w:tabs>
        <w:jc w:val="both"/>
        <w:rPr>
          <w:rFonts w:ascii="Arial TUR" w:hAnsi="Arial TUR"/>
          <w:sz w:val="22"/>
          <w:rtl/>
        </w:rPr>
      </w:pPr>
    </w:p>
    <w:p w:rsidR="00CB004C" w:rsidRDefault="00CB004C" w:rsidP="00CB004C">
      <w:pPr>
        <w:tabs>
          <w:tab w:val="left" w:pos="800"/>
        </w:tabs>
        <w:jc w:val="both"/>
        <w:rPr>
          <w:rFonts w:cs="Miriam"/>
          <w:sz w:val="24"/>
          <w:u w:val="single"/>
          <w:rtl/>
        </w:rPr>
      </w:pPr>
    </w:p>
    <w:p w:rsidR="00CB004C" w:rsidRPr="004776CB" w:rsidRDefault="00CB004C" w:rsidP="00CB004C">
      <w:pPr>
        <w:tabs>
          <w:tab w:val="left" w:pos="800"/>
        </w:tabs>
        <w:jc w:val="both"/>
        <w:rPr>
          <w:rFonts w:cs="Miriam"/>
          <w:sz w:val="24"/>
          <w:rtl/>
        </w:rPr>
      </w:pPr>
      <w:r>
        <w:rPr>
          <w:rFonts w:cs="Miriam" w:hint="cs"/>
          <w:sz w:val="24"/>
          <w:u w:val="single"/>
          <w:rtl/>
        </w:rPr>
        <w:t>הנשיאה א' חיות</w:t>
      </w:r>
      <w:r w:rsidRPr="004776CB">
        <w:rPr>
          <w:rFonts w:cs="Miriam" w:hint="cs"/>
          <w:sz w:val="24"/>
          <w:rtl/>
        </w:rPr>
        <w:t>:</w:t>
      </w:r>
    </w:p>
    <w:p w:rsidR="00632106" w:rsidRPr="005566DA" w:rsidRDefault="00CB004C" w:rsidP="005566DA">
      <w:pPr>
        <w:pStyle w:val="Ruller41"/>
        <w:rPr>
          <w:rFonts w:ascii="Century" w:hAnsi="Century"/>
          <w:rtl/>
        </w:rPr>
      </w:pPr>
      <w:r w:rsidRPr="004776CB">
        <w:rPr>
          <w:rtl/>
        </w:rPr>
        <w:tab/>
      </w:r>
    </w:p>
    <w:p w:rsidR="00CB004C" w:rsidRDefault="00632106" w:rsidP="00A20AD7">
      <w:pPr>
        <w:pStyle w:val="Ruller41"/>
        <w:rPr>
          <w:rtl/>
        </w:rPr>
      </w:pPr>
      <w:r>
        <w:rPr>
          <w:rtl/>
        </w:rPr>
        <w:tab/>
      </w:r>
      <w:r>
        <w:rPr>
          <w:rFonts w:hint="cs"/>
          <w:rtl/>
        </w:rPr>
        <w:t xml:space="preserve">אני מסכימה לחוות דעתו המקיפה והבהירה של חברי, השופט </w:t>
      </w:r>
      <w:r w:rsidRPr="00A20AD7">
        <w:rPr>
          <w:rFonts w:ascii="Century" w:hAnsi="Century" w:cs="Miriam" w:hint="eastAsia"/>
          <w:b/>
          <w:spacing w:val="0"/>
          <w:szCs w:val="24"/>
          <w:rtl/>
        </w:rPr>
        <w:t>י</w:t>
      </w:r>
      <w:r w:rsidRPr="00A20AD7">
        <w:rPr>
          <w:rFonts w:ascii="Century" w:hAnsi="Century" w:cs="Miriam"/>
          <w:b/>
          <w:spacing w:val="0"/>
          <w:szCs w:val="24"/>
          <w:rtl/>
        </w:rPr>
        <w:t xml:space="preserve">' </w:t>
      </w:r>
      <w:r w:rsidRPr="00A20AD7">
        <w:rPr>
          <w:rFonts w:ascii="Century" w:hAnsi="Century" w:cs="Miriam" w:hint="eastAsia"/>
          <w:b/>
          <w:spacing w:val="0"/>
          <w:szCs w:val="24"/>
          <w:rtl/>
        </w:rPr>
        <w:t>עמית</w:t>
      </w:r>
      <w:r>
        <w:rPr>
          <w:rFonts w:hint="cs"/>
          <w:rtl/>
        </w:rPr>
        <w:t>, ולכל טעמיו.</w:t>
      </w:r>
    </w:p>
    <w:p w:rsidR="005566DA" w:rsidRPr="004776CB" w:rsidRDefault="005566DA" w:rsidP="00A20AD7">
      <w:pPr>
        <w:pStyle w:val="Ruller41"/>
        <w:rPr>
          <w:rtl/>
        </w:rPr>
      </w:pPr>
    </w:p>
    <w:tbl>
      <w:tblPr>
        <w:bidiVisual/>
        <w:tblW w:w="0" w:type="auto"/>
        <w:tblLook w:val="01E0" w:firstRow="1" w:lastRow="1" w:firstColumn="1" w:lastColumn="1" w:noHBand="0" w:noVBand="0"/>
      </w:tblPr>
      <w:tblGrid>
        <w:gridCol w:w="2769"/>
        <w:gridCol w:w="2769"/>
        <w:gridCol w:w="2774"/>
      </w:tblGrid>
      <w:tr w:rsidR="00CB004C" w:rsidRPr="004776CB" w:rsidTr="00811881">
        <w:tc>
          <w:tcPr>
            <w:tcW w:w="2769" w:type="dxa"/>
            <w:shd w:val="clear" w:color="auto" w:fill="auto"/>
          </w:tcPr>
          <w:p w:rsidR="00CB004C" w:rsidRPr="004776CB" w:rsidRDefault="00CB004C" w:rsidP="00811881">
            <w:pPr>
              <w:pStyle w:val="Ruller41"/>
              <w:rPr>
                <w:rtl/>
              </w:rPr>
            </w:pPr>
          </w:p>
        </w:tc>
        <w:tc>
          <w:tcPr>
            <w:tcW w:w="2769" w:type="dxa"/>
            <w:shd w:val="clear" w:color="auto" w:fill="auto"/>
          </w:tcPr>
          <w:p w:rsidR="00CB004C" w:rsidRPr="004776CB" w:rsidRDefault="00CB004C" w:rsidP="00811881">
            <w:pPr>
              <w:pStyle w:val="Ruller41"/>
              <w:rPr>
                <w:rtl/>
              </w:rPr>
            </w:pPr>
          </w:p>
        </w:tc>
        <w:tc>
          <w:tcPr>
            <w:tcW w:w="2774" w:type="dxa"/>
            <w:shd w:val="clear" w:color="auto" w:fill="auto"/>
          </w:tcPr>
          <w:p w:rsidR="00CB004C" w:rsidRPr="004776CB" w:rsidRDefault="00CB004C" w:rsidP="00811881">
            <w:pPr>
              <w:pStyle w:val="Ruller41"/>
              <w:rPr>
                <w:rtl/>
              </w:rPr>
            </w:pPr>
            <w:r>
              <w:rPr>
                <w:rFonts w:hint="cs"/>
                <w:rtl/>
              </w:rPr>
              <w:t>ה נ ש י א ה</w:t>
            </w:r>
          </w:p>
        </w:tc>
      </w:tr>
    </w:tbl>
    <w:p w:rsidR="005566DA" w:rsidRDefault="00CB004C" w:rsidP="005566DA">
      <w:pPr>
        <w:pStyle w:val="Ruller41"/>
        <w:rPr>
          <w:rFonts w:cs="Miriam"/>
          <w:sz w:val="24"/>
          <w:rtl/>
        </w:rPr>
      </w:pPr>
      <w:r w:rsidRPr="004776CB">
        <w:rPr>
          <w:rFonts w:hint="cs"/>
          <w:rtl/>
        </w:rPr>
        <w:t xml:space="preserve">   </w:t>
      </w:r>
    </w:p>
    <w:p w:rsidR="005566DA" w:rsidRPr="00167AC9" w:rsidRDefault="005566DA" w:rsidP="005566DA">
      <w:pPr>
        <w:pStyle w:val="BODYVERDICT"/>
        <w:rPr>
          <w:rFonts w:cs="Miriam"/>
          <w:sz w:val="24"/>
          <w:szCs w:val="24"/>
          <w:rtl/>
        </w:rPr>
      </w:pPr>
      <w:r w:rsidRPr="00167AC9">
        <w:rPr>
          <w:rFonts w:cs="Miriam"/>
          <w:sz w:val="24"/>
          <w:szCs w:val="24"/>
          <w:u w:val="single"/>
          <w:rtl/>
        </w:rPr>
        <w:t>המשנה לנשיאה ע' פוגלמן</w:t>
      </w:r>
      <w:r w:rsidRPr="00167AC9">
        <w:rPr>
          <w:rFonts w:cs="Miriam"/>
          <w:sz w:val="24"/>
          <w:szCs w:val="24"/>
          <w:rtl/>
        </w:rPr>
        <w:t>:</w:t>
      </w:r>
    </w:p>
    <w:p w:rsidR="005566DA" w:rsidRPr="00167AC9" w:rsidRDefault="005566DA" w:rsidP="005566DA">
      <w:pPr>
        <w:pStyle w:val="Ruller41"/>
        <w:rPr>
          <w:rtl/>
        </w:rPr>
      </w:pPr>
    </w:p>
    <w:p w:rsidR="005566DA" w:rsidRPr="00167AC9" w:rsidRDefault="005566DA" w:rsidP="005566DA">
      <w:pPr>
        <w:spacing w:line="360" w:lineRule="auto"/>
        <w:ind w:firstLine="720"/>
        <w:jc w:val="both"/>
        <w:rPr>
          <w:rFonts w:ascii="Century" w:hAnsi="Century" w:cs="FrankRuehl"/>
          <w:spacing w:val="10"/>
          <w:sz w:val="22"/>
          <w:szCs w:val="28"/>
          <w:rtl/>
        </w:rPr>
      </w:pPr>
      <w:r w:rsidRPr="00167AC9">
        <w:rPr>
          <w:rFonts w:ascii="Century" w:hAnsi="Century" w:cs="FrankRuehl" w:hint="cs"/>
          <w:spacing w:val="10"/>
          <w:sz w:val="22"/>
          <w:szCs w:val="28"/>
          <w:rtl/>
        </w:rPr>
        <w:t xml:space="preserve">מצטרף אני למסקנותיו של חברי, השופט </w:t>
      </w:r>
      <w:r w:rsidRPr="00167AC9">
        <w:rPr>
          <w:rFonts w:ascii="Century" w:hAnsi="Century" w:cs="Miriam" w:hint="cs"/>
          <w:b/>
          <w:sz w:val="22"/>
          <w:rtl/>
        </w:rPr>
        <w:t>י' עמית</w:t>
      </w:r>
      <w:r w:rsidRPr="00167AC9">
        <w:rPr>
          <w:rFonts w:ascii="Century" w:hAnsi="Century" w:cs="FrankRuehl" w:hint="cs"/>
          <w:spacing w:val="10"/>
          <w:sz w:val="22"/>
          <w:szCs w:val="28"/>
          <w:rtl/>
        </w:rPr>
        <w:t>, בחוות דעתו המקיפה.</w:t>
      </w:r>
    </w:p>
    <w:p w:rsidR="005566DA" w:rsidRPr="00167AC9" w:rsidRDefault="005566DA" w:rsidP="005566DA">
      <w:pPr>
        <w:spacing w:line="360" w:lineRule="auto"/>
        <w:jc w:val="both"/>
        <w:rPr>
          <w:rFonts w:ascii="Century" w:hAnsi="Century" w:cs="FrankRuehl"/>
          <w:spacing w:val="10"/>
          <w:sz w:val="22"/>
          <w:szCs w:val="28"/>
          <w:rtl/>
        </w:rPr>
      </w:pPr>
    </w:p>
    <w:p w:rsidR="005566DA" w:rsidRPr="00167AC9" w:rsidRDefault="005566DA" w:rsidP="005566DA">
      <w:pPr>
        <w:spacing w:line="360" w:lineRule="auto"/>
        <w:ind w:firstLine="720"/>
        <w:jc w:val="both"/>
        <w:rPr>
          <w:rFonts w:ascii="Century" w:hAnsi="Century" w:cs="FrankRuehl"/>
          <w:spacing w:val="10"/>
          <w:sz w:val="22"/>
          <w:szCs w:val="28"/>
          <w:rtl/>
        </w:rPr>
      </w:pPr>
      <w:r w:rsidRPr="00167AC9">
        <w:rPr>
          <w:rFonts w:ascii="Century" w:hAnsi="Century" w:cs="FrankRuehl" w:hint="cs"/>
          <w:spacing w:val="10"/>
          <w:sz w:val="22"/>
          <w:szCs w:val="28"/>
          <w:rtl/>
        </w:rPr>
        <w:t xml:space="preserve">גם להשקפתי חילוט אינו נחשב כהוצאה בייצור הכנסה ומבחן הסיכון אינו ישים לגביו. לכך יש להוסיף כי הכרה בסכומי החילוט כהוצאה תחתור תחת התכלית </w:t>
      </w:r>
      <w:proofErr w:type="spellStart"/>
      <w:r w:rsidRPr="00167AC9">
        <w:rPr>
          <w:rFonts w:ascii="Century" w:hAnsi="Century" w:cs="FrankRuehl" w:hint="cs"/>
          <w:spacing w:val="10"/>
          <w:sz w:val="22"/>
          <w:szCs w:val="28"/>
          <w:rtl/>
        </w:rPr>
        <w:t>המעין</w:t>
      </w:r>
      <w:proofErr w:type="spellEnd"/>
      <w:r w:rsidRPr="00167AC9">
        <w:rPr>
          <w:rFonts w:ascii="Century" w:hAnsi="Century" w:cs="FrankRuehl" w:hint="cs"/>
          <w:spacing w:val="10"/>
          <w:sz w:val="22"/>
          <w:szCs w:val="28"/>
          <w:rtl/>
        </w:rPr>
        <w:t xml:space="preserve"> </w:t>
      </w:r>
      <w:proofErr w:type="spellStart"/>
      <w:r w:rsidRPr="00167AC9">
        <w:rPr>
          <w:rFonts w:ascii="Century" w:hAnsi="Century" w:cs="FrankRuehl" w:hint="cs"/>
          <w:spacing w:val="10"/>
          <w:sz w:val="22"/>
          <w:szCs w:val="28"/>
          <w:rtl/>
        </w:rPr>
        <w:t>עונשית</w:t>
      </w:r>
      <w:proofErr w:type="spellEnd"/>
      <w:r w:rsidRPr="00167AC9">
        <w:rPr>
          <w:rFonts w:ascii="Century" w:hAnsi="Century" w:cs="FrankRuehl" w:hint="cs"/>
          <w:spacing w:val="10"/>
          <w:sz w:val="22"/>
          <w:szCs w:val="28"/>
          <w:rtl/>
        </w:rPr>
        <w:t xml:space="preserve">, שהיא אחת מתכליותיו המרכזיות </w:t>
      </w:r>
      <w:r>
        <w:rPr>
          <w:rFonts w:ascii="Century" w:hAnsi="Century" w:cs="FrankRuehl" w:hint="cs"/>
          <w:spacing w:val="10"/>
          <w:sz w:val="22"/>
          <w:szCs w:val="28"/>
          <w:rtl/>
        </w:rPr>
        <w:t>של הח</w:t>
      </w:r>
      <w:r w:rsidRPr="00167AC9">
        <w:rPr>
          <w:rFonts w:ascii="Century" w:hAnsi="Century" w:cs="FrankRuehl" w:hint="cs"/>
          <w:spacing w:val="10"/>
          <w:sz w:val="22"/>
          <w:szCs w:val="28"/>
          <w:rtl/>
        </w:rPr>
        <w:t>ילוט.</w:t>
      </w:r>
    </w:p>
    <w:p w:rsidR="005566DA" w:rsidRPr="00167AC9" w:rsidRDefault="005566DA" w:rsidP="005566DA">
      <w:pPr>
        <w:spacing w:line="360" w:lineRule="auto"/>
        <w:jc w:val="both"/>
        <w:rPr>
          <w:rFonts w:ascii="Century" w:hAnsi="Century" w:cs="FrankRuehl"/>
          <w:spacing w:val="10"/>
          <w:sz w:val="22"/>
          <w:szCs w:val="28"/>
          <w:rtl/>
        </w:rPr>
      </w:pPr>
    </w:p>
    <w:p w:rsidR="005566DA" w:rsidRPr="00167AC9" w:rsidRDefault="005566DA" w:rsidP="005566DA">
      <w:pPr>
        <w:spacing w:line="360" w:lineRule="auto"/>
        <w:ind w:firstLine="720"/>
        <w:jc w:val="both"/>
        <w:rPr>
          <w:rFonts w:ascii="Century" w:hAnsi="Century" w:cs="FrankRuehl"/>
          <w:spacing w:val="10"/>
          <w:sz w:val="22"/>
          <w:szCs w:val="28"/>
          <w:rtl/>
        </w:rPr>
      </w:pPr>
      <w:r w:rsidRPr="00167AC9">
        <w:rPr>
          <w:rFonts w:ascii="Century" w:hAnsi="Century" w:cs="FrankRuehl" w:hint="cs"/>
          <w:spacing w:val="10"/>
          <w:sz w:val="22"/>
          <w:szCs w:val="28"/>
          <w:rtl/>
        </w:rPr>
        <w:t xml:space="preserve">מטעמים אלה אף אני סבור כי יש להותיר את הכרעתו של בית משפט זה בפסק הדין נושא הדיון הנוסף על כנה. </w:t>
      </w:r>
    </w:p>
    <w:p w:rsidR="00CB004C" w:rsidRPr="004776CB" w:rsidRDefault="00CB004C" w:rsidP="00CB004C">
      <w:pPr>
        <w:pStyle w:val="Ruller41"/>
        <w:rPr>
          <w:rtl/>
        </w:rPr>
      </w:pPr>
    </w:p>
    <w:tbl>
      <w:tblPr>
        <w:bidiVisual/>
        <w:tblW w:w="0" w:type="auto"/>
        <w:tblLook w:val="01E0" w:firstRow="1" w:lastRow="1" w:firstColumn="1" w:lastColumn="1" w:noHBand="0" w:noVBand="0"/>
      </w:tblPr>
      <w:tblGrid>
        <w:gridCol w:w="2763"/>
        <w:gridCol w:w="2763"/>
        <w:gridCol w:w="2786"/>
      </w:tblGrid>
      <w:tr w:rsidR="00CB004C" w:rsidRPr="004776CB" w:rsidTr="00811881">
        <w:tc>
          <w:tcPr>
            <w:tcW w:w="2763" w:type="dxa"/>
            <w:shd w:val="clear" w:color="auto" w:fill="auto"/>
          </w:tcPr>
          <w:p w:rsidR="00CB004C" w:rsidRPr="004776CB" w:rsidRDefault="00CB004C" w:rsidP="00811881">
            <w:pPr>
              <w:pStyle w:val="Ruller41"/>
              <w:rPr>
                <w:rtl/>
              </w:rPr>
            </w:pPr>
          </w:p>
        </w:tc>
        <w:tc>
          <w:tcPr>
            <w:tcW w:w="2763" w:type="dxa"/>
            <w:shd w:val="clear" w:color="auto" w:fill="auto"/>
          </w:tcPr>
          <w:p w:rsidR="00CB004C" w:rsidRPr="004776CB" w:rsidRDefault="00CB004C" w:rsidP="00811881">
            <w:pPr>
              <w:pStyle w:val="Ruller41"/>
              <w:rPr>
                <w:rtl/>
              </w:rPr>
            </w:pPr>
          </w:p>
        </w:tc>
        <w:tc>
          <w:tcPr>
            <w:tcW w:w="2786" w:type="dxa"/>
            <w:shd w:val="clear" w:color="auto" w:fill="auto"/>
          </w:tcPr>
          <w:p w:rsidR="00CB004C" w:rsidRPr="004776CB" w:rsidRDefault="00CB004C" w:rsidP="00811881">
            <w:pPr>
              <w:pStyle w:val="Ruller41"/>
              <w:rPr>
                <w:rtl/>
              </w:rPr>
            </w:pPr>
            <w:r w:rsidRPr="004776CB">
              <w:rPr>
                <w:rtl/>
              </w:rPr>
              <w:t>המשנה לנשיא</w:t>
            </w:r>
            <w:r>
              <w:rPr>
                <w:rFonts w:hint="cs"/>
                <w:rtl/>
              </w:rPr>
              <w:t>ה</w:t>
            </w:r>
          </w:p>
        </w:tc>
      </w:tr>
    </w:tbl>
    <w:p w:rsidR="00CB004C" w:rsidRPr="005566DA" w:rsidRDefault="00CB004C" w:rsidP="005566DA">
      <w:pPr>
        <w:pStyle w:val="Ruller41"/>
        <w:rPr>
          <w:rFonts w:ascii="Century" w:hAnsi="Century"/>
          <w:rtl/>
        </w:rPr>
      </w:pPr>
      <w:r w:rsidRPr="004776CB">
        <w:rPr>
          <w:rFonts w:hint="cs"/>
          <w:rtl/>
        </w:rPr>
        <w:t xml:space="preserve">   </w:t>
      </w:r>
      <w:r w:rsidRPr="005566DA">
        <w:rPr>
          <w:rFonts w:ascii="Century" w:hAnsi="Century" w:hint="cs"/>
          <w:rtl/>
        </w:rPr>
        <w:tab/>
      </w:r>
    </w:p>
    <w:p w:rsidR="00CB004C" w:rsidRPr="004776CB" w:rsidRDefault="00CB004C" w:rsidP="00CB004C">
      <w:pPr>
        <w:tabs>
          <w:tab w:val="left" w:pos="800"/>
        </w:tabs>
        <w:jc w:val="both"/>
        <w:rPr>
          <w:rFonts w:cs="Miriam"/>
          <w:rtl/>
        </w:rPr>
      </w:pPr>
      <w:r w:rsidRPr="004776CB">
        <w:rPr>
          <w:rFonts w:cs="Miriam" w:hint="cs"/>
          <w:u w:val="single"/>
          <w:rtl/>
        </w:rPr>
        <w:t xml:space="preserve">השופט </w:t>
      </w:r>
      <w:r w:rsidRPr="005D6209">
        <w:rPr>
          <w:rFonts w:cs="Miriam" w:hint="cs"/>
          <w:u w:val="single"/>
          <w:rtl/>
        </w:rPr>
        <w:t>נ' סולברג</w:t>
      </w:r>
      <w:r w:rsidRPr="004776CB">
        <w:rPr>
          <w:rFonts w:cs="Miriam" w:hint="cs"/>
          <w:rtl/>
        </w:rPr>
        <w:t>:</w:t>
      </w:r>
    </w:p>
    <w:p w:rsidR="00CB004C" w:rsidRDefault="00CB004C" w:rsidP="005566DA">
      <w:pPr>
        <w:pStyle w:val="Ruller41"/>
        <w:rPr>
          <w:rtl/>
        </w:rPr>
      </w:pPr>
      <w:r w:rsidRPr="004776CB">
        <w:rPr>
          <w:rFonts w:hint="cs"/>
          <w:rtl/>
        </w:rPr>
        <w:tab/>
      </w:r>
    </w:p>
    <w:p w:rsidR="00CB004C" w:rsidRDefault="00CB004C" w:rsidP="00A20AD7">
      <w:pPr>
        <w:pStyle w:val="Ruller41"/>
        <w:rPr>
          <w:rtl/>
        </w:rPr>
      </w:pPr>
      <w:r w:rsidRPr="004776CB">
        <w:rPr>
          <w:rFonts w:hint="cs"/>
          <w:rtl/>
        </w:rPr>
        <w:t xml:space="preserve">  </w:t>
      </w:r>
      <w:r w:rsidR="00452F46">
        <w:rPr>
          <w:rtl/>
        </w:rPr>
        <w:tab/>
      </w:r>
      <w:r w:rsidRPr="004776CB">
        <w:rPr>
          <w:rFonts w:hint="cs"/>
          <w:rtl/>
        </w:rPr>
        <w:t xml:space="preserve"> </w:t>
      </w:r>
      <w:r w:rsidR="00452F46">
        <w:rPr>
          <w:rFonts w:hint="cs"/>
          <w:rtl/>
        </w:rPr>
        <w:t xml:space="preserve">אני מסכים עם דרך הילוכו ועם מסקנתו של חברי, השופט </w:t>
      </w:r>
      <w:r w:rsidR="00452F46" w:rsidRPr="00A20AD7">
        <w:rPr>
          <w:rFonts w:ascii="Century" w:hAnsi="Century" w:cs="Miriam" w:hint="eastAsia"/>
          <w:b/>
          <w:spacing w:val="0"/>
          <w:szCs w:val="24"/>
          <w:rtl/>
        </w:rPr>
        <w:t>י</w:t>
      </w:r>
      <w:r w:rsidR="00452F46" w:rsidRPr="00A20AD7">
        <w:rPr>
          <w:rFonts w:ascii="Century" w:hAnsi="Century" w:cs="Miriam"/>
          <w:b/>
          <w:spacing w:val="0"/>
          <w:szCs w:val="24"/>
          <w:rtl/>
        </w:rPr>
        <w:t xml:space="preserve">' </w:t>
      </w:r>
      <w:r w:rsidR="00452F46" w:rsidRPr="00A20AD7">
        <w:rPr>
          <w:rFonts w:ascii="Century" w:hAnsi="Century" w:cs="Miriam" w:hint="eastAsia"/>
          <w:b/>
          <w:spacing w:val="0"/>
          <w:szCs w:val="24"/>
          <w:rtl/>
        </w:rPr>
        <w:t>עמית</w:t>
      </w:r>
      <w:r w:rsidR="00452F46">
        <w:rPr>
          <w:rFonts w:hint="cs"/>
          <w:rtl/>
        </w:rPr>
        <w:t>.</w:t>
      </w:r>
    </w:p>
    <w:p w:rsidR="005566DA" w:rsidRPr="005566DA" w:rsidRDefault="005566DA" w:rsidP="005566DA">
      <w:pPr>
        <w:pStyle w:val="Ruller41"/>
        <w:rPr>
          <w:rFonts w:ascii="Century" w:hAnsi="Century"/>
          <w:rtl/>
        </w:rPr>
      </w:pPr>
    </w:p>
    <w:tbl>
      <w:tblPr>
        <w:bidiVisual/>
        <w:tblW w:w="0" w:type="auto"/>
        <w:tblLook w:val="01E0" w:firstRow="1" w:lastRow="1" w:firstColumn="1" w:lastColumn="1" w:noHBand="0" w:noVBand="0"/>
      </w:tblPr>
      <w:tblGrid>
        <w:gridCol w:w="2769"/>
        <w:gridCol w:w="2769"/>
        <w:gridCol w:w="2774"/>
      </w:tblGrid>
      <w:tr w:rsidR="00CB004C" w:rsidRPr="004776CB" w:rsidTr="005C14FC">
        <w:tc>
          <w:tcPr>
            <w:tcW w:w="2769" w:type="dxa"/>
            <w:shd w:val="clear" w:color="auto" w:fill="auto"/>
          </w:tcPr>
          <w:p w:rsidR="00CB004C" w:rsidRPr="004776CB" w:rsidRDefault="00CB004C" w:rsidP="00811881">
            <w:pPr>
              <w:pStyle w:val="Ruller41"/>
              <w:rPr>
                <w:rtl/>
              </w:rPr>
            </w:pPr>
          </w:p>
        </w:tc>
        <w:tc>
          <w:tcPr>
            <w:tcW w:w="2769" w:type="dxa"/>
            <w:shd w:val="clear" w:color="auto" w:fill="auto"/>
          </w:tcPr>
          <w:p w:rsidR="00CB004C" w:rsidRPr="004776CB" w:rsidRDefault="00CB004C" w:rsidP="00811881">
            <w:pPr>
              <w:pStyle w:val="Ruller41"/>
              <w:rPr>
                <w:rtl/>
              </w:rPr>
            </w:pPr>
          </w:p>
        </w:tc>
        <w:tc>
          <w:tcPr>
            <w:tcW w:w="2774" w:type="dxa"/>
            <w:shd w:val="clear" w:color="auto" w:fill="auto"/>
          </w:tcPr>
          <w:p w:rsidR="00CB004C" w:rsidRPr="004776CB" w:rsidRDefault="00CB004C" w:rsidP="00811881">
            <w:pPr>
              <w:pStyle w:val="Ruller41"/>
              <w:rPr>
                <w:rtl/>
              </w:rPr>
            </w:pPr>
            <w:r w:rsidRPr="004776CB">
              <w:rPr>
                <w:rtl/>
              </w:rPr>
              <w:t>ש ו פ ט</w:t>
            </w:r>
          </w:p>
        </w:tc>
      </w:tr>
    </w:tbl>
    <w:p w:rsidR="005566DA" w:rsidRPr="005C14FC" w:rsidRDefault="005566DA" w:rsidP="005566DA">
      <w:pPr>
        <w:pStyle w:val="Ruller41"/>
        <w:rPr>
          <w:rFonts w:ascii="Century" w:hAnsi="Century"/>
          <w:sz w:val="20"/>
          <w:szCs w:val="26"/>
          <w:rtl/>
        </w:rPr>
      </w:pPr>
    </w:p>
    <w:p w:rsidR="00CB004C" w:rsidRDefault="00CB004C" w:rsidP="00CB004C">
      <w:pPr>
        <w:tabs>
          <w:tab w:val="left" w:pos="800"/>
        </w:tabs>
        <w:jc w:val="both"/>
        <w:rPr>
          <w:rFonts w:cs="Miriam"/>
          <w:rtl/>
        </w:rPr>
      </w:pPr>
      <w:r w:rsidRPr="004776CB">
        <w:rPr>
          <w:rFonts w:cs="Miriam" w:hint="cs"/>
          <w:u w:val="single"/>
          <w:rtl/>
        </w:rPr>
        <w:t>השופט</w:t>
      </w:r>
      <w:r w:rsidRPr="005D6209">
        <w:rPr>
          <w:rFonts w:cs="Miriam" w:hint="cs"/>
          <w:u w:val="single"/>
          <w:rtl/>
        </w:rPr>
        <w:t xml:space="preserve"> ד' מינץ</w:t>
      </w:r>
      <w:r w:rsidRPr="004776CB">
        <w:rPr>
          <w:rFonts w:cs="Miriam" w:hint="cs"/>
          <w:rtl/>
        </w:rPr>
        <w:t>:</w:t>
      </w:r>
    </w:p>
    <w:p w:rsidR="005566DA" w:rsidRPr="005C14FC" w:rsidRDefault="005566DA" w:rsidP="005566DA">
      <w:pPr>
        <w:pStyle w:val="Ruller41"/>
        <w:rPr>
          <w:sz w:val="20"/>
          <w:szCs w:val="26"/>
          <w:rtl/>
        </w:rPr>
      </w:pPr>
    </w:p>
    <w:p w:rsidR="000920FE" w:rsidRPr="00A20AD7" w:rsidRDefault="000920FE" w:rsidP="00A20AD7">
      <w:pPr>
        <w:pStyle w:val="Ruller41"/>
      </w:pPr>
      <w:r>
        <w:rPr>
          <w:rtl/>
        </w:rPr>
        <w:tab/>
      </w:r>
      <w:r w:rsidRPr="00A20AD7">
        <w:rPr>
          <w:rtl/>
        </w:rPr>
        <w:t xml:space="preserve">סומך אני את שתי ידיי על חוות דעתו של חברי השופט </w:t>
      </w:r>
      <w:r w:rsidRPr="00A20AD7">
        <w:rPr>
          <w:rFonts w:ascii="Century" w:hAnsi="Century" w:cs="Miriam"/>
          <w:b/>
          <w:spacing w:val="0"/>
          <w:szCs w:val="24"/>
          <w:rtl/>
        </w:rPr>
        <w:t>י' עמית</w:t>
      </w:r>
      <w:r w:rsidRPr="00A20AD7">
        <w:rPr>
          <w:rtl/>
        </w:rPr>
        <w:t xml:space="preserve">. כפי שהצביע חברי, בפסק הדין ציינתי כי החלת "מבחן הסיכון" על נסיבות ענייננו מעוררת קשיים בלתי מבוטלים. כיום לאחר קריאת חוות דעתו של חברי, אומר אני כי "מאור </w:t>
      </w:r>
      <w:proofErr w:type="spellStart"/>
      <w:r w:rsidRPr="00A20AD7">
        <w:rPr>
          <w:rtl/>
        </w:rPr>
        <w:t>עינים</w:t>
      </w:r>
      <w:proofErr w:type="spellEnd"/>
      <w:r w:rsidRPr="00A20AD7">
        <w:rPr>
          <w:rtl/>
        </w:rPr>
        <w:t xml:space="preserve"> ישמח לב שמועה טובה תדשן עצם" (משלי, טו, 30). חברי התיר כל ספק הקיים בנדון זה ובסוגיה מושא הדיון הנוסף בכללותו. </w:t>
      </w:r>
    </w:p>
    <w:p w:rsidR="00CB004C" w:rsidRPr="004776CB" w:rsidRDefault="00CB004C" w:rsidP="003B392E">
      <w:pPr>
        <w:tabs>
          <w:tab w:val="left" w:pos="800"/>
        </w:tabs>
        <w:jc w:val="both"/>
        <w:rPr>
          <w:rFonts w:ascii="Arial TUR" w:hAnsi="Arial TUR"/>
          <w:sz w:val="22"/>
          <w:rtl/>
        </w:rPr>
      </w:pPr>
      <w:r w:rsidRPr="004776CB">
        <w:rPr>
          <w:rFonts w:ascii="Arial TUR" w:hAnsi="Arial TUR" w:hint="cs"/>
          <w:sz w:val="22"/>
          <w:rtl/>
        </w:rPr>
        <w:t xml:space="preserve"> </w:t>
      </w:r>
    </w:p>
    <w:tbl>
      <w:tblPr>
        <w:bidiVisual/>
        <w:tblW w:w="0" w:type="auto"/>
        <w:tblLook w:val="01E0" w:firstRow="1" w:lastRow="1" w:firstColumn="1" w:lastColumn="1" w:noHBand="0" w:noVBand="0"/>
      </w:tblPr>
      <w:tblGrid>
        <w:gridCol w:w="2769"/>
        <w:gridCol w:w="2769"/>
        <w:gridCol w:w="2774"/>
      </w:tblGrid>
      <w:tr w:rsidR="00CB004C" w:rsidRPr="004776CB" w:rsidTr="00811881">
        <w:tc>
          <w:tcPr>
            <w:tcW w:w="2842" w:type="dxa"/>
            <w:shd w:val="clear" w:color="auto" w:fill="auto"/>
          </w:tcPr>
          <w:p w:rsidR="00CB004C" w:rsidRPr="004776CB" w:rsidRDefault="00CB004C" w:rsidP="00811881">
            <w:pPr>
              <w:pStyle w:val="Ruller41"/>
              <w:rPr>
                <w:rtl/>
              </w:rPr>
            </w:pPr>
          </w:p>
        </w:tc>
        <w:tc>
          <w:tcPr>
            <w:tcW w:w="2843" w:type="dxa"/>
            <w:shd w:val="clear" w:color="auto" w:fill="auto"/>
          </w:tcPr>
          <w:p w:rsidR="00CB004C" w:rsidRPr="004776CB" w:rsidRDefault="00CB004C" w:rsidP="00811881">
            <w:pPr>
              <w:pStyle w:val="Ruller41"/>
              <w:rPr>
                <w:rtl/>
              </w:rPr>
            </w:pPr>
          </w:p>
        </w:tc>
        <w:tc>
          <w:tcPr>
            <w:tcW w:w="2843" w:type="dxa"/>
            <w:shd w:val="clear" w:color="auto" w:fill="auto"/>
          </w:tcPr>
          <w:p w:rsidR="00CB004C" w:rsidRPr="004776CB" w:rsidRDefault="00CB004C" w:rsidP="00811881">
            <w:pPr>
              <w:pStyle w:val="Ruller41"/>
              <w:rPr>
                <w:rtl/>
              </w:rPr>
            </w:pPr>
            <w:r w:rsidRPr="004776CB">
              <w:rPr>
                <w:rtl/>
              </w:rPr>
              <w:t>ש ו פ ט</w:t>
            </w:r>
            <w:r>
              <w:rPr>
                <w:rFonts w:hint="cs"/>
                <w:rtl/>
              </w:rPr>
              <w:t xml:space="preserve"> </w:t>
            </w:r>
          </w:p>
        </w:tc>
      </w:tr>
    </w:tbl>
    <w:p w:rsidR="00CB004C" w:rsidRDefault="00CB004C" w:rsidP="00973A8B">
      <w:pPr>
        <w:pStyle w:val="Ruller41"/>
        <w:rPr>
          <w:rFonts w:ascii="Century" w:hAnsi="Century"/>
          <w:rtl/>
        </w:rPr>
      </w:pPr>
    </w:p>
    <w:p w:rsidR="00CB0267" w:rsidRPr="00973A8B" w:rsidRDefault="00CB0267" w:rsidP="00973A8B">
      <w:pPr>
        <w:pStyle w:val="Ruller41"/>
        <w:rPr>
          <w:rFonts w:ascii="Century" w:hAnsi="Century"/>
          <w:rtl/>
        </w:rPr>
      </w:pPr>
    </w:p>
    <w:p w:rsidR="00CB0267" w:rsidRDefault="00CB0267" w:rsidP="00A9273E">
      <w:pPr>
        <w:pStyle w:val="Ruller41"/>
        <w:rPr>
          <w:rFonts w:ascii="Century" w:hAnsi="Century"/>
          <w:rtl/>
        </w:rPr>
      </w:pPr>
      <w:r w:rsidRPr="00A9273E">
        <w:rPr>
          <w:rFonts w:ascii="Century" w:hAnsi="Century"/>
          <w:rtl/>
        </w:rPr>
        <w:tab/>
      </w:r>
      <w:r w:rsidRPr="00A9273E">
        <w:rPr>
          <w:rFonts w:ascii="Century" w:hAnsi="Century" w:hint="cs"/>
          <w:rtl/>
        </w:rPr>
        <w:t xml:space="preserve">לפיכך הוחלט כאמור בפסק דינו של השופט </w:t>
      </w:r>
      <w:r w:rsidRPr="00A9273E">
        <w:rPr>
          <w:rFonts w:ascii="Century" w:hAnsi="Century" w:cs="Miriam" w:hint="cs"/>
          <w:b/>
          <w:spacing w:val="0"/>
          <w:szCs w:val="24"/>
          <w:rtl/>
        </w:rPr>
        <w:t>י' עמית</w:t>
      </w:r>
      <w:r w:rsidRPr="00A9273E">
        <w:rPr>
          <w:rFonts w:ascii="Century" w:hAnsi="Century" w:hint="cs"/>
          <w:rtl/>
        </w:rPr>
        <w:t xml:space="preserve">. </w:t>
      </w:r>
    </w:p>
    <w:p w:rsidR="00CB0267" w:rsidRDefault="00CB0267" w:rsidP="00A9273E">
      <w:pPr>
        <w:pStyle w:val="Ruller41"/>
        <w:rPr>
          <w:rFonts w:ascii="Century" w:hAnsi="Century"/>
          <w:rtl/>
        </w:rPr>
      </w:pPr>
    </w:p>
    <w:p w:rsidR="00CB0267" w:rsidRDefault="00CB0267" w:rsidP="00A33ABF">
      <w:pPr>
        <w:pStyle w:val="Ruller41"/>
        <w:rPr>
          <w:rFonts w:ascii="Century" w:hAnsi="Century"/>
          <w:rtl/>
        </w:rPr>
      </w:pPr>
      <w:r>
        <w:rPr>
          <w:rFonts w:ascii="Century" w:hAnsi="Century"/>
          <w:rtl/>
        </w:rPr>
        <w:tab/>
      </w:r>
      <w:r>
        <w:rPr>
          <w:rFonts w:ascii="Century" w:hAnsi="Century" w:hint="eastAsia"/>
          <w:rtl/>
        </w:rPr>
        <w:t>ניתן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w:t>
      </w:r>
      <w:r w:rsidR="00A33ABF">
        <w:rPr>
          <w:rFonts w:ascii="Century" w:hAnsi="Century" w:hint="cs"/>
          <w:rtl/>
        </w:rPr>
        <w:t>ט</w:t>
      </w:r>
      <w:r>
        <w:rPr>
          <w:rFonts w:ascii="Century" w:hAnsi="Century"/>
          <w:rtl/>
        </w:rPr>
        <w:t xml:space="preserve">' </w:t>
      </w:r>
      <w:r>
        <w:rPr>
          <w:rFonts w:ascii="Century" w:hAnsi="Century" w:hint="eastAsia"/>
          <w:rtl/>
        </w:rPr>
        <w:t>בתמוז</w:t>
      </w:r>
      <w:r>
        <w:rPr>
          <w:rFonts w:ascii="Century" w:hAnsi="Century"/>
          <w:rtl/>
        </w:rPr>
        <w:t xml:space="preserve"> </w:t>
      </w:r>
      <w:proofErr w:type="spellStart"/>
      <w:r>
        <w:rPr>
          <w:rFonts w:ascii="Century" w:hAnsi="Century" w:hint="eastAsia"/>
          <w:rtl/>
        </w:rPr>
        <w:t>התשפ</w:t>
      </w:r>
      <w:r>
        <w:rPr>
          <w:rFonts w:ascii="Century" w:hAnsi="Century"/>
          <w:rtl/>
        </w:rPr>
        <w:t>"</w:t>
      </w:r>
      <w:r>
        <w:rPr>
          <w:rFonts w:ascii="Century" w:hAnsi="Century" w:hint="eastAsia"/>
          <w:rtl/>
        </w:rPr>
        <w:t>ג</w:t>
      </w:r>
      <w:proofErr w:type="spellEnd"/>
      <w:r>
        <w:rPr>
          <w:rFonts w:ascii="Century" w:hAnsi="Century"/>
          <w:rtl/>
        </w:rPr>
        <w:t xml:space="preserve"> (</w:t>
      </w:r>
      <w:r>
        <w:rPr>
          <w:rFonts w:ascii="Century" w:hAnsi="Century" w:hint="eastAsia"/>
          <w:rtl/>
        </w:rPr>
        <w:t>‏</w:t>
      </w:r>
      <w:r w:rsidR="00A33ABF">
        <w:rPr>
          <w:rFonts w:ascii="Century" w:hAnsi="Century" w:hint="cs"/>
          <w:rtl/>
        </w:rPr>
        <w:t>28</w:t>
      </w:r>
      <w:r>
        <w:rPr>
          <w:rFonts w:ascii="Century" w:hAnsi="Century"/>
          <w:rtl/>
        </w:rPr>
        <w:t>.6.2023).</w:t>
      </w:r>
    </w:p>
    <w:p w:rsidR="00CB0267" w:rsidRPr="00A9273E" w:rsidRDefault="00CB0267" w:rsidP="00A9273E">
      <w:pPr>
        <w:pStyle w:val="Ruller41"/>
        <w:rPr>
          <w:rFonts w:ascii="Century" w:hAnsi="Century"/>
          <w:rtl/>
        </w:rPr>
      </w:pPr>
    </w:p>
    <w:p w:rsidR="00CB004C" w:rsidRDefault="00CB0267" w:rsidP="00CB0267">
      <w:pPr>
        <w:pStyle w:val="Ruller41"/>
        <w:rPr>
          <w:rFonts w:ascii="Century" w:hAnsi="Century"/>
          <w:rtl/>
        </w:rPr>
      </w:pPr>
      <w:r>
        <w:rPr>
          <w:rFonts w:ascii="Century" w:hAnsi="Century" w:hint="cs"/>
          <w:rtl/>
        </w:rPr>
        <w:t xml:space="preserve"> </w:t>
      </w:r>
    </w:p>
    <w:p w:rsidR="00CB0267" w:rsidRPr="00973A8B" w:rsidRDefault="00CB0267" w:rsidP="00CB0267">
      <w:pPr>
        <w:pStyle w:val="Ruller41"/>
        <w:rPr>
          <w:rFonts w:ascii="Century" w:hAnsi="Century"/>
          <w:rtl/>
        </w:rPr>
      </w:pPr>
    </w:p>
    <w:p w:rsidR="00CB004C" w:rsidRPr="004776CB" w:rsidRDefault="00CB004C" w:rsidP="00CB004C">
      <w:pPr>
        <w:tabs>
          <w:tab w:val="left" w:pos="800"/>
        </w:tabs>
        <w:jc w:val="both"/>
        <w:rPr>
          <w:rFonts w:ascii="Arial TUR" w:hAnsi="Arial TUR"/>
          <w:sz w:val="22"/>
          <w:rtl/>
        </w:rPr>
      </w:pPr>
    </w:p>
    <w:tbl>
      <w:tblPr>
        <w:bidiVisual/>
        <w:tblW w:w="8363" w:type="dxa"/>
        <w:tblLook w:val="01E0" w:firstRow="1" w:lastRow="1" w:firstColumn="1" w:lastColumn="1" w:noHBand="0" w:noVBand="0"/>
      </w:tblPr>
      <w:tblGrid>
        <w:gridCol w:w="2783"/>
        <w:gridCol w:w="2797"/>
        <w:gridCol w:w="2783"/>
      </w:tblGrid>
      <w:tr w:rsidR="00CB004C" w:rsidTr="00811881">
        <w:tc>
          <w:tcPr>
            <w:tcW w:w="2783" w:type="dxa"/>
            <w:shd w:val="clear" w:color="auto" w:fill="auto"/>
          </w:tcPr>
          <w:p w:rsidR="00CB004C" w:rsidRDefault="00CB004C" w:rsidP="00811881">
            <w:pPr>
              <w:pStyle w:val="Ruller41"/>
              <w:rPr>
                <w:rtl/>
              </w:rPr>
            </w:pPr>
            <w:bookmarkStart w:id="5" w:name="Start_Write"/>
            <w:bookmarkEnd w:id="5"/>
            <w:r>
              <w:rPr>
                <w:rtl/>
              </w:rPr>
              <w:t xml:space="preserve"> ה נ ש י א ה</w:t>
            </w:r>
          </w:p>
        </w:tc>
        <w:tc>
          <w:tcPr>
            <w:tcW w:w="2797" w:type="dxa"/>
            <w:shd w:val="clear" w:color="auto" w:fill="auto"/>
          </w:tcPr>
          <w:p w:rsidR="00CB004C" w:rsidRDefault="00CB004C" w:rsidP="00811881">
            <w:pPr>
              <w:pStyle w:val="Ruller41"/>
              <w:jc w:val="center"/>
              <w:rPr>
                <w:rtl/>
              </w:rPr>
            </w:pPr>
            <w:r>
              <w:rPr>
                <w:rtl/>
              </w:rPr>
              <w:t>המשנה לנשיאה</w:t>
            </w:r>
          </w:p>
        </w:tc>
        <w:tc>
          <w:tcPr>
            <w:tcW w:w="2783" w:type="dxa"/>
            <w:shd w:val="clear" w:color="auto" w:fill="auto"/>
          </w:tcPr>
          <w:p w:rsidR="00CB004C" w:rsidRDefault="00CB004C" w:rsidP="00811881">
            <w:pPr>
              <w:pStyle w:val="Ruller41"/>
              <w:jc w:val="center"/>
              <w:rPr>
                <w:rtl/>
              </w:rPr>
            </w:pPr>
            <w:r>
              <w:rPr>
                <w:rtl/>
              </w:rPr>
              <w:t>ש ו פ ט</w:t>
            </w:r>
          </w:p>
        </w:tc>
      </w:tr>
    </w:tbl>
    <w:p w:rsidR="00CB004C" w:rsidRDefault="00CB004C" w:rsidP="00CB004C">
      <w:pPr>
        <w:pStyle w:val="Ruller41"/>
        <w:rPr>
          <w:rtl/>
        </w:rPr>
      </w:pPr>
    </w:p>
    <w:p w:rsidR="005C14FC" w:rsidRDefault="005C14FC" w:rsidP="00CB004C">
      <w:pPr>
        <w:pStyle w:val="Ruller41"/>
        <w:rPr>
          <w:rtl/>
        </w:rPr>
      </w:pPr>
    </w:p>
    <w:tbl>
      <w:tblPr>
        <w:bidiVisual/>
        <w:tblW w:w="8363" w:type="dxa"/>
        <w:tblLook w:val="01E0" w:firstRow="1" w:lastRow="1" w:firstColumn="1" w:lastColumn="1" w:noHBand="0" w:noVBand="0"/>
      </w:tblPr>
      <w:tblGrid>
        <w:gridCol w:w="2788"/>
        <w:gridCol w:w="2789"/>
        <w:gridCol w:w="2786"/>
      </w:tblGrid>
      <w:tr w:rsidR="00CB004C" w:rsidTr="00811881">
        <w:tc>
          <w:tcPr>
            <w:tcW w:w="2842" w:type="dxa"/>
            <w:shd w:val="clear" w:color="auto" w:fill="auto"/>
          </w:tcPr>
          <w:p w:rsidR="00CB004C" w:rsidRDefault="00CB004C" w:rsidP="00811881">
            <w:pPr>
              <w:pStyle w:val="Ruller41"/>
              <w:rPr>
                <w:rtl/>
              </w:rPr>
            </w:pPr>
            <w:r>
              <w:rPr>
                <w:rFonts w:hint="cs"/>
                <w:rtl/>
              </w:rPr>
              <w:t>ש ו פ ט</w:t>
            </w:r>
          </w:p>
        </w:tc>
        <w:tc>
          <w:tcPr>
            <w:tcW w:w="2843" w:type="dxa"/>
            <w:shd w:val="clear" w:color="auto" w:fill="auto"/>
          </w:tcPr>
          <w:p w:rsidR="00CB004C" w:rsidRDefault="00CB004C" w:rsidP="00811881">
            <w:pPr>
              <w:pStyle w:val="Ruller41"/>
              <w:jc w:val="center"/>
              <w:rPr>
                <w:rtl/>
              </w:rPr>
            </w:pPr>
            <w:r>
              <w:rPr>
                <w:rFonts w:hint="cs"/>
                <w:rtl/>
              </w:rPr>
              <w:t>ש ו פ ט</w:t>
            </w:r>
          </w:p>
        </w:tc>
        <w:tc>
          <w:tcPr>
            <w:tcW w:w="2843" w:type="dxa"/>
            <w:shd w:val="clear" w:color="auto" w:fill="auto"/>
          </w:tcPr>
          <w:p w:rsidR="00CB004C" w:rsidRDefault="00CB004C" w:rsidP="00811881">
            <w:pPr>
              <w:pStyle w:val="Ruller41"/>
              <w:jc w:val="center"/>
              <w:rPr>
                <w:rtl/>
              </w:rPr>
            </w:pPr>
          </w:p>
        </w:tc>
      </w:tr>
    </w:tbl>
    <w:p w:rsidR="00CB004C" w:rsidRDefault="00CB004C" w:rsidP="00CB004C">
      <w:pPr>
        <w:pStyle w:val="Ruller41"/>
        <w:rPr>
          <w:rtl/>
        </w:rPr>
      </w:pPr>
    </w:p>
    <w:p w:rsidR="005C14FC" w:rsidRDefault="005C14FC" w:rsidP="00CB004C">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1E0107">
        <w:rPr>
          <w:sz w:val="16"/>
        </w:rPr>
        <w:t xml:space="preserve">22040040_E07.docx   </w:t>
      </w:r>
      <w:r w:rsidR="001E0107">
        <w:rPr>
          <w:sz w:val="16"/>
          <w:rtl/>
        </w:rPr>
        <w:t>סח</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TUR">
    <w:altName w:val="Arial"/>
    <w:charset w:val="00"/>
    <w:family w:val="swiss"/>
    <w:pitch w:val="variable"/>
    <w:sig w:usb0="00000000"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107" w:rsidRDefault="001E010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0E5E48">
      <w:rPr>
        <w:rStyle w:val="a4"/>
        <w:noProof/>
        <w:rtl/>
      </w:rPr>
      <w:t>21</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0AD8477E">
      <w:start w:val="1"/>
      <w:numFmt w:val="decimal"/>
      <w:pStyle w:val="Ruller4"/>
      <w:lvlText w:val="%1."/>
      <w:lvlJc w:val="left"/>
      <w:pPr>
        <w:tabs>
          <w:tab w:val="num" w:pos="907"/>
        </w:tabs>
        <w:ind w:left="0" w:firstLine="0"/>
      </w:pPr>
      <w:rPr>
        <w:rFonts w:hint="default"/>
      </w:rPr>
    </w:lvl>
    <w:lvl w:ilvl="1" w:tplc="0DBAECD0" w:tentative="1">
      <w:start w:val="1"/>
      <w:numFmt w:val="lowerLetter"/>
      <w:lvlText w:val="%2."/>
      <w:lvlJc w:val="left"/>
      <w:pPr>
        <w:tabs>
          <w:tab w:val="num" w:pos="1440"/>
        </w:tabs>
        <w:ind w:left="1440" w:hanging="360"/>
      </w:pPr>
    </w:lvl>
    <w:lvl w:ilvl="2" w:tplc="A2087C2C" w:tentative="1">
      <w:start w:val="1"/>
      <w:numFmt w:val="lowerRoman"/>
      <w:lvlText w:val="%3."/>
      <w:lvlJc w:val="right"/>
      <w:pPr>
        <w:tabs>
          <w:tab w:val="num" w:pos="2160"/>
        </w:tabs>
        <w:ind w:left="2160" w:hanging="180"/>
      </w:pPr>
    </w:lvl>
    <w:lvl w:ilvl="3" w:tplc="468CCA50" w:tentative="1">
      <w:start w:val="1"/>
      <w:numFmt w:val="decimal"/>
      <w:lvlText w:val="%4."/>
      <w:lvlJc w:val="left"/>
      <w:pPr>
        <w:tabs>
          <w:tab w:val="num" w:pos="2880"/>
        </w:tabs>
        <w:ind w:left="2880" w:hanging="360"/>
      </w:pPr>
    </w:lvl>
    <w:lvl w:ilvl="4" w:tplc="1CECD3D8" w:tentative="1">
      <w:start w:val="1"/>
      <w:numFmt w:val="lowerLetter"/>
      <w:lvlText w:val="%5."/>
      <w:lvlJc w:val="left"/>
      <w:pPr>
        <w:tabs>
          <w:tab w:val="num" w:pos="3600"/>
        </w:tabs>
        <w:ind w:left="3600" w:hanging="360"/>
      </w:pPr>
    </w:lvl>
    <w:lvl w:ilvl="5" w:tplc="A8484CCA" w:tentative="1">
      <w:start w:val="1"/>
      <w:numFmt w:val="lowerRoman"/>
      <w:lvlText w:val="%6."/>
      <w:lvlJc w:val="right"/>
      <w:pPr>
        <w:tabs>
          <w:tab w:val="num" w:pos="4320"/>
        </w:tabs>
        <w:ind w:left="4320" w:hanging="180"/>
      </w:pPr>
    </w:lvl>
    <w:lvl w:ilvl="6" w:tplc="3BA48E7C" w:tentative="1">
      <w:start w:val="1"/>
      <w:numFmt w:val="decimal"/>
      <w:lvlText w:val="%7."/>
      <w:lvlJc w:val="left"/>
      <w:pPr>
        <w:tabs>
          <w:tab w:val="num" w:pos="5040"/>
        </w:tabs>
        <w:ind w:left="5040" w:hanging="360"/>
      </w:pPr>
    </w:lvl>
    <w:lvl w:ilvl="7" w:tplc="B9768E8A" w:tentative="1">
      <w:start w:val="1"/>
      <w:numFmt w:val="lowerLetter"/>
      <w:lvlText w:val="%8."/>
      <w:lvlJc w:val="left"/>
      <w:pPr>
        <w:tabs>
          <w:tab w:val="num" w:pos="5760"/>
        </w:tabs>
        <w:ind w:left="5760" w:hanging="360"/>
      </w:pPr>
    </w:lvl>
    <w:lvl w:ilvl="8" w:tplc="EA92A020" w:tentative="1">
      <w:start w:val="1"/>
      <w:numFmt w:val="lowerRoman"/>
      <w:lvlText w:val="%9."/>
      <w:lvlJc w:val="right"/>
      <w:pPr>
        <w:tabs>
          <w:tab w:val="num" w:pos="6480"/>
        </w:tabs>
        <w:ind w:left="6480" w:hanging="180"/>
      </w:pPr>
    </w:lvl>
  </w:abstractNum>
  <w:abstractNum w:abstractNumId="11" w15:restartNumberingAfterBreak="0">
    <w:nsid w:val="14B511A7"/>
    <w:multiLevelType w:val="hybridMultilevel"/>
    <w:tmpl w:val="CB5AEE0A"/>
    <w:lvl w:ilvl="0" w:tplc="E33869C0">
      <w:start w:val="1"/>
      <w:numFmt w:val="hebrew1"/>
      <w:lvlText w:val="%1."/>
      <w:lvlJc w:val="left"/>
      <w:pPr>
        <w:ind w:left="720" w:hanging="360"/>
      </w:pPr>
      <w:rPr>
        <w:rFonts w:hint="default"/>
      </w:rPr>
    </w:lvl>
    <w:lvl w:ilvl="1" w:tplc="8214D8E4">
      <w:start w:val="1"/>
      <w:numFmt w:val="lowerLetter"/>
      <w:lvlText w:val="%2."/>
      <w:lvlJc w:val="left"/>
      <w:pPr>
        <w:ind w:left="1440" w:hanging="360"/>
      </w:pPr>
    </w:lvl>
    <w:lvl w:ilvl="2" w:tplc="371484D6">
      <w:start w:val="1"/>
      <w:numFmt w:val="lowerRoman"/>
      <w:lvlText w:val="%3."/>
      <w:lvlJc w:val="right"/>
      <w:pPr>
        <w:ind w:left="2160" w:hanging="180"/>
      </w:pPr>
    </w:lvl>
    <w:lvl w:ilvl="3" w:tplc="AE68411E">
      <w:start w:val="1"/>
      <w:numFmt w:val="decimal"/>
      <w:lvlText w:val="%4."/>
      <w:lvlJc w:val="left"/>
      <w:pPr>
        <w:ind w:left="2880" w:hanging="360"/>
      </w:pPr>
    </w:lvl>
    <w:lvl w:ilvl="4" w:tplc="A4144110">
      <w:start w:val="1"/>
      <w:numFmt w:val="lowerLetter"/>
      <w:lvlText w:val="%5."/>
      <w:lvlJc w:val="left"/>
      <w:pPr>
        <w:ind w:left="3600" w:hanging="360"/>
      </w:pPr>
    </w:lvl>
    <w:lvl w:ilvl="5" w:tplc="97EA821E" w:tentative="1">
      <w:start w:val="1"/>
      <w:numFmt w:val="lowerRoman"/>
      <w:lvlText w:val="%6."/>
      <w:lvlJc w:val="right"/>
      <w:pPr>
        <w:ind w:left="4320" w:hanging="180"/>
      </w:pPr>
    </w:lvl>
    <w:lvl w:ilvl="6" w:tplc="269E064A" w:tentative="1">
      <w:start w:val="1"/>
      <w:numFmt w:val="decimal"/>
      <w:lvlText w:val="%7."/>
      <w:lvlJc w:val="left"/>
      <w:pPr>
        <w:ind w:left="5040" w:hanging="360"/>
      </w:pPr>
    </w:lvl>
    <w:lvl w:ilvl="7" w:tplc="9F061E90" w:tentative="1">
      <w:start w:val="1"/>
      <w:numFmt w:val="lowerLetter"/>
      <w:lvlText w:val="%8."/>
      <w:lvlJc w:val="left"/>
      <w:pPr>
        <w:ind w:left="5760" w:hanging="360"/>
      </w:pPr>
    </w:lvl>
    <w:lvl w:ilvl="8" w:tplc="00CE2E6C" w:tentative="1">
      <w:start w:val="1"/>
      <w:numFmt w:val="lowerRoman"/>
      <w:lvlText w:val="%9."/>
      <w:lvlJc w:val="right"/>
      <w:pPr>
        <w:ind w:left="6480" w:hanging="180"/>
      </w:pPr>
    </w:lvl>
  </w:abstractNum>
  <w:abstractNum w:abstractNumId="12" w15:restartNumberingAfterBreak="0">
    <w:nsid w:val="1A4F02D8"/>
    <w:multiLevelType w:val="hybridMultilevel"/>
    <w:tmpl w:val="F68270E2"/>
    <w:lvl w:ilvl="0" w:tplc="2D347C06">
      <w:start w:val="1"/>
      <w:numFmt w:val="hebrew1"/>
      <w:lvlText w:val="%1."/>
      <w:lvlJc w:val="left"/>
      <w:pPr>
        <w:tabs>
          <w:tab w:val="num" w:pos="794"/>
        </w:tabs>
        <w:ind w:left="0" w:firstLine="0"/>
      </w:pPr>
      <w:rPr>
        <w:color w:val="auto"/>
        <w:lang w:val="en-US"/>
      </w:rPr>
    </w:lvl>
    <w:lvl w:ilvl="1" w:tplc="536242FC">
      <w:start w:val="13"/>
      <w:numFmt w:val="bullet"/>
      <w:lvlText w:val=""/>
      <w:lvlJc w:val="left"/>
      <w:pPr>
        <w:tabs>
          <w:tab w:val="num" w:pos="1440"/>
        </w:tabs>
        <w:ind w:left="1440" w:hanging="360"/>
      </w:pPr>
      <w:rPr>
        <w:rFonts w:ascii="Symbol" w:eastAsia="Times New Roman" w:hAnsi="Symbol" w:cs="FrankRuehl" w:hint="default"/>
      </w:rPr>
    </w:lvl>
    <w:lvl w:ilvl="2" w:tplc="4FC0DAFE">
      <w:start w:val="1"/>
      <w:numFmt w:val="lowerRoman"/>
      <w:lvlText w:val="%3."/>
      <w:lvlJc w:val="right"/>
      <w:pPr>
        <w:tabs>
          <w:tab w:val="num" w:pos="2160"/>
        </w:tabs>
        <w:ind w:left="2160" w:hanging="180"/>
      </w:pPr>
    </w:lvl>
    <w:lvl w:ilvl="3" w:tplc="FD8C9FB6">
      <w:start w:val="1"/>
      <w:numFmt w:val="decimal"/>
      <w:lvlText w:val="%4."/>
      <w:lvlJc w:val="left"/>
      <w:pPr>
        <w:tabs>
          <w:tab w:val="num" w:pos="2880"/>
        </w:tabs>
        <w:ind w:left="2880" w:hanging="360"/>
      </w:pPr>
    </w:lvl>
    <w:lvl w:ilvl="4" w:tplc="854A10D4">
      <w:start w:val="1"/>
      <w:numFmt w:val="decimal"/>
      <w:lvlText w:val="%5."/>
      <w:lvlJc w:val="left"/>
      <w:pPr>
        <w:tabs>
          <w:tab w:val="num" w:pos="3600"/>
        </w:tabs>
        <w:ind w:left="3600" w:hanging="360"/>
      </w:pPr>
    </w:lvl>
    <w:lvl w:ilvl="5" w:tplc="F768DC0E">
      <w:start w:val="1"/>
      <w:numFmt w:val="decimal"/>
      <w:lvlText w:val="%6."/>
      <w:lvlJc w:val="left"/>
      <w:pPr>
        <w:tabs>
          <w:tab w:val="num" w:pos="4320"/>
        </w:tabs>
        <w:ind w:left="4320" w:hanging="360"/>
      </w:pPr>
    </w:lvl>
    <w:lvl w:ilvl="6" w:tplc="C3B0C2AA">
      <w:start w:val="1"/>
      <w:numFmt w:val="decimal"/>
      <w:lvlText w:val="%7."/>
      <w:lvlJc w:val="left"/>
      <w:pPr>
        <w:tabs>
          <w:tab w:val="num" w:pos="5040"/>
        </w:tabs>
        <w:ind w:left="5040" w:hanging="360"/>
      </w:pPr>
    </w:lvl>
    <w:lvl w:ilvl="7" w:tplc="A45A8F92">
      <w:start w:val="1"/>
      <w:numFmt w:val="decimal"/>
      <w:lvlText w:val="%8."/>
      <w:lvlJc w:val="left"/>
      <w:pPr>
        <w:tabs>
          <w:tab w:val="num" w:pos="5760"/>
        </w:tabs>
        <w:ind w:left="5760" w:hanging="360"/>
      </w:pPr>
    </w:lvl>
    <w:lvl w:ilvl="8" w:tplc="4164F3C0">
      <w:start w:val="1"/>
      <w:numFmt w:val="decimal"/>
      <w:lvlText w:val="%9."/>
      <w:lvlJc w:val="left"/>
      <w:pPr>
        <w:tabs>
          <w:tab w:val="num" w:pos="6480"/>
        </w:tabs>
        <w:ind w:left="6480" w:hanging="360"/>
      </w:pPr>
    </w:lvl>
  </w:abstractNum>
  <w:abstractNum w:abstractNumId="13" w15:restartNumberingAfterBreak="0">
    <w:nsid w:val="4FE70B62"/>
    <w:multiLevelType w:val="hybridMultilevel"/>
    <w:tmpl w:val="ADA8711E"/>
    <w:lvl w:ilvl="0" w:tplc="812272DA">
      <w:start w:val="1"/>
      <w:numFmt w:val="hebrew1"/>
      <w:pStyle w:val="Ruller40"/>
      <w:lvlText w:val="%1."/>
      <w:lvlJc w:val="left"/>
      <w:pPr>
        <w:tabs>
          <w:tab w:val="num" w:pos="907"/>
        </w:tabs>
        <w:ind w:left="0" w:firstLine="0"/>
      </w:pPr>
      <w:rPr>
        <w:rFonts w:hint="default"/>
      </w:rPr>
    </w:lvl>
    <w:lvl w:ilvl="1" w:tplc="91C83E08" w:tentative="1">
      <w:start w:val="1"/>
      <w:numFmt w:val="lowerLetter"/>
      <w:lvlText w:val="%2."/>
      <w:lvlJc w:val="left"/>
      <w:pPr>
        <w:tabs>
          <w:tab w:val="num" w:pos="1440"/>
        </w:tabs>
        <w:ind w:left="1440" w:hanging="360"/>
      </w:pPr>
    </w:lvl>
    <w:lvl w:ilvl="2" w:tplc="266C7BEC" w:tentative="1">
      <w:start w:val="1"/>
      <w:numFmt w:val="lowerRoman"/>
      <w:lvlText w:val="%3."/>
      <w:lvlJc w:val="right"/>
      <w:pPr>
        <w:tabs>
          <w:tab w:val="num" w:pos="2160"/>
        </w:tabs>
        <w:ind w:left="2160" w:hanging="180"/>
      </w:pPr>
    </w:lvl>
    <w:lvl w:ilvl="3" w:tplc="68D2CF70" w:tentative="1">
      <w:start w:val="1"/>
      <w:numFmt w:val="decimal"/>
      <w:lvlText w:val="%4."/>
      <w:lvlJc w:val="left"/>
      <w:pPr>
        <w:tabs>
          <w:tab w:val="num" w:pos="2880"/>
        </w:tabs>
        <w:ind w:left="2880" w:hanging="360"/>
      </w:pPr>
    </w:lvl>
    <w:lvl w:ilvl="4" w:tplc="AA424630" w:tentative="1">
      <w:start w:val="1"/>
      <w:numFmt w:val="lowerLetter"/>
      <w:lvlText w:val="%5."/>
      <w:lvlJc w:val="left"/>
      <w:pPr>
        <w:tabs>
          <w:tab w:val="num" w:pos="3600"/>
        </w:tabs>
        <w:ind w:left="3600" w:hanging="360"/>
      </w:pPr>
    </w:lvl>
    <w:lvl w:ilvl="5" w:tplc="18E69F82" w:tentative="1">
      <w:start w:val="1"/>
      <w:numFmt w:val="lowerRoman"/>
      <w:lvlText w:val="%6."/>
      <w:lvlJc w:val="right"/>
      <w:pPr>
        <w:tabs>
          <w:tab w:val="num" w:pos="4320"/>
        </w:tabs>
        <w:ind w:left="4320" w:hanging="180"/>
      </w:pPr>
    </w:lvl>
    <w:lvl w:ilvl="6" w:tplc="C352DA7E" w:tentative="1">
      <w:start w:val="1"/>
      <w:numFmt w:val="decimal"/>
      <w:lvlText w:val="%7."/>
      <w:lvlJc w:val="left"/>
      <w:pPr>
        <w:tabs>
          <w:tab w:val="num" w:pos="5040"/>
        </w:tabs>
        <w:ind w:left="5040" w:hanging="360"/>
      </w:pPr>
    </w:lvl>
    <w:lvl w:ilvl="7" w:tplc="9F503D1C" w:tentative="1">
      <w:start w:val="1"/>
      <w:numFmt w:val="lowerLetter"/>
      <w:lvlText w:val="%8."/>
      <w:lvlJc w:val="left"/>
      <w:pPr>
        <w:tabs>
          <w:tab w:val="num" w:pos="5760"/>
        </w:tabs>
        <w:ind w:left="5760" w:hanging="360"/>
      </w:pPr>
    </w:lvl>
    <w:lvl w:ilvl="8" w:tplc="A6EEAA3C" w:tentative="1">
      <w:start w:val="1"/>
      <w:numFmt w:val="lowerRoman"/>
      <w:lvlText w:val="%9."/>
      <w:lvlJc w:val="right"/>
      <w:pPr>
        <w:tabs>
          <w:tab w:val="num" w:pos="6480"/>
        </w:tabs>
        <w:ind w:left="6480" w:hanging="180"/>
      </w:pPr>
    </w:lvl>
  </w:abstractNum>
  <w:abstractNum w:abstractNumId="14" w15:restartNumberingAfterBreak="0">
    <w:nsid w:val="542F5354"/>
    <w:multiLevelType w:val="hybridMultilevel"/>
    <w:tmpl w:val="1292E078"/>
    <w:lvl w:ilvl="0" w:tplc="F6B647C4">
      <w:start w:val="1"/>
      <w:numFmt w:val="hebrew1"/>
      <w:lvlText w:val="%1."/>
      <w:lvlJc w:val="left"/>
      <w:pPr>
        <w:ind w:left="720" w:hanging="360"/>
      </w:pPr>
      <w:rPr>
        <w:rFonts w:hint="default"/>
      </w:rPr>
    </w:lvl>
    <w:lvl w:ilvl="1" w:tplc="A8FA2D84" w:tentative="1">
      <w:start w:val="1"/>
      <w:numFmt w:val="lowerLetter"/>
      <w:lvlText w:val="%2."/>
      <w:lvlJc w:val="left"/>
      <w:pPr>
        <w:ind w:left="1440" w:hanging="360"/>
      </w:pPr>
    </w:lvl>
    <w:lvl w:ilvl="2" w:tplc="8C1C70D0" w:tentative="1">
      <w:start w:val="1"/>
      <w:numFmt w:val="lowerRoman"/>
      <w:lvlText w:val="%3."/>
      <w:lvlJc w:val="right"/>
      <w:pPr>
        <w:ind w:left="2160" w:hanging="180"/>
      </w:pPr>
    </w:lvl>
    <w:lvl w:ilvl="3" w:tplc="6818EE98" w:tentative="1">
      <w:start w:val="1"/>
      <w:numFmt w:val="decimal"/>
      <w:lvlText w:val="%4."/>
      <w:lvlJc w:val="left"/>
      <w:pPr>
        <w:ind w:left="2880" w:hanging="360"/>
      </w:pPr>
    </w:lvl>
    <w:lvl w:ilvl="4" w:tplc="E2B616B0" w:tentative="1">
      <w:start w:val="1"/>
      <w:numFmt w:val="lowerLetter"/>
      <w:lvlText w:val="%5."/>
      <w:lvlJc w:val="left"/>
      <w:pPr>
        <w:ind w:left="3600" w:hanging="360"/>
      </w:pPr>
    </w:lvl>
    <w:lvl w:ilvl="5" w:tplc="CC30C370" w:tentative="1">
      <w:start w:val="1"/>
      <w:numFmt w:val="lowerRoman"/>
      <w:lvlText w:val="%6."/>
      <w:lvlJc w:val="right"/>
      <w:pPr>
        <w:ind w:left="4320" w:hanging="180"/>
      </w:pPr>
    </w:lvl>
    <w:lvl w:ilvl="6" w:tplc="57FA794A" w:tentative="1">
      <w:start w:val="1"/>
      <w:numFmt w:val="decimal"/>
      <w:lvlText w:val="%7."/>
      <w:lvlJc w:val="left"/>
      <w:pPr>
        <w:ind w:left="5040" w:hanging="360"/>
      </w:pPr>
    </w:lvl>
    <w:lvl w:ilvl="7" w:tplc="69985E56" w:tentative="1">
      <w:start w:val="1"/>
      <w:numFmt w:val="lowerLetter"/>
      <w:lvlText w:val="%8."/>
      <w:lvlJc w:val="left"/>
      <w:pPr>
        <w:ind w:left="5760" w:hanging="360"/>
      </w:pPr>
    </w:lvl>
    <w:lvl w:ilvl="8" w:tplc="9CAA98A8" w:tentative="1">
      <w:start w:val="1"/>
      <w:numFmt w:val="lowerRoman"/>
      <w:lvlText w:val="%9."/>
      <w:lvlJc w:val="right"/>
      <w:pPr>
        <w:ind w:left="6480" w:hanging="180"/>
      </w:pPr>
    </w:lvl>
  </w:abstractNum>
  <w:abstractNum w:abstractNumId="15" w15:restartNumberingAfterBreak="0">
    <w:nsid w:val="54950E7B"/>
    <w:multiLevelType w:val="hybridMultilevel"/>
    <w:tmpl w:val="7CEA9342"/>
    <w:lvl w:ilvl="0" w:tplc="634A7A2A">
      <w:start w:val="1"/>
      <w:numFmt w:val="hebrew1"/>
      <w:lvlText w:val="%1."/>
      <w:lvlJc w:val="left"/>
      <w:pPr>
        <w:ind w:left="720" w:hanging="360"/>
      </w:pPr>
      <w:rPr>
        <w:rFonts w:hint="default"/>
      </w:rPr>
    </w:lvl>
    <w:lvl w:ilvl="1" w:tplc="315E33C2">
      <w:start w:val="1"/>
      <w:numFmt w:val="lowerLetter"/>
      <w:lvlText w:val="%2."/>
      <w:lvlJc w:val="left"/>
      <w:pPr>
        <w:ind w:left="1440" w:hanging="360"/>
      </w:pPr>
    </w:lvl>
    <w:lvl w:ilvl="2" w:tplc="11EE1C60">
      <w:start w:val="1"/>
      <w:numFmt w:val="lowerRoman"/>
      <w:lvlText w:val="%3."/>
      <w:lvlJc w:val="right"/>
      <w:pPr>
        <w:ind w:left="2160" w:hanging="180"/>
      </w:pPr>
    </w:lvl>
    <w:lvl w:ilvl="3" w:tplc="0A20D90E" w:tentative="1">
      <w:start w:val="1"/>
      <w:numFmt w:val="decimal"/>
      <w:lvlText w:val="%4."/>
      <w:lvlJc w:val="left"/>
      <w:pPr>
        <w:ind w:left="2880" w:hanging="360"/>
      </w:pPr>
    </w:lvl>
    <w:lvl w:ilvl="4" w:tplc="67968170" w:tentative="1">
      <w:start w:val="1"/>
      <w:numFmt w:val="lowerLetter"/>
      <w:lvlText w:val="%5."/>
      <w:lvlJc w:val="left"/>
      <w:pPr>
        <w:ind w:left="3600" w:hanging="360"/>
      </w:pPr>
    </w:lvl>
    <w:lvl w:ilvl="5" w:tplc="34D09514" w:tentative="1">
      <w:start w:val="1"/>
      <w:numFmt w:val="lowerRoman"/>
      <w:lvlText w:val="%6."/>
      <w:lvlJc w:val="right"/>
      <w:pPr>
        <w:ind w:left="4320" w:hanging="180"/>
      </w:pPr>
    </w:lvl>
    <w:lvl w:ilvl="6" w:tplc="B5168F04" w:tentative="1">
      <w:start w:val="1"/>
      <w:numFmt w:val="decimal"/>
      <w:lvlText w:val="%7."/>
      <w:lvlJc w:val="left"/>
      <w:pPr>
        <w:ind w:left="5040" w:hanging="360"/>
      </w:pPr>
    </w:lvl>
    <w:lvl w:ilvl="7" w:tplc="00E6F970" w:tentative="1">
      <w:start w:val="1"/>
      <w:numFmt w:val="lowerLetter"/>
      <w:lvlText w:val="%8."/>
      <w:lvlJc w:val="left"/>
      <w:pPr>
        <w:ind w:left="5760" w:hanging="360"/>
      </w:pPr>
    </w:lvl>
    <w:lvl w:ilvl="8" w:tplc="C770AF8C"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920FE"/>
    <w:rsid w:val="000B1478"/>
    <w:rsid w:val="000C4690"/>
    <w:rsid w:val="000D25C4"/>
    <w:rsid w:val="000E5E48"/>
    <w:rsid w:val="00134A67"/>
    <w:rsid w:val="001A0164"/>
    <w:rsid w:val="001E0107"/>
    <w:rsid w:val="00200D6B"/>
    <w:rsid w:val="00265F6E"/>
    <w:rsid w:val="002876BF"/>
    <w:rsid w:val="002A4A7A"/>
    <w:rsid w:val="002A4BF3"/>
    <w:rsid w:val="002F7BB6"/>
    <w:rsid w:val="003216D5"/>
    <w:rsid w:val="003448B2"/>
    <w:rsid w:val="00361DB2"/>
    <w:rsid w:val="0037622E"/>
    <w:rsid w:val="00377102"/>
    <w:rsid w:val="0039709B"/>
    <w:rsid w:val="003A299E"/>
    <w:rsid w:val="003B392E"/>
    <w:rsid w:val="003C3B8B"/>
    <w:rsid w:val="003D72DA"/>
    <w:rsid w:val="003F1F97"/>
    <w:rsid w:val="0041048F"/>
    <w:rsid w:val="00437D59"/>
    <w:rsid w:val="00452F46"/>
    <w:rsid w:val="004610A4"/>
    <w:rsid w:val="00487620"/>
    <w:rsid w:val="004B29FF"/>
    <w:rsid w:val="004C7868"/>
    <w:rsid w:val="00503A3E"/>
    <w:rsid w:val="00527F02"/>
    <w:rsid w:val="005566DA"/>
    <w:rsid w:val="005803E2"/>
    <w:rsid w:val="0058440A"/>
    <w:rsid w:val="00591983"/>
    <w:rsid w:val="005C14FC"/>
    <w:rsid w:val="00624A42"/>
    <w:rsid w:val="00632106"/>
    <w:rsid w:val="0065522F"/>
    <w:rsid w:val="006A30F7"/>
    <w:rsid w:val="006C42AD"/>
    <w:rsid w:val="00725345"/>
    <w:rsid w:val="00741CC0"/>
    <w:rsid w:val="007B512F"/>
    <w:rsid w:val="007D355B"/>
    <w:rsid w:val="007F7512"/>
    <w:rsid w:val="00810894"/>
    <w:rsid w:val="008143AB"/>
    <w:rsid w:val="0083345F"/>
    <w:rsid w:val="00836667"/>
    <w:rsid w:val="00866D0F"/>
    <w:rsid w:val="008C2F11"/>
    <w:rsid w:val="008D78B9"/>
    <w:rsid w:val="008E3F85"/>
    <w:rsid w:val="009051E8"/>
    <w:rsid w:val="00914156"/>
    <w:rsid w:val="00916FF8"/>
    <w:rsid w:val="00922093"/>
    <w:rsid w:val="00930C85"/>
    <w:rsid w:val="00973A8B"/>
    <w:rsid w:val="009B38DA"/>
    <w:rsid w:val="009F2F53"/>
    <w:rsid w:val="009F4187"/>
    <w:rsid w:val="00A12E0F"/>
    <w:rsid w:val="00A20AD7"/>
    <w:rsid w:val="00A33ABF"/>
    <w:rsid w:val="00A51FAE"/>
    <w:rsid w:val="00A80845"/>
    <w:rsid w:val="00AB69F7"/>
    <w:rsid w:val="00AD097B"/>
    <w:rsid w:val="00AD64B9"/>
    <w:rsid w:val="00AE022B"/>
    <w:rsid w:val="00B009CC"/>
    <w:rsid w:val="00B0782A"/>
    <w:rsid w:val="00B16EE8"/>
    <w:rsid w:val="00B62B8C"/>
    <w:rsid w:val="00B63343"/>
    <w:rsid w:val="00B87FF7"/>
    <w:rsid w:val="00BA0B08"/>
    <w:rsid w:val="00BC0E82"/>
    <w:rsid w:val="00BD40F9"/>
    <w:rsid w:val="00C41C86"/>
    <w:rsid w:val="00C63A6C"/>
    <w:rsid w:val="00CA13AF"/>
    <w:rsid w:val="00CA1444"/>
    <w:rsid w:val="00CB004C"/>
    <w:rsid w:val="00CB0267"/>
    <w:rsid w:val="00CB1590"/>
    <w:rsid w:val="00CB7600"/>
    <w:rsid w:val="00CC0E9D"/>
    <w:rsid w:val="00CC3639"/>
    <w:rsid w:val="00D00B1D"/>
    <w:rsid w:val="00D00CB7"/>
    <w:rsid w:val="00D25F16"/>
    <w:rsid w:val="00E21CA9"/>
    <w:rsid w:val="00E31063"/>
    <w:rsid w:val="00E36FE9"/>
    <w:rsid w:val="00E73E98"/>
    <w:rsid w:val="00E75223"/>
    <w:rsid w:val="00E90D72"/>
    <w:rsid w:val="00EA0BE1"/>
    <w:rsid w:val="00EC23AC"/>
    <w:rsid w:val="00EC2992"/>
    <w:rsid w:val="00ED46A4"/>
    <w:rsid w:val="00ED6FD9"/>
    <w:rsid w:val="00EE3810"/>
    <w:rsid w:val="00F4147F"/>
    <w:rsid w:val="00F63C3B"/>
    <w:rsid w:val="00F959DB"/>
    <w:rsid w:val="00FA1042"/>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8A081"/>
  <w15:chartTrackingRefBased/>
  <w15:docId w15:val="{AEC075F7-E23C-41B4-9968-256E4D84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2">
    <w:name w:val="heading 2"/>
    <w:basedOn w:val="a"/>
    <w:next w:val="a"/>
    <w:link w:val="20"/>
    <w:semiHidden/>
    <w:unhideWhenUsed/>
    <w:qFormat/>
    <w:rsid w:val="00CB004C"/>
    <w:pPr>
      <w:keepNext/>
      <w:keepLines/>
      <w:overflowPunct/>
      <w:autoSpaceDE/>
      <w:autoSpaceDN/>
      <w:bidi w:val="0"/>
      <w:adjustRightInd/>
      <w:spacing w:before="40"/>
      <w:textAlignment w:val="auto"/>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
    <w:qFormat/>
    <w:rsid w:val="00CB004C"/>
    <w:pPr>
      <w:overflowPunct/>
      <w:autoSpaceDE/>
      <w:autoSpaceDN/>
      <w:bidi w:val="0"/>
      <w:adjustRightInd/>
      <w:spacing w:before="100" w:beforeAutospacing="1" w:after="100" w:afterAutospacing="1"/>
      <w:textAlignment w:val="auto"/>
      <w:outlineLvl w:val="4"/>
    </w:pPr>
    <w:rPr>
      <w:rFonts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1">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20">
    <w:name w:val="כותרת 2 תו"/>
    <w:basedOn w:val="a0"/>
    <w:link w:val="2"/>
    <w:semiHidden/>
    <w:rsid w:val="00CB004C"/>
    <w:rPr>
      <w:rFonts w:asciiTheme="majorHAnsi" w:eastAsiaTheme="majorEastAsia" w:hAnsiTheme="majorHAnsi" w:cstheme="majorBidi"/>
      <w:color w:val="2E74B5" w:themeColor="accent1" w:themeShade="BF"/>
      <w:sz w:val="26"/>
      <w:szCs w:val="26"/>
    </w:rPr>
  </w:style>
  <w:style w:type="character" w:customStyle="1" w:styleId="50">
    <w:name w:val="כותרת 5 תו"/>
    <w:basedOn w:val="a0"/>
    <w:link w:val="5"/>
    <w:uiPriority w:val="9"/>
    <w:rsid w:val="00CB004C"/>
    <w:rPr>
      <w:b/>
      <w:bCs/>
    </w:rPr>
  </w:style>
  <w:style w:type="paragraph" w:customStyle="1" w:styleId="Ruller4">
    <w:name w:val="Ruller 4 ממוספר"/>
    <w:basedOn w:val="Ruller41"/>
    <w:next w:val="Ruller41"/>
    <w:rsid w:val="00CB004C"/>
    <w:pPr>
      <w:numPr>
        <w:numId w:val="11"/>
      </w:numPr>
    </w:pPr>
    <w:rPr>
      <w:rFonts w:ascii="Garamond" w:hAnsi="Garamond"/>
      <w:sz w:val="24"/>
    </w:rPr>
  </w:style>
  <w:style w:type="paragraph" w:customStyle="1" w:styleId="Ruller40">
    <w:name w:val="Ruller4 אלפביתי"/>
    <w:basedOn w:val="Ruller41"/>
    <w:next w:val="Ruller41"/>
    <w:rsid w:val="00CB004C"/>
    <w:pPr>
      <w:numPr>
        <w:numId w:val="12"/>
      </w:numPr>
    </w:pPr>
  </w:style>
  <w:style w:type="character" w:customStyle="1" w:styleId="Ruller42">
    <w:name w:val="Ruller4 תו"/>
    <w:link w:val="Ruller41"/>
    <w:locked/>
    <w:rsid w:val="00CB004C"/>
    <w:rPr>
      <w:rFonts w:ascii="Arial TUR" w:hAnsi="Arial TUR" w:cs="FrankRuehl"/>
      <w:spacing w:val="10"/>
      <w:sz w:val="22"/>
      <w:szCs w:val="28"/>
    </w:rPr>
  </w:style>
  <w:style w:type="paragraph" w:styleId="ae">
    <w:name w:val="List Paragraph"/>
    <w:basedOn w:val="a"/>
    <w:uiPriority w:val="34"/>
    <w:qFormat/>
    <w:rsid w:val="00CB004C"/>
    <w:pPr>
      <w:spacing w:line="360" w:lineRule="auto"/>
      <w:ind w:left="720"/>
      <w:contextualSpacing/>
    </w:pPr>
    <w:rPr>
      <w:rFonts w:ascii="Century" w:hAnsi="Century" w:cs="FrankRuehl"/>
      <w:spacing w:val="10"/>
      <w:szCs w:val="28"/>
    </w:rPr>
  </w:style>
  <w:style w:type="paragraph" w:customStyle="1" w:styleId="af">
    <w:name w:val="a"/>
    <w:basedOn w:val="a"/>
    <w:rsid w:val="00CB004C"/>
    <w:pPr>
      <w:overflowPunct/>
      <w:autoSpaceDE/>
      <w:autoSpaceDN/>
      <w:bidi w:val="0"/>
      <w:adjustRightInd/>
      <w:spacing w:before="100" w:beforeAutospacing="1" w:after="100" w:afterAutospacing="1"/>
      <w:textAlignment w:val="auto"/>
    </w:pPr>
    <w:rPr>
      <w:rFonts w:cs="Times New Roman"/>
      <w:sz w:val="24"/>
    </w:rPr>
  </w:style>
  <w:style w:type="paragraph" w:customStyle="1" w:styleId="a30">
    <w:name w:val="a3"/>
    <w:basedOn w:val="a"/>
    <w:rsid w:val="00CB004C"/>
    <w:pPr>
      <w:overflowPunct/>
      <w:autoSpaceDE/>
      <w:autoSpaceDN/>
      <w:bidi w:val="0"/>
      <w:adjustRightInd/>
      <w:spacing w:before="100" w:beforeAutospacing="1" w:after="100" w:afterAutospacing="1"/>
      <w:textAlignment w:val="auto"/>
    </w:pPr>
    <w:rPr>
      <w:rFonts w:cs="Times New Roman"/>
      <w:sz w:val="24"/>
    </w:rPr>
  </w:style>
  <w:style w:type="paragraph" w:customStyle="1" w:styleId="ruller43">
    <w:name w:val="ruller4"/>
    <w:basedOn w:val="a"/>
    <w:rsid w:val="00CB004C"/>
    <w:pPr>
      <w:overflowPunct/>
      <w:autoSpaceDE/>
      <w:autoSpaceDN/>
      <w:bidi w:val="0"/>
      <w:adjustRightInd/>
      <w:spacing w:before="100" w:beforeAutospacing="1" w:after="100" w:afterAutospacing="1"/>
      <w:textAlignment w:val="auto"/>
    </w:pPr>
    <w:rPr>
      <w:rFonts w:cs="Times New Roman"/>
      <w:sz w:val="24"/>
    </w:rPr>
  </w:style>
  <w:style w:type="paragraph" w:customStyle="1" w:styleId="filenumber00">
    <w:name w:val="filenumber0"/>
    <w:basedOn w:val="a"/>
    <w:rsid w:val="00CB004C"/>
    <w:pPr>
      <w:overflowPunct/>
      <w:autoSpaceDE/>
      <w:autoSpaceDN/>
      <w:bidi w:val="0"/>
      <w:adjustRightInd/>
      <w:spacing w:before="100" w:beforeAutospacing="1" w:after="100" w:afterAutospacing="1"/>
      <w:textAlignment w:val="auto"/>
    </w:pPr>
    <w:rPr>
      <w:rFonts w:cs="Times New Roman"/>
      <w:sz w:val="24"/>
    </w:rPr>
  </w:style>
  <w:style w:type="paragraph" w:customStyle="1" w:styleId="ruller50">
    <w:name w:val="ruller5"/>
    <w:basedOn w:val="a"/>
    <w:rsid w:val="00CB004C"/>
    <w:pPr>
      <w:overflowPunct/>
      <w:autoSpaceDE/>
      <w:autoSpaceDN/>
      <w:bidi w:val="0"/>
      <w:adjustRightInd/>
      <w:spacing w:before="100" w:beforeAutospacing="1" w:after="100" w:afterAutospacing="1"/>
      <w:textAlignment w:val="auto"/>
    </w:pPr>
    <w:rPr>
      <w:rFonts w:cs="Times New Roman"/>
      <w:sz w:val="24"/>
    </w:rPr>
  </w:style>
  <w:style w:type="character" w:customStyle="1" w:styleId="ruller500">
    <w:name w:val="ruller50"/>
    <w:basedOn w:val="a0"/>
    <w:rsid w:val="00CB004C"/>
  </w:style>
  <w:style w:type="paragraph" w:customStyle="1" w:styleId="ruller400">
    <w:name w:val="ruller40"/>
    <w:basedOn w:val="a"/>
    <w:rsid w:val="00CB004C"/>
    <w:pPr>
      <w:overflowPunct/>
      <w:autoSpaceDE/>
      <w:autoSpaceDN/>
      <w:bidi w:val="0"/>
      <w:adjustRightInd/>
      <w:spacing w:before="100" w:beforeAutospacing="1" w:after="100" w:afterAutospacing="1"/>
      <w:textAlignment w:val="auto"/>
    </w:pPr>
    <w:rPr>
      <w:rFonts w:cs="Times New Roman"/>
      <w:sz w:val="24"/>
    </w:rPr>
  </w:style>
  <w:style w:type="paragraph" w:customStyle="1" w:styleId="p00">
    <w:name w:val="p00"/>
    <w:basedOn w:val="a"/>
    <w:rsid w:val="00CB004C"/>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basedOn w:val="a0"/>
    <w:rsid w:val="00CB004C"/>
  </w:style>
  <w:style w:type="character" w:customStyle="1" w:styleId="default">
    <w:name w:val="default"/>
    <w:basedOn w:val="a0"/>
    <w:rsid w:val="00CB004C"/>
  </w:style>
  <w:style w:type="paragraph" w:customStyle="1" w:styleId="p11">
    <w:name w:val="p11"/>
    <w:basedOn w:val="a"/>
    <w:rsid w:val="00CB004C"/>
    <w:pPr>
      <w:overflowPunct/>
      <w:autoSpaceDE/>
      <w:autoSpaceDN/>
      <w:bidi w:val="0"/>
      <w:adjustRightInd/>
      <w:spacing w:before="100" w:beforeAutospacing="1" w:after="100" w:afterAutospacing="1"/>
      <w:textAlignment w:val="auto"/>
    </w:pPr>
    <w:rPr>
      <w:rFonts w:cs="Times New Roman"/>
      <w:sz w:val="24"/>
    </w:rPr>
  </w:style>
  <w:style w:type="paragraph" w:styleId="af0">
    <w:name w:val="Plain Text"/>
    <w:basedOn w:val="a"/>
    <w:link w:val="af1"/>
    <w:uiPriority w:val="99"/>
    <w:unhideWhenUsed/>
    <w:rsid w:val="00CB004C"/>
    <w:pPr>
      <w:overflowPunct/>
      <w:autoSpaceDE/>
      <w:autoSpaceDN/>
      <w:bidi w:val="0"/>
      <w:adjustRightInd/>
      <w:spacing w:before="100" w:beforeAutospacing="1" w:after="100" w:afterAutospacing="1"/>
      <w:textAlignment w:val="auto"/>
    </w:pPr>
    <w:rPr>
      <w:rFonts w:cs="Times New Roman"/>
      <w:sz w:val="24"/>
    </w:rPr>
  </w:style>
  <w:style w:type="character" w:customStyle="1" w:styleId="af1">
    <w:name w:val="טקסט רגיל תו"/>
    <w:basedOn w:val="a0"/>
    <w:link w:val="af0"/>
    <w:uiPriority w:val="99"/>
    <w:rsid w:val="00CB004C"/>
    <w:rPr>
      <w:sz w:val="24"/>
      <w:szCs w:val="24"/>
    </w:rPr>
  </w:style>
  <w:style w:type="paragraph" w:styleId="NormalWeb">
    <w:name w:val="Normal (Web)"/>
    <w:basedOn w:val="a"/>
    <w:uiPriority w:val="99"/>
    <w:unhideWhenUsed/>
    <w:rsid w:val="00CB004C"/>
    <w:pPr>
      <w:overflowPunct/>
      <w:autoSpaceDE/>
      <w:autoSpaceDN/>
      <w:bidi w:val="0"/>
      <w:adjustRightInd/>
      <w:spacing w:before="100" w:beforeAutospacing="1" w:after="100" w:afterAutospacing="1"/>
      <w:textAlignment w:val="auto"/>
    </w:pPr>
    <w:rPr>
      <w:rFonts w:cs="Times New Roman"/>
      <w:sz w:val="24"/>
    </w:rPr>
  </w:style>
  <w:style w:type="paragraph" w:customStyle="1" w:styleId="big-header">
    <w:name w:val="big-header"/>
    <w:basedOn w:val="a"/>
    <w:rsid w:val="00CB004C"/>
    <w:pPr>
      <w:overflowPunct/>
      <w:autoSpaceDE/>
      <w:autoSpaceDN/>
      <w:bidi w:val="0"/>
      <w:adjustRightInd/>
      <w:spacing w:before="100" w:beforeAutospacing="1" w:after="100" w:afterAutospacing="1"/>
      <w:textAlignment w:val="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1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11224</Words>
  <Characters>53243</Characters>
  <Application>Microsoft Office Word</Application>
  <DocSecurity>0</DocSecurity>
  <Lines>443</Lines>
  <Paragraphs>128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64339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2023-06-28T06:47:58Z</cp:lastPrinted>
  <dcterms:created xsi:type="dcterms:W3CDTF">2023-06-28T06:47:58Z</dcterms:created>
  <dcterms:modified xsi:type="dcterms:W3CDTF">2023-06-28T06:47:58Z</dcterms:modified>
</cp:coreProperties>
</file>