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144AB3" w:rsidP="004C7868">
            <w:pPr>
              <w:pStyle w:val="FileNumber0"/>
              <w:rPr>
                <w:sz w:val="28"/>
                <w:u w:val="single"/>
                <w:rtl/>
              </w:rPr>
            </w:pPr>
            <w:r>
              <w:rPr>
                <w:u w:val="single"/>
                <w:rtl/>
              </w:rPr>
              <w:t>בבית המשפט העליון</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144AB3">
            <w:pPr>
              <w:pStyle w:val="FileNumber"/>
              <w:rPr>
                <w:sz w:val="28"/>
                <w:szCs w:val="28"/>
              </w:rPr>
            </w:pPr>
            <w:bookmarkStart w:id="0" w:name="casename_body"/>
            <w:r>
              <w:rPr>
                <w:sz w:val="28"/>
                <w:szCs w:val="28"/>
                <w:rtl/>
              </w:rPr>
              <w:t>דנ"א  5473/22</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144AB3">
            <w:pPr>
              <w:pStyle w:val="BodyRuller"/>
            </w:pPr>
            <w:r>
              <w:rPr>
                <w:rtl/>
              </w:rPr>
              <w:t>כבוד הנשיאה א' חיות</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B72D31" w:rsidTr="00BF74E0">
        <w:trPr>
          <w:trHeight w:val="287"/>
        </w:trPr>
        <w:tc>
          <w:tcPr>
            <w:tcW w:w="3261" w:type="dxa"/>
          </w:tcPr>
          <w:p w:rsidR="00B72D31" w:rsidRPr="00E75223" w:rsidRDefault="00B72D31" w:rsidP="00BF74E0">
            <w:pPr>
              <w:pStyle w:val="BodyRuller"/>
              <w:rPr>
                <w:rFonts w:ascii="David" w:hAnsi="David"/>
              </w:rPr>
            </w:pPr>
            <w:r>
              <w:rPr>
                <w:rFonts w:ascii="David" w:hAnsi="David"/>
                <w:rtl/>
              </w:rPr>
              <w:t>המבקשים:</w:t>
            </w:r>
          </w:p>
        </w:tc>
        <w:tc>
          <w:tcPr>
            <w:tcW w:w="5239" w:type="dxa"/>
          </w:tcPr>
          <w:p w:rsidR="00B72D31" w:rsidRDefault="00B72D31" w:rsidP="00BF74E0">
            <w:pPr>
              <w:pStyle w:val="BodyRuller"/>
            </w:pPr>
            <w:r>
              <w:rPr>
                <w:rtl/>
              </w:rPr>
              <w:t xml:space="preserve">1. סמואל </w:t>
            </w:r>
            <w:proofErr w:type="spellStart"/>
            <w:r>
              <w:rPr>
                <w:rtl/>
              </w:rPr>
              <w:t>גליס</w:t>
            </w:r>
            <w:proofErr w:type="spellEnd"/>
          </w:p>
        </w:tc>
      </w:tr>
      <w:tr w:rsidR="00B72D31" w:rsidTr="00BF74E0">
        <w:trPr>
          <w:trHeight w:val="287"/>
        </w:trPr>
        <w:tc>
          <w:tcPr>
            <w:tcW w:w="3261" w:type="dxa"/>
          </w:tcPr>
          <w:p w:rsidR="00B72D31" w:rsidRDefault="00B72D31" w:rsidP="00BF74E0">
            <w:pPr>
              <w:pStyle w:val="BodyRuller"/>
              <w:rPr>
                <w:rFonts w:ascii="David" w:hAnsi="David"/>
                <w:rtl/>
              </w:rPr>
            </w:pPr>
          </w:p>
        </w:tc>
        <w:tc>
          <w:tcPr>
            <w:tcW w:w="5239" w:type="dxa"/>
          </w:tcPr>
          <w:p w:rsidR="00B72D31" w:rsidRDefault="00B72D31" w:rsidP="00BF74E0">
            <w:pPr>
              <w:pStyle w:val="BodyRuller"/>
              <w:rPr>
                <w:rtl/>
              </w:rPr>
            </w:pPr>
            <w:r>
              <w:rPr>
                <w:rtl/>
              </w:rPr>
              <w:t xml:space="preserve">2. </w:t>
            </w:r>
            <w:proofErr w:type="spellStart"/>
            <w:r>
              <w:rPr>
                <w:rtl/>
              </w:rPr>
              <w:t>ציזה</w:t>
            </w:r>
            <w:proofErr w:type="spellEnd"/>
            <w:r>
              <w:rPr>
                <w:rtl/>
              </w:rPr>
              <w:t xml:space="preserve"> </w:t>
            </w:r>
            <w:proofErr w:type="spellStart"/>
            <w:r>
              <w:rPr>
                <w:rtl/>
              </w:rPr>
              <w:t>גליס</w:t>
            </w:r>
            <w:proofErr w:type="spellEnd"/>
          </w:p>
        </w:tc>
      </w:tr>
      <w:tr w:rsidR="00B72D31" w:rsidTr="00BF74E0">
        <w:trPr>
          <w:trHeight w:val="287"/>
        </w:trPr>
        <w:tc>
          <w:tcPr>
            <w:tcW w:w="3261" w:type="dxa"/>
          </w:tcPr>
          <w:p w:rsidR="00B72D31" w:rsidRDefault="00B72D31" w:rsidP="00BF74E0">
            <w:pPr>
              <w:pStyle w:val="BodyRuller"/>
              <w:rPr>
                <w:rFonts w:ascii="David" w:hAnsi="David"/>
                <w:rtl/>
              </w:rPr>
            </w:pPr>
          </w:p>
        </w:tc>
        <w:tc>
          <w:tcPr>
            <w:tcW w:w="5239" w:type="dxa"/>
          </w:tcPr>
          <w:p w:rsidR="00B72D31" w:rsidRDefault="00B72D31" w:rsidP="00BF74E0">
            <w:pPr>
              <w:pStyle w:val="BodyRuller"/>
              <w:rPr>
                <w:rtl/>
              </w:rPr>
            </w:pPr>
            <w:r>
              <w:rPr>
                <w:rtl/>
              </w:rPr>
              <w:t>3. בגין טרסט 2015 בע"מ</w:t>
            </w:r>
          </w:p>
        </w:tc>
      </w:tr>
    </w:tbl>
    <w:p w:rsidR="00B72D31" w:rsidRDefault="00B72D31" w:rsidP="00B72D31">
      <w:pPr>
        <w:pStyle w:val="Ruller3"/>
      </w:pPr>
    </w:p>
    <w:tbl>
      <w:tblPr>
        <w:bidiVisual/>
        <w:tblW w:w="8363" w:type="dxa"/>
        <w:tblLook w:val="0000" w:firstRow="0" w:lastRow="0" w:firstColumn="0" w:lastColumn="0" w:noHBand="0" w:noVBand="0"/>
      </w:tblPr>
      <w:tblGrid>
        <w:gridCol w:w="3222"/>
        <w:gridCol w:w="5141"/>
      </w:tblGrid>
      <w:tr w:rsidR="00B72D31" w:rsidTr="00BF74E0">
        <w:tc>
          <w:tcPr>
            <w:tcW w:w="3284" w:type="dxa"/>
          </w:tcPr>
          <w:p w:rsidR="00B72D31" w:rsidRDefault="00B72D31" w:rsidP="00BF74E0">
            <w:pPr>
              <w:pStyle w:val="BodyRuller"/>
            </w:pPr>
          </w:p>
        </w:tc>
        <w:tc>
          <w:tcPr>
            <w:tcW w:w="5238" w:type="dxa"/>
          </w:tcPr>
          <w:p w:rsidR="00B72D31" w:rsidRDefault="00B72D31" w:rsidP="00BF74E0">
            <w:pPr>
              <w:pStyle w:val="BodyRuller"/>
            </w:pPr>
            <w:r>
              <w:rPr>
                <w:rFonts w:hint="cs"/>
                <w:rtl/>
              </w:rPr>
              <w:t>נ</w:t>
            </w:r>
            <w:r>
              <w:t xml:space="preserve">  </w:t>
            </w:r>
            <w:r>
              <w:rPr>
                <w:rFonts w:hint="cs"/>
                <w:rtl/>
              </w:rPr>
              <w:t>ג</w:t>
            </w:r>
            <w:r>
              <w:t xml:space="preserve">  </w:t>
            </w:r>
            <w:r>
              <w:rPr>
                <w:rFonts w:hint="cs"/>
                <w:rtl/>
              </w:rPr>
              <w:t>ד</w:t>
            </w:r>
          </w:p>
        </w:tc>
      </w:tr>
    </w:tbl>
    <w:p w:rsidR="00B72D31" w:rsidRDefault="00B72D31" w:rsidP="00B72D31">
      <w:pPr>
        <w:pStyle w:val="Ruller3"/>
        <w:rPr>
          <w:rtl/>
        </w:rPr>
      </w:pPr>
    </w:p>
    <w:tbl>
      <w:tblPr>
        <w:bidiVisual/>
        <w:tblW w:w="8364" w:type="dxa"/>
        <w:tblLayout w:type="fixed"/>
        <w:tblLook w:val="0000" w:firstRow="0" w:lastRow="0" w:firstColumn="0" w:lastColumn="0" w:noHBand="0" w:noVBand="0"/>
      </w:tblPr>
      <w:tblGrid>
        <w:gridCol w:w="3210"/>
        <w:gridCol w:w="5154"/>
      </w:tblGrid>
      <w:tr w:rsidR="00B72D31" w:rsidTr="00BF74E0">
        <w:trPr>
          <w:trHeight w:val="287"/>
        </w:trPr>
        <w:tc>
          <w:tcPr>
            <w:tcW w:w="3261" w:type="dxa"/>
          </w:tcPr>
          <w:p w:rsidR="00B72D31" w:rsidRPr="00E75223" w:rsidRDefault="00B72D31" w:rsidP="00BF74E0">
            <w:pPr>
              <w:pStyle w:val="BodyRuller"/>
              <w:rPr>
                <w:rFonts w:ascii="David" w:hAnsi="David"/>
              </w:rPr>
            </w:pPr>
            <w:r>
              <w:rPr>
                <w:rFonts w:ascii="David" w:hAnsi="David"/>
                <w:rtl/>
              </w:rPr>
              <w:t>המשיב:</w:t>
            </w:r>
          </w:p>
        </w:tc>
        <w:tc>
          <w:tcPr>
            <w:tcW w:w="5239" w:type="dxa"/>
          </w:tcPr>
          <w:p w:rsidR="00B72D31" w:rsidRDefault="00B72D31" w:rsidP="00BF74E0">
            <w:pPr>
              <w:pStyle w:val="BodyRuller"/>
            </w:pPr>
            <w:r>
              <w:rPr>
                <w:rtl/>
              </w:rPr>
              <w:t>מנהל מס שבח תל אביב</w:t>
            </w:r>
            <w:r w:rsidR="00BC3E50">
              <w:rPr>
                <w:rFonts w:hint="cs"/>
                <w:rtl/>
              </w:rPr>
              <w:t xml:space="preserve"> 1</w:t>
            </w:r>
          </w:p>
        </w:tc>
      </w:tr>
    </w:tbl>
    <w:p w:rsidR="00B72D31" w:rsidRDefault="00B72D31" w:rsidP="00B72D31">
      <w:pPr>
        <w:pStyle w:val="Ruller3"/>
        <w:jc w:val="both"/>
      </w:pPr>
    </w:p>
    <w:tbl>
      <w:tblPr>
        <w:bidiVisual/>
        <w:tblW w:w="0" w:type="auto"/>
        <w:tblInd w:w="3209" w:type="dxa"/>
        <w:tblLook w:val="0000" w:firstRow="0" w:lastRow="0" w:firstColumn="0" w:lastColumn="0" w:noHBand="0" w:noVBand="0"/>
      </w:tblPr>
      <w:tblGrid>
        <w:gridCol w:w="5103"/>
      </w:tblGrid>
      <w:tr w:rsidR="00B72D31" w:rsidTr="00BF74E0">
        <w:tc>
          <w:tcPr>
            <w:tcW w:w="5103" w:type="dxa"/>
          </w:tcPr>
          <w:p w:rsidR="00B72D31" w:rsidRDefault="00B72D31" w:rsidP="00BF74E0">
            <w:pPr>
              <w:pStyle w:val="BodyRuller"/>
              <w:jc w:val="both"/>
              <w:rPr>
                <w:sz w:val="24"/>
                <w:szCs w:val="24"/>
                <w:rtl/>
              </w:rPr>
            </w:pPr>
            <w:r>
              <w:rPr>
                <w:rFonts w:hint="cs"/>
                <w:sz w:val="24"/>
                <w:szCs w:val="24"/>
                <w:rtl/>
              </w:rPr>
              <w:t xml:space="preserve">בקשה לקיים דיון נוסף על פסק דינו של בית המשפט העליון בע"א 7610/19 מיום 30.6.2022 שניתן על ידי </w:t>
            </w:r>
            <w:r w:rsidRPr="0015520A">
              <w:rPr>
                <w:rFonts w:ascii="Miriam" w:hAnsi="Miriam" w:cs="Miriam"/>
                <w:sz w:val="24"/>
                <w:szCs w:val="24"/>
                <w:rtl/>
              </w:rPr>
              <w:t>המשנה לנשיאה (</w:t>
            </w:r>
            <w:proofErr w:type="spellStart"/>
            <w:r w:rsidRPr="0015520A">
              <w:rPr>
                <w:rFonts w:ascii="Miriam" w:hAnsi="Miriam" w:cs="Miriam"/>
                <w:sz w:val="24"/>
                <w:szCs w:val="24"/>
                <w:rtl/>
              </w:rPr>
              <w:t>בדימ</w:t>
            </w:r>
            <w:proofErr w:type="spellEnd"/>
            <w:r w:rsidRPr="0015520A">
              <w:rPr>
                <w:rFonts w:ascii="Miriam" w:hAnsi="Miriam" w:cs="Miriam"/>
                <w:sz w:val="24"/>
                <w:szCs w:val="24"/>
                <w:rtl/>
              </w:rPr>
              <w:t>') נ' הנדל</w:t>
            </w:r>
            <w:r>
              <w:rPr>
                <w:rFonts w:hint="cs"/>
                <w:sz w:val="24"/>
                <w:szCs w:val="24"/>
                <w:rtl/>
              </w:rPr>
              <w:t xml:space="preserve">, </w:t>
            </w:r>
            <w:r w:rsidRPr="0015520A">
              <w:rPr>
                <w:rFonts w:ascii="Miriam" w:hAnsi="Miriam" w:cs="Miriam" w:hint="cs"/>
                <w:sz w:val="24"/>
                <w:szCs w:val="24"/>
                <w:rtl/>
              </w:rPr>
              <w:t>השופטת י' וילנר והשופט א' שטיין</w:t>
            </w:r>
            <w:r w:rsidR="00FD0DFE">
              <w:rPr>
                <w:rFonts w:hint="cs"/>
                <w:sz w:val="24"/>
                <w:szCs w:val="24"/>
                <w:rtl/>
              </w:rPr>
              <w:t>;</w:t>
            </w:r>
          </w:p>
          <w:p w:rsidR="00FD0DFE" w:rsidRPr="00265F6E" w:rsidRDefault="00FD0DFE" w:rsidP="00BF74E0">
            <w:pPr>
              <w:pStyle w:val="BodyRuller"/>
              <w:jc w:val="both"/>
              <w:rPr>
                <w:sz w:val="24"/>
                <w:szCs w:val="24"/>
              </w:rPr>
            </w:pPr>
            <w:r>
              <w:rPr>
                <w:rFonts w:hint="cs"/>
                <w:sz w:val="24"/>
                <w:szCs w:val="24"/>
                <w:rtl/>
              </w:rPr>
              <w:t>תשובת המשיב מיום 13.11.2022</w:t>
            </w:r>
          </w:p>
        </w:tc>
      </w:tr>
    </w:tbl>
    <w:p w:rsidR="00B72D31" w:rsidRDefault="00B72D31" w:rsidP="00B72D31">
      <w:pPr>
        <w:pStyle w:val="Ruller3"/>
      </w:pPr>
    </w:p>
    <w:tbl>
      <w:tblPr>
        <w:bidiVisual/>
        <w:tblW w:w="8364" w:type="dxa"/>
        <w:tblLayout w:type="fixed"/>
        <w:tblLook w:val="0000" w:firstRow="0" w:lastRow="0" w:firstColumn="0" w:lastColumn="0" w:noHBand="0" w:noVBand="0"/>
      </w:tblPr>
      <w:tblGrid>
        <w:gridCol w:w="3210"/>
        <w:gridCol w:w="5154"/>
      </w:tblGrid>
      <w:tr w:rsidR="00B72D31" w:rsidTr="00BF74E0">
        <w:trPr>
          <w:trHeight w:val="287"/>
        </w:trPr>
        <w:tc>
          <w:tcPr>
            <w:tcW w:w="3261" w:type="dxa"/>
          </w:tcPr>
          <w:p w:rsidR="00B72D31" w:rsidRPr="00E75223" w:rsidRDefault="00B72D31" w:rsidP="00BF74E0">
            <w:pPr>
              <w:pStyle w:val="BodyRuller"/>
              <w:rPr>
                <w:rFonts w:ascii="David" w:hAnsi="David"/>
              </w:rPr>
            </w:pPr>
            <w:r>
              <w:rPr>
                <w:rFonts w:ascii="David" w:hAnsi="David" w:hint="cs"/>
                <w:rtl/>
              </w:rPr>
              <w:t xml:space="preserve">בשם </w:t>
            </w:r>
            <w:r>
              <w:rPr>
                <w:rFonts w:ascii="David" w:hAnsi="David"/>
                <w:rtl/>
              </w:rPr>
              <w:t>המבקשים:</w:t>
            </w:r>
          </w:p>
        </w:tc>
        <w:tc>
          <w:tcPr>
            <w:tcW w:w="5239" w:type="dxa"/>
          </w:tcPr>
          <w:p w:rsidR="00B72D31" w:rsidRDefault="00B72D31" w:rsidP="00BF74E0">
            <w:pPr>
              <w:pStyle w:val="BodyRuller"/>
            </w:pPr>
            <w:r>
              <w:rPr>
                <w:rFonts w:hint="cs"/>
                <w:rtl/>
              </w:rPr>
              <w:t>עו"ד טלי ירון-אלדר; עו"ד רני שורץ; עו"ד עמית גוטליב</w:t>
            </w:r>
          </w:p>
        </w:tc>
      </w:tr>
    </w:tbl>
    <w:p w:rsidR="00B72D31" w:rsidRDefault="00B72D31" w:rsidP="00B72D31">
      <w:pPr>
        <w:pStyle w:val="Ruller3"/>
      </w:pPr>
    </w:p>
    <w:tbl>
      <w:tblPr>
        <w:bidiVisual/>
        <w:tblW w:w="8364" w:type="dxa"/>
        <w:tblLayout w:type="fixed"/>
        <w:tblLook w:val="0000" w:firstRow="0" w:lastRow="0" w:firstColumn="0" w:lastColumn="0" w:noHBand="0" w:noVBand="0"/>
      </w:tblPr>
      <w:tblGrid>
        <w:gridCol w:w="3210"/>
        <w:gridCol w:w="5154"/>
      </w:tblGrid>
      <w:tr w:rsidR="00FD0DFE" w:rsidTr="00BF74E0">
        <w:trPr>
          <w:trHeight w:val="287"/>
        </w:trPr>
        <w:tc>
          <w:tcPr>
            <w:tcW w:w="3261" w:type="dxa"/>
          </w:tcPr>
          <w:p w:rsidR="00FD0DFE" w:rsidRPr="00E75223" w:rsidRDefault="00FD0DFE" w:rsidP="00BF74E0">
            <w:pPr>
              <w:pStyle w:val="BodyRuller"/>
              <w:rPr>
                <w:rFonts w:ascii="David" w:hAnsi="David"/>
              </w:rPr>
            </w:pPr>
            <w:r>
              <w:rPr>
                <w:rFonts w:ascii="David" w:hAnsi="David" w:hint="cs"/>
                <w:rtl/>
              </w:rPr>
              <w:t xml:space="preserve">בשם </w:t>
            </w:r>
            <w:r>
              <w:rPr>
                <w:rFonts w:ascii="David" w:hAnsi="David"/>
                <w:rtl/>
              </w:rPr>
              <w:t>המשיב:</w:t>
            </w:r>
          </w:p>
        </w:tc>
        <w:tc>
          <w:tcPr>
            <w:tcW w:w="5239" w:type="dxa"/>
          </w:tcPr>
          <w:p w:rsidR="00FD0DFE" w:rsidRDefault="00FD0DFE" w:rsidP="00BF74E0">
            <w:pPr>
              <w:pStyle w:val="BodyRuller"/>
            </w:pPr>
            <w:r>
              <w:rPr>
                <w:rFonts w:hint="cs"/>
                <w:rtl/>
              </w:rPr>
              <w:t xml:space="preserve">עו"ד חן </w:t>
            </w:r>
            <w:proofErr w:type="spellStart"/>
            <w:r>
              <w:rPr>
                <w:rFonts w:hint="cs"/>
                <w:rtl/>
              </w:rPr>
              <w:t>אבידוב</w:t>
            </w:r>
            <w:proofErr w:type="spellEnd"/>
            <w:r>
              <w:rPr>
                <w:rFonts w:hint="cs"/>
                <w:rtl/>
              </w:rPr>
              <w:t xml:space="preserve"> </w:t>
            </w:r>
          </w:p>
        </w:tc>
      </w:tr>
    </w:tbl>
    <w:p w:rsidR="00916FF8" w:rsidRPr="00FD0DFE" w:rsidRDefault="00916FF8">
      <w:pPr>
        <w:pStyle w:val="Ruller3"/>
      </w:pPr>
    </w:p>
    <w:p w:rsidR="00916FF8" w:rsidRDefault="00916FF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144AB3">
            <w:pPr>
              <w:pStyle w:val="DocumentHead"/>
            </w:pPr>
            <w:bookmarkStart w:id="1" w:name="secretary"/>
            <w:bookmarkStart w:id="2" w:name="BeginProtocol"/>
            <w:bookmarkEnd w:id="1"/>
            <w:bookmarkEnd w:id="2"/>
            <w:r>
              <w:rPr>
                <w:rtl/>
              </w:rPr>
              <w:t>החלטה</w:t>
            </w:r>
          </w:p>
        </w:tc>
      </w:tr>
    </w:tbl>
    <w:p w:rsidR="0065522F" w:rsidRDefault="0065522F">
      <w:pPr>
        <w:pStyle w:val="BODYVERDICT"/>
      </w:pPr>
    </w:p>
    <w:p w:rsidR="00916FF8" w:rsidRPr="00503A3E" w:rsidRDefault="00916FF8">
      <w:pPr>
        <w:pStyle w:val="BODYVERDICT"/>
        <w:rPr>
          <w:rFonts w:cs="Miriam"/>
          <w:sz w:val="24"/>
          <w:szCs w:val="24"/>
          <w:u w:val="single"/>
          <w:rtl/>
        </w:rPr>
      </w:pPr>
      <w:bookmarkStart w:id="3" w:name="Writer_Name"/>
      <w:bookmarkEnd w:id="3"/>
    </w:p>
    <w:p w:rsidR="003D1FBD" w:rsidRDefault="003D1FBD" w:rsidP="003D1FBD">
      <w:pPr>
        <w:pStyle w:val="Ruller4"/>
        <w:numPr>
          <w:ilvl w:val="0"/>
          <w:numId w:val="0"/>
        </w:numPr>
        <w:rPr>
          <w:rtl/>
        </w:rPr>
      </w:pPr>
      <w:bookmarkStart w:id="4" w:name="Start_Write"/>
      <w:bookmarkEnd w:id="4"/>
      <w:r>
        <w:rPr>
          <w:rtl/>
        </w:rPr>
        <w:tab/>
      </w:r>
      <w:r>
        <w:rPr>
          <w:rFonts w:hint="cs"/>
          <w:rtl/>
        </w:rPr>
        <w:t xml:space="preserve">זוהי בקשה לקיים דיון נוסף בפסק דינו של בית המשפט העליון (המשנה לנשיאה (בדימוס) </w:t>
      </w:r>
      <w:r w:rsidRPr="00B2257D">
        <w:rPr>
          <w:rFonts w:ascii="Century" w:hAnsi="Century" w:cs="Miriam" w:hint="cs"/>
          <w:b/>
          <w:spacing w:val="0"/>
          <w:sz w:val="22"/>
          <w:szCs w:val="24"/>
          <w:rtl/>
        </w:rPr>
        <w:t>נ' הנדל</w:t>
      </w:r>
      <w:r>
        <w:rPr>
          <w:rFonts w:hint="cs"/>
          <w:rtl/>
        </w:rPr>
        <w:t xml:space="preserve">, </w:t>
      </w:r>
      <w:r w:rsidRPr="00B2257D">
        <w:rPr>
          <w:rFonts w:ascii="Century" w:hAnsi="Century" w:cs="Miriam" w:hint="cs"/>
          <w:b/>
          <w:spacing w:val="0"/>
          <w:sz w:val="22"/>
          <w:szCs w:val="24"/>
          <w:rtl/>
        </w:rPr>
        <w:t>י' וילנר</w:t>
      </w:r>
      <w:r>
        <w:rPr>
          <w:rFonts w:hint="cs"/>
          <w:rtl/>
        </w:rPr>
        <w:t xml:space="preserve"> ו</w:t>
      </w:r>
      <w:r w:rsidRPr="00B2257D">
        <w:rPr>
          <w:rFonts w:ascii="Century" w:hAnsi="Century" w:cs="Miriam" w:hint="cs"/>
          <w:b/>
          <w:spacing w:val="0"/>
          <w:sz w:val="22"/>
          <w:szCs w:val="24"/>
          <w:rtl/>
        </w:rPr>
        <w:t>א' שטיין</w:t>
      </w:r>
      <w:r>
        <w:rPr>
          <w:rFonts w:hint="cs"/>
          <w:rtl/>
        </w:rPr>
        <w:t xml:space="preserve">) בע"א 7610/19 מיום 30.6.2022 (להלן: </w:t>
      </w:r>
      <w:r w:rsidRPr="00C91035">
        <w:rPr>
          <w:rFonts w:ascii="Century" w:hAnsi="Century" w:cs="Miriam" w:hint="cs"/>
          <w:b/>
          <w:spacing w:val="0"/>
          <w:sz w:val="22"/>
          <w:szCs w:val="24"/>
          <w:rtl/>
        </w:rPr>
        <w:t>פסק הדין</w:t>
      </w:r>
      <w:r>
        <w:rPr>
          <w:rFonts w:hint="cs"/>
          <w:rtl/>
        </w:rPr>
        <w:t xml:space="preserve">) שבו נקבע כי נכסי מקרקעין שהקנו המבקשים לחברת נאמנות שהוקמה מטעמם חייבים במס שבח ובמס רכישה לפי חוק מיסוי מקרקעין (שבח ורכישה), התשכ"ג-1963 (להלן: </w:t>
      </w:r>
      <w:r w:rsidRPr="00F6638B">
        <w:rPr>
          <w:rFonts w:ascii="Century" w:hAnsi="Century" w:cs="Miriam" w:hint="cs"/>
          <w:b/>
          <w:spacing w:val="0"/>
          <w:sz w:val="22"/>
          <w:szCs w:val="24"/>
          <w:rtl/>
        </w:rPr>
        <w:t>חוק מיסוי מקרקעין</w:t>
      </w:r>
      <w:r>
        <w:rPr>
          <w:rFonts w:ascii="Century" w:hAnsi="Century" w:cs="Miriam" w:hint="cs"/>
          <w:b/>
          <w:spacing w:val="0"/>
          <w:sz w:val="22"/>
          <w:szCs w:val="24"/>
          <w:rtl/>
        </w:rPr>
        <w:t xml:space="preserve"> </w:t>
      </w:r>
      <w:r w:rsidRPr="00F6638B">
        <w:rPr>
          <w:rFonts w:ascii="Century" w:hAnsi="Century" w:hint="cs"/>
          <w:sz w:val="22"/>
          <w:rtl/>
        </w:rPr>
        <w:t>או</w:t>
      </w:r>
      <w:r>
        <w:rPr>
          <w:rFonts w:ascii="Century" w:hAnsi="Century" w:cs="Miriam" w:hint="cs"/>
          <w:b/>
          <w:spacing w:val="0"/>
          <w:sz w:val="22"/>
          <w:szCs w:val="24"/>
          <w:rtl/>
        </w:rPr>
        <w:t xml:space="preserve"> החוק</w:t>
      </w:r>
      <w:r>
        <w:rPr>
          <w:rFonts w:hint="cs"/>
          <w:rtl/>
        </w:rPr>
        <w:t xml:space="preserve">). </w:t>
      </w:r>
    </w:p>
    <w:p w:rsidR="003D1FBD" w:rsidRDefault="003D1FBD" w:rsidP="003D1FBD">
      <w:pPr>
        <w:pStyle w:val="Ruller40"/>
        <w:rPr>
          <w:rtl/>
        </w:rPr>
      </w:pPr>
    </w:p>
    <w:p w:rsidR="003D1FBD" w:rsidRPr="00250810" w:rsidRDefault="003D1FBD" w:rsidP="003D1FBD">
      <w:pPr>
        <w:pStyle w:val="Ruller40"/>
        <w:spacing w:after="240"/>
        <w:rPr>
          <w:rFonts w:ascii="Century" w:hAnsi="Century" w:cs="Miriam"/>
          <w:b/>
          <w:spacing w:val="0"/>
          <w:szCs w:val="24"/>
        </w:rPr>
      </w:pPr>
      <w:r w:rsidRPr="00250810">
        <w:rPr>
          <w:rFonts w:ascii="Century" w:hAnsi="Century" w:cs="Miriam" w:hint="cs"/>
          <w:b/>
          <w:spacing w:val="0"/>
          <w:szCs w:val="24"/>
          <w:rtl/>
        </w:rPr>
        <w:t>רקע הדברים</w:t>
      </w:r>
    </w:p>
    <w:p w:rsidR="003D1FBD" w:rsidRDefault="003D1FBD" w:rsidP="003D1FBD">
      <w:pPr>
        <w:pStyle w:val="Ruller4"/>
      </w:pPr>
      <w:r>
        <w:rPr>
          <w:rFonts w:hint="cs"/>
          <w:rtl/>
        </w:rPr>
        <w:t xml:space="preserve">המבקשים 2-1, תושבי קנדה (להלן: </w:t>
      </w:r>
      <w:r w:rsidRPr="00FF316D">
        <w:rPr>
          <w:rFonts w:ascii="Century" w:hAnsi="Century" w:cs="Miriam" w:hint="cs"/>
          <w:b/>
          <w:spacing w:val="0"/>
          <w:sz w:val="22"/>
          <w:szCs w:val="24"/>
          <w:rtl/>
        </w:rPr>
        <w:t>המבקשים</w:t>
      </w:r>
      <w:r>
        <w:rPr>
          <w:rFonts w:hint="cs"/>
          <w:rtl/>
        </w:rPr>
        <w:t xml:space="preserve">), חתמו ביום 13.1.2016 על הסכם נאמנות בינם ובין חברת ירון אלדר (נאמנויות) בע"מ (להלן: </w:t>
      </w:r>
      <w:r w:rsidRPr="001F3D43">
        <w:rPr>
          <w:rFonts w:ascii="Century" w:hAnsi="Century" w:cs="Miriam" w:hint="cs"/>
          <w:b/>
          <w:spacing w:val="0"/>
          <w:sz w:val="22"/>
          <w:szCs w:val="24"/>
          <w:rtl/>
        </w:rPr>
        <w:t>הנאמן</w:t>
      </w:r>
      <w:r>
        <w:rPr>
          <w:rFonts w:hint="cs"/>
          <w:rtl/>
        </w:rPr>
        <w:t xml:space="preserve">) שבו נקבע כי </w:t>
      </w:r>
      <w:r>
        <w:rPr>
          <w:rFonts w:hint="cs"/>
          <w:rtl/>
        </w:rPr>
        <w:lastRenderedPageBreak/>
        <w:t xml:space="preserve">הם יעבירו נכסים וכספים לידי המבקשת 3 (להלן: </w:t>
      </w:r>
      <w:r w:rsidRPr="001F3D43">
        <w:rPr>
          <w:rFonts w:ascii="Century" w:hAnsi="Century" w:cs="Miriam" w:hint="cs"/>
          <w:b/>
          <w:spacing w:val="0"/>
          <w:sz w:val="22"/>
          <w:szCs w:val="24"/>
          <w:rtl/>
        </w:rPr>
        <w:t>חברת הנאמנות</w:t>
      </w:r>
      <w:r>
        <w:rPr>
          <w:rFonts w:hint="cs"/>
          <w:rtl/>
        </w:rPr>
        <w:t xml:space="preserve">), אשר הוקמה בסמוך לאחר החתימה על ההסכם כחברה </w:t>
      </w:r>
      <w:r>
        <w:rPr>
          <w:rFonts w:ascii="Century" w:hAnsi="Century"/>
          <w:sz w:val="22"/>
          <w:rtl/>
        </w:rPr>
        <w:t>להחזקת נכסי נאמנות, כמשמעה בסעיף 75ג לפקוד</w:t>
      </w:r>
      <w:r>
        <w:rPr>
          <w:rFonts w:ascii="Century" w:hAnsi="Century" w:hint="cs"/>
          <w:sz w:val="22"/>
          <w:rtl/>
        </w:rPr>
        <w:t xml:space="preserve">ת מס הכנסה [נוסח חדש] (להלן: </w:t>
      </w:r>
      <w:r w:rsidRPr="003A72B4">
        <w:rPr>
          <w:rFonts w:ascii="Century" w:hAnsi="Century" w:cs="Miriam" w:hint="cs"/>
          <w:b/>
          <w:spacing w:val="0"/>
          <w:sz w:val="22"/>
          <w:szCs w:val="24"/>
          <w:rtl/>
        </w:rPr>
        <w:t>הפקודה</w:t>
      </w:r>
      <w:r>
        <w:rPr>
          <w:rFonts w:ascii="Century" w:hAnsi="Century" w:hint="cs"/>
          <w:sz w:val="22"/>
          <w:rtl/>
        </w:rPr>
        <w:t>).</w:t>
      </w:r>
      <w:r>
        <w:rPr>
          <w:rFonts w:hint="cs"/>
          <w:rtl/>
        </w:rPr>
        <w:t xml:space="preserve"> המבקשים חתמו, בנוסף, </w:t>
      </w:r>
      <w:r>
        <w:rPr>
          <w:rtl/>
        </w:rPr>
        <w:t xml:space="preserve">על </w:t>
      </w:r>
      <w:r w:rsidRPr="00215558">
        <w:rPr>
          <w:rFonts w:ascii="FrankRuehl" w:hAnsi="FrankRuehl"/>
          <w:rtl/>
        </w:rPr>
        <w:t>הסכמים</w:t>
      </w:r>
      <w:r>
        <w:rPr>
          <w:rFonts w:ascii="FrankRuehl" w:hAnsi="FrankRuehl" w:hint="cs"/>
          <w:rtl/>
        </w:rPr>
        <w:t xml:space="preserve"> ספציפיים</w:t>
      </w:r>
      <w:r w:rsidRPr="00215558">
        <w:rPr>
          <w:rFonts w:ascii="FrankRuehl" w:hAnsi="FrankRuehl"/>
          <w:rtl/>
        </w:rPr>
        <w:t xml:space="preserve"> </w:t>
      </w:r>
      <w:r>
        <w:rPr>
          <w:rtl/>
        </w:rPr>
        <w:t>להעברת זכויות בארבעה נכסי מקרקעין שבבעלותם</w:t>
      </w:r>
      <w:r>
        <w:rPr>
          <w:rFonts w:hint="cs"/>
          <w:rtl/>
        </w:rPr>
        <w:t>,</w:t>
      </w:r>
      <w:r>
        <w:rPr>
          <w:rtl/>
        </w:rPr>
        <w:t xml:space="preserve"> להחזקתה של חברת הנאמנות</w:t>
      </w:r>
      <w:r>
        <w:rPr>
          <w:rFonts w:hint="cs"/>
          <w:rtl/>
        </w:rPr>
        <w:t xml:space="preserve">, ובהם </w:t>
      </w:r>
      <w:r>
        <w:rPr>
          <w:rtl/>
        </w:rPr>
        <w:t>שתי דירות בתל אביב</w:t>
      </w:r>
      <w:r>
        <w:rPr>
          <w:rFonts w:hint="cs"/>
          <w:rtl/>
        </w:rPr>
        <w:t xml:space="preserve"> (להלן: </w:t>
      </w:r>
      <w:r>
        <w:rPr>
          <w:rFonts w:ascii="Miriam" w:hAnsi="Miriam" w:cs="Miriam"/>
          <w:sz w:val="22"/>
          <w:szCs w:val="24"/>
          <w:rtl/>
        </w:rPr>
        <w:t>ההסכמים הספציפיים</w:t>
      </w:r>
      <w:r>
        <w:rPr>
          <w:rFonts w:hint="cs"/>
          <w:rtl/>
        </w:rPr>
        <w:t>). דירות אלו, הן שעמדו במוקד ההליכים דנן.</w:t>
      </w:r>
    </w:p>
    <w:p w:rsidR="003D1FBD" w:rsidRPr="003E62CD" w:rsidRDefault="003D1FBD" w:rsidP="003D1FBD">
      <w:pPr>
        <w:pStyle w:val="Ruller4"/>
        <w:numPr>
          <w:ilvl w:val="0"/>
          <w:numId w:val="0"/>
        </w:numPr>
      </w:pPr>
    </w:p>
    <w:p w:rsidR="003D1FBD" w:rsidRPr="005701B1" w:rsidRDefault="003D1FBD" w:rsidP="003D1FBD">
      <w:pPr>
        <w:pStyle w:val="Ruller4"/>
        <w:rPr>
          <w:sz w:val="12"/>
          <w:szCs w:val="18"/>
        </w:rPr>
      </w:pPr>
      <w:r>
        <w:rPr>
          <w:rFonts w:hint="cs"/>
          <w:rtl/>
        </w:rPr>
        <w:t>בתמצית יצוין כי ה</w:t>
      </w:r>
      <w:r>
        <w:rPr>
          <w:rtl/>
        </w:rPr>
        <w:t xml:space="preserve">סכם הנאמנות </w:t>
      </w:r>
      <w:r>
        <w:rPr>
          <w:rFonts w:hint="cs"/>
          <w:rtl/>
        </w:rPr>
        <w:t xml:space="preserve">קבע כי </w:t>
      </w:r>
      <w:r>
        <w:rPr>
          <w:rtl/>
        </w:rPr>
        <w:t xml:space="preserve">הנהנית </w:t>
      </w:r>
      <w:r>
        <w:rPr>
          <w:rFonts w:hint="cs"/>
          <w:rtl/>
        </w:rPr>
        <w:t>בנאמנות תהיה</w:t>
      </w:r>
      <w:r>
        <w:rPr>
          <w:rtl/>
        </w:rPr>
        <w:t xml:space="preserve"> </w:t>
      </w:r>
      <w:r>
        <w:rPr>
          <w:rFonts w:hint="cs"/>
          <w:rtl/>
        </w:rPr>
        <w:t xml:space="preserve">נכדתו של המבקש 1, </w:t>
      </w:r>
      <w:r>
        <w:rPr>
          <w:rtl/>
        </w:rPr>
        <w:t xml:space="preserve">הגב' פייג' </w:t>
      </w:r>
      <w:proofErr w:type="spellStart"/>
      <w:r>
        <w:rPr>
          <w:rtl/>
        </w:rPr>
        <w:t>קניאל</w:t>
      </w:r>
      <w:proofErr w:type="spellEnd"/>
      <w:r>
        <w:rPr>
          <w:rtl/>
        </w:rPr>
        <w:t xml:space="preserve">, </w:t>
      </w:r>
      <w:r>
        <w:rPr>
          <w:rFonts w:hint="cs"/>
          <w:rtl/>
        </w:rPr>
        <w:t xml:space="preserve">שהיא </w:t>
      </w:r>
      <w:r>
        <w:rPr>
          <w:rtl/>
        </w:rPr>
        <w:t xml:space="preserve">תושבת ישראל (להלן: </w:t>
      </w:r>
      <w:r w:rsidRPr="005701B1">
        <w:rPr>
          <w:rFonts w:ascii="Century" w:hAnsi="Century" w:cs="Miriam"/>
          <w:b/>
          <w:spacing w:val="0"/>
          <w:sz w:val="22"/>
          <w:szCs w:val="24"/>
          <w:rtl/>
        </w:rPr>
        <w:t>פייג'</w:t>
      </w:r>
      <w:r>
        <w:rPr>
          <w:rtl/>
        </w:rPr>
        <w:t>)</w:t>
      </w:r>
      <w:r>
        <w:rPr>
          <w:rFonts w:hint="cs"/>
          <w:rtl/>
        </w:rPr>
        <w:t xml:space="preserve">, תוך שצוין כי היא לא </w:t>
      </w:r>
      <w:r>
        <w:rPr>
          <w:rtl/>
        </w:rPr>
        <w:t xml:space="preserve">מודעת להיותה נהנית בנאמנות </w:t>
      </w:r>
      <w:r>
        <w:rPr>
          <w:rFonts w:hint="cs"/>
          <w:rtl/>
        </w:rPr>
        <w:t xml:space="preserve">שכן המבקשים </w:t>
      </w:r>
      <w:r>
        <w:rPr>
          <w:rtl/>
        </w:rPr>
        <w:t xml:space="preserve">ביקשו לשמור </w:t>
      </w:r>
      <w:r>
        <w:rPr>
          <w:rFonts w:hint="cs"/>
          <w:rtl/>
        </w:rPr>
        <w:t>על כך</w:t>
      </w:r>
      <w:r>
        <w:rPr>
          <w:rtl/>
        </w:rPr>
        <w:t xml:space="preserve"> בסוד</w:t>
      </w:r>
      <w:r>
        <w:rPr>
          <w:rFonts w:hint="cs"/>
          <w:rtl/>
        </w:rPr>
        <w:t>. עוד נקבע כי</w:t>
      </w:r>
      <w:r>
        <w:rPr>
          <w:rtl/>
        </w:rPr>
        <w:t xml:space="preserve"> מעמדה של פייג' כנהנית בלעדית אינו מובטח לה </w:t>
      </w:r>
      <w:r>
        <w:rPr>
          <w:rFonts w:hint="cs"/>
          <w:rtl/>
        </w:rPr>
        <w:t xml:space="preserve">באשר </w:t>
      </w:r>
      <w:r>
        <w:rPr>
          <w:rtl/>
        </w:rPr>
        <w:t>קיימת אפשרות ששמה יוסר מהנאמנות או שיועמדו לצדה נהנים נוספים.</w:t>
      </w:r>
      <w:r>
        <w:rPr>
          <w:rFonts w:hint="cs"/>
          <w:rtl/>
        </w:rPr>
        <w:t xml:space="preserve"> מההסכמים עלה, בנוסף,</w:t>
      </w:r>
      <w:r>
        <w:rPr>
          <w:rtl/>
        </w:rPr>
        <w:t xml:space="preserve"> כי </w:t>
      </w:r>
      <w:r>
        <w:rPr>
          <w:rFonts w:hint="cs"/>
          <w:rtl/>
        </w:rPr>
        <w:t>כוונת המבקשים</w:t>
      </w:r>
      <w:r>
        <w:rPr>
          <w:rtl/>
        </w:rPr>
        <w:t xml:space="preserve"> </w:t>
      </w:r>
      <w:r>
        <w:rPr>
          <w:rFonts w:hint="cs"/>
          <w:rtl/>
        </w:rPr>
        <w:t xml:space="preserve">הייתה </w:t>
      </w:r>
      <w:r>
        <w:rPr>
          <w:rtl/>
        </w:rPr>
        <w:t xml:space="preserve">ליצור </w:t>
      </w:r>
      <w:r w:rsidRPr="005701B1">
        <w:rPr>
          <w:rFonts w:ascii="Century" w:hAnsi="Century" w:hint="cs"/>
          <w:sz w:val="22"/>
          <w:rtl/>
        </w:rPr>
        <w:t>"</w:t>
      </w:r>
      <w:r w:rsidRPr="005701B1">
        <w:rPr>
          <w:rFonts w:ascii="Century" w:hAnsi="Century"/>
          <w:sz w:val="22"/>
          <w:rtl/>
        </w:rPr>
        <w:t>נאמנות בלתי הדירה</w:t>
      </w:r>
      <w:r w:rsidRPr="005701B1">
        <w:rPr>
          <w:rFonts w:ascii="Century" w:hAnsi="Century" w:hint="cs"/>
          <w:sz w:val="22"/>
          <w:rtl/>
        </w:rPr>
        <w:t>"</w:t>
      </w:r>
      <w:r>
        <w:rPr>
          <w:rtl/>
        </w:rPr>
        <w:t xml:space="preserve"> </w:t>
      </w:r>
      <w:r>
        <w:rPr>
          <w:rFonts w:hint="cs"/>
          <w:rtl/>
        </w:rPr>
        <w:t xml:space="preserve">ועל כן נקבע בהם כי </w:t>
      </w:r>
      <w:r w:rsidRPr="005701B1">
        <w:rPr>
          <w:rFonts w:ascii="Century" w:hAnsi="Century"/>
          <w:sz w:val="22"/>
          <w:rtl/>
        </w:rPr>
        <w:t>זכויות הבעלות החוקיות</w:t>
      </w:r>
      <w:r>
        <w:rPr>
          <w:rtl/>
        </w:rPr>
        <w:t xml:space="preserve"> בנכסים </w:t>
      </w:r>
      <w:r>
        <w:rPr>
          <w:rFonts w:hint="cs"/>
          <w:rtl/>
        </w:rPr>
        <w:t xml:space="preserve">יועברו </w:t>
      </w:r>
      <w:r>
        <w:rPr>
          <w:rtl/>
        </w:rPr>
        <w:t xml:space="preserve">לחברת הנאמנות </w:t>
      </w:r>
      <w:r w:rsidRPr="005701B1">
        <w:rPr>
          <w:rFonts w:ascii="Century" w:hAnsi="Century"/>
          <w:sz w:val="22"/>
          <w:rtl/>
        </w:rPr>
        <w:t>באופן בלתי חוזר</w:t>
      </w:r>
      <w:r>
        <w:rPr>
          <w:rtl/>
        </w:rPr>
        <w:t xml:space="preserve">. </w:t>
      </w:r>
      <w:r>
        <w:rPr>
          <w:rFonts w:hint="cs"/>
          <w:rtl/>
        </w:rPr>
        <w:t xml:space="preserve">כמו כן נקבע </w:t>
      </w:r>
      <w:r w:rsidRPr="005701B1">
        <w:rPr>
          <w:rFonts w:ascii="Century" w:hAnsi="Century" w:hint="cs"/>
          <w:sz w:val="22"/>
          <w:rtl/>
        </w:rPr>
        <w:t>ב</w:t>
      </w:r>
      <w:r w:rsidRPr="005701B1">
        <w:rPr>
          <w:rFonts w:ascii="Century" w:hAnsi="Century"/>
          <w:sz w:val="22"/>
          <w:rtl/>
        </w:rPr>
        <w:t>הסכם הנאמנות כי ה</w:t>
      </w:r>
      <w:r>
        <w:rPr>
          <w:rtl/>
        </w:rPr>
        <w:t>נאמן הוא שיחזיק במלוא הזכויות החוקיות למניות חברת הנאמנות – וכפועל יוצא מכך, ישלוט בנכסי הנאמנות</w:t>
      </w:r>
      <w:r>
        <w:rPr>
          <w:rFonts w:hint="cs"/>
          <w:rtl/>
        </w:rPr>
        <w:t xml:space="preserve"> אך כי למבקשים תהא שמורה הזכות </w:t>
      </w:r>
      <w:r>
        <w:rPr>
          <w:rtl/>
        </w:rPr>
        <w:t>לפנות לנאמן מעת לעת ולהציג בפניו את רצונותיהם ביחס לניהול הנאמנות</w:t>
      </w:r>
      <w:r>
        <w:rPr>
          <w:rFonts w:hint="cs"/>
          <w:rtl/>
        </w:rPr>
        <w:t>,</w:t>
      </w:r>
      <w:r>
        <w:rPr>
          <w:rtl/>
        </w:rPr>
        <w:t xml:space="preserve"> בין היתר, במסגרת </w:t>
      </w:r>
      <w:r w:rsidRPr="005701B1">
        <w:rPr>
          <w:rFonts w:ascii="Century" w:hAnsi="Century" w:hint="cs"/>
          <w:sz w:val="22"/>
          <w:rtl/>
        </w:rPr>
        <w:t>"</w:t>
      </w:r>
      <w:r w:rsidRPr="005701B1">
        <w:rPr>
          <w:rFonts w:ascii="Century" w:hAnsi="Century"/>
          <w:sz w:val="22"/>
          <w:rtl/>
        </w:rPr>
        <w:t>כתב משאלות</w:t>
      </w:r>
      <w:r>
        <w:rPr>
          <w:rFonts w:hint="cs"/>
          <w:rtl/>
        </w:rPr>
        <w:t>"</w:t>
      </w:r>
      <w:r>
        <w:rPr>
          <w:rtl/>
        </w:rPr>
        <w:t xml:space="preserve">. </w:t>
      </w:r>
      <w:r>
        <w:rPr>
          <w:rFonts w:hint="cs"/>
          <w:rtl/>
        </w:rPr>
        <w:t>עוד נקבע במסמכי הנאמנות כי</w:t>
      </w:r>
      <w:r>
        <w:rPr>
          <w:rtl/>
        </w:rPr>
        <w:t xml:space="preserve"> מר יעקב </w:t>
      </w:r>
      <w:proofErr w:type="spellStart"/>
      <w:r>
        <w:rPr>
          <w:rtl/>
        </w:rPr>
        <w:t>ויזניבסקי</w:t>
      </w:r>
      <w:proofErr w:type="spellEnd"/>
      <w:r>
        <w:rPr>
          <w:rtl/>
        </w:rPr>
        <w:t xml:space="preserve"> </w:t>
      </w:r>
      <w:r>
        <w:rPr>
          <w:rFonts w:hint="cs"/>
          <w:rtl/>
        </w:rPr>
        <w:t>י</w:t>
      </w:r>
      <w:r>
        <w:rPr>
          <w:rtl/>
        </w:rPr>
        <w:t>שמש</w:t>
      </w:r>
      <w:r>
        <w:rPr>
          <w:rFonts w:hint="cs"/>
          <w:rtl/>
        </w:rPr>
        <w:t xml:space="preserve"> "באופן בלתי הפיך"</w:t>
      </w:r>
      <w:r>
        <w:rPr>
          <w:rtl/>
        </w:rPr>
        <w:t xml:space="preserve"> </w:t>
      </w:r>
      <w:r w:rsidRPr="005701B1">
        <w:rPr>
          <w:rFonts w:ascii="Century" w:hAnsi="Century" w:cs="Miriam"/>
          <w:b/>
          <w:spacing w:val="0"/>
          <w:sz w:val="22"/>
          <w:szCs w:val="24"/>
          <w:rtl/>
        </w:rPr>
        <w:t>מגן הנאמנות</w:t>
      </w:r>
      <w:r>
        <w:rPr>
          <w:rtl/>
        </w:rPr>
        <w:t xml:space="preserve"> (להלן: </w:t>
      </w:r>
      <w:r w:rsidRPr="005701B1">
        <w:rPr>
          <w:rFonts w:ascii="Century" w:hAnsi="Century" w:cs="Miriam" w:hint="cs"/>
          <w:b/>
          <w:spacing w:val="0"/>
          <w:sz w:val="22"/>
          <w:szCs w:val="24"/>
          <w:rtl/>
        </w:rPr>
        <w:t xml:space="preserve">המגן </w:t>
      </w:r>
      <w:r w:rsidRPr="005701B1">
        <w:rPr>
          <w:rFonts w:ascii="Century" w:hAnsi="Century" w:hint="cs"/>
          <w:sz w:val="22"/>
          <w:rtl/>
        </w:rPr>
        <w:t xml:space="preserve">או </w:t>
      </w:r>
      <w:r w:rsidRPr="005701B1">
        <w:rPr>
          <w:rFonts w:ascii="Century" w:hAnsi="Century" w:cs="Miriam"/>
          <w:b/>
          <w:spacing w:val="0"/>
          <w:sz w:val="22"/>
          <w:szCs w:val="24"/>
          <w:rtl/>
        </w:rPr>
        <w:t>מגן הנאמנות</w:t>
      </w:r>
      <w:r>
        <w:rPr>
          <w:rtl/>
        </w:rPr>
        <w:t>)</w:t>
      </w:r>
      <w:r>
        <w:rPr>
          <w:rFonts w:hint="cs"/>
          <w:rtl/>
        </w:rPr>
        <w:t xml:space="preserve"> וכי מתוקף תפקידו יהיה אמון</w:t>
      </w:r>
      <w:r>
        <w:rPr>
          <w:rtl/>
        </w:rPr>
        <w:t xml:space="preserve"> </w:t>
      </w:r>
      <w:r>
        <w:rPr>
          <w:rFonts w:hint="cs"/>
          <w:rtl/>
        </w:rPr>
        <w:t xml:space="preserve">על הבטחת </w:t>
      </w:r>
      <w:r w:rsidRPr="005701B1">
        <w:rPr>
          <w:rFonts w:ascii="Century" w:hAnsi="Century"/>
          <w:sz w:val="22"/>
          <w:rtl/>
        </w:rPr>
        <w:t>האינטרסים של הנהנים</w:t>
      </w:r>
      <w:r>
        <w:rPr>
          <w:rtl/>
        </w:rPr>
        <w:t xml:space="preserve"> </w:t>
      </w:r>
      <w:r>
        <w:rPr>
          <w:rFonts w:hint="cs"/>
          <w:rtl/>
        </w:rPr>
        <w:t xml:space="preserve">ויהיה מוסמך, בין היתר, </w:t>
      </w:r>
      <w:r>
        <w:rPr>
          <w:rtl/>
        </w:rPr>
        <w:t>להוסיף נהנים או להסיר נהנים בנאמנות</w:t>
      </w:r>
      <w:r>
        <w:rPr>
          <w:rFonts w:hint="cs"/>
          <w:rtl/>
        </w:rPr>
        <w:t>; והכול</w:t>
      </w:r>
      <w:r>
        <w:rPr>
          <w:rtl/>
        </w:rPr>
        <w:t xml:space="preserve"> בהתאם לרצונותיהם של </w:t>
      </w:r>
      <w:r>
        <w:rPr>
          <w:rFonts w:hint="cs"/>
          <w:rtl/>
        </w:rPr>
        <w:t>יוצרי הנאמנות, המבקשים</w:t>
      </w:r>
      <w:r>
        <w:rPr>
          <w:rtl/>
        </w:rPr>
        <w:t>.</w:t>
      </w:r>
    </w:p>
    <w:p w:rsidR="003D1FBD" w:rsidRPr="005701B1" w:rsidRDefault="003D1FBD" w:rsidP="003D1FBD">
      <w:pPr>
        <w:pStyle w:val="Ruller40"/>
        <w:ind w:left="720"/>
        <w:rPr>
          <w:sz w:val="12"/>
          <w:szCs w:val="18"/>
        </w:rPr>
      </w:pPr>
    </w:p>
    <w:p w:rsidR="003D1FBD" w:rsidRDefault="003D1FBD" w:rsidP="003D1FBD">
      <w:pPr>
        <w:pStyle w:val="Ruller4"/>
      </w:pPr>
      <w:r>
        <w:rPr>
          <w:rFonts w:hint="cs"/>
          <w:rtl/>
        </w:rPr>
        <w:t xml:space="preserve">הסכם הנאמנות הסמיך את </w:t>
      </w:r>
      <w:r>
        <w:rPr>
          <w:rtl/>
        </w:rPr>
        <w:t>הנאמן</w:t>
      </w:r>
      <w:r>
        <w:rPr>
          <w:rFonts w:hint="cs"/>
          <w:rtl/>
        </w:rPr>
        <w:t xml:space="preserve"> </w:t>
      </w:r>
      <w:r>
        <w:rPr>
          <w:rtl/>
        </w:rPr>
        <w:t>לחלק בכל עת שיקבע את כל נכסי הנאמנות לנהנה בנאמנות</w:t>
      </w:r>
      <w:r>
        <w:rPr>
          <w:rFonts w:hint="cs"/>
          <w:rtl/>
        </w:rPr>
        <w:t xml:space="preserve"> וזאת בכפוף לאישור מגן הנאמנות</w:t>
      </w:r>
      <w:r>
        <w:rPr>
          <w:rtl/>
        </w:rPr>
        <w:t>. עד למועד הגשת הערעור לא חולק כל סכום מכספי הנאמנות</w:t>
      </w:r>
      <w:r>
        <w:rPr>
          <w:rFonts w:hint="cs"/>
          <w:rtl/>
        </w:rPr>
        <w:t xml:space="preserve"> ו"</w:t>
      </w:r>
      <w:r>
        <w:rPr>
          <w:rtl/>
        </w:rPr>
        <w:t>כתב המשאלות</w:t>
      </w:r>
      <w:r>
        <w:rPr>
          <w:rFonts w:hint="cs"/>
          <w:rtl/>
        </w:rPr>
        <w:t>" שנוסח על ידי המבקשים העלה כי הם ביקשו ש</w:t>
      </w:r>
      <w:r>
        <w:rPr>
          <w:rtl/>
        </w:rPr>
        <w:t xml:space="preserve">נכסי הנאמנות לא יחולקו לפני מותם וכי הנאמן יימנע ממכירתם, ככל שהדבר אפשרי. </w:t>
      </w:r>
    </w:p>
    <w:p w:rsidR="003D1FBD" w:rsidRDefault="003D1FBD" w:rsidP="003D1FBD"/>
    <w:p w:rsidR="003D1FBD" w:rsidRDefault="003D1FBD" w:rsidP="003D1FBD">
      <w:pPr>
        <w:pStyle w:val="Ruller4"/>
        <w:rPr>
          <w:rtl/>
        </w:rPr>
      </w:pPr>
      <w:r>
        <w:rPr>
          <w:rFonts w:hint="cs"/>
          <w:rtl/>
        </w:rPr>
        <w:t>המבקשים דיווחו</w:t>
      </w:r>
      <w:r>
        <w:rPr>
          <w:rtl/>
        </w:rPr>
        <w:t xml:space="preserve"> למשרד מיסוי מקרקעין על העברת הזכויות בנכסים להחזקתה של חברת הנאמנות</w:t>
      </w:r>
      <w:r>
        <w:rPr>
          <w:rFonts w:hint="cs"/>
          <w:rtl/>
        </w:rPr>
        <w:t>, וציינו כי הדבר נעשה</w:t>
      </w:r>
      <w:r>
        <w:rPr>
          <w:rtl/>
        </w:rPr>
        <w:t xml:space="preserve"> "למען הזהירות".</w:t>
      </w:r>
      <w:r>
        <w:rPr>
          <w:rFonts w:hint="cs"/>
          <w:rtl/>
        </w:rPr>
        <w:t xml:space="preserve"> כמו כן, </w:t>
      </w:r>
      <w:r>
        <w:rPr>
          <w:rtl/>
        </w:rPr>
        <w:t xml:space="preserve">הקמתן של הנאמנות וחברת הנאמנות </w:t>
      </w:r>
      <w:r>
        <w:rPr>
          <w:rFonts w:hint="cs"/>
          <w:rtl/>
        </w:rPr>
        <w:t>דווחה על ידי המבקשים בהתאם ל</w:t>
      </w:r>
      <w:r>
        <w:rPr>
          <w:rtl/>
        </w:rPr>
        <w:t xml:space="preserve">הוראות </w:t>
      </w:r>
      <w:r>
        <w:rPr>
          <w:rFonts w:hint="cs"/>
          <w:rtl/>
        </w:rPr>
        <w:t xml:space="preserve">הפרק הרביעי לפקודה (להלן: </w:t>
      </w:r>
      <w:r w:rsidRPr="00F6638B">
        <w:rPr>
          <w:rFonts w:ascii="Century" w:hAnsi="Century" w:cs="Miriam" w:hint="cs"/>
          <w:b/>
          <w:spacing w:val="0"/>
          <w:sz w:val="22"/>
          <w:szCs w:val="24"/>
          <w:rtl/>
        </w:rPr>
        <w:t>פרק הנאמנויות</w:t>
      </w:r>
      <w:r>
        <w:rPr>
          <w:rFonts w:hint="cs"/>
          <w:rtl/>
        </w:rPr>
        <w:t xml:space="preserve">) </w:t>
      </w:r>
      <w:r>
        <w:rPr>
          <w:rtl/>
        </w:rPr>
        <w:t xml:space="preserve">ובמסגרת זו </w:t>
      </w:r>
      <w:r>
        <w:rPr>
          <w:rFonts w:hint="cs"/>
          <w:rtl/>
        </w:rPr>
        <w:t>ביקשו לסווג</w:t>
      </w:r>
      <w:r>
        <w:rPr>
          <w:rtl/>
        </w:rPr>
        <w:t xml:space="preserve"> </w:t>
      </w:r>
      <w:r>
        <w:rPr>
          <w:rFonts w:hint="cs"/>
          <w:rtl/>
        </w:rPr>
        <w:t>את</w:t>
      </w:r>
      <w:r>
        <w:rPr>
          <w:rtl/>
        </w:rPr>
        <w:t xml:space="preserve"> הנאמנות כ"נאמנות נהנה תושב ישראל</w:t>
      </w:r>
      <w:r>
        <w:t>"</w:t>
      </w:r>
      <w:r>
        <w:rPr>
          <w:rFonts w:hint="cs"/>
          <w:rtl/>
        </w:rPr>
        <w:t xml:space="preserve">, לפי האמור בסעיף 75ז לפקודה. במסגרת דיווחים אלו ציינו המבקשים </w:t>
      </w:r>
      <w:r>
        <w:rPr>
          <w:rtl/>
        </w:rPr>
        <w:t xml:space="preserve">כי </w:t>
      </w:r>
      <w:r>
        <w:rPr>
          <w:rFonts w:hint="cs"/>
          <w:rtl/>
        </w:rPr>
        <w:t xml:space="preserve">לעמדתם, הקניית הנכסים לנאמן בענייננו נהנית מפטור ממסי שבח ורכישה, כאמור בסעיף 3 לחוק מיסוי מקרקעין שזו לשונו: </w:t>
      </w:r>
    </w:p>
    <w:p w:rsidR="003D1FBD" w:rsidRDefault="003D1FBD" w:rsidP="003D1FBD">
      <w:pPr>
        <w:pStyle w:val="Ruller40"/>
        <w:rPr>
          <w:rtl/>
        </w:rPr>
      </w:pPr>
    </w:p>
    <w:p w:rsidR="003D1FBD" w:rsidRDefault="003D1FBD" w:rsidP="003D1FBD">
      <w:pPr>
        <w:pStyle w:val="Ruller40"/>
        <w:spacing w:line="240" w:lineRule="auto"/>
        <w:ind w:left="1644" w:right="1276"/>
        <w:rPr>
          <w:rtl/>
        </w:rPr>
      </w:pPr>
      <w:r>
        <w:rPr>
          <w:rtl/>
        </w:rPr>
        <w:t>3.</w:t>
      </w:r>
      <w:r>
        <w:rPr>
          <w:rtl/>
        </w:rPr>
        <w:tab/>
      </w:r>
      <w:r w:rsidRPr="00F6638B">
        <w:rPr>
          <w:rFonts w:ascii="Century" w:hAnsi="Century"/>
          <w:rtl/>
        </w:rPr>
        <w:t xml:space="preserve">הקניית זכות במקרקעין או זכות באיגוד לנאמן, לאפוטרופוס, למפרק או לכונס נכסים מכוח פקודת פשיטת הרגל, 1936, פקודת החברות, פקודת האגודות השיתופיות, פקודת המסחר עם האויב, 1939, חוק נכסי נפקדים, תש"י-1950, או חוק נכסי גרמנים, תש"י-1950, או לחברה לאיתור ולהשבת נכסים של נספי השואה בע"מ או לאפוטרופוס הכללי מכוח חוק נכסים של נספי השואה (השבה ליורשים והקדשה למטרות סיוע והנצחה), התשס"ו-2006 – אינה "מכירת זכות במקרקעין" [...] </w:t>
      </w:r>
      <w:proofErr w:type="spellStart"/>
      <w:r w:rsidRPr="00F6638B">
        <w:rPr>
          <w:rFonts w:ascii="Century" w:hAnsi="Century"/>
          <w:rtl/>
        </w:rPr>
        <w:t>לענין</w:t>
      </w:r>
      <w:proofErr w:type="spellEnd"/>
      <w:r w:rsidRPr="00F6638B">
        <w:rPr>
          <w:rFonts w:ascii="Century" w:hAnsi="Century"/>
          <w:rtl/>
        </w:rPr>
        <w:t xml:space="preserve"> חוק זה; ובמכירת זכות במקרקעין [...] על ידי מי שהוקנתה לו כאמור, יחושב המס [...] כאילו נמכרה הזכות או נעשתה הפעולה על ידי מי שממנו הוקנתה. </w:t>
      </w:r>
    </w:p>
    <w:p w:rsidR="003D1FBD" w:rsidRPr="00F6638B" w:rsidRDefault="003D1FBD" w:rsidP="003D1FBD">
      <w:pPr>
        <w:pStyle w:val="Ruller40"/>
        <w:rPr>
          <w:rtl/>
        </w:rPr>
      </w:pPr>
    </w:p>
    <w:p w:rsidR="003D1FBD" w:rsidRDefault="003D1FBD" w:rsidP="003D1FBD">
      <w:pPr>
        <w:pStyle w:val="Ruller4"/>
        <w:rPr>
          <w:rtl/>
        </w:rPr>
      </w:pPr>
      <w:r>
        <w:rPr>
          <w:rFonts w:hint="cs"/>
          <w:rtl/>
        </w:rPr>
        <w:t>המשיב, מצדו,</w:t>
      </w:r>
      <w:r>
        <w:rPr>
          <w:rtl/>
        </w:rPr>
        <w:t xml:space="preserve"> דחה את טענת</w:t>
      </w:r>
      <w:r>
        <w:rPr>
          <w:rFonts w:hint="cs"/>
          <w:rtl/>
        </w:rPr>
        <w:t xml:space="preserve"> המבקשי</w:t>
      </w:r>
      <w:r>
        <w:rPr>
          <w:rtl/>
        </w:rPr>
        <w:t>ם ל</w:t>
      </w:r>
      <w:r>
        <w:rPr>
          <w:rFonts w:hint="cs"/>
          <w:rtl/>
        </w:rPr>
        <w:t>פטור לפי סעיף 3 לחוק מיסוי מקרקעין ו</w:t>
      </w:r>
      <w:r>
        <w:rPr>
          <w:rtl/>
        </w:rPr>
        <w:t>פירט את נימוקיו לקביעת שומה לפי מיטב השפיטה. ב</w:t>
      </w:r>
      <w:r>
        <w:rPr>
          <w:rFonts w:hint="cs"/>
          <w:rtl/>
        </w:rPr>
        <w:t xml:space="preserve">ין הנימוקים צוין </w:t>
      </w:r>
      <w:r>
        <w:rPr>
          <w:rtl/>
        </w:rPr>
        <w:t xml:space="preserve">כי "הנכדה אינה יודעת על כך שהנכסים הועברו אליה. אין מדובר בעסקה החוסה תחת סעיף 3 לחוק מיסוי מקרקעין, אלא מדובר במכירה של זכות במקרקעין לחברת הנאמנות, מכיוון שהבעלות בנכס משתנה". </w:t>
      </w:r>
    </w:p>
    <w:p w:rsidR="003D1FBD" w:rsidRDefault="003D1FBD" w:rsidP="003D1FBD">
      <w:pPr>
        <w:pStyle w:val="Ruller4"/>
        <w:numPr>
          <w:ilvl w:val="0"/>
          <w:numId w:val="0"/>
        </w:numPr>
      </w:pPr>
    </w:p>
    <w:p w:rsidR="003D1FBD" w:rsidRDefault="003D1FBD" w:rsidP="003D1FBD">
      <w:pPr>
        <w:pStyle w:val="Ruller4"/>
      </w:pPr>
      <w:r>
        <w:rPr>
          <w:rtl/>
        </w:rPr>
        <w:t>על החלטה זו ה</w:t>
      </w:r>
      <w:r>
        <w:rPr>
          <w:rFonts w:hint="cs"/>
          <w:rtl/>
        </w:rPr>
        <w:t xml:space="preserve">גישו המבקשים </w:t>
      </w:r>
      <w:r>
        <w:rPr>
          <w:rtl/>
        </w:rPr>
        <w:t xml:space="preserve">השגה, </w:t>
      </w:r>
      <w:r>
        <w:rPr>
          <w:rFonts w:hint="cs"/>
          <w:rtl/>
        </w:rPr>
        <w:t>ש</w:t>
      </w:r>
      <w:r>
        <w:rPr>
          <w:rtl/>
        </w:rPr>
        <w:t xml:space="preserve">נדחתה בהחלטת </w:t>
      </w:r>
      <w:r>
        <w:rPr>
          <w:rFonts w:hint="cs"/>
          <w:rtl/>
        </w:rPr>
        <w:t xml:space="preserve">המשיב </w:t>
      </w:r>
      <w:r>
        <w:rPr>
          <w:rtl/>
        </w:rPr>
        <w:t xml:space="preserve">מיום 18.5.2017 </w:t>
      </w:r>
      <w:r>
        <w:rPr>
          <w:rFonts w:hint="cs"/>
          <w:rtl/>
        </w:rPr>
        <w:t xml:space="preserve">אשר </w:t>
      </w:r>
      <w:r>
        <w:rPr>
          <w:rtl/>
        </w:rPr>
        <w:t xml:space="preserve">הותירה את השומות שנקבעו על כנן. ערר </w:t>
      </w:r>
      <w:r>
        <w:rPr>
          <w:rFonts w:hint="cs"/>
          <w:rtl/>
        </w:rPr>
        <w:t>שהגישו המבקשים על החלטה זו של המשיב התקבל על ידי בית המשפט המחוזי, ביושבו כ</w:t>
      </w:r>
      <w:r>
        <w:rPr>
          <w:rtl/>
        </w:rPr>
        <w:t xml:space="preserve">וועדת </w:t>
      </w:r>
      <w:r>
        <w:rPr>
          <w:rFonts w:hint="cs"/>
          <w:rtl/>
        </w:rPr>
        <w:t>ה</w:t>
      </w:r>
      <w:r>
        <w:rPr>
          <w:rtl/>
        </w:rPr>
        <w:t>ערר</w:t>
      </w:r>
      <w:r>
        <w:rPr>
          <w:rFonts w:hint="cs"/>
          <w:rtl/>
        </w:rPr>
        <w:t xml:space="preserve"> לפי חוק מיסוי מקרקעין, בפסק דין מ</w:t>
      </w:r>
      <w:r>
        <w:rPr>
          <w:rtl/>
        </w:rPr>
        <w:t>יום 24.7.2019.</w:t>
      </w:r>
      <w:r>
        <w:rPr>
          <w:rFonts w:hint="cs"/>
          <w:rtl/>
        </w:rPr>
        <w:t xml:space="preserve"> </w:t>
      </w:r>
    </w:p>
    <w:p w:rsidR="003D1FBD" w:rsidRDefault="003D1FBD" w:rsidP="003D1FBD">
      <w:pPr>
        <w:pStyle w:val="Ruller4"/>
        <w:numPr>
          <w:ilvl w:val="0"/>
          <w:numId w:val="0"/>
        </w:numPr>
        <w:rPr>
          <w:rtl/>
        </w:rPr>
      </w:pPr>
    </w:p>
    <w:p w:rsidR="003D1FBD" w:rsidRDefault="003D1FBD" w:rsidP="003D1FBD">
      <w:pPr>
        <w:pStyle w:val="Ruller4"/>
        <w:rPr>
          <w:rtl/>
        </w:rPr>
      </w:pPr>
      <w:r>
        <w:rPr>
          <w:rFonts w:hint="cs"/>
          <w:rtl/>
        </w:rPr>
        <w:t xml:space="preserve">ערעור שהגיש המשיב על פסק דינו של בית המשפט קמא התקבל, פה אחד, על ידי בית משפט זה (השופט </w:t>
      </w:r>
      <w:r w:rsidRPr="00050A10">
        <w:rPr>
          <w:rFonts w:ascii="Century" w:hAnsi="Century" w:cs="Miriam" w:hint="cs"/>
          <w:b/>
          <w:spacing w:val="0"/>
          <w:sz w:val="22"/>
          <w:szCs w:val="24"/>
          <w:rtl/>
        </w:rPr>
        <w:t>א' שטיין</w:t>
      </w:r>
      <w:r>
        <w:rPr>
          <w:rFonts w:hint="cs"/>
          <w:rtl/>
        </w:rPr>
        <w:t xml:space="preserve"> בהסכמת </w:t>
      </w:r>
      <w:r w:rsidRPr="00050A10">
        <w:rPr>
          <w:rFonts w:ascii="Century" w:hAnsi="Century" w:hint="cs"/>
          <w:sz w:val="22"/>
          <w:rtl/>
        </w:rPr>
        <w:t>המשנה לנשיאה (</w:t>
      </w:r>
      <w:proofErr w:type="spellStart"/>
      <w:r w:rsidRPr="00050A10">
        <w:rPr>
          <w:rFonts w:ascii="Century" w:hAnsi="Century" w:hint="cs"/>
          <w:sz w:val="22"/>
          <w:rtl/>
        </w:rPr>
        <w:t>בדימ</w:t>
      </w:r>
      <w:proofErr w:type="spellEnd"/>
      <w:r>
        <w:rPr>
          <w:rFonts w:ascii="Century" w:hAnsi="Century" w:hint="cs"/>
          <w:sz w:val="22"/>
          <w:rtl/>
        </w:rPr>
        <w:t>'</w:t>
      </w:r>
      <w:r w:rsidRPr="00050A10">
        <w:rPr>
          <w:rFonts w:ascii="Century" w:hAnsi="Century" w:hint="cs"/>
          <w:sz w:val="22"/>
          <w:rtl/>
        </w:rPr>
        <w:t>)</w:t>
      </w:r>
      <w:r w:rsidRPr="005701B1">
        <w:rPr>
          <w:rFonts w:ascii="Century" w:hAnsi="Century" w:cs="Miriam" w:hint="cs"/>
          <w:b/>
          <w:spacing w:val="0"/>
          <w:sz w:val="22"/>
          <w:szCs w:val="24"/>
          <w:rtl/>
        </w:rPr>
        <w:t xml:space="preserve"> הנדל</w:t>
      </w:r>
      <w:r>
        <w:rPr>
          <w:rFonts w:hint="cs"/>
          <w:rtl/>
        </w:rPr>
        <w:t xml:space="preserve"> והשופטת </w:t>
      </w:r>
      <w:r w:rsidRPr="005701B1">
        <w:rPr>
          <w:rFonts w:ascii="Century" w:hAnsi="Century" w:cs="Miriam" w:hint="cs"/>
          <w:b/>
          <w:spacing w:val="0"/>
          <w:sz w:val="22"/>
          <w:szCs w:val="24"/>
          <w:rtl/>
        </w:rPr>
        <w:t>י' וילנר</w:t>
      </w:r>
      <w:r>
        <w:rPr>
          <w:rFonts w:hint="cs"/>
          <w:rtl/>
        </w:rPr>
        <w:t>) ונקבע כ</w:t>
      </w:r>
      <w:r>
        <w:rPr>
          <w:rtl/>
        </w:rPr>
        <w:t xml:space="preserve">י הקניית הנכסים </w:t>
      </w:r>
      <w:r>
        <w:rPr>
          <w:rFonts w:hint="cs"/>
          <w:rtl/>
        </w:rPr>
        <w:t>בענייננו</w:t>
      </w:r>
      <w:r>
        <w:rPr>
          <w:rtl/>
        </w:rPr>
        <w:t xml:space="preserve"> </w:t>
      </w:r>
      <w:r>
        <w:rPr>
          <w:rFonts w:hint="cs"/>
          <w:rtl/>
        </w:rPr>
        <w:t xml:space="preserve">באה </w:t>
      </w:r>
      <w:r>
        <w:rPr>
          <w:rtl/>
        </w:rPr>
        <w:t xml:space="preserve">בגדר אירוע מס לעניינו של חוק מיסוי מקרקעין, </w:t>
      </w:r>
      <w:r>
        <w:rPr>
          <w:rFonts w:hint="cs"/>
          <w:rtl/>
        </w:rPr>
        <w:t>ומשכך חבים המבקשים</w:t>
      </w:r>
      <w:r>
        <w:rPr>
          <w:rtl/>
        </w:rPr>
        <w:t xml:space="preserve"> במס שבח ובמס רכישה. </w:t>
      </w:r>
    </w:p>
    <w:p w:rsidR="003D1FBD" w:rsidRPr="00985B19" w:rsidRDefault="003D1FBD" w:rsidP="003D1FBD">
      <w:pPr>
        <w:pStyle w:val="Ruller40"/>
        <w:rPr>
          <w:rtl/>
        </w:rPr>
      </w:pPr>
    </w:p>
    <w:p w:rsidR="003D1FBD" w:rsidRDefault="003D1FBD" w:rsidP="003D1FBD">
      <w:pPr>
        <w:pStyle w:val="Ruller4"/>
      </w:pPr>
      <w:r>
        <w:rPr>
          <w:rFonts w:ascii="Century" w:hAnsi="Century" w:hint="cs"/>
          <w:sz w:val="22"/>
          <w:rtl/>
        </w:rPr>
        <w:t xml:space="preserve">השופט </w:t>
      </w:r>
      <w:r w:rsidRPr="00985B19">
        <w:rPr>
          <w:rFonts w:ascii="Century" w:hAnsi="Century" w:cs="Miriam" w:hint="cs"/>
          <w:b/>
          <w:spacing w:val="0"/>
          <w:sz w:val="22"/>
          <w:szCs w:val="24"/>
          <w:rtl/>
        </w:rPr>
        <w:t>א' שטיין</w:t>
      </w:r>
      <w:r>
        <w:rPr>
          <w:rFonts w:ascii="Century" w:hAnsi="Century" w:hint="cs"/>
          <w:sz w:val="22"/>
          <w:rtl/>
        </w:rPr>
        <w:t xml:space="preserve">, שכתב את חוות הדעת העיקרית, עמד על מורכבותו של מוסד הנאמנות החוזית </w:t>
      </w:r>
      <w:r>
        <w:rPr>
          <w:rFonts w:ascii="Century" w:hAnsi="Century"/>
          <w:sz w:val="22"/>
          <w:rtl/>
        </w:rPr>
        <w:t>–</w:t>
      </w:r>
      <w:r>
        <w:rPr>
          <w:rFonts w:ascii="Century" w:hAnsi="Century" w:hint="cs"/>
          <w:sz w:val="22"/>
          <w:rtl/>
        </w:rPr>
        <w:t xml:space="preserve"> להבדיל מנאמנות מכוח חוק או מכוח כתב הקדש </w:t>
      </w:r>
      <w:r>
        <w:rPr>
          <w:rFonts w:ascii="Century" w:hAnsi="Century"/>
          <w:sz w:val="22"/>
          <w:rtl/>
        </w:rPr>
        <w:t>–</w:t>
      </w:r>
      <w:r>
        <w:rPr>
          <w:rFonts w:ascii="Century" w:hAnsi="Century" w:hint="cs"/>
          <w:sz w:val="22"/>
          <w:rtl/>
        </w:rPr>
        <w:t xml:space="preserve"> שמקורה בעובדה</w:t>
      </w:r>
      <w:r>
        <w:rPr>
          <w:rtl/>
        </w:rPr>
        <w:t xml:space="preserve"> </w:t>
      </w:r>
      <w:r>
        <w:rPr>
          <w:rFonts w:hint="cs"/>
          <w:rtl/>
        </w:rPr>
        <w:t xml:space="preserve">כי הצדדים להסכם הנאמנות יכולים לעצבו בכל דרך העולה על דעתם. </w:t>
      </w:r>
      <w:r>
        <w:rPr>
          <w:rtl/>
        </w:rPr>
        <w:t>מורכבות</w:t>
      </w:r>
      <w:r>
        <w:rPr>
          <w:rFonts w:hint="cs"/>
          <w:rtl/>
        </w:rPr>
        <w:t xml:space="preserve"> זו, כך צוין, </w:t>
      </w:r>
      <w:r>
        <w:rPr>
          <w:rtl/>
        </w:rPr>
        <w:t xml:space="preserve">כמו גם ההפרדה שיוצר </w:t>
      </w:r>
      <w:r>
        <w:rPr>
          <w:rFonts w:hint="cs"/>
          <w:rtl/>
        </w:rPr>
        <w:t xml:space="preserve">מוסד הנאמנות </w:t>
      </w:r>
      <w:r>
        <w:rPr>
          <w:rtl/>
        </w:rPr>
        <w:t xml:space="preserve">בין הבעלות הפורמלית בנכסי הנאמנות </w:t>
      </w:r>
      <w:r>
        <w:rPr>
          <w:rFonts w:hint="cs"/>
          <w:rtl/>
        </w:rPr>
        <w:t>ו</w:t>
      </w:r>
      <w:r>
        <w:rPr>
          <w:rtl/>
        </w:rPr>
        <w:t xml:space="preserve">בין הבעלות </w:t>
      </w:r>
      <w:proofErr w:type="spellStart"/>
      <w:r>
        <w:rPr>
          <w:rtl/>
        </w:rPr>
        <w:t>האמיתית</w:t>
      </w:r>
      <w:proofErr w:type="spellEnd"/>
      <w:r>
        <w:rPr>
          <w:rtl/>
        </w:rPr>
        <w:t xml:space="preserve"> בנכסי הנאמנות וההנאה מפירותיהם, הניחו תשתית משפטית לשימוש בנאמנות ככלי מרכזי לתכנון מס</w:t>
      </w:r>
      <w:r>
        <w:rPr>
          <w:rFonts w:hint="cs"/>
          <w:rtl/>
        </w:rPr>
        <w:t>, הן ביחס למתנות ולעיזבונות והן לגבי הכנסה וריווחי הון.</w:t>
      </w:r>
      <w:r>
        <w:rPr>
          <w:rtl/>
        </w:rPr>
        <w:t xml:space="preserve"> </w:t>
      </w:r>
      <w:r>
        <w:rPr>
          <w:rFonts w:hint="cs"/>
          <w:rtl/>
        </w:rPr>
        <w:t xml:space="preserve">על רקע זה נולד </w:t>
      </w:r>
      <w:r>
        <w:rPr>
          <w:rtl/>
        </w:rPr>
        <w:t>הצורך בהסדרה סטטוטורית של סוגיית מיסוי נאמנויות</w:t>
      </w:r>
      <w:r>
        <w:rPr>
          <w:rFonts w:hint="cs"/>
          <w:rtl/>
        </w:rPr>
        <w:t xml:space="preserve">, שעליה עמד בהרחבה השופט </w:t>
      </w:r>
      <w:r w:rsidRPr="00F6638B">
        <w:rPr>
          <w:rFonts w:ascii="Century" w:hAnsi="Century" w:cs="Miriam" w:hint="cs"/>
          <w:b/>
          <w:spacing w:val="0"/>
          <w:sz w:val="22"/>
          <w:szCs w:val="24"/>
          <w:rtl/>
        </w:rPr>
        <w:t>שטיין</w:t>
      </w:r>
      <w:r>
        <w:rPr>
          <w:rFonts w:hint="cs"/>
          <w:rtl/>
        </w:rPr>
        <w:t xml:space="preserve"> בחוות דעתו. </w:t>
      </w:r>
    </w:p>
    <w:p w:rsidR="003D1FBD" w:rsidRPr="003E62CD" w:rsidRDefault="003D1FBD" w:rsidP="003D1FBD">
      <w:pPr>
        <w:pStyle w:val="Ruller40"/>
        <w:rPr>
          <w:rFonts w:ascii="Miriam" w:hAnsi="Miriam" w:cs="Miriam"/>
          <w:sz w:val="10"/>
          <w:szCs w:val="14"/>
          <w:rtl/>
        </w:rPr>
      </w:pPr>
    </w:p>
    <w:p w:rsidR="003D1FBD" w:rsidRDefault="003D1FBD" w:rsidP="003D1FBD">
      <w:pPr>
        <w:pStyle w:val="Ruller4"/>
        <w:rPr>
          <w:rtl/>
        </w:rPr>
      </w:pPr>
      <w:r>
        <w:rPr>
          <w:rFonts w:hint="cs"/>
          <w:rtl/>
        </w:rPr>
        <w:t xml:space="preserve">השופט </w:t>
      </w:r>
      <w:r w:rsidRPr="003E62CD">
        <w:rPr>
          <w:rFonts w:ascii="Century" w:hAnsi="Century" w:cs="Miriam" w:hint="cs"/>
          <w:b/>
          <w:spacing w:val="0"/>
          <w:sz w:val="22"/>
          <w:szCs w:val="24"/>
          <w:rtl/>
        </w:rPr>
        <w:t>שטיין</w:t>
      </w:r>
      <w:r>
        <w:rPr>
          <w:rFonts w:hint="cs"/>
          <w:rtl/>
        </w:rPr>
        <w:t xml:space="preserve"> פירט את ההסדרים הקבועים ב</w:t>
      </w:r>
      <w:r>
        <w:rPr>
          <w:rtl/>
        </w:rPr>
        <w:t>חוק מיסוי מקרקעין</w:t>
      </w:r>
      <w:r>
        <w:rPr>
          <w:rFonts w:hint="cs"/>
          <w:rtl/>
        </w:rPr>
        <w:t>. צוין כי חוק זה</w:t>
      </w:r>
      <w:r>
        <w:rPr>
          <w:rtl/>
        </w:rPr>
        <w:t xml:space="preserve"> ממסה, בכפוף לחריגים נקודתיים, את הרווח ההוני אשר צומח מכל "מכירה" של זכויות במקרקעין או באיגוד מקרקעין</w:t>
      </w:r>
      <w:r>
        <w:rPr>
          <w:rFonts w:hint="cs"/>
          <w:rtl/>
        </w:rPr>
        <w:t xml:space="preserve">, כאשר המונח "מכירה" הוגדר באופן רחב </w:t>
      </w:r>
      <w:r>
        <w:rPr>
          <w:rtl/>
        </w:rPr>
        <w:t xml:space="preserve">בסעיף 1 לחוק. בהתאם להגדרה זו, </w:t>
      </w:r>
      <w:r>
        <w:rPr>
          <w:rFonts w:hint="cs"/>
          <w:rtl/>
        </w:rPr>
        <w:t xml:space="preserve">כך צוין, </w:t>
      </w:r>
      <w:r>
        <w:rPr>
          <w:rtl/>
        </w:rPr>
        <w:t>מוטל מס השבח באופן כוללני וגורף על פעולות המבוצעות בקשר עם זכויות במקרקעי</w:t>
      </w:r>
      <w:r>
        <w:rPr>
          <w:rFonts w:hint="cs"/>
          <w:rtl/>
        </w:rPr>
        <w:t xml:space="preserve">ן, וזאת במטרה לייצר </w:t>
      </w:r>
      <w:r>
        <w:rPr>
          <w:rtl/>
        </w:rPr>
        <w:t xml:space="preserve">בסיס מס רחב </w:t>
      </w:r>
      <w:r>
        <w:rPr>
          <w:rFonts w:hint="cs"/>
          <w:rtl/>
        </w:rPr>
        <w:t>ש</w:t>
      </w:r>
      <w:r>
        <w:rPr>
          <w:rtl/>
        </w:rPr>
        <w:t xml:space="preserve">באמצעותו ניתן </w:t>
      </w:r>
      <w:r>
        <w:rPr>
          <w:rFonts w:hint="cs"/>
          <w:rtl/>
        </w:rPr>
        <w:t>יהיה "</w:t>
      </w:r>
      <w:r>
        <w:rPr>
          <w:rtl/>
        </w:rPr>
        <w:t>לתפוס</w:t>
      </w:r>
      <w:r>
        <w:rPr>
          <w:rFonts w:hint="cs"/>
          <w:rtl/>
        </w:rPr>
        <w:t>"</w:t>
      </w:r>
      <w:r>
        <w:rPr>
          <w:rtl/>
        </w:rPr>
        <w:t xml:space="preserve"> העברות רבות של זכויות במקרקעין</w:t>
      </w:r>
      <w:r>
        <w:rPr>
          <w:rFonts w:hint="cs"/>
          <w:rtl/>
        </w:rPr>
        <w:t xml:space="preserve"> ה</w:t>
      </w:r>
      <w:r>
        <w:rPr>
          <w:rtl/>
        </w:rPr>
        <w:t xml:space="preserve">מהוות מכירה לפי מהותן הכלכלית. </w:t>
      </w:r>
      <w:r>
        <w:rPr>
          <w:rFonts w:hint="cs"/>
          <w:rtl/>
        </w:rPr>
        <w:t xml:space="preserve">באופן ספציפי, נקבע כי </w:t>
      </w:r>
      <w:r>
        <w:rPr>
          <w:rtl/>
        </w:rPr>
        <w:t>הקנייתו של נכס מקרקעין לידי נאמן, ואף חלוקתו מידי הנאמן לידי הנהנה, עולות כדי "מכירה" החייבת במס על פי חוק מיסוי מקרקעין</w:t>
      </w:r>
      <w:r>
        <w:rPr>
          <w:rFonts w:hint="cs"/>
          <w:rtl/>
        </w:rPr>
        <w:t>,</w:t>
      </w:r>
      <w:r>
        <w:rPr>
          <w:rtl/>
        </w:rPr>
        <w:t xml:space="preserve"> בהיותם, לכל הפחות, "הענקה של זכות להורות על הענקה", אם לא "הענקה או העברה" של זכות במקרקעין</w:t>
      </w:r>
      <w:r>
        <w:rPr>
          <w:rFonts w:hint="cs"/>
          <w:rtl/>
        </w:rPr>
        <w:t xml:space="preserve"> (סעיף 1 לחוק); ומשכך </w:t>
      </w:r>
      <w:r>
        <w:rPr>
          <w:rtl/>
        </w:rPr>
        <w:t xml:space="preserve">הקנייתו של נכס מקרקעין לנאמן וחלוקתו לידי נהנה הנאמנות – חבים במסי השבח והרכישה. </w:t>
      </w:r>
    </w:p>
    <w:p w:rsidR="003D1FBD" w:rsidRPr="008240F2" w:rsidRDefault="003D1FBD" w:rsidP="003D1FBD">
      <w:pPr>
        <w:pStyle w:val="Ruller40"/>
        <w:rPr>
          <w:sz w:val="12"/>
          <w:szCs w:val="18"/>
        </w:rPr>
      </w:pPr>
    </w:p>
    <w:p w:rsidR="003D1FBD" w:rsidRDefault="003D1FBD" w:rsidP="003D1FBD">
      <w:pPr>
        <w:pStyle w:val="Ruller4"/>
      </w:pPr>
      <w:r>
        <w:rPr>
          <w:rFonts w:hint="cs"/>
          <w:rtl/>
        </w:rPr>
        <w:t xml:space="preserve">השופט </w:t>
      </w:r>
      <w:r w:rsidRPr="00F6638B">
        <w:rPr>
          <w:rFonts w:ascii="Century" w:hAnsi="Century" w:cs="Miriam" w:hint="cs"/>
          <w:b/>
          <w:spacing w:val="0"/>
          <w:sz w:val="22"/>
          <w:szCs w:val="24"/>
          <w:rtl/>
        </w:rPr>
        <w:t>שטיין</w:t>
      </w:r>
      <w:r>
        <w:rPr>
          <w:rFonts w:hint="cs"/>
          <w:rtl/>
        </w:rPr>
        <w:t xml:space="preserve"> הוסיף והתייחס ל</w:t>
      </w:r>
      <w:r>
        <w:rPr>
          <w:rtl/>
        </w:rPr>
        <w:t>שני חריגים לכלל המיסוי</w:t>
      </w:r>
      <w:r>
        <w:rPr>
          <w:rFonts w:hint="cs"/>
          <w:rtl/>
        </w:rPr>
        <w:t xml:space="preserve"> שנקבעו בחוק מיסוי מקרקעין. החריג הראשון, נקבע בסעיף 3 (הנזכר לעיל) אשר מגדיר רשימה סגורה של חוקים שבמסגרתם נוצרים יחסי נאמנות </w:t>
      </w:r>
      <w:r w:rsidRPr="00050A10">
        <w:rPr>
          <w:rFonts w:ascii="Century" w:hAnsi="Century" w:cs="Miriam" w:hint="cs"/>
          <w:b/>
          <w:spacing w:val="0"/>
          <w:sz w:val="22"/>
          <w:szCs w:val="24"/>
          <w:rtl/>
        </w:rPr>
        <w:t>מכוח הדין</w:t>
      </w:r>
      <w:r>
        <w:rPr>
          <w:rFonts w:hint="cs"/>
          <w:rtl/>
        </w:rPr>
        <w:t xml:space="preserve">, להבדיל מיחסי נאמנות שמקורם </w:t>
      </w:r>
      <w:r w:rsidRPr="00050A10">
        <w:rPr>
          <w:rFonts w:ascii="Century" w:hAnsi="Century" w:cs="Miriam" w:hint="cs"/>
          <w:b/>
          <w:spacing w:val="0"/>
          <w:sz w:val="22"/>
          <w:szCs w:val="24"/>
          <w:rtl/>
        </w:rPr>
        <w:t>בהסכם</w:t>
      </w:r>
      <w:r>
        <w:rPr>
          <w:rFonts w:hint="cs"/>
          <w:rtl/>
        </w:rPr>
        <w:t xml:space="preserve">, כפי ענייננו. נקבע כי </w:t>
      </w:r>
      <w:r>
        <w:rPr>
          <w:rtl/>
        </w:rPr>
        <w:t>לפי לשון סעיף</w:t>
      </w:r>
      <w:r>
        <w:rPr>
          <w:rFonts w:hint="cs"/>
          <w:rtl/>
        </w:rPr>
        <w:t xml:space="preserve"> 3 ותכליתו, ובהתייחס ל</w:t>
      </w:r>
      <w:r>
        <w:rPr>
          <w:rtl/>
        </w:rPr>
        <w:t>הלכה העקבית שנפסקה בעניי</w:t>
      </w:r>
      <w:r>
        <w:rPr>
          <w:rFonts w:hint="cs"/>
          <w:rtl/>
        </w:rPr>
        <w:t>ן זה</w:t>
      </w:r>
      <w:r>
        <w:rPr>
          <w:rtl/>
        </w:rPr>
        <w:t xml:space="preserve">, פטור זה מוענק אך ורק לבעלי התפקידים הממונים מכוחו של אחד </w:t>
      </w:r>
      <w:r>
        <w:rPr>
          <w:rFonts w:hint="cs"/>
          <w:rtl/>
        </w:rPr>
        <w:t>מהחיקוקים</w:t>
      </w:r>
      <w:r>
        <w:rPr>
          <w:rtl/>
        </w:rPr>
        <w:t xml:space="preserve"> הנקובים בסעיף</w:t>
      </w:r>
      <w:r>
        <w:rPr>
          <w:rFonts w:hint="cs"/>
          <w:rtl/>
        </w:rPr>
        <w:t>. בהינתן שהקניית נכסי הנאמנות בענייננו לא נעשתה לפי אחד מחיקוקים אלו, נקבע כי סעיף הפטור אינו חל.</w:t>
      </w:r>
    </w:p>
    <w:p w:rsidR="003D1FBD" w:rsidRDefault="003D1FBD" w:rsidP="003D1FBD">
      <w:pPr>
        <w:pStyle w:val="Ruller4"/>
        <w:numPr>
          <w:ilvl w:val="0"/>
          <w:numId w:val="0"/>
        </w:numPr>
      </w:pPr>
      <w:r>
        <w:rPr>
          <w:rtl/>
        </w:rPr>
        <w:t xml:space="preserve"> </w:t>
      </w:r>
    </w:p>
    <w:p w:rsidR="003D1FBD" w:rsidRDefault="003D1FBD" w:rsidP="003D1FBD">
      <w:pPr>
        <w:pStyle w:val="Ruller4"/>
        <w:rPr>
          <w:rtl/>
        </w:rPr>
      </w:pPr>
      <w:r>
        <w:rPr>
          <w:rFonts w:hint="cs"/>
          <w:rtl/>
        </w:rPr>
        <w:t xml:space="preserve">החריג השני, עוגן בסעיף 69 לחוק מיסוי מקרקעין, אשר אינו מקנה פטור ממס למכירה המתבצעת במסגרת הקניית הזכות במקרקעין לידיו של הנאמן, אלא קובע פטור ממיסים אלו ביחס לחלוקת נכסי הנאמנות מידי הנאמן לנהנה </w:t>
      </w:r>
      <w:r>
        <w:rPr>
          <w:rtl/>
        </w:rPr>
        <w:t>–</w:t>
      </w:r>
      <w:r>
        <w:rPr>
          <w:rFonts w:hint="cs"/>
          <w:rtl/>
        </w:rPr>
        <w:t xml:space="preserve"> אם וככל שתתבצע</w:t>
      </w:r>
      <w:r>
        <w:rPr>
          <w:rtl/>
        </w:rPr>
        <w:t xml:space="preserve">. </w:t>
      </w:r>
      <w:r>
        <w:rPr>
          <w:rFonts w:hint="cs"/>
          <w:rtl/>
        </w:rPr>
        <w:t xml:space="preserve">צוין כי על פי לשונו הברורה של הסעיף וכן על פי ההלכה הנוהגת עמנו, תנאי מהותי להחלת הפטור הוא קיומו של נהנה נאמנות ספציפי, סופי ומיודע במועד הקניית נכס המקרקעין לנאמן. ואולם, בענייננו נקבע כי </w:t>
      </w:r>
      <w:r>
        <w:rPr>
          <w:rtl/>
        </w:rPr>
        <w:t xml:space="preserve">תנאים אלו לא התקיימו </w:t>
      </w:r>
      <w:r>
        <w:rPr>
          <w:rFonts w:hint="cs"/>
          <w:rtl/>
        </w:rPr>
        <w:t>בשים לב לכך</w:t>
      </w:r>
      <w:r>
        <w:rPr>
          <w:rtl/>
        </w:rPr>
        <w:t xml:space="preserve"> שפייג' אינה נהנית סופית ו</w:t>
      </w:r>
      <w:r>
        <w:rPr>
          <w:rFonts w:hint="cs"/>
          <w:rtl/>
        </w:rPr>
        <w:t xml:space="preserve">בהינתן שלא הייתה מודעת </w:t>
      </w:r>
      <w:r>
        <w:rPr>
          <w:rtl/>
        </w:rPr>
        <w:t xml:space="preserve">להיותה נהנית בנאמנות מלכתחילה. </w:t>
      </w:r>
    </w:p>
    <w:p w:rsidR="003D1FBD" w:rsidRDefault="003D1FBD" w:rsidP="003D1FBD">
      <w:pPr>
        <w:pStyle w:val="Ruller40"/>
        <w:rPr>
          <w:rtl/>
        </w:rPr>
      </w:pPr>
    </w:p>
    <w:p w:rsidR="003D1FBD" w:rsidRDefault="003D1FBD" w:rsidP="003D1FBD">
      <w:pPr>
        <w:pStyle w:val="Ruller4"/>
        <w:rPr>
          <w:rtl/>
        </w:rPr>
      </w:pPr>
      <w:r>
        <w:rPr>
          <w:rFonts w:hint="cs"/>
          <w:rtl/>
        </w:rPr>
        <w:t xml:space="preserve">בנוסף להסדר הספציפי של מיסוי נאמנויות מקרקעין, שנקבע כאמור בחוק מיסוי מקרקעין, הפנה השופט </w:t>
      </w:r>
      <w:r w:rsidRPr="00F6638B">
        <w:rPr>
          <w:rFonts w:ascii="Century" w:hAnsi="Century" w:cs="Miriam" w:hint="cs"/>
          <w:b/>
          <w:spacing w:val="0"/>
          <w:sz w:val="22"/>
          <w:szCs w:val="24"/>
          <w:rtl/>
        </w:rPr>
        <w:t>שטיין</w:t>
      </w:r>
      <w:r w:rsidRPr="00F6638B">
        <w:rPr>
          <w:rFonts w:hint="cs"/>
          <w:rtl/>
        </w:rPr>
        <w:t xml:space="preserve"> </w:t>
      </w:r>
      <w:r>
        <w:rPr>
          <w:rFonts w:hint="cs"/>
          <w:rtl/>
        </w:rPr>
        <w:t xml:space="preserve">להסדר הכללי שנקבע לעניין זה בפרק הנאמנויות בפקודת מס ההכנסה, ועמד על הרקע החקיקתי שהוביל לחקיקתו במסגרת תיקון 147 לפקודה. השופט </w:t>
      </w:r>
      <w:r w:rsidRPr="003E62CD">
        <w:rPr>
          <w:rFonts w:ascii="Century" w:hAnsi="Century" w:cs="Miriam" w:hint="cs"/>
          <w:b/>
          <w:spacing w:val="0"/>
          <w:sz w:val="22"/>
          <w:szCs w:val="24"/>
          <w:rtl/>
        </w:rPr>
        <w:t>שטיין</w:t>
      </w:r>
      <w:r>
        <w:rPr>
          <w:rFonts w:hint="cs"/>
          <w:rtl/>
        </w:rPr>
        <w:t xml:space="preserve"> ציין כי המבקשים ביקשו לסווג</w:t>
      </w:r>
      <w:r>
        <w:rPr>
          <w:rtl/>
        </w:rPr>
        <w:t xml:space="preserve"> את הנאמנות שהקימו כ"נאמנות נהנה תושב ישראל", </w:t>
      </w:r>
      <w:r>
        <w:rPr>
          <w:rFonts w:hint="cs"/>
          <w:rtl/>
        </w:rPr>
        <w:t xml:space="preserve">בהתאם לאמור </w:t>
      </w:r>
      <w:r>
        <w:rPr>
          <w:rtl/>
        </w:rPr>
        <w:t>בסעיף 75ז לפקודה</w:t>
      </w:r>
      <w:r>
        <w:rPr>
          <w:rFonts w:hint="cs"/>
          <w:rtl/>
        </w:rPr>
        <w:t>, שזו לשונו:</w:t>
      </w:r>
      <w:r>
        <w:rPr>
          <w:rtl/>
        </w:rPr>
        <w:t xml:space="preserve"> </w:t>
      </w:r>
    </w:p>
    <w:p w:rsidR="003D1FBD" w:rsidRDefault="003D1FBD" w:rsidP="003D1FBD">
      <w:pPr>
        <w:pStyle w:val="Ruller4"/>
        <w:numPr>
          <w:ilvl w:val="0"/>
          <w:numId w:val="0"/>
        </w:numPr>
        <w:rPr>
          <w:rtl/>
        </w:rPr>
      </w:pPr>
    </w:p>
    <w:p w:rsidR="003D1FBD" w:rsidRPr="0048071D" w:rsidRDefault="003D1FBD" w:rsidP="003D1FBD">
      <w:pPr>
        <w:pStyle w:val="Ruller5"/>
        <w:rPr>
          <w:rStyle w:val="default"/>
          <w:rFonts w:ascii="FrankRuehl" w:hAnsi="FrankRuehl" w:cs="FrankRuehl"/>
          <w:sz w:val="28"/>
          <w:szCs w:val="28"/>
          <w:rtl/>
        </w:rPr>
      </w:pPr>
      <w:r w:rsidRPr="0048071D">
        <w:rPr>
          <w:rStyle w:val="default"/>
          <w:rFonts w:ascii="FrankRuehl" w:hAnsi="FrankRuehl" w:cs="FrankRuehl" w:hint="cs"/>
          <w:sz w:val="28"/>
          <w:szCs w:val="28"/>
          <w:rtl/>
        </w:rPr>
        <w:t>75ז.</w:t>
      </w:r>
      <w:r w:rsidRPr="0048071D">
        <w:rPr>
          <w:rStyle w:val="default"/>
          <w:rFonts w:ascii="FrankRuehl" w:hAnsi="FrankRuehl" w:cs="FrankRuehl" w:hint="cs"/>
          <w:sz w:val="28"/>
          <w:szCs w:val="28"/>
          <w:rtl/>
        </w:rPr>
        <w:tab/>
      </w:r>
    </w:p>
    <w:p w:rsidR="003D1FBD" w:rsidRPr="00895AA7" w:rsidRDefault="003D1FBD" w:rsidP="003D1FBD">
      <w:pPr>
        <w:pStyle w:val="Ruller5"/>
        <w:rPr>
          <w:rStyle w:val="default"/>
          <w:rFonts w:ascii="FrankRuehl" w:hAnsi="FrankRuehl" w:cs="FrankRuehl"/>
          <w:sz w:val="22"/>
          <w:szCs w:val="22"/>
          <w:rtl/>
        </w:rPr>
      </w:pPr>
    </w:p>
    <w:p w:rsidR="003D1FBD" w:rsidRPr="0048071D" w:rsidRDefault="003D1FBD" w:rsidP="003D1FBD">
      <w:pPr>
        <w:pStyle w:val="Ruller5"/>
        <w:ind w:left="2154" w:hanging="510"/>
        <w:rPr>
          <w:rStyle w:val="default"/>
          <w:rFonts w:ascii="FrankRuehl" w:hAnsi="FrankRuehl" w:cs="FrankRuehl"/>
          <w:sz w:val="28"/>
          <w:szCs w:val="28"/>
          <w:rtl/>
        </w:rPr>
      </w:pPr>
      <w:r w:rsidRPr="0048071D">
        <w:rPr>
          <w:rStyle w:val="default"/>
          <w:rFonts w:ascii="FrankRuehl" w:hAnsi="FrankRuehl" w:cs="FrankRuehl" w:hint="cs"/>
          <w:sz w:val="28"/>
          <w:szCs w:val="28"/>
          <w:rtl/>
        </w:rPr>
        <w:t>(א)</w:t>
      </w:r>
      <w:r w:rsidRPr="0048071D">
        <w:rPr>
          <w:rStyle w:val="default"/>
          <w:rFonts w:ascii="FrankRuehl" w:hAnsi="FrankRuehl" w:cs="FrankRuehl" w:hint="cs"/>
          <w:sz w:val="28"/>
          <w:szCs w:val="28"/>
          <w:rtl/>
        </w:rPr>
        <w:tab/>
        <w:t>(1)</w:t>
      </w:r>
      <w:r w:rsidRPr="0048071D">
        <w:rPr>
          <w:rStyle w:val="default"/>
          <w:rFonts w:ascii="FrankRuehl" w:hAnsi="FrankRuehl" w:cs="FrankRuehl" w:hint="cs"/>
          <w:sz w:val="28"/>
          <w:szCs w:val="28"/>
          <w:rtl/>
        </w:rPr>
        <w:tab/>
        <w:t>נאמנות תושבי ישראל היא נאמנות שבמועד יצירתה יוצר אחד לפחות ונהנה אחד לפחות בה היו תושבי ישראל, ובשנת המס היה יוצר אחד או נהנה אחד לפחות בה תושב ישראל, וכן נאמנות שכל יוצריה נפטרו ובשנת המס נהנה אחד לפחות בה הוא תושב ישראל.</w:t>
      </w:r>
    </w:p>
    <w:p w:rsidR="003D1FBD" w:rsidRPr="00895AA7" w:rsidRDefault="003D1FBD" w:rsidP="003D1FBD">
      <w:pPr>
        <w:pStyle w:val="Ruller5"/>
        <w:rPr>
          <w:rFonts w:ascii="FrankRuehl" w:hAnsi="FrankRuehl"/>
          <w:szCs w:val="22"/>
          <w:rtl/>
        </w:rPr>
      </w:pPr>
    </w:p>
    <w:p w:rsidR="003D1FBD" w:rsidRPr="0048071D" w:rsidRDefault="003D1FBD" w:rsidP="003D1FBD">
      <w:pPr>
        <w:pStyle w:val="Ruller5"/>
        <w:ind w:left="2154"/>
        <w:rPr>
          <w:rStyle w:val="default"/>
          <w:rFonts w:ascii="FrankRuehl" w:hAnsi="FrankRuehl" w:cs="FrankRuehl"/>
          <w:sz w:val="28"/>
          <w:szCs w:val="28"/>
          <w:rtl/>
        </w:rPr>
      </w:pPr>
      <w:r w:rsidRPr="0048071D">
        <w:rPr>
          <w:rStyle w:val="default"/>
          <w:rFonts w:ascii="FrankRuehl" w:hAnsi="FrankRuehl" w:cs="FrankRuehl" w:hint="cs"/>
          <w:sz w:val="28"/>
          <w:szCs w:val="28"/>
          <w:rtl/>
        </w:rPr>
        <w:t>(2)</w:t>
      </w:r>
      <w:r w:rsidRPr="0048071D">
        <w:rPr>
          <w:rStyle w:val="default"/>
          <w:rFonts w:ascii="FrankRuehl" w:hAnsi="FrankRuehl" w:cs="FrankRuehl" w:hint="cs"/>
          <w:sz w:val="28"/>
          <w:szCs w:val="28"/>
          <w:rtl/>
        </w:rPr>
        <w:tab/>
        <w:t>יראו כנאמנות תושבי ישראל גם נאמנות שאינה נאמנות תושבי חוץ, אינה נאמנות נהנה תושב חוץ ואינה נאמנות קרובים.</w:t>
      </w:r>
    </w:p>
    <w:p w:rsidR="003D1FBD" w:rsidRPr="00895AA7" w:rsidRDefault="003D1FBD" w:rsidP="003D1FBD">
      <w:pPr>
        <w:pStyle w:val="Ruller5"/>
        <w:rPr>
          <w:rFonts w:ascii="FrankRuehl" w:hAnsi="FrankRuehl"/>
          <w:szCs w:val="22"/>
          <w:rtl/>
        </w:rPr>
      </w:pPr>
    </w:p>
    <w:p w:rsidR="003D1FBD" w:rsidRPr="0048071D" w:rsidRDefault="003D1FBD" w:rsidP="003D1FBD">
      <w:pPr>
        <w:pStyle w:val="Ruller5"/>
        <w:ind w:left="2154"/>
        <w:rPr>
          <w:rStyle w:val="default"/>
          <w:rFonts w:ascii="FrankRuehl" w:hAnsi="FrankRuehl" w:cs="FrankRuehl"/>
          <w:sz w:val="28"/>
          <w:szCs w:val="28"/>
          <w:rtl/>
        </w:rPr>
      </w:pPr>
      <w:r w:rsidRPr="0048071D">
        <w:rPr>
          <w:rStyle w:val="default"/>
          <w:rFonts w:ascii="FrankRuehl" w:hAnsi="FrankRuehl" w:cs="FrankRuehl" w:hint="cs"/>
          <w:sz w:val="28"/>
          <w:szCs w:val="28"/>
          <w:rtl/>
        </w:rPr>
        <w:t>(3)</w:t>
      </w:r>
      <w:r w:rsidRPr="0048071D">
        <w:rPr>
          <w:rStyle w:val="default"/>
          <w:rFonts w:ascii="FrankRuehl" w:hAnsi="FrankRuehl" w:cs="FrankRuehl" w:hint="cs"/>
          <w:sz w:val="28"/>
          <w:szCs w:val="28"/>
          <w:rtl/>
        </w:rPr>
        <w:tab/>
        <w:t>על אף האמור בפסקאות (1) ו-(2), לא יראו נאמנות לפי צוואה כנאמנות תושבי ישראל.</w:t>
      </w:r>
    </w:p>
    <w:p w:rsidR="003D1FBD" w:rsidRPr="00895AA7" w:rsidRDefault="003D1FBD" w:rsidP="003D1FBD">
      <w:pPr>
        <w:pStyle w:val="Ruller5"/>
        <w:rPr>
          <w:rFonts w:ascii="FrankRuehl" w:hAnsi="FrankRuehl"/>
          <w:szCs w:val="22"/>
          <w:rtl/>
        </w:rPr>
      </w:pPr>
    </w:p>
    <w:p w:rsidR="003D1FBD" w:rsidRPr="0048071D" w:rsidRDefault="003D1FBD" w:rsidP="003D1FBD">
      <w:pPr>
        <w:pStyle w:val="Ruller5"/>
        <w:ind w:left="2154"/>
        <w:rPr>
          <w:rStyle w:val="default"/>
          <w:rFonts w:ascii="FrankRuehl" w:hAnsi="FrankRuehl" w:cs="FrankRuehl"/>
          <w:sz w:val="28"/>
          <w:szCs w:val="28"/>
          <w:rtl/>
        </w:rPr>
      </w:pPr>
      <w:r w:rsidRPr="0048071D">
        <w:rPr>
          <w:rStyle w:val="default"/>
          <w:rFonts w:ascii="FrankRuehl" w:hAnsi="FrankRuehl" w:cs="FrankRuehl" w:hint="cs"/>
          <w:sz w:val="28"/>
          <w:szCs w:val="28"/>
          <w:rtl/>
        </w:rPr>
        <w:t>(4)</w:t>
      </w:r>
      <w:r w:rsidRPr="0048071D">
        <w:rPr>
          <w:rStyle w:val="default"/>
          <w:rFonts w:ascii="FrankRuehl" w:hAnsi="FrankRuehl" w:cs="FrankRuehl" w:hint="cs"/>
          <w:sz w:val="28"/>
          <w:szCs w:val="28"/>
          <w:rtl/>
        </w:rPr>
        <w:tab/>
        <w:t>נאמנות תיחשב כנאמנות תושבי ישראל בין אם היא נאמנות הדירה ובין אם היא נאמנות בלתי הדירה.</w:t>
      </w:r>
    </w:p>
    <w:p w:rsidR="003D1FBD" w:rsidRPr="00895AA7" w:rsidRDefault="003D1FBD" w:rsidP="003D1FBD">
      <w:pPr>
        <w:pStyle w:val="Ruller5"/>
        <w:rPr>
          <w:rStyle w:val="default"/>
          <w:rFonts w:ascii="FrankRuehl" w:hAnsi="FrankRuehl" w:cs="FrankRuehl"/>
          <w:sz w:val="22"/>
          <w:szCs w:val="22"/>
          <w:rtl/>
        </w:rPr>
      </w:pPr>
    </w:p>
    <w:p w:rsidR="003D1FBD" w:rsidRPr="0048071D" w:rsidRDefault="003D1FBD" w:rsidP="003D1FBD">
      <w:pPr>
        <w:pStyle w:val="Ruller5"/>
        <w:ind w:firstLine="510"/>
        <w:rPr>
          <w:rStyle w:val="default"/>
          <w:rFonts w:ascii="FrankRuehl" w:hAnsi="FrankRuehl" w:cs="FrankRuehl"/>
          <w:sz w:val="28"/>
          <w:szCs w:val="28"/>
          <w:rtl/>
        </w:rPr>
      </w:pPr>
      <w:r w:rsidRPr="0048071D">
        <w:rPr>
          <w:rStyle w:val="default"/>
          <w:rFonts w:ascii="FrankRuehl" w:hAnsi="FrankRuehl" w:cs="FrankRuehl" w:hint="cs"/>
          <w:sz w:val="28"/>
          <w:szCs w:val="28"/>
          <w:rtl/>
        </w:rPr>
        <w:t xml:space="preserve"> [...]</w:t>
      </w:r>
    </w:p>
    <w:p w:rsidR="003D1FBD" w:rsidRPr="00895AA7" w:rsidRDefault="003D1FBD" w:rsidP="003D1FBD">
      <w:pPr>
        <w:pStyle w:val="Ruller5"/>
        <w:rPr>
          <w:rStyle w:val="default"/>
          <w:rFonts w:ascii="FrankRuehl" w:hAnsi="FrankRuehl" w:cs="FrankRuehl"/>
          <w:sz w:val="22"/>
          <w:szCs w:val="22"/>
          <w:rtl/>
        </w:rPr>
      </w:pPr>
    </w:p>
    <w:p w:rsidR="003D1FBD" w:rsidRDefault="003D1FBD" w:rsidP="003D1FBD">
      <w:pPr>
        <w:pStyle w:val="Ruller5"/>
        <w:ind w:left="2154" w:hanging="510"/>
        <w:rPr>
          <w:sz w:val="24"/>
          <w:szCs w:val="32"/>
          <w:rtl/>
        </w:rPr>
      </w:pPr>
      <w:r w:rsidRPr="0048071D">
        <w:rPr>
          <w:rStyle w:val="default"/>
          <w:rFonts w:ascii="FrankRuehl" w:hAnsi="FrankRuehl" w:cs="FrankRuehl" w:hint="cs"/>
          <w:sz w:val="28"/>
          <w:szCs w:val="28"/>
          <w:rtl/>
        </w:rPr>
        <w:t>(ד)</w:t>
      </w:r>
      <w:r>
        <w:rPr>
          <w:rStyle w:val="default"/>
          <w:rFonts w:ascii="FrankRuehl" w:hAnsi="FrankRuehl" w:hint="cs"/>
          <w:sz w:val="28"/>
          <w:rtl/>
        </w:rPr>
        <w:tab/>
      </w:r>
      <w:r>
        <w:rPr>
          <w:rFonts w:ascii="Century" w:hAnsi="Century" w:cs="Miriam"/>
          <w:b/>
          <w:spacing w:val="0"/>
          <w:szCs w:val="24"/>
          <w:rtl/>
        </w:rPr>
        <w:t xml:space="preserve">הקניה לנאמן בנאמנות תושבי ישראל על ידי יחיד, שנעשתה בלא תמורה, </w:t>
      </w:r>
      <w:r w:rsidRPr="00D42815">
        <w:rPr>
          <w:rFonts w:ascii="Century" w:hAnsi="Century" w:cs="Miriam"/>
          <w:b/>
          <w:spacing w:val="0"/>
          <w:szCs w:val="24"/>
          <w:u w:val="single"/>
          <w:rtl/>
        </w:rPr>
        <w:t>לא תיחשב כמכירה</w:t>
      </w:r>
      <w:r>
        <w:rPr>
          <w:rStyle w:val="default"/>
          <w:rFonts w:ascii="Century" w:hAnsi="Century" w:cs="Miriam"/>
          <w:b/>
          <w:spacing w:val="0"/>
          <w:szCs w:val="24"/>
          <w:rtl/>
        </w:rPr>
        <w:t xml:space="preserve"> </w:t>
      </w:r>
      <w:proofErr w:type="spellStart"/>
      <w:r>
        <w:rPr>
          <w:rStyle w:val="default"/>
          <w:rFonts w:ascii="Century" w:hAnsi="Century" w:cs="Miriam"/>
          <w:b/>
          <w:spacing w:val="0"/>
          <w:szCs w:val="24"/>
          <w:rtl/>
        </w:rPr>
        <w:t>לענין</w:t>
      </w:r>
      <w:proofErr w:type="spellEnd"/>
      <w:r>
        <w:rPr>
          <w:rStyle w:val="default"/>
          <w:rFonts w:ascii="Century" w:hAnsi="Century" w:cs="Miriam"/>
          <w:b/>
          <w:spacing w:val="0"/>
          <w:szCs w:val="24"/>
          <w:rtl/>
        </w:rPr>
        <w:t xml:space="preserve"> הוראות חלק ה</w:t>
      </w:r>
      <w:r>
        <w:rPr>
          <w:rStyle w:val="default"/>
          <w:rFonts w:ascii="FrankRuehl" w:hAnsi="FrankRuehl" w:hint="cs"/>
          <w:sz w:val="28"/>
          <w:rtl/>
        </w:rPr>
        <w:t>.</w:t>
      </w:r>
    </w:p>
    <w:p w:rsidR="003D1FBD" w:rsidRPr="008240F2" w:rsidRDefault="003D1FBD" w:rsidP="003D1FBD">
      <w:pPr>
        <w:pStyle w:val="Ruller40"/>
        <w:rPr>
          <w:sz w:val="12"/>
          <w:szCs w:val="18"/>
          <w:rtl/>
        </w:rPr>
      </w:pPr>
    </w:p>
    <w:p w:rsidR="003D1FBD" w:rsidRDefault="003D1FBD" w:rsidP="003D1FBD">
      <w:pPr>
        <w:pStyle w:val="Ruller4"/>
      </w:pPr>
      <w:r>
        <w:rPr>
          <w:rFonts w:hint="cs"/>
          <w:rtl/>
        </w:rPr>
        <w:t xml:space="preserve">צוין כי המבקשים ביקשו להתמקד בתיבה "לא תיחשב במכירה" הקבועה בסיפא שבסעיף 75ז(ד) וטענו כי זו משקפת את עמדת המחוקק לפיה הקניית נכסי מקרקעין שבבעלות יוצרי נאמנות לידי נאמן, כפי שנעשה בענייננו, אינה בגדר אירוע מס הוני, הן לעניין הפקודה והן לעניינו של חוק מיסוי מקרקעין. בהקשר זה נטען כי המחוקק ביקש למנוע את סיווגה של הקניית נכס מקרקעין מיוצר הנאמנות לנאמן כאירוע מס במישור ההוני, ובשים לב לכך ששבח מקרקעין הוא מקרה פרטיקולרי של רווח הון, יש לראות גם אותו כפטור ממס כאשר עסקינן בהעברת זכות במקרקעין מיוצר הנאמנות לנאמן. </w:t>
      </w:r>
    </w:p>
    <w:p w:rsidR="003D1FBD" w:rsidRDefault="003D1FBD" w:rsidP="003D1FBD">
      <w:pPr>
        <w:pStyle w:val="Ruller4"/>
        <w:numPr>
          <w:ilvl w:val="0"/>
          <w:numId w:val="0"/>
        </w:numPr>
      </w:pPr>
    </w:p>
    <w:p w:rsidR="003D1FBD" w:rsidRPr="007452CF" w:rsidRDefault="003D1FBD" w:rsidP="003D1FBD">
      <w:pPr>
        <w:pStyle w:val="Ruller4"/>
      </w:pPr>
      <w:r>
        <w:rPr>
          <w:rFonts w:hint="cs"/>
          <w:rtl/>
        </w:rPr>
        <w:t>עמדה זו של המבקשים נדחתה על ידי בית המשפט. נקבע כי</w:t>
      </w:r>
      <w:r>
        <w:rPr>
          <w:rtl/>
        </w:rPr>
        <w:t xml:space="preserve"> </w:t>
      </w:r>
      <w:r>
        <w:rPr>
          <w:rFonts w:hint="cs"/>
          <w:rtl/>
        </w:rPr>
        <w:t xml:space="preserve">המבקשים עצמם הסכימו כי </w:t>
      </w:r>
      <w:proofErr w:type="spellStart"/>
      <w:r>
        <w:rPr>
          <w:rtl/>
        </w:rPr>
        <w:t>ההקנייה</w:t>
      </w:r>
      <w:proofErr w:type="spellEnd"/>
      <w:r>
        <w:rPr>
          <w:rtl/>
        </w:rPr>
        <w:t xml:space="preserve"> שביצעו לידי הנאמן עולה כדי "מכירה", כ</w:t>
      </w:r>
      <w:r>
        <w:rPr>
          <w:rFonts w:hint="cs"/>
          <w:rtl/>
        </w:rPr>
        <w:t>הגדרתה</w:t>
      </w:r>
      <w:r>
        <w:rPr>
          <w:rtl/>
        </w:rPr>
        <w:t xml:space="preserve"> בסעיף 1 לחוק מיסוי מקרקעין </w:t>
      </w:r>
      <w:r>
        <w:rPr>
          <w:rFonts w:hint="cs"/>
          <w:rtl/>
        </w:rPr>
        <w:t xml:space="preserve">ועל כן, </w:t>
      </w:r>
      <w:r>
        <w:rPr>
          <w:rtl/>
        </w:rPr>
        <w:t xml:space="preserve">בהיעדר הוראה חוקית המקנה פטור </w:t>
      </w:r>
      <w:proofErr w:type="spellStart"/>
      <w:r>
        <w:rPr>
          <w:rtl/>
        </w:rPr>
        <w:t>להקנייה</w:t>
      </w:r>
      <w:proofErr w:type="spellEnd"/>
      <w:r>
        <w:rPr>
          <w:rtl/>
        </w:rPr>
        <w:t xml:space="preserve"> שנעשתה, </w:t>
      </w:r>
      <w:r>
        <w:rPr>
          <w:rFonts w:hint="cs"/>
          <w:rtl/>
        </w:rPr>
        <w:t>יש לסווגה</w:t>
      </w:r>
      <w:r>
        <w:rPr>
          <w:rtl/>
        </w:rPr>
        <w:t xml:space="preserve"> כעסקה שבגינה יש לשלם את מיסי השבח והרכישה המוטלים מכוחם של חוק מיסוי מקרקעין ותקנות מיסוי מקרקעין.</w:t>
      </w:r>
      <w:r>
        <w:rPr>
          <w:rFonts w:hint="cs"/>
          <w:rtl/>
        </w:rPr>
        <w:t xml:space="preserve"> השופט </w:t>
      </w:r>
      <w:r w:rsidRPr="003E62CD">
        <w:rPr>
          <w:rFonts w:ascii="Century" w:hAnsi="Century" w:cs="Miriam" w:hint="cs"/>
          <w:b/>
          <w:spacing w:val="0"/>
          <w:sz w:val="22"/>
          <w:szCs w:val="24"/>
          <w:rtl/>
        </w:rPr>
        <w:t>שטיין</w:t>
      </w:r>
      <w:r>
        <w:rPr>
          <w:rFonts w:hint="cs"/>
          <w:rtl/>
        </w:rPr>
        <w:t xml:space="preserve"> הדגיש כי סעיף 75ז(ד) לפקודת מס הכנסה מורה כי ה</w:t>
      </w:r>
      <w:r w:rsidRPr="003E62CD">
        <w:rPr>
          <w:rStyle w:val="default"/>
          <w:rFonts w:ascii="FrankRuehl" w:hAnsi="FrankRuehl" w:cs="FrankRuehl" w:hint="cs"/>
          <w:sz w:val="28"/>
          <w:szCs w:val="28"/>
          <w:rtl/>
        </w:rPr>
        <w:t xml:space="preserve">קניה לנאמן לא תיחשב כמכירה </w:t>
      </w:r>
      <w:r w:rsidRPr="003E62CD">
        <w:rPr>
          <w:rStyle w:val="default"/>
          <w:rFonts w:ascii="Century" w:hAnsi="Century" w:cs="Miriam" w:hint="cs"/>
          <w:b/>
          <w:spacing w:val="0"/>
          <w:sz w:val="22"/>
          <w:szCs w:val="24"/>
          <w:rtl/>
        </w:rPr>
        <w:t>"</w:t>
      </w:r>
      <w:proofErr w:type="spellStart"/>
      <w:r w:rsidRPr="003E62CD">
        <w:rPr>
          <w:rStyle w:val="default"/>
          <w:rFonts w:ascii="Century" w:hAnsi="Century" w:cs="Miriam" w:hint="cs"/>
          <w:b/>
          <w:spacing w:val="0"/>
          <w:sz w:val="22"/>
          <w:szCs w:val="24"/>
          <w:rtl/>
        </w:rPr>
        <w:t>לענין</w:t>
      </w:r>
      <w:proofErr w:type="spellEnd"/>
      <w:r w:rsidRPr="003E62CD">
        <w:rPr>
          <w:rStyle w:val="default"/>
          <w:rFonts w:ascii="Century" w:hAnsi="Century" w:cs="Miriam" w:hint="cs"/>
          <w:b/>
          <w:spacing w:val="0"/>
          <w:sz w:val="22"/>
          <w:szCs w:val="24"/>
          <w:rtl/>
        </w:rPr>
        <w:t xml:space="preserve"> הוראות חלק ה</w:t>
      </w:r>
      <w:r w:rsidRPr="003E62CD">
        <w:rPr>
          <w:rStyle w:val="default"/>
          <w:rFonts w:ascii="FrankRuehl" w:hAnsi="FrankRuehl" w:cs="FrankRuehl" w:hint="cs"/>
          <w:sz w:val="28"/>
          <w:szCs w:val="28"/>
          <w:rtl/>
        </w:rPr>
        <w:t>"</w:t>
      </w:r>
      <w:r>
        <w:rPr>
          <w:rStyle w:val="default"/>
          <w:rFonts w:ascii="FrankRuehl" w:hAnsi="FrankRuehl" w:cs="FrankRuehl" w:hint="cs"/>
          <w:sz w:val="28"/>
          <w:szCs w:val="28"/>
          <w:rtl/>
        </w:rPr>
        <w:t xml:space="preserve">, </w:t>
      </w:r>
      <w:r w:rsidRPr="003E62CD">
        <w:rPr>
          <w:rStyle w:val="default"/>
          <w:rFonts w:ascii="FrankRuehl" w:hAnsi="FrankRuehl" w:cs="FrankRuehl" w:hint="cs"/>
          <w:sz w:val="28"/>
          <w:szCs w:val="28"/>
          <w:rtl/>
        </w:rPr>
        <w:t xml:space="preserve">וכי ההוראה </w:t>
      </w:r>
      <w:r>
        <w:rPr>
          <w:rtl/>
        </w:rPr>
        <w:t>הרלבנטית של חלק ה לפקודת מס הכנסה</w:t>
      </w:r>
      <w:r>
        <w:rPr>
          <w:rFonts w:hint="cs"/>
          <w:rtl/>
        </w:rPr>
        <w:t xml:space="preserve"> מצויה בסעיף 88 לפקודה, אשר מגדיר את רשימת הנכסים שעליהם יחול מס רווח הון. סעיף 88, כך צוין, מחריג במפורש מרשימת הנכסים שעליהם יחול מס רווח הון לפי הפקודה, "</w:t>
      </w:r>
      <w:r w:rsidRPr="003E62CD">
        <w:rPr>
          <w:rFonts w:ascii="Century" w:hAnsi="Century" w:cs="Miriam"/>
          <w:b/>
          <w:spacing w:val="0"/>
          <w:szCs w:val="24"/>
          <w:rtl/>
        </w:rPr>
        <w:t>זכויות במקרקעין וזכויות באיגוד כהגדרתן בחוק מיסוי מקרקעין, שעל מכירתם מוטל מס שבח או שהיה עשוי להיות מוטל אילולא הפטור לפי החוק האמור</w:t>
      </w:r>
      <w:r w:rsidRPr="003E62CD">
        <w:rPr>
          <w:rFonts w:ascii="Century" w:hAnsi="Century" w:cs="Miriam" w:hint="cs"/>
          <w:b/>
          <w:spacing w:val="0"/>
          <w:szCs w:val="24"/>
          <w:rtl/>
        </w:rPr>
        <w:t>"</w:t>
      </w:r>
      <w:r>
        <w:rPr>
          <w:rtl/>
        </w:rPr>
        <w:t xml:space="preserve"> </w:t>
      </w:r>
      <w:r w:rsidRPr="003E62CD">
        <w:rPr>
          <w:rFonts w:ascii="Century" w:hAnsi="Century" w:hint="cs"/>
          <w:rtl/>
        </w:rPr>
        <w:t>(סעיף 88(4) לפקודה)</w:t>
      </w:r>
      <w:r w:rsidRPr="003E62CD">
        <w:rPr>
          <w:rFonts w:ascii="Century" w:hAnsi="Century"/>
          <w:rtl/>
        </w:rPr>
        <w:t>.</w:t>
      </w:r>
      <w:r w:rsidRPr="003E62CD">
        <w:rPr>
          <w:rFonts w:ascii="Century" w:hAnsi="Century" w:hint="cs"/>
          <w:rtl/>
        </w:rPr>
        <w:t xml:space="preserve"> </w:t>
      </w:r>
    </w:p>
    <w:p w:rsidR="003D1FBD" w:rsidRPr="007452CF" w:rsidRDefault="003D1FBD" w:rsidP="003D1FBD">
      <w:pPr>
        <w:pStyle w:val="Ruller4"/>
        <w:numPr>
          <w:ilvl w:val="0"/>
          <w:numId w:val="0"/>
        </w:numPr>
      </w:pPr>
    </w:p>
    <w:p w:rsidR="003D1FBD" w:rsidRDefault="003D1FBD" w:rsidP="003D1FBD">
      <w:pPr>
        <w:pStyle w:val="Ruller4"/>
        <w:rPr>
          <w:rtl/>
        </w:rPr>
      </w:pPr>
      <w:r>
        <w:rPr>
          <w:rFonts w:ascii="Century" w:hAnsi="Century" w:hint="cs"/>
          <w:rtl/>
        </w:rPr>
        <w:t xml:space="preserve">על רקע האמור, קבע השופט </w:t>
      </w:r>
      <w:r w:rsidRPr="007452CF">
        <w:rPr>
          <w:rFonts w:ascii="Century" w:hAnsi="Century" w:cs="Miriam" w:hint="cs"/>
          <w:b/>
          <w:spacing w:val="0"/>
          <w:sz w:val="22"/>
          <w:szCs w:val="24"/>
          <w:rtl/>
        </w:rPr>
        <w:t>שטיין</w:t>
      </w:r>
      <w:r>
        <w:rPr>
          <w:rFonts w:ascii="Century" w:hAnsi="Century" w:hint="cs"/>
          <w:rtl/>
        </w:rPr>
        <w:t xml:space="preserve"> כי המחוקק החריג את כלל הזכויות בנכסי מקרקעין שמיסוי מכירותיהן מוסדר בחוק מיסוי מקרקעין מכלל הנכסים שעל מימושם חלות הוראותיו של חלק ה לפקודה. כפועל היוצא מכך, נכס מקרקעין שמכירתו לא תיחשב ל"מכירה" לעניין חלק ה לפקודה, הוא "נכס" כהגדרתו בסעיף 88 לפקודה, שאינו כולל את מכלול הזכויות במקרקעין בהן מטפל חוק מיסוי מקרקעין כאשר אחת מזכויות אלו מועברת מאדם אחד לאחר ובמקרים אלו, כך נקבע, הוראותיו של סעיף 75ז(ד) לפקודה לא יחולו (פסקה 63 לחוות דעתו של השופט </w:t>
      </w:r>
      <w:r w:rsidRPr="004D2DD0">
        <w:rPr>
          <w:rFonts w:ascii="Century" w:hAnsi="Century" w:cs="Miriam" w:hint="cs"/>
          <w:b/>
          <w:spacing w:val="0"/>
          <w:sz w:val="22"/>
          <w:szCs w:val="24"/>
          <w:rtl/>
        </w:rPr>
        <w:t>שטיין</w:t>
      </w:r>
      <w:r>
        <w:rPr>
          <w:rFonts w:ascii="Century" w:hAnsi="Century" w:hint="cs"/>
          <w:rtl/>
        </w:rPr>
        <w:t xml:space="preserve">). השופט </w:t>
      </w:r>
      <w:r w:rsidRPr="007452CF">
        <w:rPr>
          <w:rFonts w:ascii="Century" w:hAnsi="Century" w:cs="Miriam" w:hint="cs"/>
          <w:b/>
          <w:spacing w:val="0"/>
          <w:sz w:val="22"/>
          <w:szCs w:val="24"/>
          <w:rtl/>
        </w:rPr>
        <w:t>שטיין</w:t>
      </w:r>
      <w:r>
        <w:rPr>
          <w:rFonts w:ascii="Century" w:hAnsi="Century" w:hint="cs"/>
          <w:rtl/>
        </w:rPr>
        <w:t xml:space="preserve"> הוסיף וציין כי מסקנה זו מתבקשת בשים לב לעמדת המחוקק, כפי שהשתקפה לאורך השנים, ולפיה קיימת חלוקה ברורה בין </w:t>
      </w:r>
      <w:r>
        <w:rPr>
          <w:rtl/>
        </w:rPr>
        <w:t>ההוראות אשר קובעות את מיסוי השבח בחוק מיסוי מקרקעין לבין אלו אשר מסדירות את מיסוי יתרת רווחי ההון – על סוגיהם השונים – תחת הוראות חלק ה שבפקודת מס הכנסה</w:t>
      </w:r>
      <w:r>
        <w:rPr>
          <w:rFonts w:hint="cs"/>
          <w:rtl/>
        </w:rPr>
        <w:t xml:space="preserve">. לבסוף, ובהסתמך בין היתר גם על הוראותיו של חוזר מס הכנסה 3/2016 "מיסוי נאמנויות" (9.8.2016) (להלן: </w:t>
      </w:r>
      <w:r w:rsidRPr="00BB0EDB">
        <w:rPr>
          <w:rFonts w:ascii="Century" w:hAnsi="Century" w:cs="Miriam" w:hint="cs"/>
          <w:b/>
          <w:spacing w:val="0"/>
          <w:sz w:val="22"/>
          <w:szCs w:val="24"/>
          <w:rtl/>
        </w:rPr>
        <w:t>חוזר מס הכנסה 3/2016</w:t>
      </w:r>
      <w:r>
        <w:rPr>
          <w:rFonts w:hint="cs"/>
          <w:rtl/>
        </w:rPr>
        <w:t xml:space="preserve">) נקבע כי הוראות פרק הנאמנויות שבפקודת מס הכנסה אינן חלות על הקנייה לנאמן נושא דיוננו ולפיכך, יש לקבל את הערעור, לבטל את פסק דינו של בית המשפט קמא ולהורות כי השומות שהוציא המשיב למבקשים יעמדו על כנן. </w:t>
      </w:r>
    </w:p>
    <w:p w:rsidR="003D1FBD" w:rsidRDefault="003D1FBD" w:rsidP="003D1FBD">
      <w:pPr>
        <w:pStyle w:val="Ruller40"/>
        <w:rPr>
          <w:rtl/>
        </w:rPr>
      </w:pPr>
    </w:p>
    <w:p w:rsidR="003D1FBD" w:rsidRDefault="003D1FBD" w:rsidP="003D1FBD">
      <w:pPr>
        <w:pStyle w:val="Ruller40"/>
        <w:rPr>
          <w:rFonts w:ascii="Century" w:hAnsi="Century" w:cs="Miriam"/>
          <w:b/>
          <w:spacing w:val="0"/>
          <w:szCs w:val="24"/>
          <w:rtl/>
        </w:rPr>
      </w:pPr>
      <w:r w:rsidRPr="00530B92">
        <w:rPr>
          <w:rFonts w:ascii="Century" w:hAnsi="Century" w:cs="Miriam" w:hint="cs"/>
          <w:b/>
          <w:spacing w:val="0"/>
          <w:szCs w:val="24"/>
          <w:rtl/>
        </w:rPr>
        <w:t>הבקשה לדיון נוסף</w:t>
      </w:r>
    </w:p>
    <w:p w:rsidR="003D1FBD" w:rsidRPr="00530B92" w:rsidRDefault="003D1FBD" w:rsidP="003D1FBD">
      <w:pPr>
        <w:pStyle w:val="Ruller40"/>
        <w:rPr>
          <w:rFonts w:ascii="Century" w:hAnsi="Century" w:cs="Miriam"/>
          <w:b/>
          <w:spacing w:val="0"/>
          <w:szCs w:val="24"/>
          <w:rtl/>
        </w:rPr>
      </w:pPr>
    </w:p>
    <w:p w:rsidR="003D1FBD" w:rsidRDefault="003D1FBD" w:rsidP="003D1FBD">
      <w:pPr>
        <w:pStyle w:val="Ruller4"/>
        <w:rPr>
          <w:rtl/>
        </w:rPr>
      </w:pPr>
      <w:r>
        <w:rPr>
          <w:rFonts w:hint="cs"/>
          <w:rtl/>
        </w:rPr>
        <w:t xml:space="preserve">על פסק דין זה הגישו המבקשים את הבקשה שלפניי, בה הם טוענים כי בפסק הדין נקבעה הלכה קשה וחשובה אשר מוצדק לקיים בה דיון נוסף בהרכב מורחב של שופטים. בתמצית, המבקשים מציינים כי לפי הקבוע בפרק הנאמנויות שבפקודה, אירוע מס בעת הקנייה של נכס לנאמנות נדחה לאירוע החלוקה לנהנה או לאירוע מכירת הנכס על ידי הנאמן. ואולם, לעמדתם, בניגוד לאמור בפקודה, ההלכה החדשה שנקבעה בפסק הדין מורה כי הקניית מקרקעין לנאמנות חייבת במס שבח אף שאין חולק כי מס שבח הוא מקרה פרטי של מס רווחי הון. כמו כן נטען כי בפסק הדין נקבע כי נאמנות שעליה חולש פרק הנאמנויות בפקודה, לא תיחשב כנאמנות לצורך חוק מיסוי מקרקעין וקביעה זו, לא זו בלבד שאין לה על מה לסמוך, יש בה משום פגיעה בעיקרון הניטרליות שדיני המס מבקשים להשיג. המבקשים מוסיפים כי הקביעות שבפסק הדין מוקשות גם מהטעם שהן מצמצמות את השימוש בנאמנות כאמצעי יעיל ומשוכלל להעברה בין-דורית במקום הכלי המסורתי להעברה באמצעות צוואה. כמו כן הם טוענים כי פסק הדין משווה לנאמן מעמד של בעלים בנכס המוקנה, הגם שמבחינה מהותית הוא אינו הבעלים משום שאין לו כל אפשרות למכור את הנכס שלא לפי הסכם הנאמנות וודאי שלא לשלשל לכיסו את תמורת המכירה. לבסוף טוענים המבקשים כי בית המשפט העניק להוראות הדין הרלבנטיות בענייננו פרשנות דווקנית ושגויה. בהקשר זה נטען כי בית המשפט התעלם מהעובדה שאין בחוק מיסוי מקרקעין הסדר להקניה רצונית של נכס מקרקעין בנאמנות, ובהיעדר התייחסות לשונית מפורשת כאמור, היה מקום לפרש את פרק הנאמנויות שבפקודה, אשר חל על הקניית נכסים לנאמנות, באופן שבו דחיית אירוע המס בעת הקניית הנכס לנאמנות תושבי ישראל תחול גם על מס שבח ומס רכישה.     </w:t>
      </w:r>
    </w:p>
    <w:p w:rsidR="003D1FBD" w:rsidRPr="000368BF" w:rsidRDefault="003D1FBD" w:rsidP="003D1FBD">
      <w:pPr>
        <w:pStyle w:val="Ruller40"/>
      </w:pPr>
    </w:p>
    <w:p w:rsidR="003D1FBD" w:rsidRDefault="003D1FBD" w:rsidP="003D1FBD">
      <w:pPr>
        <w:pStyle w:val="Ruller4"/>
        <w:rPr>
          <w:rtl/>
        </w:rPr>
      </w:pPr>
      <w:r>
        <w:rPr>
          <w:rFonts w:hint="cs"/>
          <w:rtl/>
        </w:rPr>
        <w:t xml:space="preserve">המשיב מצדו טוען כי דין הבקשה להידחות. לטענתו, פסק הדין מושתת כולו על יישום הוראות הדין כפי שפורשו בפסיקה קודמת של בית משפט זה ובקביעות אלו אין כל חידוש הלכה. לעמדת המשיב, דווקא הפרשנות שמבקשים להחיל המבקשים בענייננו נעדרת בסיס משפטי וזאת מתוך מטרה להשיג תוצאת מס נוחה מבחינתם. המשיב מצדד בקביעות שבפסק הדין וטוען כי יש לדחות את טענות המבקשים באשר לקשיים שכביכול נובעים ממנו. נטען, בין היתר, כי הוראות הדין יוצרות הבחנה ברורה בין חוק מיסוי מקרקעין שיחול ביחס להיבטים ההוניים של נאמנויות הנוגעות לזכויות במקרקעין ובין פרק הנאמנויות בפקודת מס הכנסה שיחול על ההיבטים </w:t>
      </w:r>
      <w:proofErr w:type="spellStart"/>
      <w:r>
        <w:rPr>
          <w:rFonts w:hint="cs"/>
          <w:rtl/>
        </w:rPr>
        <w:t>הפירותיים</w:t>
      </w:r>
      <w:proofErr w:type="spellEnd"/>
      <w:r>
        <w:rPr>
          <w:rFonts w:hint="cs"/>
          <w:rtl/>
        </w:rPr>
        <w:t xml:space="preserve">. כמו כן נטען כי אין מקום לטרוניית המבקשים לפיה פסק הדין משווה לנאמן מעמד של בעלים בנכס שכן בהתאם לדין הכללי נאמן יכול להחזיק בנכס באופן פורמלי בעוד שלצורך חוק מיסוי מקרקעין הוא ייחשב כמי שרכש את הזכויות במקרקעין מקום שבו העסקה אינה מקיימת את התנאים הדרושים על מנת שתחשב כרכישה בנאמנות לצורך החוק. </w:t>
      </w:r>
    </w:p>
    <w:p w:rsidR="00685577" w:rsidRPr="00685577" w:rsidRDefault="00685577" w:rsidP="00685577">
      <w:pPr>
        <w:pStyle w:val="Ruller40"/>
      </w:pPr>
    </w:p>
    <w:p w:rsidR="003D1FBD" w:rsidRDefault="003D1FBD" w:rsidP="00685577">
      <w:pPr>
        <w:pStyle w:val="Ruller4"/>
        <w:rPr>
          <w:rtl/>
        </w:rPr>
      </w:pPr>
      <w:r>
        <w:rPr>
          <w:rFonts w:hint="cs"/>
          <w:rtl/>
        </w:rPr>
        <w:t xml:space="preserve">לבסוף נטען כי תנאיו הבלתי שגרתיים של הסכם הנאמנות הם שהובילו לכך שהוא לא בא בקהלו של החריג הקבוע בסעיף 69 לחוק מיסוי מקרקעין. לעמדת המשיב אין מניעה שנישומים בעתיד יצרו נאמנות שבה יוגדרו נהנים סופיים </w:t>
      </w:r>
      <w:proofErr w:type="spellStart"/>
      <w:r>
        <w:rPr>
          <w:rFonts w:hint="cs"/>
          <w:rtl/>
        </w:rPr>
        <w:t>ויעודיים</w:t>
      </w:r>
      <w:proofErr w:type="spellEnd"/>
      <w:r>
        <w:rPr>
          <w:rFonts w:hint="cs"/>
          <w:rtl/>
        </w:rPr>
        <w:t xml:space="preserve">, שזהותם אינה ניתנת לשינוי ואשר מודעים מלכתחילה להיותם נהנים בנאמנות. במקרים אלו, בכפוף לעמידה </w:t>
      </w:r>
      <w:r w:rsidR="00685577">
        <w:rPr>
          <w:rFonts w:hint="cs"/>
          <w:rtl/>
        </w:rPr>
        <w:t>ב</w:t>
      </w:r>
      <w:r>
        <w:rPr>
          <w:rFonts w:hint="cs"/>
          <w:rtl/>
        </w:rPr>
        <w:t xml:space="preserve">יתר התנאים המהותיים והפרוצדורליים הקבועים בדין, תוכל הנאמנות להיכנס באופן עקרוני לגדרי הפטור הקבוע בסעיף 69 לחוק מיסוי מקרקעין, וזאת אף אם מדובר בנאמנות שחלות עליה במקביל הוראותיו של פרק הנאמנויות שבפקודה, כבענייננו.  </w:t>
      </w:r>
    </w:p>
    <w:p w:rsidR="003D1FBD" w:rsidRDefault="003D1FBD" w:rsidP="003D1FBD">
      <w:pPr>
        <w:pStyle w:val="Ruller40"/>
        <w:rPr>
          <w:rtl/>
        </w:rPr>
      </w:pPr>
    </w:p>
    <w:p w:rsidR="003D1FBD" w:rsidRDefault="003D1FBD" w:rsidP="003D1FBD">
      <w:pPr>
        <w:pStyle w:val="Ruller40"/>
        <w:rPr>
          <w:rFonts w:ascii="Century" w:hAnsi="Century" w:cs="Miriam"/>
          <w:b/>
          <w:spacing w:val="0"/>
          <w:szCs w:val="24"/>
          <w:rtl/>
        </w:rPr>
      </w:pPr>
      <w:r w:rsidRPr="00895AA7">
        <w:rPr>
          <w:rFonts w:ascii="Century" w:hAnsi="Century" w:cs="Miriam" w:hint="cs"/>
          <w:b/>
          <w:spacing w:val="0"/>
          <w:szCs w:val="24"/>
          <w:rtl/>
        </w:rPr>
        <w:t>דיון והכרעה</w:t>
      </w:r>
    </w:p>
    <w:p w:rsidR="003D1FBD" w:rsidRPr="00895AA7" w:rsidRDefault="003D1FBD" w:rsidP="003D1FBD">
      <w:pPr>
        <w:pStyle w:val="Ruller40"/>
        <w:rPr>
          <w:rFonts w:ascii="Century" w:hAnsi="Century" w:cs="Miriam"/>
          <w:b/>
          <w:spacing w:val="0"/>
          <w:szCs w:val="24"/>
        </w:rPr>
      </w:pPr>
    </w:p>
    <w:p w:rsidR="003D1FBD" w:rsidRPr="00CB661E" w:rsidRDefault="003D1FBD" w:rsidP="003D1FBD">
      <w:pPr>
        <w:pStyle w:val="Ruller4"/>
      </w:pPr>
      <w:r>
        <w:rPr>
          <w:rFonts w:hint="cs"/>
          <w:shd w:val="clear" w:color="auto" w:fill="FFFFFF"/>
          <w:rtl/>
        </w:rPr>
        <w:t xml:space="preserve">לאחר שעיינתי בפסק הדין ובטענות הצדדים הגעתי לכלל מסקנה כי דין הבקשה להידחות. </w:t>
      </w:r>
    </w:p>
    <w:p w:rsidR="003D1FBD" w:rsidRPr="00AA7B19" w:rsidRDefault="003D1FBD" w:rsidP="003D1FBD">
      <w:pPr>
        <w:pStyle w:val="Ruller4"/>
        <w:numPr>
          <w:ilvl w:val="0"/>
          <w:numId w:val="0"/>
        </w:numPr>
      </w:pPr>
      <w:bookmarkStart w:id="5" w:name="_GoBack"/>
    </w:p>
    <w:p w:rsidR="003D1FBD" w:rsidRPr="00AA7B19" w:rsidRDefault="003D1FBD" w:rsidP="0006747B">
      <w:pPr>
        <w:pStyle w:val="Ruller4"/>
        <w:rPr>
          <w:rtl/>
        </w:rPr>
      </w:pPr>
      <w:r w:rsidRPr="00AA7B19">
        <w:rPr>
          <w:rFonts w:hint="cs"/>
          <w:shd w:val="clear" w:color="auto" w:fill="FFFFFF"/>
          <w:rtl/>
        </w:rPr>
        <w:t xml:space="preserve">כפי שנפסק לא אחת </w:t>
      </w:r>
      <w:r w:rsidRPr="00AA7B19">
        <w:rPr>
          <w:shd w:val="clear" w:color="auto" w:fill="FFFFFF"/>
          <w:rtl/>
        </w:rPr>
        <w:t>הליך הדיון הנוסף הוא הליך נדיר שאותו יש לייחד למקרים חריגים ויוצאי דופן שבהם נפסקה הלכה העומדת בסתירה להלכה קודמת או שמפאת חשיבותה, קשיותה או חידושה מוצדק לקיים בה דיון נוסף (סעיף 30(ב) לחוק בתי המשפט [נוסח משולב], התשמ"ד-1984;</w:t>
      </w:r>
      <w:r w:rsidRPr="00AA7B19">
        <w:rPr>
          <w:rFonts w:hint="cs"/>
          <w:shd w:val="clear" w:color="auto" w:fill="FFFFFF"/>
          <w:rtl/>
        </w:rPr>
        <w:t xml:space="preserve"> דנ"א 5453/18 </w:t>
      </w:r>
      <w:r w:rsidRPr="00AA7B19">
        <w:rPr>
          <w:rFonts w:ascii="Century" w:hAnsi="Century" w:cs="Miriam" w:hint="cs"/>
          <w:b/>
          <w:spacing w:val="0"/>
          <w:sz w:val="22"/>
          <w:szCs w:val="24"/>
          <w:shd w:val="clear" w:color="auto" w:fill="FFFFFF"/>
          <w:rtl/>
        </w:rPr>
        <w:t>הראל נ' פקיד שומה גוש דן</w:t>
      </w:r>
      <w:r w:rsidRPr="00AA7B19">
        <w:rPr>
          <w:rFonts w:hint="cs"/>
          <w:shd w:val="clear" w:color="auto" w:fill="FFFFFF"/>
          <w:rtl/>
        </w:rPr>
        <w:t xml:space="preserve">, פסקה 4 (9.8.2018)). </w:t>
      </w:r>
      <w:r w:rsidR="0006747B" w:rsidRPr="00AA7B19">
        <w:rPr>
          <w:rFonts w:hint="cs"/>
          <w:shd w:val="clear" w:color="auto" w:fill="FFFFFF"/>
          <w:rtl/>
        </w:rPr>
        <w:t>עוד</w:t>
      </w:r>
      <w:r w:rsidRPr="00AA7B19">
        <w:rPr>
          <w:rFonts w:hint="cs"/>
          <w:shd w:val="clear" w:color="auto" w:fill="FFFFFF"/>
          <w:rtl/>
        </w:rPr>
        <w:t xml:space="preserve"> נפסק כי</w:t>
      </w:r>
      <w:r w:rsidRPr="00AA7B19">
        <w:rPr>
          <w:rFonts w:hint="cs"/>
          <w:rtl/>
        </w:rPr>
        <w:t xml:space="preserve"> </w:t>
      </w:r>
      <w:r w:rsidR="0006747B" w:rsidRPr="00AA7B19">
        <w:rPr>
          <w:rtl/>
        </w:rPr>
        <w:t>נדרש</w:t>
      </w:r>
      <w:r w:rsidRPr="00AA7B19">
        <w:rPr>
          <w:rtl/>
        </w:rPr>
        <w:t xml:space="preserve"> </w:t>
      </w:r>
      <w:r w:rsidR="0006747B" w:rsidRPr="00AA7B19">
        <w:rPr>
          <w:rFonts w:hint="cs"/>
          <w:rtl/>
        </w:rPr>
        <w:t>שה</w:t>
      </w:r>
      <w:r w:rsidRPr="00AA7B19">
        <w:rPr>
          <w:rtl/>
        </w:rPr>
        <w:t xml:space="preserve">הלכה </w:t>
      </w:r>
      <w:r w:rsidR="0006747B" w:rsidRPr="00AA7B19">
        <w:rPr>
          <w:rFonts w:hint="cs"/>
          <w:rtl/>
        </w:rPr>
        <w:t>שלגביה מתבקש דיון נוסף,</w:t>
      </w:r>
      <w:r w:rsidR="0006747B" w:rsidRPr="00AA7B19">
        <w:rPr>
          <w:rtl/>
        </w:rPr>
        <w:t xml:space="preserve"> </w:t>
      </w:r>
      <w:r w:rsidRPr="00AA7B19">
        <w:rPr>
          <w:rtl/>
        </w:rPr>
        <w:t xml:space="preserve">יש בה כדי לשנות באורח מהותי נורמות ששררו </w:t>
      </w:r>
      <w:r w:rsidR="0006747B" w:rsidRPr="00AA7B19">
        <w:rPr>
          <w:rFonts w:hint="cs"/>
          <w:rtl/>
        </w:rPr>
        <w:t>קודם לכן</w:t>
      </w:r>
      <w:r w:rsidRPr="00AA7B19">
        <w:rPr>
          <w:rtl/>
        </w:rPr>
        <w:t xml:space="preserve"> (דנ"א 3455/05 </w:t>
      </w:r>
      <w:r w:rsidRPr="00AA7B19">
        <w:rPr>
          <w:rFonts w:ascii="Miriam" w:hAnsi="Miriam" w:cs="Miriam"/>
          <w:szCs w:val="24"/>
          <w:rtl/>
        </w:rPr>
        <w:t>עטיה נ' שחר</w:t>
      </w:r>
      <w:r w:rsidRPr="00AA7B19">
        <w:rPr>
          <w:rtl/>
        </w:rPr>
        <w:t>, פסקה 6 (11.10.2005))</w:t>
      </w:r>
      <w:r w:rsidRPr="00AA7B19">
        <w:rPr>
          <w:rFonts w:hint="cs"/>
          <w:rtl/>
        </w:rPr>
        <w:t>.</w:t>
      </w:r>
    </w:p>
    <w:bookmarkEnd w:id="5"/>
    <w:p w:rsidR="003D1FBD" w:rsidRPr="00895AA7" w:rsidRDefault="003D1FBD" w:rsidP="003D1FBD">
      <w:pPr>
        <w:pStyle w:val="Ruller40"/>
        <w:rPr>
          <w:rtl/>
        </w:rPr>
      </w:pPr>
    </w:p>
    <w:p w:rsidR="003D1FBD" w:rsidRDefault="003D1FBD" w:rsidP="003D1FBD">
      <w:pPr>
        <w:pStyle w:val="Ruller4"/>
        <w:numPr>
          <w:ilvl w:val="0"/>
          <w:numId w:val="0"/>
        </w:numPr>
      </w:pPr>
      <w:r>
        <w:rPr>
          <w:rtl/>
        </w:rPr>
        <w:tab/>
      </w:r>
      <w:r>
        <w:rPr>
          <w:rFonts w:hint="cs"/>
          <w:rtl/>
        </w:rPr>
        <w:t>אין זה המקרה שלפנינו.</w:t>
      </w:r>
    </w:p>
    <w:p w:rsidR="003D1FBD" w:rsidRDefault="003D1FBD" w:rsidP="003D1FBD">
      <w:pPr>
        <w:pStyle w:val="Ruller4"/>
        <w:numPr>
          <w:ilvl w:val="0"/>
          <w:numId w:val="0"/>
        </w:numPr>
      </w:pPr>
      <w:r>
        <w:rPr>
          <w:rFonts w:hint="cs"/>
          <w:rtl/>
        </w:rPr>
        <w:t xml:space="preserve"> </w:t>
      </w:r>
    </w:p>
    <w:p w:rsidR="003D1FBD" w:rsidRPr="00AA7B19" w:rsidRDefault="003D1FBD" w:rsidP="008A1194">
      <w:pPr>
        <w:pStyle w:val="Ruller4"/>
        <w:rPr>
          <w:rtl/>
        </w:rPr>
      </w:pPr>
      <w:r>
        <w:rPr>
          <w:rFonts w:hint="cs"/>
          <w:rtl/>
        </w:rPr>
        <w:t xml:space="preserve">עיון בפסק הדין מעלה כי שופטי ההרכב לא ביקשו לקבוע הלכה חדשה אלא אך ליישם את הוראות הדין הרלבנטיות לענייננו </w:t>
      </w:r>
      <w:r>
        <w:rPr>
          <w:rtl/>
        </w:rPr>
        <w:t>–</w:t>
      </w:r>
      <w:r>
        <w:rPr>
          <w:rFonts w:hint="cs"/>
          <w:rtl/>
        </w:rPr>
        <w:t xml:space="preserve"> אלו הקבועות בחוק מיסוי מקרקעין ואלו הקבועות בפקודת מס הכנסה </w:t>
      </w:r>
      <w:r>
        <w:rPr>
          <w:rtl/>
        </w:rPr>
        <w:t>–</w:t>
      </w:r>
      <w:r>
        <w:rPr>
          <w:rFonts w:hint="cs"/>
          <w:rtl/>
        </w:rPr>
        <w:t xml:space="preserve"> על נסיבותיו הפרטניות של המקרה דנן. בית המשפט דחה את עמדת המבקשים לפיה יש להחיל את ההסדר </w:t>
      </w:r>
      <w:proofErr w:type="spellStart"/>
      <w:r>
        <w:rPr>
          <w:rFonts w:hint="cs"/>
          <w:rtl/>
        </w:rPr>
        <w:t>המיסויי</w:t>
      </w:r>
      <w:proofErr w:type="spellEnd"/>
      <w:r>
        <w:rPr>
          <w:rFonts w:hint="cs"/>
          <w:rtl/>
        </w:rPr>
        <w:t xml:space="preserve"> הקבוע בפקודה, חלף ההסדר שחל בחוק מיסוי מקרקעין, על הקנייתה של זכות במקרקעין לידי נאמן. קביעה זו נסמכה על לשונן ותכליתן של הוראת סעיף 75ז(2) לפקודה והוראת סעיף 88 לפקודה, תוך התייחסות להוראותיו של חוזר מס הכנסה 3/2016 ואף לעמדות שהביעו מלומדים שונים בספרות המשפטית. הוא הדין לגבי יתר קביעות פסק הדין לפיהן לא מתקיימים במ</w:t>
      </w:r>
      <w:r w:rsidR="006C7871">
        <w:rPr>
          <w:rFonts w:hint="cs"/>
          <w:rtl/>
        </w:rPr>
        <w:t>קרה דנן התנאים להחלת הפטור ממיסוי</w:t>
      </w:r>
      <w:r>
        <w:rPr>
          <w:rFonts w:hint="cs"/>
          <w:rtl/>
        </w:rPr>
        <w:t xml:space="preserve"> מקרקעין הקבוע בסעיפים 3 ו-69 </w:t>
      </w:r>
      <w:r w:rsidRPr="00CB661E">
        <w:rPr>
          <w:rFonts w:hint="cs"/>
          <w:rtl/>
        </w:rPr>
        <w:t>לחוק מיסוי מקרקעין</w:t>
      </w:r>
      <w:r>
        <w:rPr>
          <w:rFonts w:hint="cs"/>
          <w:rtl/>
        </w:rPr>
        <w:t>.</w:t>
      </w:r>
      <w:r w:rsidRPr="00CB661E">
        <w:rPr>
          <w:rFonts w:hint="cs"/>
          <w:rtl/>
        </w:rPr>
        <w:t xml:space="preserve"> </w:t>
      </w:r>
      <w:r w:rsidRPr="00AA7B19">
        <w:rPr>
          <w:rFonts w:hint="cs"/>
          <w:rtl/>
        </w:rPr>
        <w:t>מסקנתו של בית המשפט בעניין זה אף היא נסמכה על לשון החוק</w:t>
      </w:r>
      <w:r w:rsidR="00F813C7" w:rsidRPr="00AA7B19">
        <w:rPr>
          <w:rFonts w:hint="cs"/>
          <w:rtl/>
        </w:rPr>
        <w:t xml:space="preserve"> ותכליתו</w:t>
      </w:r>
      <w:r w:rsidRPr="00AA7B19">
        <w:rPr>
          <w:rFonts w:hint="cs"/>
          <w:rtl/>
        </w:rPr>
        <w:t xml:space="preserve"> ועל פסיקה קודמת </w:t>
      </w:r>
      <w:r w:rsidR="008A1194" w:rsidRPr="00AA7B19">
        <w:rPr>
          <w:rFonts w:hint="cs"/>
          <w:rtl/>
        </w:rPr>
        <w:t>של</w:t>
      </w:r>
      <w:r w:rsidRPr="00AA7B19">
        <w:rPr>
          <w:rFonts w:hint="cs"/>
          <w:rtl/>
        </w:rPr>
        <w:t xml:space="preserve"> בית משפט זה. </w:t>
      </w:r>
      <w:r w:rsidRPr="00AA7B19">
        <w:rPr>
          <w:rFonts w:ascii="FrankRuehl" w:hAnsi="FrankRuehl"/>
          <w:sz w:val="28"/>
          <w:shd w:val="clear" w:color="auto" w:fill="FFFFFF"/>
          <w:rtl/>
        </w:rPr>
        <w:t xml:space="preserve">ביחס למקרים </w:t>
      </w:r>
      <w:r w:rsidR="008A1194" w:rsidRPr="00AA7B19">
        <w:rPr>
          <w:rFonts w:ascii="FrankRuehl" w:hAnsi="FrankRuehl" w:hint="cs"/>
          <w:sz w:val="28"/>
          <w:shd w:val="clear" w:color="auto" w:fill="FFFFFF"/>
          <w:rtl/>
        </w:rPr>
        <w:t>כגון אלה</w:t>
      </w:r>
      <w:r w:rsidRPr="00AA7B19">
        <w:rPr>
          <w:rFonts w:ascii="FrankRuehl" w:hAnsi="FrankRuehl"/>
          <w:sz w:val="28"/>
          <w:shd w:val="clear" w:color="auto" w:fill="FFFFFF"/>
          <w:rtl/>
        </w:rPr>
        <w:t xml:space="preserve"> כבר נפסק כי "[הכלל] </w:t>
      </w:r>
      <w:proofErr w:type="spellStart"/>
      <w:r w:rsidRPr="00AA7B19">
        <w:rPr>
          <w:rFonts w:ascii="FrankRuehl" w:hAnsi="FrankRuehl"/>
          <w:sz w:val="28"/>
          <w:shd w:val="clear" w:color="auto" w:fill="FFFFFF"/>
          <w:rtl/>
        </w:rPr>
        <w:t>הנקוט</w:t>
      </w:r>
      <w:proofErr w:type="spellEnd"/>
      <w:r w:rsidRPr="00AA7B19">
        <w:rPr>
          <w:rFonts w:ascii="FrankRuehl" w:hAnsi="FrankRuehl"/>
          <w:sz w:val="28"/>
          <w:shd w:val="clear" w:color="auto" w:fill="FFFFFF"/>
          <w:rtl/>
        </w:rPr>
        <w:t xml:space="preserve"> בשיטתנו המשפטית הינו כי ההלכה נקבעת על ידי הרכב ראשוני של בית משפט זה – בין שהוא הרכב של שלושה שופטים ובין שהוא הרכב  מורחב מלכתחילה – בלא שיש צורך לאשר כל הלכה חדשה על-ידי עריכת דיון נוסף בה. בפרט כך הוא הדבר כאשר – כמו בענייננו – נובעת ההלכה החדשה במישרין מלשון החוק ... ומהווה התפתחות טבעית של פסיקתו הקודמת של בית משפט זה, התפתחות המבוססת על יישומם של עקרונות קיימים" (</w:t>
      </w:r>
      <w:proofErr w:type="spellStart"/>
      <w:r w:rsidRPr="00AA7B19">
        <w:rPr>
          <w:rFonts w:ascii="FrankRuehl" w:hAnsi="FrankRuehl"/>
          <w:sz w:val="28"/>
          <w:shd w:val="clear" w:color="auto" w:fill="FFFFFF"/>
          <w:rtl/>
        </w:rPr>
        <w:t>דנ"פ</w:t>
      </w:r>
      <w:proofErr w:type="spellEnd"/>
      <w:r w:rsidRPr="00AA7B19">
        <w:rPr>
          <w:rFonts w:ascii="FrankRuehl" w:hAnsi="FrankRuehl"/>
          <w:sz w:val="28"/>
          <w:shd w:val="clear" w:color="auto" w:fill="FFFFFF"/>
          <w:rtl/>
        </w:rPr>
        <w:t xml:space="preserve"> 6519/05</w:t>
      </w:r>
      <w:r w:rsidRPr="00AA7B19">
        <w:rPr>
          <w:rFonts w:ascii="FrankRuehl" w:hAnsi="FrankRuehl"/>
          <w:sz w:val="28"/>
          <w:shd w:val="clear" w:color="auto" w:fill="FFFFFF"/>
        </w:rPr>
        <w:t> </w:t>
      </w:r>
      <w:r w:rsidRPr="00AA7B19">
        <w:rPr>
          <w:rFonts w:ascii="Century" w:hAnsi="Century" w:cs="Miriam"/>
          <w:b/>
          <w:spacing w:val="0"/>
          <w:sz w:val="22"/>
          <w:szCs w:val="24"/>
          <w:shd w:val="clear" w:color="auto" w:fill="FFFFFF"/>
          <w:rtl/>
        </w:rPr>
        <w:t>עיסא נ' מדינת ישראל</w:t>
      </w:r>
      <w:r w:rsidRPr="00AA7B19">
        <w:rPr>
          <w:rFonts w:ascii="Century" w:hAnsi="Century" w:cs="Miriam" w:hint="cs"/>
          <w:b/>
          <w:spacing w:val="0"/>
          <w:sz w:val="22"/>
          <w:szCs w:val="24"/>
          <w:shd w:val="clear" w:color="auto" w:fill="FFFFFF"/>
          <w:rtl/>
        </w:rPr>
        <w:t xml:space="preserve">, </w:t>
      </w:r>
      <w:r w:rsidRPr="00AA7B19">
        <w:rPr>
          <w:rFonts w:ascii="FrankRuehl" w:hAnsi="FrankRuehl"/>
          <w:sz w:val="28"/>
          <w:shd w:val="clear" w:color="auto" w:fill="FFFFFF"/>
          <w:rtl/>
        </w:rPr>
        <w:t>פסקה 8 (2.9.2005); דנ"א 4813/04</w:t>
      </w:r>
      <w:r w:rsidRPr="00AA7B19">
        <w:rPr>
          <w:rFonts w:ascii="FrankRuehl" w:hAnsi="FrankRuehl"/>
          <w:sz w:val="28"/>
          <w:shd w:val="clear" w:color="auto" w:fill="FFFFFF"/>
        </w:rPr>
        <w:t> </w:t>
      </w:r>
      <w:r w:rsidRPr="00AA7B19">
        <w:rPr>
          <w:rFonts w:ascii="Century" w:hAnsi="Century" w:cs="Miriam"/>
          <w:b/>
          <w:spacing w:val="0"/>
          <w:sz w:val="22"/>
          <w:szCs w:val="24"/>
          <w:shd w:val="clear" w:color="auto" w:fill="FFFFFF"/>
          <w:rtl/>
        </w:rPr>
        <w:t xml:space="preserve">מקדונלד נ' </w:t>
      </w:r>
      <w:proofErr w:type="spellStart"/>
      <w:r w:rsidRPr="00AA7B19">
        <w:rPr>
          <w:rFonts w:ascii="Century" w:hAnsi="Century" w:cs="Miriam"/>
          <w:b/>
          <w:spacing w:val="0"/>
          <w:sz w:val="22"/>
          <w:szCs w:val="24"/>
          <w:shd w:val="clear" w:color="auto" w:fill="FFFFFF"/>
          <w:rtl/>
        </w:rPr>
        <w:t>אלוניאל</w:t>
      </w:r>
      <w:proofErr w:type="spellEnd"/>
      <w:r w:rsidRPr="00AA7B19">
        <w:rPr>
          <w:rFonts w:ascii="Century" w:hAnsi="Century" w:cs="Miriam"/>
          <w:b/>
          <w:spacing w:val="0"/>
          <w:sz w:val="22"/>
          <w:szCs w:val="24"/>
          <w:shd w:val="clear" w:color="auto" w:fill="FFFFFF"/>
          <w:rtl/>
        </w:rPr>
        <w:t xml:space="preserve"> בע"מ</w:t>
      </w:r>
      <w:r w:rsidRPr="00AA7B19">
        <w:rPr>
          <w:rFonts w:ascii="FrankRuehl" w:hAnsi="FrankRuehl" w:hint="cs"/>
          <w:sz w:val="28"/>
          <w:shd w:val="clear" w:color="auto" w:fill="FFFFFF"/>
          <w:rtl/>
        </w:rPr>
        <w:t xml:space="preserve">, </w:t>
      </w:r>
      <w:r w:rsidRPr="00AA7B19">
        <w:rPr>
          <w:rFonts w:ascii="FrankRuehl" w:hAnsi="FrankRuehl"/>
          <w:sz w:val="28"/>
          <w:shd w:val="clear" w:color="auto" w:fill="FFFFFF"/>
          <w:rtl/>
        </w:rPr>
        <w:t>פסקה 15 (29.11.2004); דנ"א 1032/18</w:t>
      </w:r>
      <w:r w:rsidRPr="00AA7B19">
        <w:rPr>
          <w:rFonts w:ascii="FrankRuehl" w:hAnsi="FrankRuehl"/>
          <w:sz w:val="28"/>
          <w:shd w:val="clear" w:color="auto" w:fill="FFFFFF"/>
        </w:rPr>
        <w:t> </w:t>
      </w:r>
      <w:r w:rsidRPr="00AA7B19">
        <w:rPr>
          <w:rFonts w:ascii="Century" w:hAnsi="Century" w:cs="Miriam"/>
          <w:b/>
          <w:spacing w:val="0"/>
          <w:sz w:val="22"/>
          <w:szCs w:val="24"/>
          <w:shd w:val="clear" w:color="auto" w:fill="FFFFFF"/>
          <w:rtl/>
        </w:rPr>
        <w:t>אלדר נכסים בע"מ נ' מנהל מיסוי מקרקעין תל אביב</w:t>
      </w:r>
      <w:r w:rsidRPr="00AA7B19">
        <w:rPr>
          <w:rFonts w:ascii="FrankRuehl" w:hAnsi="FrankRuehl"/>
          <w:sz w:val="28"/>
          <w:shd w:val="clear" w:color="auto" w:fill="FFFFFF"/>
        </w:rPr>
        <w:t>,</w:t>
      </w:r>
      <w:r w:rsidRPr="00AA7B19">
        <w:rPr>
          <w:rFonts w:ascii="FrankRuehl" w:hAnsi="FrankRuehl" w:hint="cs"/>
          <w:sz w:val="28"/>
          <w:shd w:val="clear" w:color="auto" w:fill="FFFFFF"/>
          <w:rtl/>
        </w:rPr>
        <w:t xml:space="preserve"> </w:t>
      </w:r>
      <w:r w:rsidRPr="00AA7B19">
        <w:rPr>
          <w:rFonts w:ascii="FrankRuehl" w:hAnsi="FrankRuehl"/>
          <w:sz w:val="28"/>
          <w:shd w:val="clear" w:color="auto" w:fill="FFFFFF"/>
          <w:rtl/>
        </w:rPr>
        <w:t>פסקה 8</w:t>
      </w:r>
      <w:r w:rsidRPr="00AA7B19">
        <w:rPr>
          <w:rFonts w:ascii="FrankRuehl" w:hAnsi="FrankRuehl"/>
          <w:sz w:val="28"/>
          <w:shd w:val="clear" w:color="auto" w:fill="FFFFFF"/>
        </w:rPr>
        <w:t xml:space="preserve"> </w:t>
      </w:r>
      <w:r w:rsidRPr="00AA7B19">
        <w:rPr>
          <w:rFonts w:hint="cs"/>
          <w:rtl/>
        </w:rPr>
        <w:t xml:space="preserve">(18.9.2018)).   </w:t>
      </w:r>
    </w:p>
    <w:p w:rsidR="003D1FBD" w:rsidRDefault="003D1FBD" w:rsidP="003D1FBD">
      <w:pPr>
        <w:pStyle w:val="Ruller40"/>
        <w:rPr>
          <w:rtl/>
        </w:rPr>
      </w:pPr>
    </w:p>
    <w:p w:rsidR="003D1FBD" w:rsidRPr="00AA7B19" w:rsidRDefault="003D1FBD" w:rsidP="00905973">
      <w:pPr>
        <w:pStyle w:val="Ruller4"/>
        <w:rPr>
          <w:shd w:val="clear" w:color="auto" w:fill="FFFFFF"/>
        </w:rPr>
      </w:pPr>
      <w:r>
        <w:rPr>
          <w:rFonts w:hint="cs"/>
          <w:shd w:val="clear" w:color="auto" w:fill="FFFFFF"/>
          <w:rtl/>
        </w:rPr>
        <w:t>די באמור כדי לדחות את הבקשה. למעלה מן הצורך אציין כי אין בידי לקבל את עמדת המבקשים באשר לקשיים שמעורר כביכול פסק הדין ו</w:t>
      </w:r>
      <w:r w:rsidR="00905973">
        <w:rPr>
          <w:rFonts w:hint="cs"/>
          <w:shd w:val="clear" w:color="auto" w:fill="FFFFFF"/>
          <w:rtl/>
        </w:rPr>
        <w:t xml:space="preserve">באשר </w:t>
      </w:r>
      <w:r>
        <w:rPr>
          <w:rFonts w:hint="cs"/>
          <w:shd w:val="clear" w:color="auto" w:fill="FFFFFF"/>
          <w:rtl/>
        </w:rPr>
        <w:t>להשלכותיו העתידיות. כפי שציין המשנה לנשיאה (</w:t>
      </w:r>
      <w:proofErr w:type="spellStart"/>
      <w:r>
        <w:rPr>
          <w:rFonts w:hint="cs"/>
          <w:shd w:val="clear" w:color="auto" w:fill="FFFFFF"/>
          <w:rtl/>
        </w:rPr>
        <w:t>בדימ</w:t>
      </w:r>
      <w:proofErr w:type="spellEnd"/>
      <w:r>
        <w:rPr>
          <w:rFonts w:hint="cs"/>
          <w:shd w:val="clear" w:color="auto" w:fill="FFFFFF"/>
          <w:rtl/>
        </w:rPr>
        <w:t>')</w:t>
      </w:r>
      <w:r w:rsidRPr="004517F7">
        <w:rPr>
          <w:rFonts w:ascii="Century" w:hAnsi="Century" w:cs="Miriam" w:hint="cs"/>
          <w:b/>
          <w:spacing w:val="0"/>
          <w:sz w:val="22"/>
          <w:szCs w:val="24"/>
          <w:shd w:val="clear" w:color="auto" w:fill="FFFFFF"/>
          <w:rtl/>
        </w:rPr>
        <w:t xml:space="preserve"> הנדל</w:t>
      </w:r>
      <w:r w:rsidRPr="004517F7">
        <w:rPr>
          <w:rFonts w:ascii="Century" w:hAnsi="Century" w:hint="cs"/>
          <w:sz w:val="22"/>
          <w:shd w:val="clear" w:color="auto" w:fill="FFFFFF"/>
          <w:rtl/>
        </w:rPr>
        <w:t>,</w:t>
      </w:r>
      <w:r>
        <w:rPr>
          <w:rFonts w:hint="cs"/>
          <w:shd w:val="clear" w:color="auto" w:fill="FFFFFF"/>
          <w:rtl/>
        </w:rPr>
        <w:t xml:space="preserve"> הקושי שהתעורר בהליך דנן אין מקורו בלשונן הברורה של הוראות החוק הרלבנטיות לענייננו, אלא דווקא באופן הבלתי שגרתי שבו בחרו המבקשים </w:t>
      </w:r>
      <w:r>
        <w:rPr>
          <w:shd w:val="clear" w:color="auto" w:fill="FFFFFF"/>
          <w:rtl/>
        </w:rPr>
        <w:t>–</w:t>
      </w:r>
      <w:r>
        <w:rPr>
          <w:rFonts w:hint="cs"/>
          <w:shd w:val="clear" w:color="auto" w:fill="FFFFFF"/>
          <w:rtl/>
        </w:rPr>
        <w:t xml:space="preserve"> מטעמיהם שלהם </w:t>
      </w:r>
      <w:r>
        <w:rPr>
          <w:shd w:val="clear" w:color="auto" w:fill="FFFFFF"/>
          <w:rtl/>
        </w:rPr>
        <w:t>–</w:t>
      </w:r>
      <w:r>
        <w:rPr>
          <w:rFonts w:hint="cs"/>
          <w:shd w:val="clear" w:color="auto" w:fill="FFFFFF"/>
          <w:rtl/>
        </w:rPr>
        <w:t xml:space="preserve"> לנסח את הסכמי הנאמנות. על כן, </w:t>
      </w:r>
      <w:r w:rsidRPr="00AA7B19">
        <w:rPr>
          <w:rFonts w:hint="cs"/>
          <w:shd w:val="clear" w:color="auto" w:fill="FFFFFF"/>
          <w:rtl/>
        </w:rPr>
        <w:t>בשים לב לעמדת המשיב (כאמור בפסקה 18 לעיל) ולכך ש</w:t>
      </w:r>
      <w:r w:rsidR="00905973" w:rsidRPr="00AA7B19">
        <w:rPr>
          <w:rFonts w:hint="cs"/>
          <w:shd w:val="clear" w:color="auto" w:fill="FFFFFF"/>
          <w:rtl/>
        </w:rPr>
        <w:t>ה</w:t>
      </w:r>
      <w:r w:rsidRPr="00AA7B19">
        <w:rPr>
          <w:rFonts w:hint="cs"/>
          <w:shd w:val="clear" w:color="auto" w:fill="FFFFFF"/>
          <w:rtl/>
        </w:rPr>
        <w:t xml:space="preserve">קביעות </w:t>
      </w:r>
      <w:r w:rsidR="00905973" w:rsidRPr="00AA7B19">
        <w:rPr>
          <w:rFonts w:hint="cs"/>
          <w:shd w:val="clear" w:color="auto" w:fill="FFFFFF"/>
          <w:rtl/>
        </w:rPr>
        <w:t>ב</w:t>
      </w:r>
      <w:r w:rsidRPr="00AA7B19">
        <w:rPr>
          <w:rFonts w:hint="cs"/>
          <w:shd w:val="clear" w:color="auto" w:fill="FFFFFF"/>
          <w:rtl/>
        </w:rPr>
        <w:t xml:space="preserve">פסק הדין </w:t>
      </w:r>
      <w:r w:rsidR="00905973" w:rsidRPr="00AA7B19">
        <w:rPr>
          <w:rFonts w:hint="cs"/>
          <w:shd w:val="clear" w:color="auto" w:fill="FFFFFF"/>
          <w:rtl/>
        </w:rPr>
        <w:t>נוגעות</w:t>
      </w:r>
      <w:r w:rsidRPr="00AA7B19">
        <w:rPr>
          <w:rFonts w:hint="cs"/>
          <w:shd w:val="clear" w:color="auto" w:fill="FFFFFF"/>
          <w:rtl/>
        </w:rPr>
        <w:t xml:space="preserve"> </w:t>
      </w:r>
      <w:r w:rsidR="00905973" w:rsidRPr="00AA7B19">
        <w:rPr>
          <w:rFonts w:hint="cs"/>
          <w:shd w:val="clear" w:color="auto" w:fill="FFFFFF"/>
          <w:rtl/>
        </w:rPr>
        <w:t>ל</w:t>
      </w:r>
      <w:r w:rsidRPr="00AA7B19">
        <w:rPr>
          <w:rFonts w:hint="cs"/>
          <w:shd w:val="clear" w:color="auto" w:fill="FFFFFF"/>
          <w:rtl/>
        </w:rPr>
        <w:t xml:space="preserve">הסכם נאמנות קונקרטי וייחודי, </w:t>
      </w:r>
      <w:r w:rsidRPr="00AA7B19">
        <w:rPr>
          <w:rFonts w:hint="cs"/>
          <w:rtl/>
        </w:rPr>
        <w:t xml:space="preserve">לא מצאתי כי </w:t>
      </w:r>
      <w:r w:rsidR="00905973" w:rsidRPr="00AA7B19">
        <w:rPr>
          <w:rFonts w:hint="cs"/>
          <w:rtl/>
        </w:rPr>
        <w:t>הן</w:t>
      </w:r>
      <w:r w:rsidRPr="00AA7B19">
        <w:rPr>
          <w:rFonts w:hint="cs"/>
          <w:rtl/>
        </w:rPr>
        <w:t xml:space="preserve"> מעוררות קושי המצדיק </w:t>
      </w:r>
      <w:r w:rsidRPr="00AA7B19">
        <w:rPr>
          <w:rFonts w:hint="cs"/>
          <w:shd w:val="clear" w:color="auto" w:fill="FFFFFF"/>
          <w:rtl/>
        </w:rPr>
        <w:t xml:space="preserve">דיון נוסף. </w:t>
      </w:r>
    </w:p>
    <w:p w:rsidR="003D1FBD" w:rsidRPr="00AA7B19" w:rsidRDefault="003D1FBD" w:rsidP="003D1FBD">
      <w:pPr>
        <w:pStyle w:val="Ruller4"/>
        <w:numPr>
          <w:ilvl w:val="0"/>
          <w:numId w:val="0"/>
        </w:numPr>
        <w:rPr>
          <w:shd w:val="clear" w:color="auto" w:fill="FFFFFF"/>
        </w:rPr>
      </w:pPr>
    </w:p>
    <w:p w:rsidR="003D1FBD" w:rsidRPr="00AA7B19" w:rsidRDefault="003D1FBD" w:rsidP="009E3BD3">
      <w:pPr>
        <w:pStyle w:val="Ruller4"/>
        <w:rPr>
          <w:shd w:val="clear" w:color="auto" w:fill="FFFFFF"/>
        </w:rPr>
      </w:pPr>
      <w:r w:rsidRPr="00AA7B19">
        <w:rPr>
          <w:rFonts w:hint="cs"/>
          <w:shd w:val="clear" w:color="auto" w:fill="FFFFFF"/>
          <w:rtl/>
        </w:rPr>
        <w:t xml:space="preserve">יתר טענות המבקשים נושאות אופי ערעורי באשר </w:t>
      </w:r>
      <w:r w:rsidRPr="00AA7B19">
        <w:rPr>
          <w:shd w:val="clear" w:color="auto" w:fill="FFFFFF"/>
          <w:rtl/>
        </w:rPr>
        <w:t xml:space="preserve">הן </w:t>
      </w:r>
      <w:r w:rsidRPr="00AA7B19">
        <w:rPr>
          <w:rFonts w:hint="cs"/>
          <w:shd w:val="clear" w:color="auto" w:fill="FFFFFF"/>
          <w:rtl/>
        </w:rPr>
        <w:t xml:space="preserve">תוקפות את נכונות ההכרעה ואת האופן שבו </w:t>
      </w:r>
      <w:r w:rsidRPr="00AA7B19">
        <w:rPr>
          <w:rFonts w:hint="eastAsia"/>
          <w:shd w:val="clear" w:color="auto" w:fill="FFFFFF"/>
          <w:rtl/>
        </w:rPr>
        <w:t>יישם בית</w:t>
      </w:r>
      <w:r w:rsidRPr="00AA7B19">
        <w:rPr>
          <w:rFonts w:hint="cs"/>
          <w:shd w:val="clear" w:color="auto" w:fill="FFFFFF"/>
          <w:rtl/>
        </w:rPr>
        <w:t xml:space="preserve"> המשפט את הדין הקיים על המערכת העובדתית שהובאה בפניו. ואולם, כפי שנפסק לא אחת, הליך הדיון הנוסף אינו האכסניה המתאימה לבירור טענות מסוג זה (ראו, מני רבים, דנ"א 1075/15 </w:t>
      </w:r>
      <w:r w:rsidRPr="00AA7B19">
        <w:rPr>
          <w:rFonts w:ascii="Century" w:hAnsi="Century" w:cs="Miriam" w:hint="cs"/>
          <w:b/>
          <w:spacing w:val="0"/>
          <w:sz w:val="22"/>
          <w:szCs w:val="24"/>
          <w:shd w:val="clear" w:color="auto" w:fill="FFFFFF"/>
          <w:rtl/>
        </w:rPr>
        <w:t xml:space="preserve">בלום נ' </w:t>
      </w:r>
      <w:proofErr w:type="spellStart"/>
      <w:r w:rsidRPr="00AA7B19">
        <w:rPr>
          <w:rFonts w:ascii="Century" w:hAnsi="Century" w:cs="Miriam" w:hint="cs"/>
          <w:b/>
          <w:spacing w:val="0"/>
          <w:sz w:val="22"/>
          <w:szCs w:val="24"/>
          <w:shd w:val="clear" w:color="auto" w:fill="FFFFFF"/>
          <w:rtl/>
        </w:rPr>
        <w:t>אנגלו</w:t>
      </w:r>
      <w:proofErr w:type="spellEnd"/>
      <w:r w:rsidRPr="00AA7B19">
        <w:rPr>
          <w:rFonts w:ascii="Century" w:hAnsi="Century" w:cs="Miriam" w:hint="cs"/>
          <w:b/>
          <w:spacing w:val="0"/>
          <w:sz w:val="22"/>
          <w:szCs w:val="24"/>
          <w:shd w:val="clear" w:color="auto" w:fill="FFFFFF"/>
          <w:rtl/>
        </w:rPr>
        <w:t xml:space="preserve"> </w:t>
      </w:r>
      <w:proofErr w:type="spellStart"/>
      <w:r w:rsidRPr="00AA7B19">
        <w:rPr>
          <w:rFonts w:ascii="Century" w:hAnsi="Century" w:cs="Miriam" w:hint="cs"/>
          <w:b/>
          <w:spacing w:val="0"/>
          <w:sz w:val="22"/>
          <w:szCs w:val="24"/>
          <w:shd w:val="clear" w:color="auto" w:fill="FFFFFF"/>
          <w:rtl/>
        </w:rPr>
        <w:t>סכסון</w:t>
      </w:r>
      <w:proofErr w:type="spellEnd"/>
      <w:r w:rsidRPr="00AA7B19">
        <w:rPr>
          <w:rFonts w:ascii="Century" w:hAnsi="Century" w:cs="Miriam" w:hint="cs"/>
          <w:b/>
          <w:spacing w:val="0"/>
          <w:sz w:val="22"/>
          <w:szCs w:val="24"/>
          <w:shd w:val="clear" w:color="auto" w:fill="FFFFFF"/>
          <w:rtl/>
        </w:rPr>
        <w:t xml:space="preserve"> </w:t>
      </w:r>
      <w:r w:rsidRPr="00AA7B19">
        <w:rPr>
          <w:rFonts w:ascii="Century" w:hAnsi="Century" w:cs="Miriam"/>
          <w:b/>
          <w:spacing w:val="0"/>
          <w:sz w:val="22"/>
          <w:szCs w:val="24"/>
          <w:shd w:val="clear" w:color="auto" w:fill="FFFFFF"/>
          <w:rtl/>
        </w:rPr>
        <w:t>–</w:t>
      </w:r>
      <w:r w:rsidRPr="00AA7B19">
        <w:rPr>
          <w:rFonts w:ascii="Century" w:hAnsi="Century" w:cs="Miriam" w:hint="cs"/>
          <w:b/>
          <w:spacing w:val="0"/>
          <w:sz w:val="22"/>
          <w:szCs w:val="24"/>
          <w:shd w:val="clear" w:color="auto" w:fill="FFFFFF"/>
          <w:rtl/>
        </w:rPr>
        <w:t xml:space="preserve"> סוכנות לנכסים (ישראל </w:t>
      </w:r>
      <w:r w:rsidRPr="00AA7B19">
        <w:rPr>
          <w:rFonts w:ascii="Century" w:hAnsi="Century" w:cs="Miriam"/>
          <w:b/>
          <w:spacing w:val="0"/>
          <w:sz w:val="22"/>
          <w:szCs w:val="24"/>
          <w:shd w:val="clear" w:color="auto" w:fill="FFFFFF"/>
          <w:rtl/>
        </w:rPr>
        <w:t>–</w:t>
      </w:r>
      <w:r w:rsidRPr="00AA7B19">
        <w:rPr>
          <w:rFonts w:ascii="Century" w:hAnsi="Century" w:cs="Miriam" w:hint="cs"/>
          <w:b/>
          <w:spacing w:val="0"/>
          <w:sz w:val="22"/>
          <w:szCs w:val="24"/>
          <w:shd w:val="clear" w:color="auto" w:fill="FFFFFF"/>
          <w:rtl/>
        </w:rPr>
        <w:t xml:space="preserve"> 1992) בע"מ,</w:t>
      </w:r>
      <w:r w:rsidRPr="00AA7B19">
        <w:rPr>
          <w:rFonts w:hint="cs"/>
          <w:shd w:val="clear" w:color="auto" w:fill="FFFFFF"/>
          <w:rtl/>
        </w:rPr>
        <w:t xml:space="preserve"> פסקה 18 (8.3.2015)). </w:t>
      </w:r>
    </w:p>
    <w:p w:rsidR="003D1FBD" w:rsidRPr="00AA7B19" w:rsidRDefault="003D1FBD" w:rsidP="003D1FBD">
      <w:pPr>
        <w:pStyle w:val="Ruller4"/>
        <w:numPr>
          <w:ilvl w:val="0"/>
          <w:numId w:val="0"/>
        </w:numPr>
        <w:rPr>
          <w:shd w:val="clear" w:color="auto" w:fill="FFFFFF"/>
        </w:rPr>
      </w:pPr>
    </w:p>
    <w:p w:rsidR="003D1FBD" w:rsidRPr="00AA7B19" w:rsidRDefault="003D1FBD" w:rsidP="00FD51C3">
      <w:pPr>
        <w:pStyle w:val="Ruller4"/>
        <w:rPr>
          <w:shd w:val="clear" w:color="auto" w:fill="FFFFFF"/>
          <w:rtl/>
        </w:rPr>
      </w:pPr>
      <w:r w:rsidRPr="00AA7B19">
        <w:rPr>
          <w:sz w:val="14"/>
          <w:szCs w:val="14"/>
          <w:shd w:val="clear" w:color="auto" w:fill="FFFFFF"/>
        </w:rPr>
        <w:t> </w:t>
      </w:r>
      <w:r w:rsidRPr="00AA7B19">
        <w:rPr>
          <w:rFonts w:ascii="FrankRuehl" w:hAnsi="FrankRuehl"/>
          <w:sz w:val="28"/>
          <w:shd w:val="clear" w:color="auto" w:fill="FFFFFF"/>
          <w:rtl/>
        </w:rPr>
        <w:t xml:space="preserve">לבסוף, </w:t>
      </w:r>
      <w:r w:rsidR="009E3BD3" w:rsidRPr="00AA7B19">
        <w:rPr>
          <w:rFonts w:ascii="FrankRuehl" w:hAnsi="FrankRuehl" w:hint="cs"/>
          <w:sz w:val="28"/>
          <w:shd w:val="clear" w:color="auto" w:fill="FFFFFF"/>
          <w:rtl/>
        </w:rPr>
        <w:t>העובדה</w:t>
      </w:r>
      <w:r w:rsidR="009E3BD3" w:rsidRPr="00AA7B19">
        <w:rPr>
          <w:rFonts w:ascii="FrankRuehl" w:hAnsi="FrankRuehl"/>
          <w:sz w:val="28"/>
          <w:shd w:val="clear" w:color="auto" w:fill="FFFFFF"/>
          <w:rtl/>
        </w:rPr>
        <w:t xml:space="preserve"> שפסק הדין ניתן פה אחד</w:t>
      </w:r>
      <w:r w:rsidRPr="00AA7B19">
        <w:rPr>
          <w:rFonts w:ascii="FrankRuehl" w:hAnsi="FrankRuehl"/>
          <w:sz w:val="28"/>
          <w:shd w:val="clear" w:color="auto" w:fill="FFFFFF"/>
          <w:rtl/>
        </w:rPr>
        <w:t xml:space="preserve"> </w:t>
      </w:r>
      <w:r w:rsidR="009E3BD3" w:rsidRPr="00AA7B19">
        <w:rPr>
          <w:rFonts w:ascii="FrankRuehl" w:hAnsi="FrankRuehl" w:hint="cs"/>
          <w:sz w:val="28"/>
          <w:shd w:val="clear" w:color="auto" w:fill="FFFFFF"/>
          <w:rtl/>
        </w:rPr>
        <w:t>נושא</w:t>
      </w:r>
      <w:r w:rsidR="00FD51C3" w:rsidRPr="00AA7B19">
        <w:rPr>
          <w:rFonts w:ascii="FrankRuehl" w:hAnsi="FrankRuehl" w:hint="cs"/>
          <w:sz w:val="28"/>
          <w:shd w:val="clear" w:color="auto" w:fill="FFFFFF"/>
          <w:rtl/>
        </w:rPr>
        <w:t>ת</w:t>
      </w:r>
      <w:r w:rsidR="009E3BD3" w:rsidRPr="00AA7B19">
        <w:rPr>
          <w:rFonts w:ascii="FrankRuehl" w:hAnsi="FrankRuehl" w:hint="cs"/>
          <w:sz w:val="28"/>
          <w:shd w:val="clear" w:color="auto" w:fill="FFFFFF"/>
          <w:rtl/>
        </w:rPr>
        <w:t xml:space="preserve"> אף ה</w:t>
      </w:r>
      <w:r w:rsidR="00FD51C3" w:rsidRPr="00AA7B19">
        <w:rPr>
          <w:rFonts w:ascii="FrankRuehl" w:hAnsi="FrankRuehl" w:hint="cs"/>
          <w:sz w:val="28"/>
          <w:shd w:val="clear" w:color="auto" w:fill="FFFFFF"/>
          <w:rtl/>
        </w:rPr>
        <w:t>י</w:t>
      </w:r>
      <w:r w:rsidR="009E3BD3" w:rsidRPr="00AA7B19">
        <w:rPr>
          <w:rFonts w:ascii="FrankRuehl" w:hAnsi="FrankRuehl" w:hint="cs"/>
          <w:sz w:val="28"/>
          <w:shd w:val="clear" w:color="auto" w:fill="FFFFFF"/>
          <w:rtl/>
        </w:rPr>
        <w:t>א משקל מסוים ו</w:t>
      </w:r>
      <w:r w:rsidRPr="00AA7B19">
        <w:rPr>
          <w:rFonts w:ascii="FrankRuehl" w:hAnsi="FrankRuehl"/>
          <w:sz w:val="28"/>
          <w:shd w:val="clear" w:color="auto" w:fill="FFFFFF"/>
          <w:rtl/>
        </w:rPr>
        <w:t>מצטר</w:t>
      </w:r>
      <w:r w:rsidR="00FD51C3" w:rsidRPr="00AA7B19">
        <w:rPr>
          <w:rFonts w:ascii="FrankRuehl" w:hAnsi="FrankRuehl" w:hint="cs"/>
          <w:sz w:val="28"/>
          <w:shd w:val="clear" w:color="auto" w:fill="FFFFFF"/>
          <w:rtl/>
        </w:rPr>
        <w:t>פת</w:t>
      </w:r>
      <w:r w:rsidRPr="00AA7B19">
        <w:rPr>
          <w:rFonts w:ascii="FrankRuehl" w:hAnsi="FrankRuehl"/>
          <w:sz w:val="28"/>
          <w:shd w:val="clear" w:color="auto" w:fill="FFFFFF"/>
          <w:rtl/>
        </w:rPr>
        <w:t xml:space="preserve"> אל יתר הטעמים ש</w:t>
      </w:r>
      <w:r w:rsidRPr="00AA7B19">
        <w:rPr>
          <w:rFonts w:ascii="FrankRuehl" w:hAnsi="FrankRuehl" w:hint="cs"/>
          <w:sz w:val="28"/>
          <w:shd w:val="clear" w:color="auto" w:fill="FFFFFF"/>
          <w:rtl/>
        </w:rPr>
        <w:t xml:space="preserve">מניתי </w:t>
      </w:r>
      <w:r w:rsidRPr="00AA7B19">
        <w:rPr>
          <w:rFonts w:ascii="FrankRuehl" w:hAnsi="FrankRuehl"/>
          <w:sz w:val="28"/>
          <w:shd w:val="clear" w:color="auto" w:fill="FFFFFF"/>
          <w:rtl/>
        </w:rPr>
        <w:t xml:space="preserve">לעיל, </w:t>
      </w:r>
      <w:r w:rsidR="009E3BD3" w:rsidRPr="00AA7B19">
        <w:rPr>
          <w:rFonts w:ascii="FrankRuehl" w:hAnsi="FrankRuehl" w:hint="cs"/>
          <w:sz w:val="28"/>
          <w:shd w:val="clear" w:color="auto" w:fill="FFFFFF"/>
          <w:rtl/>
        </w:rPr>
        <w:t>ה</w:t>
      </w:r>
      <w:r w:rsidRPr="00AA7B19">
        <w:rPr>
          <w:rFonts w:ascii="FrankRuehl" w:hAnsi="FrankRuehl"/>
          <w:sz w:val="28"/>
          <w:shd w:val="clear" w:color="auto" w:fill="FFFFFF"/>
          <w:rtl/>
        </w:rPr>
        <w:t>מצדיק</w:t>
      </w:r>
      <w:r w:rsidR="009E3BD3" w:rsidRPr="00AA7B19">
        <w:rPr>
          <w:rFonts w:ascii="FrankRuehl" w:hAnsi="FrankRuehl" w:hint="cs"/>
          <w:sz w:val="28"/>
          <w:shd w:val="clear" w:color="auto" w:fill="FFFFFF"/>
          <w:rtl/>
        </w:rPr>
        <w:t>ים</w:t>
      </w:r>
      <w:r w:rsidRPr="00AA7B19">
        <w:rPr>
          <w:rFonts w:ascii="FrankRuehl" w:hAnsi="FrankRuehl"/>
          <w:sz w:val="28"/>
          <w:shd w:val="clear" w:color="auto" w:fill="FFFFFF"/>
          <w:rtl/>
        </w:rPr>
        <w:t xml:space="preserve"> </w:t>
      </w:r>
      <w:r w:rsidR="009E3BD3" w:rsidRPr="00AA7B19">
        <w:rPr>
          <w:rFonts w:ascii="FrankRuehl" w:hAnsi="FrankRuehl" w:hint="cs"/>
          <w:sz w:val="28"/>
          <w:shd w:val="clear" w:color="auto" w:fill="FFFFFF"/>
          <w:rtl/>
        </w:rPr>
        <w:t>את דחיית הבקשה</w:t>
      </w:r>
      <w:r w:rsidRPr="00AA7B19">
        <w:rPr>
          <w:rFonts w:ascii="FrankRuehl" w:hAnsi="FrankRuehl"/>
          <w:sz w:val="28"/>
          <w:shd w:val="clear" w:color="auto" w:fill="FFFFFF"/>
          <w:rtl/>
        </w:rPr>
        <w:t xml:space="preserve"> (</w:t>
      </w:r>
      <w:r w:rsidRPr="00AA7B19">
        <w:rPr>
          <w:rFonts w:ascii="FrankRuehl" w:hAnsi="FrankRuehl" w:hint="cs"/>
          <w:sz w:val="28"/>
          <w:shd w:val="clear" w:color="auto" w:fill="FFFFFF"/>
          <w:rtl/>
        </w:rPr>
        <w:t>ראו,</w:t>
      </w:r>
      <w:r w:rsidRPr="00AA7B19">
        <w:rPr>
          <w:rFonts w:hint="cs"/>
          <w:shd w:val="clear" w:color="auto" w:fill="FFFFFF"/>
          <w:rtl/>
        </w:rPr>
        <w:t xml:space="preserve"> למשל: דנ"א 315/22 </w:t>
      </w:r>
      <w:r w:rsidRPr="00AA7B19">
        <w:rPr>
          <w:rFonts w:ascii="Century" w:hAnsi="Century" w:cs="Miriam" w:hint="cs"/>
          <w:b/>
          <w:spacing w:val="0"/>
          <w:sz w:val="22"/>
          <w:szCs w:val="24"/>
          <w:shd w:val="clear" w:color="auto" w:fill="FFFFFF"/>
          <w:rtl/>
        </w:rPr>
        <w:t xml:space="preserve">פלוני נ' מדינת ישראל </w:t>
      </w:r>
      <w:r w:rsidRPr="00AA7B19">
        <w:rPr>
          <w:rFonts w:ascii="Century" w:hAnsi="Century" w:cs="Miriam"/>
          <w:b/>
          <w:spacing w:val="0"/>
          <w:sz w:val="22"/>
          <w:szCs w:val="24"/>
          <w:shd w:val="clear" w:color="auto" w:fill="FFFFFF"/>
          <w:rtl/>
        </w:rPr>
        <w:t>–</w:t>
      </w:r>
      <w:r w:rsidRPr="00AA7B19">
        <w:rPr>
          <w:rFonts w:ascii="Century" w:hAnsi="Century" w:cs="Miriam" w:hint="cs"/>
          <w:b/>
          <w:spacing w:val="0"/>
          <w:sz w:val="22"/>
          <w:szCs w:val="24"/>
          <w:shd w:val="clear" w:color="auto" w:fill="FFFFFF"/>
          <w:rtl/>
        </w:rPr>
        <w:t xml:space="preserve"> כבוד השופטת רונית </w:t>
      </w:r>
      <w:proofErr w:type="spellStart"/>
      <w:r w:rsidRPr="00AA7B19">
        <w:rPr>
          <w:rFonts w:ascii="Century" w:hAnsi="Century" w:cs="Miriam" w:hint="cs"/>
          <w:b/>
          <w:spacing w:val="0"/>
          <w:sz w:val="22"/>
          <w:szCs w:val="24"/>
          <w:shd w:val="clear" w:color="auto" w:fill="FFFFFF"/>
          <w:rtl/>
        </w:rPr>
        <w:t>בש</w:t>
      </w:r>
      <w:proofErr w:type="spellEnd"/>
      <w:r w:rsidRPr="00AA7B19">
        <w:rPr>
          <w:rFonts w:ascii="Century" w:hAnsi="Century" w:hint="cs"/>
          <w:sz w:val="22"/>
          <w:shd w:val="clear" w:color="auto" w:fill="FFFFFF"/>
          <w:rtl/>
        </w:rPr>
        <w:t xml:space="preserve">, פסקה 11 (1.3.2022); </w:t>
      </w:r>
      <w:proofErr w:type="spellStart"/>
      <w:r w:rsidRPr="00AA7B19">
        <w:rPr>
          <w:rFonts w:ascii="Century" w:hAnsi="Century" w:hint="cs"/>
          <w:sz w:val="22"/>
          <w:shd w:val="clear" w:color="auto" w:fill="FFFFFF"/>
          <w:rtl/>
        </w:rPr>
        <w:t>דנ"מ</w:t>
      </w:r>
      <w:proofErr w:type="spellEnd"/>
      <w:r w:rsidRPr="00AA7B19">
        <w:rPr>
          <w:rFonts w:ascii="Century" w:hAnsi="Century" w:hint="cs"/>
          <w:sz w:val="22"/>
          <w:shd w:val="clear" w:color="auto" w:fill="FFFFFF"/>
          <w:rtl/>
        </w:rPr>
        <w:t xml:space="preserve"> </w:t>
      </w:r>
      <w:r w:rsidRPr="00AA7B19">
        <w:rPr>
          <w:rFonts w:hint="cs"/>
          <w:shd w:val="clear" w:color="auto" w:fill="FFFFFF"/>
          <w:rtl/>
        </w:rPr>
        <w:t xml:space="preserve">8020/15 </w:t>
      </w:r>
      <w:r w:rsidRPr="00AA7B19">
        <w:rPr>
          <w:rFonts w:ascii="Century" w:hAnsi="Century" w:cs="Miriam" w:hint="cs"/>
          <w:b/>
          <w:spacing w:val="0"/>
          <w:sz w:val="22"/>
          <w:szCs w:val="24"/>
          <w:shd w:val="clear" w:color="auto" w:fill="FFFFFF"/>
          <w:rtl/>
        </w:rPr>
        <w:t>האגודה לזכויות האזרח בישראל נ' משרד ראש הממשלה</w:t>
      </w:r>
      <w:r w:rsidRPr="00AA7B19">
        <w:rPr>
          <w:rFonts w:hint="cs"/>
          <w:shd w:val="clear" w:color="auto" w:fill="FFFFFF"/>
          <w:rtl/>
        </w:rPr>
        <w:t xml:space="preserve">, פסקה ז (8.6.2016)). </w:t>
      </w:r>
    </w:p>
    <w:p w:rsidR="003D1FBD" w:rsidRDefault="003D1FBD" w:rsidP="003D1FBD">
      <w:pPr>
        <w:pStyle w:val="Ruller40"/>
        <w:rPr>
          <w:rtl/>
        </w:rPr>
      </w:pPr>
    </w:p>
    <w:p w:rsidR="003D1FBD" w:rsidRPr="00CB661E" w:rsidRDefault="009E3BD3" w:rsidP="00FD51C3">
      <w:pPr>
        <w:pStyle w:val="Ruller4"/>
      </w:pPr>
      <w:r>
        <w:rPr>
          <w:rFonts w:hint="cs"/>
          <w:rtl/>
        </w:rPr>
        <w:t>אשר על כן, הבקשה לקיי</w:t>
      </w:r>
      <w:r w:rsidR="003D1FBD">
        <w:rPr>
          <w:rFonts w:hint="cs"/>
          <w:rtl/>
        </w:rPr>
        <w:t xml:space="preserve">ם דיון נוסף נדחית. המבקשים </w:t>
      </w:r>
      <w:proofErr w:type="spellStart"/>
      <w:r w:rsidR="003D1FBD">
        <w:rPr>
          <w:rFonts w:hint="cs"/>
          <w:rtl/>
        </w:rPr>
        <w:t>ישאו</w:t>
      </w:r>
      <w:proofErr w:type="spellEnd"/>
      <w:r w:rsidR="003D1FBD">
        <w:rPr>
          <w:rFonts w:hint="cs"/>
          <w:rtl/>
        </w:rPr>
        <w:t xml:space="preserve"> בהוצאות המשיב</w:t>
      </w:r>
      <w:r>
        <w:rPr>
          <w:rFonts w:hint="cs"/>
          <w:rtl/>
        </w:rPr>
        <w:t xml:space="preserve"> ושכ</w:t>
      </w:r>
      <w:r w:rsidR="00FD51C3">
        <w:rPr>
          <w:rFonts w:hint="cs"/>
          <w:rtl/>
        </w:rPr>
        <w:t xml:space="preserve">"ט </w:t>
      </w:r>
      <w:r>
        <w:rPr>
          <w:rFonts w:hint="cs"/>
          <w:rtl/>
        </w:rPr>
        <w:t>עו"ד</w:t>
      </w:r>
      <w:r w:rsidR="003D1FBD">
        <w:rPr>
          <w:rFonts w:hint="cs"/>
          <w:rtl/>
        </w:rPr>
        <w:t xml:space="preserve"> בסך </w:t>
      </w:r>
      <w:r>
        <w:rPr>
          <w:rFonts w:hint="cs"/>
          <w:rtl/>
        </w:rPr>
        <w:t>30,000 ש"ח.</w:t>
      </w:r>
    </w:p>
    <w:p w:rsidR="000B1478" w:rsidRDefault="000B1478" w:rsidP="00A51FAE">
      <w:pPr>
        <w:pStyle w:val="Ruller40"/>
        <w:rPr>
          <w:rtl/>
        </w:rPr>
      </w:pPr>
    </w:p>
    <w:p w:rsidR="003D1FBD" w:rsidRDefault="003D1FBD" w:rsidP="00A51FAE">
      <w:pPr>
        <w:pStyle w:val="Ruller40"/>
        <w:rPr>
          <w:rtl/>
        </w:rPr>
      </w:pPr>
      <w:r>
        <w:rPr>
          <w:rtl/>
        </w:rPr>
        <w:tab/>
        <w:t xml:space="preserve">ניתנה היום, </w:t>
      </w:r>
      <w:r>
        <w:rPr>
          <w:rFonts w:hint="eastAsia"/>
          <w:rtl/>
        </w:rPr>
        <w:t>‏י</w:t>
      </w:r>
      <w:r>
        <w:rPr>
          <w:rtl/>
        </w:rPr>
        <w:t xml:space="preserve">' בטבת </w:t>
      </w:r>
      <w:proofErr w:type="spellStart"/>
      <w:r>
        <w:rPr>
          <w:rtl/>
        </w:rPr>
        <w:t>התשפ"ג</w:t>
      </w:r>
      <w:proofErr w:type="spellEnd"/>
      <w:r>
        <w:rPr>
          <w:rtl/>
        </w:rPr>
        <w:t xml:space="preserve"> (</w:t>
      </w:r>
      <w:r>
        <w:rPr>
          <w:rFonts w:hint="eastAsia"/>
          <w:rtl/>
        </w:rPr>
        <w:t>‏</w:t>
      </w:r>
      <w:r>
        <w:rPr>
          <w:rtl/>
        </w:rPr>
        <w:t>3.1.2023).</w:t>
      </w:r>
    </w:p>
    <w:p w:rsidR="003D1FBD" w:rsidRPr="003D1FBD" w:rsidRDefault="003D1FBD" w:rsidP="00A51FAE">
      <w:pPr>
        <w:pStyle w:val="Ruller40"/>
        <w:rPr>
          <w:rtl/>
        </w:rPr>
      </w:pPr>
    </w:p>
    <w:p w:rsidR="00016EF1" w:rsidRDefault="00016EF1" w:rsidP="00A51FAE">
      <w:pPr>
        <w:pStyle w:val="Ruller40"/>
        <w:rPr>
          <w:rtl/>
        </w:rPr>
      </w:pPr>
    </w:p>
    <w:tbl>
      <w:tblPr>
        <w:bidiVisual/>
        <w:tblW w:w="8363" w:type="dxa"/>
        <w:tblLook w:val="01E0" w:firstRow="1" w:lastRow="1" w:firstColumn="1" w:lastColumn="1" w:noHBand="0" w:noVBand="0"/>
      </w:tblPr>
      <w:tblGrid>
        <w:gridCol w:w="2786"/>
        <w:gridCol w:w="2787"/>
        <w:gridCol w:w="2790"/>
      </w:tblGrid>
      <w:tr w:rsidR="001A0164" w:rsidTr="00D00B1D">
        <w:tc>
          <w:tcPr>
            <w:tcW w:w="2842" w:type="dxa"/>
            <w:shd w:val="clear" w:color="auto" w:fill="auto"/>
          </w:tcPr>
          <w:p w:rsidR="00016EF1" w:rsidRDefault="00016EF1" w:rsidP="00A51FAE">
            <w:pPr>
              <w:pStyle w:val="Ruller40"/>
              <w:rPr>
                <w:rtl/>
              </w:rPr>
            </w:pPr>
          </w:p>
        </w:tc>
        <w:tc>
          <w:tcPr>
            <w:tcW w:w="2843" w:type="dxa"/>
            <w:shd w:val="clear" w:color="auto" w:fill="auto"/>
          </w:tcPr>
          <w:p w:rsidR="001A0164" w:rsidRDefault="001A0164" w:rsidP="00BA0B08">
            <w:pPr>
              <w:pStyle w:val="Ruller40"/>
              <w:jc w:val="center"/>
              <w:rPr>
                <w:rtl/>
              </w:rPr>
            </w:pPr>
          </w:p>
        </w:tc>
        <w:tc>
          <w:tcPr>
            <w:tcW w:w="2843" w:type="dxa"/>
            <w:shd w:val="clear" w:color="auto" w:fill="auto"/>
          </w:tcPr>
          <w:p w:rsidR="001A0164" w:rsidRDefault="00144AB3" w:rsidP="00BA0B08">
            <w:pPr>
              <w:pStyle w:val="Ruller40"/>
              <w:jc w:val="center"/>
              <w:rPr>
                <w:rtl/>
              </w:rPr>
            </w:pPr>
            <w:r>
              <w:rPr>
                <w:rtl/>
              </w:rPr>
              <w:t xml:space="preserve"> ה נ ש י א ה</w:t>
            </w:r>
          </w:p>
        </w:tc>
      </w:tr>
    </w:tbl>
    <w:p w:rsidR="00044953" w:rsidRDefault="00044953" w:rsidP="00A51FAE">
      <w:pPr>
        <w:pStyle w:val="Ruller40"/>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144AB3">
        <w:rPr>
          <w:sz w:val="16"/>
        </w:rPr>
        <w:t xml:space="preserve">22054730_V04.docx   </w:t>
      </w:r>
      <w:proofErr w:type="spellStart"/>
      <w:r w:rsidR="00144AB3">
        <w:rPr>
          <w:sz w:val="16"/>
          <w:rtl/>
        </w:rPr>
        <w:t>רי</w:t>
      </w:r>
      <w:proofErr w:type="spellEnd"/>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AB3" w:rsidRDefault="00144AB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AA7B19">
      <w:rPr>
        <w:rStyle w:val="a4"/>
        <w:noProof/>
        <w:rtl/>
      </w:rPr>
      <w:t>9</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9CC819C0"/>
    <w:lvl w:ilvl="0" w:tplc="361A0266">
      <w:start w:val="1"/>
      <w:numFmt w:val="decimal"/>
      <w:pStyle w:val="Ruller4"/>
      <w:lvlText w:val="%1."/>
      <w:lvlJc w:val="left"/>
      <w:pPr>
        <w:tabs>
          <w:tab w:val="num" w:pos="907"/>
        </w:tabs>
        <w:ind w:left="0" w:firstLine="0"/>
      </w:pPr>
      <w:rPr>
        <w:rFonts w:ascii="FrankRuehl" w:hAnsi="FrankRuehl" w:cs="FrankRuehl" w:hint="default"/>
        <w:sz w:val="28"/>
        <w:szCs w:val="28"/>
        <w:lang w:val="en-US"/>
      </w:rPr>
    </w:lvl>
    <w:lvl w:ilvl="1" w:tplc="BBE2847A">
      <w:start w:val="1"/>
      <w:numFmt w:val="hebrew1"/>
      <w:lvlText w:val="%2."/>
      <w:lvlJc w:val="center"/>
      <w:pPr>
        <w:tabs>
          <w:tab w:val="num" w:pos="1440"/>
        </w:tabs>
        <w:ind w:left="1440" w:hanging="360"/>
      </w:pPr>
      <w:rPr>
        <w:lang w:val="en-US"/>
      </w:rPr>
    </w:lvl>
    <w:lvl w:ilvl="2" w:tplc="9CFC0474">
      <w:start w:val="1"/>
      <w:numFmt w:val="lowerRoman"/>
      <w:lvlText w:val="%3."/>
      <w:lvlJc w:val="right"/>
      <w:pPr>
        <w:tabs>
          <w:tab w:val="num" w:pos="2160"/>
        </w:tabs>
        <w:ind w:left="2160" w:hanging="180"/>
      </w:pPr>
    </w:lvl>
    <w:lvl w:ilvl="3" w:tplc="598A9CA4">
      <w:start w:val="1"/>
      <w:numFmt w:val="decimal"/>
      <w:lvlText w:val="%4."/>
      <w:lvlJc w:val="left"/>
      <w:pPr>
        <w:tabs>
          <w:tab w:val="num" w:pos="2880"/>
        </w:tabs>
        <w:ind w:left="2880" w:hanging="360"/>
      </w:pPr>
    </w:lvl>
    <w:lvl w:ilvl="4" w:tplc="B91CD688">
      <w:start w:val="1"/>
      <w:numFmt w:val="lowerLetter"/>
      <w:lvlText w:val="%5."/>
      <w:lvlJc w:val="left"/>
      <w:pPr>
        <w:tabs>
          <w:tab w:val="num" w:pos="3600"/>
        </w:tabs>
        <w:ind w:left="3600" w:hanging="360"/>
      </w:pPr>
    </w:lvl>
    <w:lvl w:ilvl="5" w:tplc="AC84BA2C">
      <w:start w:val="1"/>
      <w:numFmt w:val="lowerRoman"/>
      <w:lvlText w:val="%6."/>
      <w:lvlJc w:val="right"/>
      <w:pPr>
        <w:tabs>
          <w:tab w:val="num" w:pos="4320"/>
        </w:tabs>
        <w:ind w:left="4320" w:hanging="180"/>
      </w:pPr>
    </w:lvl>
    <w:lvl w:ilvl="6" w:tplc="CA6C38A8">
      <w:start w:val="1"/>
      <w:numFmt w:val="decimal"/>
      <w:lvlText w:val="%7."/>
      <w:lvlJc w:val="left"/>
      <w:pPr>
        <w:tabs>
          <w:tab w:val="num" w:pos="5040"/>
        </w:tabs>
        <w:ind w:left="5040" w:hanging="360"/>
      </w:pPr>
    </w:lvl>
    <w:lvl w:ilvl="7" w:tplc="EE409BA2">
      <w:start w:val="1"/>
      <w:numFmt w:val="lowerLetter"/>
      <w:lvlText w:val="%8."/>
      <w:lvlJc w:val="left"/>
      <w:pPr>
        <w:tabs>
          <w:tab w:val="num" w:pos="5760"/>
        </w:tabs>
        <w:ind w:left="5760" w:hanging="360"/>
      </w:pPr>
    </w:lvl>
    <w:lvl w:ilvl="8" w:tplc="30CC660C">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6747B"/>
    <w:rsid w:val="000725F5"/>
    <w:rsid w:val="00072AD2"/>
    <w:rsid w:val="000B1478"/>
    <w:rsid w:val="000C4690"/>
    <w:rsid w:val="000D25C4"/>
    <w:rsid w:val="00134A67"/>
    <w:rsid w:val="00144AB3"/>
    <w:rsid w:val="001A0164"/>
    <w:rsid w:val="00200D6B"/>
    <w:rsid w:val="00265F6E"/>
    <w:rsid w:val="002876BF"/>
    <w:rsid w:val="002A4A7A"/>
    <w:rsid w:val="002A4BF3"/>
    <w:rsid w:val="002F7BB6"/>
    <w:rsid w:val="003448B2"/>
    <w:rsid w:val="00361DB2"/>
    <w:rsid w:val="0037622E"/>
    <w:rsid w:val="00377102"/>
    <w:rsid w:val="0039709B"/>
    <w:rsid w:val="003D1FBD"/>
    <w:rsid w:val="003D72DA"/>
    <w:rsid w:val="003F1F97"/>
    <w:rsid w:val="0041048F"/>
    <w:rsid w:val="00437D59"/>
    <w:rsid w:val="004610A4"/>
    <w:rsid w:val="004B29FF"/>
    <w:rsid w:val="004C7868"/>
    <w:rsid w:val="00503A3E"/>
    <w:rsid w:val="00504601"/>
    <w:rsid w:val="00520A66"/>
    <w:rsid w:val="00527F02"/>
    <w:rsid w:val="005803E2"/>
    <w:rsid w:val="0058440A"/>
    <w:rsid w:val="00591983"/>
    <w:rsid w:val="00624A42"/>
    <w:rsid w:val="0065522F"/>
    <w:rsid w:val="00685577"/>
    <w:rsid w:val="006A30F7"/>
    <w:rsid w:val="006C42AD"/>
    <w:rsid w:val="006C7871"/>
    <w:rsid w:val="00706ECB"/>
    <w:rsid w:val="00725345"/>
    <w:rsid w:val="00737DC9"/>
    <w:rsid w:val="00741CC0"/>
    <w:rsid w:val="007B512F"/>
    <w:rsid w:val="007F7512"/>
    <w:rsid w:val="00810894"/>
    <w:rsid w:val="008143AB"/>
    <w:rsid w:val="0083345F"/>
    <w:rsid w:val="00836667"/>
    <w:rsid w:val="00866D0F"/>
    <w:rsid w:val="008A1194"/>
    <w:rsid w:val="008C2F11"/>
    <w:rsid w:val="008D78B9"/>
    <w:rsid w:val="008E3F85"/>
    <w:rsid w:val="009051E8"/>
    <w:rsid w:val="00905973"/>
    <w:rsid w:val="00914156"/>
    <w:rsid w:val="00916FF8"/>
    <w:rsid w:val="00922093"/>
    <w:rsid w:val="00930C85"/>
    <w:rsid w:val="009B38DA"/>
    <w:rsid w:val="009E3BD3"/>
    <w:rsid w:val="009F2F53"/>
    <w:rsid w:val="009F4187"/>
    <w:rsid w:val="00A12E0F"/>
    <w:rsid w:val="00A51FAE"/>
    <w:rsid w:val="00A80845"/>
    <w:rsid w:val="00AA7B19"/>
    <w:rsid w:val="00AB69F7"/>
    <w:rsid w:val="00AD097B"/>
    <w:rsid w:val="00AD64B9"/>
    <w:rsid w:val="00AE022B"/>
    <w:rsid w:val="00B009CC"/>
    <w:rsid w:val="00B0782A"/>
    <w:rsid w:val="00B62B8C"/>
    <w:rsid w:val="00B63343"/>
    <w:rsid w:val="00B72D31"/>
    <w:rsid w:val="00B87FF7"/>
    <w:rsid w:val="00BA0B08"/>
    <w:rsid w:val="00BC0E82"/>
    <w:rsid w:val="00BC3E50"/>
    <w:rsid w:val="00BD40F9"/>
    <w:rsid w:val="00C05F35"/>
    <w:rsid w:val="00C41C86"/>
    <w:rsid w:val="00C63A6C"/>
    <w:rsid w:val="00CA13AF"/>
    <w:rsid w:val="00CA1444"/>
    <w:rsid w:val="00CB1590"/>
    <w:rsid w:val="00CB7600"/>
    <w:rsid w:val="00CC0E9D"/>
    <w:rsid w:val="00CC3639"/>
    <w:rsid w:val="00D00B1D"/>
    <w:rsid w:val="00D00CB7"/>
    <w:rsid w:val="00D25F16"/>
    <w:rsid w:val="00DA35B3"/>
    <w:rsid w:val="00E21CA9"/>
    <w:rsid w:val="00E31063"/>
    <w:rsid w:val="00E36FE9"/>
    <w:rsid w:val="00E73E98"/>
    <w:rsid w:val="00E75223"/>
    <w:rsid w:val="00E90D72"/>
    <w:rsid w:val="00EA0BE1"/>
    <w:rsid w:val="00EC23AC"/>
    <w:rsid w:val="00EC2992"/>
    <w:rsid w:val="00ED46A4"/>
    <w:rsid w:val="00ED6FD9"/>
    <w:rsid w:val="00EE3810"/>
    <w:rsid w:val="00F63C3B"/>
    <w:rsid w:val="00F813C7"/>
    <w:rsid w:val="00F959DB"/>
    <w:rsid w:val="00FC0252"/>
    <w:rsid w:val="00FD0DFE"/>
    <w:rsid w:val="00FD51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E6487C-99AC-4F4C-9EB0-8F3A1435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0">
    <w:name w:val="Ruller4"/>
    <w:basedOn w:val="a"/>
    <w:link w:val="Ruller41"/>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uiPriority w:val="99"/>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0"/>
    <w:next w:val="Ruller40"/>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character" w:customStyle="1" w:styleId="Ruller41">
    <w:name w:val="Ruller4 תו"/>
    <w:link w:val="Ruller40"/>
    <w:locked/>
    <w:rsid w:val="003D1FBD"/>
    <w:rPr>
      <w:rFonts w:ascii="Arial TUR" w:hAnsi="Arial TUR" w:cs="FrankRuehl"/>
      <w:spacing w:val="10"/>
      <w:sz w:val="22"/>
      <w:szCs w:val="28"/>
    </w:rPr>
  </w:style>
  <w:style w:type="character" w:customStyle="1" w:styleId="Ruller42">
    <w:name w:val="Ruller 4 ממוספר תו"/>
    <w:link w:val="Ruller4"/>
    <w:locked/>
    <w:rsid w:val="003D1FBD"/>
    <w:rPr>
      <w:rFonts w:ascii="Garamond" w:hAnsi="Garamond" w:cs="FrankRuehl"/>
      <w:spacing w:val="10"/>
      <w:sz w:val="24"/>
      <w:szCs w:val="28"/>
    </w:rPr>
  </w:style>
  <w:style w:type="paragraph" w:customStyle="1" w:styleId="Ruller4">
    <w:name w:val="Ruller 4 ממוספר"/>
    <w:basedOn w:val="Ruller40"/>
    <w:next w:val="Ruller40"/>
    <w:link w:val="Ruller42"/>
    <w:rsid w:val="003D1FBD"/>
    <w:pPr>
      <w:numPr>
        <w:numId w:val="11"/>
      </w:numPr>
      <w:textAlignment w:val="auto"/>
    </w:pPr>
    <w:rPr>
      <w:rFonts w:ascii="Garamond" w:hAnsi="Garamond"/>
      <w:sz w:val="24"/>
    </w:rPr>
  </w:style>
  <w:style w:type="character" w:customStyle="1" w:styleId="default">
    <w:name w:val="default"/>
    <w:rsid w:val="003D1FBD"/>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2880</Words>
  <Characters>13622</Characters>
  <Application>Microsoft Office Word</Application>
  <DocSecurity>0</DocSecurity>
  <Lines>1702</Lines>
  <Paragraphs>916</Paragraphs>
  <ScaleCrop>false</ScaleCrop>
  <HeadingPairs>
    <vt:vector size="2" baseType="variant">
      <vt:variant>
        <vt:lpstr>שם</vt:lpstr>
      </vt:variant>
      <vt:variant>
        <vt:i4>1</vt:i4>
      </vt:variant>
    </vt:vector>
  </HeadingPairs>
  <TitlesOfParts>
    <vt:vector size="1" baseType="lpstr">
      <vt:lpstr>החלטה בתיק דנ"א  5473/22</vt:lpstr>
    </vt:vector>
  </TitlesOfParts>
  <Company/>
  <LinksUpToDate>false</LinksUpToDate>
  <CharactersWithSpaces>15586</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2023-01-03T10:32:37Z</cp:lastPrinted>
  <dcterms:created xsi:type="dcterms:W3CDTF">2023-01-03T10:32:37Z</dcterms:created>
  <dcterms:modified xsi:type="dcterms:W3CDTF">2023-01-03T10:32:37Z</dcterms:modified>
</cp:coreProperties>
</file>